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31DC4" w14:textId="77777777" w:rsidR="00610A82" w:rsidRPr="00610A82" w:rsidRDefault="00610A82" w:rsidP="00610A82">
      <w:pPr>
        <w:pStyle w:val="NormalWeb"/>
        <w:spacing w:line="360" w:lineRule="auto"/>
        <w:jc w:val="center"/>
        <w:rPr>
          <w:rFonts w:ascii="Arial" w:hAnsi="Arial" w:cs="Arial"/>
          <w:b/>
          <w:bCs/>
          <w:color w:val="C45911" w:themeColor="accent2" w:themeShade="BF"/>
        </w:rPr>
      </w:pPr>
      <w:bookmarkStart w:id="0" w:name="_Hlk183113205"/>
      <w:bookmarkStart w:id="1" w:name="_Hlk145952311"/>
      <w:r w:rsidRPr="00610A82">
        <w:rPr>
          <w:rFonts w:ascii="Arial" w:hAnsi="Arial" w:cs="Arial"/>
          <w:b/>
          <w:bCs/>
          <w:color w:val="C45911" w:themeColor="accent2" w:themeShade="BF"/>
        </w:rPr>
        <w:t>Satisfacción estudiantil de un servicio complementario: un estudio de percepción en una Institución de educación superior pública en Ecuador</w:t>
      </w:r>
    </w:p>
    <w:bookmarkEnd w:id="0"/>
    <w:p w14:paraId="782B89BF" w14:textId="48CF4DF9" w:rsidR="00610A82" w:rsidRPr="00610A82" w:rsidRDefault="00610A82" w:rsidP="00610A82">
      <w:pPr>
        <w:pStyle w:val="NormalWeb"/>
        <w:spacing w:before="0" w:beforeAutospacing="0" w:after="0" w:afterAutospacing="0" w:line="360" w:lineRule="auto"/>
        <w:jc w:val="center"/>
        <w:rPr>
          <w:rFonts w:ascii="Arial" w:hAnsi="Arial" w:cs="Arial"/>
          <w:b/>
          <w:bCs/>
          <w:color w:val="C45911" w:themeColor="accent2" w:themeShade="BF"/>
          <w:lang w:val="en-US"/>
        </w:rPr>
      </w:pPr>
      <w:r w:rsidRPr="00610A82">
        <w:rPr>
          <w:rFonts w:ascii="Arial" w:hAnsi="Arial" w:cs="Arial"/>
          <w:b/>
          <w:bCs/>
          <w:color w:val="C45911" w:themeColor="accent2" w:themeShade="BF"/>
          <w:lang w:val="en-US"/>
        </w:rPr>
        <w:t>Student satisfaction with a complementary service: a perception study in a Public Higher Education Institution in Ecuador</w:t>
      </w:r>
    </w:p>
    <w:p w14:paraId="3A3108D2" w14:textId="6BD2109E" w:rsidR="00610A82" w:rsidRDefault="00610A82"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2ED18920" w14:textId="77777777" w:rsidR="009F76D8" w:rsidRPr="003E0602" w:rsidRDefault="009F76D8" w:rsidP="006A56EC">
      <w:pPr>
        <w:pStyle w:val="NormalWeb"/>
        <w:spacing w:before="0" w:beforeAutospacing="0" w:after="0" w:afterAutospacing="0"/>
        <w:jc w:val="right"/>
        <w:rPr>
          <w:rFonts w:ascii="Arial" w:hAnsi="Arial" w:cs="Arial"/>
          <w:lang w:val="en-US"/>
        </w:rPr>
      </w:pPr>
    </w:p>
    <w:p w14:paraId="15395EE9" w14:textId="077F0438" w:rsidR="00A82B98" w:rsidRPr="00B55452" w:rsidRDefault="009463C5" w:rsidP="006A56EC">
      <w:pPr>
        <w:pStyle w:val="NormalWeb"/>
        <w:spacing w:before="0" w:beforeAutospacing="0" w:after="0" w:afterAutospacing="0"/>
        <w:jc w:val="right"/>
        <w:rPr>
          <w:rFonts w:ascii="Arial" w:hAnsi="Arial" w:cs="Arial"/>
        </w:rPr>
      </w:pPr>
      <w:r>
        <w:rPr>
          <w:rFonts w:ascii="Arial" w:hAnsi="Arial" w:cs="Arial"/>
        </w:rPr>
        <w:t>Luis-Guillermo Vega-Romero</w:t>
      </w:r>
      <w:r w:rsidR="00A82B98" w:rsidRPr="00B55452">
        <w:rPr>
          <w:rStyle w:val="Refdenotaalpie"/>
          <w:rFonts w:ascii="Arial" w:eastAsia="Arial" w:hAnsi="Arial" w:cs="Arial"/>
        </w:rPr>
        <w:footnoteReference w:id="1"/>
      </w:r>
    </w:p>
    <w:p w14:paraId="54FACEFC" w14:textId="7FCC52F7" w:rsidR="00A82B98" w:rsidRDefault="00A82B98" w:rsidP="006A56EC">
      <w:pPr>
        <w:pStyle w:val="NormalWeb"/>
        <w:spacing w:before="0" w:beforeAutospacing="0" w:after="0" w:afterAutospacing="0"/>
        <w:jc w:val="right"/>
        <w:rPr>
          <w:rFonts w:ascii="Arial" w:hAnsi="Arial" w:cs="Arial"/>
        </w:rPr>
      </w:pPr>
      <w:r w:rsidRPr="00B55452">
        <w:rPr>
          <w:rFonts w:ascii="Arial" w:hAnsi="Arial" w:cs="Arial"/>
        </w:rPr>
        <w:t xml:space="preserve">Universidad </w:t>
      </w:r>
      <w:r w:rsidR="009463C5">
        <w:rPr>
          <w:rFonts w:ascii="Arial" w:hAnsi="Arial" w:cs="Arial"/>
        </w:rPr>
        <w:t>de Cuenca</w:t>
      </w:r>
    </w:p>
    <w:p w14:paraId="34E3782F" w14:textId="65C85671" w:rsidR="00A82B98" w:rsidRPr="00B55452" w:rsidRDefault="009463C5" w:rsidP="006A56EC">
      <w:pPr>
        <w:pStyle w:val="NormalWeb"/>
        <w:spacing w:before="0" w:beforeAutospacing="0" w:after="0" w:afterAutospacing="0"/>
        <w:jc w:val="right"/>
        <w:rPr>
          <w:rFonts w:ascii="Arial" w:hAnsi="Arial" w:cs="Arial"/>
        </w:rPr>
      </w:pPr>
      <w:r>
        <w:rPr>
          <w:rFonts w:ascii="Arial" w:hAnsi="Arial" w:cs="Arial"/>
        </w:rPr>
        <w:t>Cuenca, Ecuador</w:t>
      </w:r>
    </w:p>
    <w:p w14:paraId="0D9D74F4" w14:textId="41AF6980" w:rsidR="009D6CB0" w:rsidRPr="009D6CB0" w:rsidRDefault="001B4644" w:rsidP="006A56EC">
      <w:pPr>
        <w:pStyle w:val="NormalWeb"/>
        <w:spacing w:before="0" w:beforeAutospacing="0" w:after="0" w:afterAutospacing="0"/>
        <w:jc w:val="right"/>
        <w:rPr>
          <w:rFonts w:ascii="Arial" w:hAnsi="Arial" w:cs="Arial"/>
          <w:color w:val="2F5496" w:themeColor="accent1" w:themeShade="BF"/>
          <w:u w:val="single"/>
          <w:lang w:val="es-EC"/>
        </w:rPr>
      </w:pPr>
      <w:r w:rsidRPr="009D6CB0">
        <w:fldChar w:fldCharType="begin"/>
      </w:r>
      <w:r w:rsidRPr="009D6CB0">
        <w:rPr>
          <w:color w:val="2F5496" w:themeColor="accent1" w:themeShade="BF"/>
        </w:rPr>
        <w:instrText xml:space="preserve"> HYPERLINK "mailto:silvia.garcia.vargas@una.cr" </w:instrText>
      </w:r>
      <w:r w:rsidRPr="009D6CB0">
        <w:fldChar w:fldCharType="separate"/>
      </w:r>
      <w:r w:rsidR="009D6CB0" w:rsidRPr="009D6CB0">
        <w:rPr>
          <w:rFonts w:ascii="Arial" w:hAnsi="Arial" w:cs="Arial"/>
          <w:color w:val="2F5496" w:themeColor="accent1" w:themeShade="BF"/>
          <w:u w:val="single"/>
          <w:lang w:val="es-EC"/>
        </w:rPr>
        <w:t>luisg.vega@ucuenca.edu.ec</w:t>
      </w:r>
    </w:p>
    <w:p w14:paraId="1586665D" w14:textId="2E4626B8" w:rsidR="00A82B98" w:rsidRPr="005953BF" w:rsidRDefault="001B4644" w:rsidP="006A56EC">
      <w:pPr>
        <w:pStyle w:val="NormalWeb"/>
        <w:spacing w:before="0" w:beforeAutospacing="0" w:after="0" w:afterAutospacing="0"/>
        <w:jc w:val="right"/>
        <w:rPr>
          <w:rFonts w:ascii="Arial" w:hAnsi="Arial" w:cs="Arial"/>
          <w:color w:val="2E74B5" w:themeColor="accent5" w:themeShade="BF"/>
        </w:rPr>
      </w:pPr>
      <w:r w:rsidRPr="009D6CB0">
        <w:rPr>
          <w:rStyle w:val="Hipervnculo"/>
          <w:rFonts w:ascii="Arial" w:hAnsi="Arial" w:cs="Arial"/>
          <w:color w:val="2F5496" w:themeColor="accent1" w:themeShade="BF"/>
        </w:rPr>
        <w:fldChar w:fldCharType="end"/>
      </w:r>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6A56EC">
      <w:pPr>
        <w:pStyle w:val="NormalWeb"/>
        <w:spacing w:before="0" w:beforeAutospacing="0" w:after="0" w:afterAutospacing="0"/>
        <w:rPr>
          <w:rFonts w:ascii="Arial" w:hAnsi="Arial" w:cs="Arial"/>
        </w:rPr>
      </w:pPr>
      <w:r w:rsidRPr="00B55452">
        <w:rPr>
          <w:rFonts w:ascii="Arial" w:hAnsi="Arial" w:cs="Arial"/>
        </w:rPr>
        <w:t xml:space="preserve">  </w:t>
      </w:r>
    </w:p>
    <w:p w14:paraId="2270E183" w14:textId="640CE2E8" w:rsidR="00A82B98" w:rsidRPr="00B55452" w:rsidRDefault="00D555CB" w:rsidP="006A56EC">
      <w:pPr>
        <w:jc w:val="right"/>
        <w:rPr>
          <w:rFonts w:ascii="Arial" w:eastAsia="Arial" w:hAnsi="Arial" w:cs="Arial"/>
        </w:rPr>
      </w:pPr>
      <w:r>
        <w:rPr>
          <w:rFonts w:ascii="Arial" w:eastAsia="Arial" w:hAnsi="Arial" w:cs="Arial"/>
        </w:rPr>
        <w:t>Milton Barragán-Landy</w:t>
      </w:r>
      <w:r w:rsidR="00A82B98" w:rsidRPr="00B55452">
        <w:rPr>
          <w:rStyle w:val="Refdenotaalpie"/>
          <w:rFonts w:ascii="Arial" w:eastAsia="Arial" w:hAnsi="Arial" w:cs="Arial"/>
        </w:rPr>
        <w:footnoteReference w:id="2"/>
      </w:r>
    </w:p>
    <w:p w14:paraId="5F882F23" w14:textId="745A3059" w:rsidR="00A82B98" w:rsidRDefault="00A82B98" w:rsidP="006A56EC">
      <w:pPr>
        <w:jc w:val="right"/>
        <w:rPr>
          <w:rFonts w:ascii="Arial" w:eastAsia="Arial" w:hAnsi="Arial" w:cs="Arial"/>
        </w:rPr>
      </w:pPr>
      <w:r w:rsidRPr="00B55452">
        <w:rPr>
          <w:rFonts w:ascii="Arial" w:eastAsia="Arial" w:hAnsi="Arial" w:cs="Arial"/>
        </w:rPr>
        <w:t xml:space="preserve">Universidad </w:t>
      </w:r>
      <w:r w:rsidR="00AF7A12">
        <w:rPr>
          <w:rFonts w:ascii="Arial" w:eastAsia="Arial" w:hAnsi="Arial" w:cs="Arial"/>
        </w:rPr>
        <w:t>de Cuenca</w:t>
      </w:r>
    </w:p>
    <w:p w14:paraId="068535AC" w14:textId="01178ABE" w:rsidR="00A82B98" w:rsidRPr="00B55452" w:rsidRDefault="00AF7A12" w:rsidP="006A56EC">
      <w:pPr>
        <w:jc w:val="right"/>
        <w:rPr>
          <w:rFonts w:ascii="Arial" w:eastAsia="Arial" w:hAnsi="Arial" w:cs="Arial"/>
        </w:rPr>
      </w:pPr>
      <w:r>
        <w:rPr>
          <w:rFonts w:ascii="Arial" w:eastAsia="Arial" w:hAnsi="Arial" w:cs="Arial"/>
        </w:rPr>
        <w:t>Cuenca, Ecuador</w:t>
      </w:r>
      <w:r w:rsidR="00A82B98">
        <w:rPr>
          <w:rFonts w:ascii="Arial" w:eastAsia="Arial" w:hAnsi="Arial" w:cs="Arial"/>
        </w:rPr>
        <w:t xml:space="preserve"> </w:t>
      </w:r>
    </w:p>
    <w:p w14:paraId="3F68C6CD" w14:textId="4FB34B01" w:rsidR="00A82B98" w:rsidRPr="00E536F3" w:rsidRDefault="00671508" w:rsidP="00671508">
      <w:pPr>
        <w:jc w:val="right"/>
        <w:rPr>
          <w:rFonts w:ascii="Arial" w:hAnsi="Arial" w:cs="Arial"/>
          <w:bCs/>
          <w:color w:val="2F5496" w:themeColor="accent1" w:themeShade="BF"/>
          <w:u w:val="single"/>
        </w:rPr>
      </w:pPr>
      <w:r w:rsidRPr="00E536F3">
        <w:rPr>
          <w:rFonts w:ascii="Arial" w:hAnsi="Arial" w:cs="Arial"/>
          <w:bCs/>
          <w:color w:val="2F5496" w:themeColor="accent1" w:themeShade="BF"/>
          <w:u w:val="single"/>
        </w:rPr>
        <w:t>mfrancisco.barraganl@ucuenca.edu.ec</w:t>
      </w:r>
    </w:p>
    <w:p w14:paraId="319F6C9B" w14:textId="6633AD2F" w:rsidR="00A82B98" w:rsidRDefault="00A82B98" w:rsidP="00A82B98">
      <w:pPr>
        <w:pStyle w:val="NormalWeb"/>
        <w:spacing w:before="0" w:beforeAutospacing="0" w:after="0" w:afterAutospacing="0" w:line="360" w:lineRule="auto"/>
        <w:jc w:val="center"/>
        <w:rPr>
          <w:rFonts w:ascii="Arial" w:hAnsi="Arial" w:cs="Arial"/>
          <w:b/>
          <w:bCs/>
        </w:rPr>
      </w:pPr>
    </w:p>
    <w:p w14:paraId="4C1650BF" w14:textId="7E93E40A" w:rsidR="00A82B98" w:rsidRPr="00E33D9D" w:rsidRDefault="00A82B98" w:rsidP="00A82B98">
      <w:pPr>
        <w:tabs>
          <w:tab w:val="left" w:pos="5865"/>
        </w:tabs>
        <w:jc w:val="center"/>
        <w:rPr>
          <w:rFonts w:ascii="Arial" w:hAnsi="Arial" w:cs="Arial"/>
          <w:bCs/>
          <w:color w:val="2F5496" w:themeColor="accent1" w:themeShade="BF"/>
          <w:u w:val="single"/>
          <w:lang w:val="en-US"/>
        </w:rPr>
      </w:pPr>
      <w:r w:rsidRPr="00E33D9D">
        <w:rPr>
          <w:rFonts w:ascii="Arial" w:hAnsi="Arial" w:cs="Arial"/>
          <w:bCs/>
          <w:color w:val="2F5496" w:themeColor="accent1" w:themeShade="BF"/>
          <w:u w:val="single"/>
          <w:lang w:val="en-US"/>
        </w:rPr>
        <w:t>DOI: http://dx.doi.org/10.22458/caes.v15i</w:t>
      </w:r>
      <w:r w:rsidR="006754BB" w:rsidRPr="00E33D9D">
        <w:rPr>
          <w:rFonts w:ascii="Arial" w:hAnsi="Arial" w:cs="Arial"/>
          <w:bCs/>
          <w:color w:val="2F5496" w:themeColor="accent1" w:themeShade="BF"/>
          <w:u w:val="single"/>
          <w:lang w:val="en-US"/>
        </w:rPr>
        <w:t>2</w:t>
      </w:r>
      <w:r w:rsidRPr="00E33D9D">
        <w:rPr>
          <w:rFonts w:ascii="Arial" w:hAnsi="Arial" w:cs="Arial"/>
          <w:bCs/>
          <w:color w:val="2F5496" w:themeColor="accent1" w:themeShade="BF"/>
          <w:u w:val="single"/>
          <w:lang w:val="en-US"/>
        </w:rPr>
        <w:t>.</w:t>
      </w:r>
      <w:r w:rsidR="00156FED" w:rsidRPr="00E33D9D">
        <w:rPr>
          <w:rFonts w:ascii="Arial" w:hAnsi="Arial" w:cs="Arial"/>
          <w:bCs/>
          <w:color w:val="2F5496" w:themeColor="accent1" w:themeShade="BF"/>
          <w:u w:val="single"/>
          <w:lang w:val="en-US"/>
        </w:rPr>
        <w:t>5</w:t>
      </w:r>
      <w:r w:rsidRPr="00E33D9D">
        <w:rPr>
          <w:rFonts w:ascii="Arial" w:hAnsi="Arial" w:cs="Arial"/>
          <w:bCs/>
          <w:color w:val="2F5496" w:themeColor="accent1" w:themeShade="BF"/>
          <w:u w:val="single"/>
          <w:lang w:val="en-US"/>
        </w:rPr>
        <w:t>4</w:t>
      </w:r>
      <w:r w:rsidR="00156FED" w:rsidRPr="00E33D9D">
        <w:rPr>
          <w:rFonts w:ascii="Arial" w:hAnsi="Arial" w:cs="Arial"/>
          <w:bCs/>
          <w:color w:val="2F5496" w:themeColor="accent1" w:themeShade="BF"/>
          <w:u w:val="single"/>
          <w:lang w:val="en-US"/>
        </w:rPr>
        <w:t>2</w:t>
      </w:r>
      <w:r w:rsidRPr="00E33D9D">
        <w:rPr>
          <w:rFonts w:ascii="Arial" w:hAnsi="Arial" w:cs="Arial"/>
          <w:bCs/>
          <w:color w:val="2F5496" w:themeColor="accent1" w:themeShade="BF"/>
          <w:u w:val="single"/>
          <w:lang w:val="en-US"/>
        </w:rPr>
        <w:t>7</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04B80949" w:rsidR="00A82B98" w:rsidRDefault="00A82B98" w:rsidP="0020679D">
      <w:pPr>
        <w:tabs>
          <w:tab w:val="left" w:pos="5865"/>
        </w:tabs>
        <w:spacing w:line="276" w:lineRule="auto"/>
        <w:jc w:val="center"/>
        <w:rPr>
          <w:rFonts w:ascii="Arial" w:hAnsi="Arial" w:cs="Arial"/>
          <w:bCs/>
        </w:rPr>
      </w:pPr>
      <w:r w:rsidRPr="00052F90">
        <w:rPr>
          <w:rFonts w:ascii="Arial" w:hAnsi="Arial" w:cs="Arial"/>
          <w:bCs/>
        </w:rPr>
        <w:t>pp. 2</w:t>
      </w:r>
      <w:r w:rsidR="003130A8" w:rsidRPr="00052F90">
        <w:rPr>
          <w:rFonts w:ascii="Arial" w:hAnsi="Arial" w:cs="Arial"/>
          <w:bCs/>
        </w:rPr>
        <w:t>32</w:t>
      </w:r>
      <w:r w:rsidRPr="00052F90">
        <w:rPr>
          <w:rFonts w:ascii="Arial" w:hAnsi="Arial" w:cs="Arial"/>
          <w:bCs/>
        </w:rPr>
        <w:t>-</w:t>
      </w:r>
      <w:r w:rsidR="00052F90" w:rsidRPr="00052F90">
        <w:rPr>
          <w:rFonts w:ascii="Arial" w:hAnsi="Arial" w:cs="Arial"/>
          <w:bCs/>
        </w:rPr>
        <w:t>280</w:t>
      </w:r>
      <w:bookmarkStart w:id="10" w:name="_GoBack"/>
      <w:bookmarkEnd w:id="10"/>
    </w:p>
    <w:p w14:paraId="66913603" w14:textId="77777777" w:rsidR="000A5624" w:rsidRDefault="000A5624" w:rsidP="0020679D">
      <w:pPr>
        <w:tabs>
          <w:tab w:val="left" w:pos="5865"/>
        </w:tabs>
        <w:spacing w:line="276" w:lineRule="auto"/>
        <w:rPr>
          <w:rFonts w:ascii="Arial" w:hAnsi="Arial" w:cs="Arial"/>
          <w:bCs/>
        </w:rPr>
      </w:pPr>
      <w:bookmarkStart w:id="11" w:name="_Hlk182838172"/>
    </w:p>
    <w:p w14:paraId="1591C2AD" w14:textId="602E2D6A" w:rsidR="00A82B98" w:rsidRPr="008A7B7E" w:rsidRDefault="00A82B98" w:rsidP="0020679D">
      <w:pPr>
        <w:tabs>
          <w:tab w:val="left" w:pos="5865"/>
        </w:tabs>
        <w:spacing w:line="276" w:lineRule="auto"/>
        <w:rPr>
          <w:rFonts w:ascii="Arial" w:hAnsi="Arial" w:cs="Arial"/>
          <w:bCs/>
        </w:rPr>
      </w:pPr>
      <w:r w:rsidRPr="008A7B7E">
        <w:rPr>
          <w:rFonts w:ascii="Arial" w:hAnsi="Arial" w:cs="Arial"/>
          <w:bCs/>
        </w:rPr>
        <w:t xml:space="preserve">Recibido: </w:t>
      </w:r>
      <w:r w:rsidR="009B07EC" w:rsidRPr="008A7B7E">
        <w:rPr>
          <w:rFonts w:ascii="Arial" w:hAnsi="Arial" w:cs="Arial"/>
          <w:bCs/>
        </w:rPr>
        <w:t>05</w:t>
      </w:r>
      <w:r w:rsidRPr="008A7B7E">
        <w:rPr>
          <w:rFonts w:ascii="Arial" w:hAnsi="Arial" w:cs="Arial"/>
          <w:bCs/>
        </w:rPr>
        <w:t xml:space="preserve"> de </w:t>
      </w:r>
      <w:r w:rsidR="009B07EC" w:rsidRPr="008A7B7E">
        <w:rPr>
          <w:rFonts w:ascii="Arial" w:hAnsi="Arial" w:cs="Arial"/>
          <w:bCs/>
        </w:rPr>
        <w:t>agosto</w:t>
      </w:r>
      <w:r w:rsidRPr="008A7B7E">
        <w:rPr>
          <w:rFonts w:ascii="Arial" w:hAnsi="Arial" w:cs="Arial"/>
          <w:bCs/>
        </w:rPr>
        <w:t xml:space="preserve"> de 2023</w:t>
      </w:r>
    </w:p>
    <w:p w14:paraId="13E62770" w14:textId="787C38D0" w:rsidR="00A82B98" w:rsidRDefault="00A82B98" w:rsidP="0020679D">
      <w:pPr>
        <w:tabs>
          <w:tab w:val="left" w:pos="5865"/>
        </w:tabs>
        <w:spacing w:line="276" w:lineRule="auto"/>
        <w:rPr>
          <w:rFonts w:ascii="Arial" w:hAnsi="Arial" w:cs="Arial"/>
          <w:bCs/>
        </w:rPr>
      </w:pPr>
      <w:r w:rsidRPr="008A7B7E">
        <w:rPr>
          <w:rFonts w:ascii="Arial" w:hAnsi="Arial" w:cs="Arial"/>
          <w:bCs/>
        </w:rPr>
        <w:t xml:space="preserve">Aprobado: </w:t>
      </w:r>
      <w:r w:rsidR="009B07EC" w:rsidRPr="008A7B7E">
        <w:rPr>
          <w:rFonts w:ascii="Arial" w:hAnsi="Arial" w:cs="Arial"/>
          <w:bCs/>
        </w:rPr>
        <w:t>30</w:t>
      </w:r>
      <w:r w:rsidRPr="008A7B7E">
        <w:rPr>
          <w:rFonts w:ascii="Arial" w:hAnsi="Arial" w:cs="Arial"/>
          <w:bCs/>
        </w:rPr>
        <w:t xml:space="preserve"> de </w:t>
      </w:r>
      <w:r w:rsidR="009B07EC" w:rsidRPr="008A7B7E">
        <w:rPr>
          <w:rFonts w:ascii="Arial" w:hAnsi="Arial" w:cs="Arial"/>
          <w:bCs/>
        </w:rPr>
        <w:t>setiembre</w:t>
      </w:r>
      <w:r w:rsidRPr="008A7B7E">
        <w:rPr>
          <w:rFonts w:ascii="Arial" w:hAnsi="Arial" w:cs="Arial"/>
          <w:bCs/>
        </w:rPr>
        <w:t xml:space="preserve"> de 2024</w:t>
      </w:r>
    </w:p>
    <w:bookmarkEnd w:id="11"/>
    <w:p w14:paraId="095886CB" w14:textId="1ED3F024" w:rsidR="001D4D18" w:rsidRPr="001D4D18" w:rsidRDefault="001D4D18" w:rsidP="001D4D18">
      <w:pPr>
        <w:spacing w:line="360" w:lineRule="auto"/>
        <w:rPr>
          <w:rFonts w:ascii="Arial" w:eastAsia="Calibri" w:hAnsi="Arial" w:cs="Arial"/>
          <w:b/>
          <w:bCs/>
          <w:color w:val="000000"/>
          <w:kern w:val="2"/>
          <w:lang w:val="es-EC" w:eastAsia="en-US"/>
          <w14:ligatures w14:val="standardContextual"/>
        </w:rPr>
      </w:pPr>
      <w:r w:rsidRPr="001D4D18">
        <w:rPr>
          <w:rFonts w:ascii="Arial" w:eastAsia="Calibri" w:hAnsi="Arial" w:cs="Arial"/>
          <w:b/>
          <w:bCs/>
          <w:color w:val="000000"/>
          <w:kern w:val="2"/>
          <w:lang w:val="es-EC" w:eastAsia="en-US"/>
          <w14:ligatures w14:val="standardContextual"/>
        </w:rPr>
        <w:lastRenderedPageBreak/>
        <w:t>RESUMEN</w:t>
      </w:r>
    </w:p>
    <w:p w14:paraId="2A30ECD8" w14:textId="77777777" w:rsidR="00685627" w:rsidRDefault="00685627" w:rsidP="001D4D18">
      <w:pPr>
        <w:spacing w:line="360" w:lineRule="auto"/>
        <w:jc w:val="both"/>
        <w:rPr>
          <w:rFonts w:ascii="Arial" w:eastAsiaTheme="minorHAnsi" w:hAnsi="Arial" w:cs="Arial"/>
          <w:kern w:val="2"/>
          <w:lang w:val="es-ES" w:eastAsia="en-US"/>
          <w14:ligatures w14:val="standardContextual"/>
        </w:rPr>
      </w:pPr>
    </w:p>
    <w:p w14:paraId="2437C6B5" w14:textId="5E98E25D"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Este estudio aborda el valor percibido por el servicio generado por la Unidad de Bienestar Estudiantil (UBE) de una institución de educación superior (IES) pública en Ecuador. Se ejecutaron entrevistas a la UBE para establecer el proceso de servicio de ocho programas ofertados. El tipo de estudio es de enfoque mixto, con un diseño no experimental de corte transversal y de alcance correlacional. El nivel de satisfacción se evaluó con 710 encuestas al estudiantado y los problemas experimentados fueron definidos y categorizados desde ambas perspectivas con base en la cadena de valor de la IES. Se concluye que, a pesar de que la comunidad estudiantil puede o no experimentar problemas en el servicio, puede o no estar satisfecha. En esencia, la percepción de calidad del servicio estudiantil complementario generado por la UBE no está necesariamente relacionada con la satisfacción del alumnado.</w:t>
      </w:r>
    </w:p>
    <w:p w14:paraId="0ACEC0A2" w14:textId="77777777"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p>
    <w:p w14:paraId="38C0C724" w14:textId="77777777" w:rsidR="001D4D18" w:rsidRPr="001D4D18" w:rsidRDefault="001D4D18" w:rsidP="001D4D18">
      <w:pPr>
        <w:spacing w:line="360" w:lineRule="auto"/>
        <w:rPr>
          <w:rFonts w:ascii="Arial" w:eastAsia="Calibri" w:hAnsi="Arial" w:cs="Arial"/>
          <w:color w:val="000000"/>
          <w:kern w:val="2"/>
          <w:lang w:val="es-EC" w:eastAsia="en-US"/>
          <w14:ligatures w14:val="standardContextual"/>
        </w:rPr>
      </w:pPr>
      <w:r w:rsidRPr="001D4D18">
        <w:rPr>
          <w:rFonts w:ascii="Arial" w:eastAsia="Calibri" w:hAnsi="Arial" w:cs="Arial"/>
          <w:b/>
          <w:bCs/>
          <w:color w:val="000000"/>
          <w:kern w:val="2"/>
          <w:lang w:val="es-EC" w:eastAsia="en-US"/>
          <w14:ligatures w14:val="standardContextual"/>
        </w:rPr>
        <w:t>Palabras clave:</w:t>
      </w:r>
      <w:r w:rsidRPr="001D4D18">
        <w:rPr>
          <w:rFonts w:ascii="Arial" w:eastAsia="Calibri" w:hAnsi="Arial" w:cs="Arial"/>
          <w:color w:val="000000"/>
          <w:kern w:val="2"/>
          <w:lang w:val="es-EC" w:eastAsia="en-US"/>
          <w14:ligatures w14:val="standardContextual"/>
        </w:rPr>
        <w:t xml:space="preserve"> bienestar estudiantil, calidad del servicio, percepción de satisfacción, servicio estudiantil complementario</w:t>
      </w:r>
    </w:p>
    <w:p w14:paraId="3AB811EA" w14:textId="77777777" w:rsidR="001D4D18" w:rsidRPr="001D4D18" w:rsidRDefault="001D4D18" w:rsidP="001D4D18">
      <w:pPr>
        <w:spacing w:line="360" w:lineRule="auto"/>
        <w:jc w:val="both"/>
        <w:rPr>
          <w:rFonts w:ascii="Arial" w:eastAsia="Calibri" w:hAnsi="Arial" w:cs="Arial"/>
          <w:color w:val="000000"/>
          <w:kern w:val="2"/>
          <w:lang w:val="es-EC" w:eastAsia="en-US"/>
          <w14:ligatures w14:val="standardContextual"/>
        </w:rPr>
      </w:pPr>
    </w:p>
    <w:p w14:paraId="7E79460C" w14:textId="77777777" w:rsidR="00685627" w:rsidRPr="003E0602" w:rsidRDefault="00685627" w:rsidP="001D4D18">
      <w:pPr>
        <w:spacing w:line="360" w:lineRule="auto"/>
        <w:rPr>
          <w:rFonts w:ascii="Arial" w:eastAsia="Calibri" w:hAnsi="Arial" w:cs="Arial"/>
          <w:b/>
          <w:bCs/>
          <w:color w:val="000000"/>
          <w:kern w:val="2"/>
          <w:lang w:eastAsia="en-US"/>
          <w14:ligatures w14:val="standardContextual"/>
        </w:rPr>
      </w:pPr>
    </w:p>
    <w:p w14:paraId="311AFEC9" w14:textId="77777777" w:rsidR="00685627" w:rsidRPr="003E0602" w:rsidRDefault="00685627" w:rsidP="001D4D18">
      <w:pPr>
        <w:spacing w:line="360" w:lineRule="auto"/>
        <w:rPr>
          <w:rFonts w:ascii="Arial" w:eastAsia="Calibri" w:hAnsi="Arial" w:cs="Arial"/>
          <w:b/>
          <w:bCs/>
          <w:color w:val="000000"/>
          <w:kern w:val="2"/>
          <w:lang w:eastAsia="en-US"/>
          <w14:ligatures w14:val="standardContextual"/>
        </w:rPr>
      </w:pPr>
    </w:p>
    <w:p w14:paraId="56E9FFC2" w14:textId="37864D9E" w:rsidR="00685627" w:rsidRPr="003E0602" w:rsidRDefault="00685627" w:rsidP="001D4D18">
      <w:pPr>
        <w:spacing w:line="360" w:lineRule="auto"/>
        <w:rPr>
          <w:rFonts w:ascii="Arial" w:eastAsia="Calibri" w:hAnsi="Arial" w:cs="Arial"/>
          <w:b/>
          <w:bCs/>
          <w:color w:val="000000"/>
          <w:kern w:val="2"/>
          <w:lang w:eastAsia="en-US"/>
          <w14:ligatures w14:val="standardContextual"/>
        </w:rPr>
      </w:pPr>
    </w:p>
    <w:p w14:paraId="42941560" w14:textId="73AD357D" w:rsidR="001D4D18" w:rsidRPr="001D4D18" w:rsidRDefault="001D4D18" w:rsidP="001D4D18">
      <w:pPr>
        <w:spacing w:line="360" w:lineRule="auto"/>
        <w:rPr>
          <w:rFonts w:ascii="Arial" w:eastAsia="Calibri" w:hAnsi="Arial" w:cs="Arial"/>
          <w:b/>
          <w:bCs/>
          <w:color w:val="000000"/>
          <w:kern w:val="2"/>
          <w:lang w:val="en-US" w:eastAsia="en-US"/>
          <w14:ligatures w14:val="standardContextual"/>
        </w:rPr>
      </w:pPr>
      <w:r w:rsidRPr="001D4D18">
        <w:rPr>
          <w:rFonts w:ascii="Arial" w:eastAsia="Calibri" w:hAnsi="Arial" w:cs="Arial"/>
          <w:b/>
          <w:bCs/>
          <w:color w:val="000000"/>
          <w:kern w:val="2"/>
          <w:lang w:val="en-US" w:eastAsia="en-US"/>
          <w14:ligatures w14:val="standardContextual"/>
        </w:rPr>
        <w:lastRenderedPageBreak/>
        <w:t>ABSTRACT</w:t>
      </w:r>
    </w:p>
    <w:p w14:paraId="74BF0C6B" w14:textId="77777777" w:rsidR="00685627" w:rsidRDefault="00685627" w:rsidP="001D4D18">
      <w:pPr>
        <w:spacing w:line="360" w:lineRule="auto"/>
        <w:jc w:val="both"/>
        <w:rPr>
          <w:rFonts w:ascii="Arial" w:eastAsiaTheme="minorHAnsi" w:hAnsi="Arial" w:cs="Arial"/>
          <w:kern w:val="2"/>
          <w:lang w:val="en-US" w:eastAsia="en-US"/>
          <w14:ligatures w14:val="standardContextual"/>
        </w:rPr>
      </w:pPr>
    </w:p>
    <w:p w14:paraId="4604E13C" w14:textId="6A059F59" w:rsidR="001D4D18" w:rsidRPr="001D4D18" w:rsidRDefault="001D4D18" w:rsidP="001D4D18">
      <w:pPr>
        <w:spacing w:line="360" w:lineRule="auto"/>
        <w:jc w:val="both"/>
        <w:rPr>
          <w:rFonts w:ascii="Arial" w:eastAsiaTheme="minorHAnsi" w:hAnsi="Arial" w:cs="Arial"/>
          <w:kern w:val="2"/>
          <w:lang w:val="en-US" w:eastAsia="en-US"/>
          <w14:ligatures w14:val="standardContextual"/>
        </w:rPr>
      </w:pPr>
      <w:r w:rsidRPr="001D4D18">
        <w:rPr>
          <w:rFonts w:ascii="Arial" w:eastAsiaTheme="minorHAnsi" w:hAnsi="Arial" w:cs="Arial"/>
          <w:kern w:val="2"/>
          <w:lang w:val="en-US" w:eastAsia="en-US"/>
          <w14:ligatures w14:val="standardContextual"/>
        </w:rPr>
        <w:t>This study addresses the perceived value of the student service generated by the Student Welfare Unit (SWU) at a public higher education institution (HEI) in Ecuador. Interviews were conducted with the SWU to establish the service process of eight programs offered. The type of study is mixed-approach, with a non-experimental design of cross-section and correlational scope. The satisfaction level was evaluated through 710 student surveys, and the experienced issues were defined and categorized from both perspectives based on the HEI's value chain. It is concluded that, despite students may or may not experience issues within the service, they may or may not be satisfied. Essentially, the perception of quality of the complementary student service provided by the SWU is not necessarily related to student satisfaction.</w:t>
      </w:r>
    </w:p>
    <w:p w14:paraId="4441A113" w14:textId="77777777" w:rsidR="001D4D18" w:rsidRPr="001D4D18" w:rsidRDefault="001D4D18" w:rsidP="001D4D18">
      <w:pPr>
        <w:spacing w:line="360" w:lineRule="auto"/>
        <w:jc w:val="both"/>
        <w:rPr>
          <w:rFonts w:ascii="Arial" w:eastAsiaTheme="minorHAnsi" w:hAnsi="Arial" w:cs="Arial"/>
          <w:kern w:val="2"/>
          <w:lang w:val="en-US" w:eastAsia="en-US"/>
          <w14:ligatures w14:val="standardContextual"/>
        </w:rPr>
      </w:pPr>
    </w:p>
    <w:p w14:paraId="48BE149E" w14:textId="24CD2D6C" w:rsidR="00F44955" w:rsidRDefault="001D4D18" w:rsidP="001D4D18">
      <w:pPr>
        <w:spacing w:line="360" w:lineRule="auto"/>
        <w:rPr>
          <w:rFonts w:ascii="Arial" w:hAnsi="Arial" w:cs="Arial"/>
          <w:b/>
          <w:bCs/>
          <w:lang w:val="en-US"/>
        </w:rPr>
      </w:pPr>
      <w:r w:rsidRPr="001D4D18">
        <w:rPr>
          <w:rFonts w:ascii="Arial" w:eastAsiaTheme="minorHAnsi" w:hAnsi="Arial" w:cs="Arial"/>
          <w:b/>
          <w:bCs/>
          <w:kern w:val="2"/>
          <w:lang w:val="en-US" w:eastAsia="en-US"/>
          <w14:ligatures w14:val="standardContextual"/>
        </w:rPr>
        <w:t>Keywords:</w:t>
      </w:r>
      <w:r w:rsidRPr="001D4D18">
        <w:rPr>
          <w:rFonts w:ascii="Arial" w:eastAsiaTheme="minorHAnsi" w:hAnsi="Arial" w:cs="Arial"/>
          <w:kern w:val="2"/>
          <w:lang w:val="en-US" w:eastAsia="en-US"/>
          <w14:ligatures w14:val="standardContextual"/>
        </w:rPr>
        <w:t xml:space="preserve">  Student welfare, Service Quality, Perception of Satisfaction, Complementary Student Service</w:t>
      </w:r>
    </w:p>
    <w:p w14:paraId="441E5589" w14:textId="5AC4424F" w:rsidR="00F44955" w:rsidRDefault="00F44955" w:rsidP="00B55452">
      <w:pPr>
        <w:spacing w:line="360" w:lineRule="auto"/>
        <w:rPr>
          <w:rFonts w:ascii="Arial" w:hAnsi="Arial" w:cs="Arial"/>
          <w:b/>
          <w:bCs/>
          <w:lang w:val="en-US"/>
        </w:rPr>
      </w:pPr>
    </w:p>
    <w:p w14:paraId="6DCE5BA6" w14:textId="77777777" w:rsidR="00685627" w:rsidRPr="003E0602" w:rsidRDefault="00685627" w:rsidP="001D4D18">
      <w:pPr>
        <w:spacing w:line="360" w:lineRule="auto"/>
        <w:rPr>
          <w:rFonts w:ascii="Arial" w:eastAsiaTheme="minorHAnsi" w:hAnsi="Arial" w:cs="Arial"/>
          <w:b/>
          <w:bCs/>
          <w:kern w:val="2"/>
          <w:lang w:val="en-US" w:eastAsia="en-US"/>
          <w14:ligatures w14:val="standardContextual"/>
        </w:rPr>
      </w:pPr>
    </w:p>
    <w:p w14:paraId="07917704" w14:textId="2FB049C4" w:rsidR="00685627" w:rsidRPr="003E0602" w:rsidRDefault="00685627" w:rsidP="001D4D18">
      <w:pPr>
        <w:spacing w:line="360" w:lineRule="auto"/>
        <w:rPr>
          <w:rFonts w:ascii="Arial" w:eastAsiaTheme="minorHAnsi" w:hAnsi="Arial" w:cs="Arial"/>
          <w:b/>
          <w:bCs/>
          <w:kern w:val="2"/>
          <w:lang w:val="en-US" w:eastAsia="en-US"/>
          <w14:ligatures w14:val="standardContextual"/>
        </w:rPr>
      </w:pPr>
    </w:p>
    <w:p w14:paraId="190AC0D1" w14:textId="77777777" w:rsidR="00D01C41" w:rsidRPr="003E0602" w:rsidRDefault="00D01C41" w:rsidP="001D4D18">
      <w:pPr>
        <w:spacing w:line="360" w:lineRule="auto"/>
        <w:rPr>
          <w:rFonts w:ascii="Arial" w:eastAsiaTheme="minorHAnsi" w:hAnsi="Arial" w:cs="Arial"/>
          <w:b/>
          <w:bCs/>
          <w:kern w:val="2"/>
          <w:lang w:val="en-US" w:eastAsia="en-US"/>
          <w14:ligatures w14:val="standardContextual"/>
        </w:rPr>
      </w:pPr>
    </w:p>
    <w:p w14:paraId="076726C0" w14:textId="77777777" w:rsidR="00685627" w:rsidRPr="003E0602" w:rsidRDefault="00685627" w:rsidP="001D4D18">
      <w:pPr>
        <w:spacing w:line="360" w:lineRule="auto"/>
        <w:rPr>
          <w:rFonts w:ascii="Arial" w:eastAsiaTheme="minorHAnsi" w:hAnsi="Arial" w:cs="Arial"/>
          <w:b/>
          <w:bCs/>
          <w:kern w:val="2"/>
          <w:lang w:val="en-US" w:eastAsia="en-US"/>
          <w14:ligatures w14:val="standardContextual"/>
        </w:rPr>
      </w:pPr>
    </w:p>
    <w:p w14:paraId="427D6A2A" w14:textId="1B463A7E" w:rsidR="001D4D18" w:rsidRPr="001D4D18" w:rsidRDefault="001D4D18" w:rsidP="001D4D18">
      <w:pPr>
        <w:spacing w:line="360" w:lineRule="auto"/>
        <w:rPr>
          <w:rFonts w:ascii="Arial" w:eastAsiaTheme="minorHAnsi" w:hAnsi="Arial" w:cs="Arial"/>
          <w:b/>
          <w:bCs/>
          <w:kern w:val="2"/>
          <w:lang w:val="es-ES" w:eastAsia="en-US"/>
          <w14:ligatures w14:val="standardContextual"/>
        </w:rPr>
      </w:pPr>
      <w:r w:rsidRPr="001D4D18">
        <w:rPr>
          <w:rFonts w:ascii="Arial" w:eastAsiaTheme="minorHAnsi" w:hAnsi="Arial" w:cs="Arial"/>
          <w:b/>
          <w:bCs/>
          <w:kern w:val="2"/>
          <w:lang w:val="es-ES" w:eastAsia="en-US"/>
          <w14:ligatures w14:val="standardContextual"/>
        </w:rPr>
        <w:lastRenderedPageBreak/>
        <w:t>Introducción</w:t>
      </w:r>
    </w:p>
    <w:p w14:paraId="7BF59183" w14:textId="77777777" w:rsidR="008E53D0" w:rsidRDefault="008E53D0" w:rsidP="001D4D18">
      <w:pPr>
        <w:spacing w:line="360" w:lineRule="auto"/>
        <w:jc w:val="both"/>
        <w:rPr>
          <w:rFonts w:ascii="Arial" w:eastAsiaTheme="minorHAnsi" w:hAnsi="Arial" w:cs="Arial"/>
          <w:b/>
          <w:bCs/>
          <w:kern w:val="2"/>
          <w:lang w:val="es-ES" w:eastAsia="en-US"/>
          <w14:ligatures w14:val="standardContextual"/>
        </w:rPr>
      </w:pPr>
    </w:p>
    <w:p w14:paraId="605E9EB4" w14:textId="0F0989BB" w:rsidR="001D4D18" w:rsidRPr="001D4D18" w:rsidRDefault="001D4D18" w:rsidP="001D4D18">
      <w:pPr>
        <w:spacing w:line="360" w:lineRule="auto"/>
        <w:jc w:val="both"/>
        <w:rPr>
          <w:rFonts w:ascii="Arial" w:eastAsiaTheme="minorHAnsi" w:hAnsi="Arial" w:cs="Arial"/>
          <w:b/>
          <w:bCs/>
          <w:kern w:val="2"/>
          <w:lang w:val="es-ES" w:eastAsia="en-US"/>
          <w14:ligatures w14:val="standardContextual"/>
        </w:rPr>
      </w:pPr>
      <w:r w:rsidRPr="001D4D18">
        <w:rPr>
          <w:rFonts w:ascii="Arial" w:eastAsiaTheme="minorHAnsi" w:hAnsi="Arial" w:cs="Arial"/>
          <w:b/>
          <w:bCs/>
          <w:kern w:val="2"/>
          <w:lang w:val="es-ES" w:eastAsia="en-US"/>
          <w14:ligatures w14:val="standardContextual"/>
        </w:rPr>
        <w:t>Sobre las instituciones de educación superior</w:t>
      </w:r>
    </w:p>
    <w:p w14:paraId="28FB4A3D" w14:textId="77777777"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Las IES ejercen un papel social fundamental en el proceso formativo del ser humano (Garbanzo-Vargas, 2016). Influyen en el desarrollo de la sociedad y la economía de los países, porque es la principal fuente de generación de conocimiento, que está intrínsecamente vinculada a la prosperidad, el bienestar y el conocimiento (Vanegas et al., 2019). En el contexto de Ecuador, según se establece en el artículo 350 de La Constitución de la República, el sistema educativo superior tiene como finalidad la formación académica y profesional con visión científica y humanista; la investigación científica y tecnológica; la innovación, promoción, desarrollo y difusión de los saberes y las culturas; la construcción de soluciones para los problemas del país en relación con los objetivos del régimen de desarrollo (Constitución de la República del Ecuador, 2021).</w:t>
      </w:r>
    </w:p>
    <w:p w14:paraId="1B791847"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4B5BE0C0" w14:textId="5651CED8"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 xml:space="preserve">Tal es la importancia de las IES en los contextos sociales que varias personas actoras relevantes como el gobierno, personas administradoras de IES y estudiantes muestran interés por evaluar la calidad de los servicios educativos que ofrecen las IES (Labraña y Mariñez, 2021); además, como menciona Abad-Peña et al. (2017), para que en Ecuador las IES contribuyan a identificar y solucionar problemas de la sociedad; así, se requiere que, entre otras características, sea de </w:t>
      </w:r>
      <w:r w:rsidRPr="001D4D18">
        <w:rPr>
          <w:rFonts w:ascii="Arial" w:eastAsiaTheme="minorHAnsi" w:hAnsi="Arial" w:cs="Arial"/>
          <w:kern w:val="2"/>
          <w:lang w:val="es-ES" w:eastAsia="en-US"/>
          <w14:ligatures w14:val="standardContextual"/>
        </w:rPr>
        <w:lastRenderedPageBreak/>
        <w:t xml:space="preserve">calidad. En este estudio, el concepto de calidad será tratado como aquellos atributos característicos de la IES que permitan juzgar el valor (grado de utilidad para satisfacer una necesidad) de los servicios educativos generados para la comunidad educativa. Para el caso de este artículo, se define el análisis de los servicios de una Unidad de Bienestar Estudiantil (UBE) de una IES pública en Ecuador. Esta unidad resulta de interés, pues, como lo menciona Salcedo-Muñoz (2017) y Vanegas et al. (2019), para el contexto ecuatoriano, hasta el año 2008, en muchos de los casos, la UBE estaban aisladas en la IES y que desde entonces son “consideradas </w:t>
      </w:r>
      <w:r w:rsidRPr="001D4D18">
        <w:rPr>
          <w:rFonts w:ascii="Arial" w:eastAsiaTheme="minorHAnsi" w:hAnsi="Arial" w:cs="Arial"/>
          <w:color w:val="211D1E"/>
          <w:kern w:val="2"/>
          <w:lang w:val="es-EC" w:eastAsia="en-US"/>
          <w14:ligatures w14:val="standardContextual"/>
        </w:rPr>
        <w:t>como una Unidad Administrativa reconocida en la Ley Orgánica de Educación Superior que incluye a dichas unidades como uno de sus pilares estratégicos y fundamentales”</w:t>
      </w:r>
      <w:r w:rsidRPr="001D4D18">
        <w:rPr>
          <w:rFonts w:ascii="Arial" w:eastAsiaTheme="minorHAnsi" w:hAnsi="Arial" w:cs="Arial"/>
          <w:kern w:val="2"/>
          <w:lang w:val="es-ES" w:eastAsia="en-US"/>
          <w14:ligatures w14:val="standardContextual"/>
        </w:rPr>
        <w:t>. El objetivo general de este trabajo investigativo es analizar el nivel de satisfacción del estudiantado en el contexto de la experimentación de problemas en el servicio ofertado, el cual forma parte del proceso educativo complementario de una IES pública. Como objetivos específicos se plantea: (i) caracterizar los servicios de una UBE, (</w:t>
      </w:r>
      <w:proofErr w:type="spellStart"/>
      <w:r w:rsidRPr="001D4D18">
        <w:rPr>
          <w:rFonts w:ascii="Arial" w:eastAsiaTheme="minorHAnsi" w:hAnsi="Arial" w:cs="Arial"/>
          <w:kern w:val="2"/>
          <w:lang w:val="es-ES" w:eastAsia="en-US"/>
          <w14:ligatures w14:val="standardContextual"/>
        </w:rPr>
        <w:t>ii</w:t>
      </w:r>
      <w:proofErr w:type="spellEnd"/>
      <w:r w:rsidRPr="001D4D18">
        <w:rPr>
          <w:rFonts w:ascii="Arial" w:eastAsiaTheme="minorHAnsi" w:hAnsi="Arial" w:cs="Arial"/>
          <w:kern w:val="2"/>
          <w:lang w:val="es-ES" w:eastAsia="en-US"/>
          <w14:ligatures w14:val="standardContextual"/>
        </w:rPr>
        <w:t>) identificar los problemas y el nivel de satisfacción asociados a cada servicio y (</w:t>
      </w:r>
      <w:proofErr w:type="spellStart"/>
      <w:r w:rsidRPr="001D4D18">
        <w:rPr>
          <w:rFonts w:ascii="Arial" w:eastAsiaTheme="minorHAnsi" w:hAnsi="Arial" w:cs="Arial"/>
          <w:kern w:val="2"/>
          <w:lang w:val="es-ES" w:eastAsia="en-US"/>
          <w14:ligatures w14:val="standardContextual"/>
        </w:rPr>
        <w:t>iii</w:t>
      </w:r>
      <w:proofErr w:type="spellEnd"/>
      <w:r w:rsidRPr="001D4D18">
        <w:rPr>
          <w:rFonts w:ascii="Arial" w:eastAsiaTheme="minorHAnsi" w:hAnsi="Arial" w:cs="Arial"/>
          <w:kern w:val="2"/>
          <w:lang w:val="es-ES" w:eastAsia="en-US"/>
          <w14:ligatures w14:val="standardContextual"/>
        </w:rPr>
        <w:t>) esquematizar la relación entre el nivel de satisfacción y la presencia de problemas en la cadena de valor del servicio.</w:t>
      </w:r>
    </w:p>
    <w:p w14:paraId="0DDAAA46" w14:textId="5B1B0C70" w:rsidR="00092706" w:rsidRDefault="00092706" w:rsidP="001D4D18">
      <w:pPr>
        <w:spacing w:line="360" w:lineRule="auto"/>
        <w:rPr>
          <w:rFonts w:ascii="Arial" w:eastAsiaTheme="minorHAnsi" w:hAnsi="Arial" w:cs="Arial"/>
          <w:b/>
          <w:bCs/>
          <w:kern w:val="2"/>
          <w:lang w:val="es-ES" w:eastAsia="en-US"/>
          <w14:ligatures w14:val="standardContextual"/>
        </w:rPr>
      </w:pPr>
    </w:p>
    <w:p w14:paraId="37B914EE" w14:textId="5264CC0C" w:rsidR="00172D95" w:rsidRDefault="00172D95" w:rsidP="001D4D18">
      <w:pPr>
        <w:spacing w:line="360" w:lineRule="auto"/>
        <w:rPr>
          <w:rFonts w:ascii="Arial" w:eastAsiaTheme="minorHAnsi" w:hAnsi="Arial" w:cs="Arial"/>
          <w:b/>
          <w:bCs/>
          <w:kern w:val="2"/>
          <w:lang w:val="es-ES" w:eastAsia="en-US"/>
          <w14:ligatures w14:val="standardContextual"/>
        </w:rPr>
      </w:pPr>
    </w:p>
    <w:p w14:paraId="7FF4BD2D" w14:textId="77777777" w:rsidR="00172D95" w:rsidRDefault="00172D95" w:rsidP="001D4D18">
      <w:pPr>
        <w:spacing w:line="360" w:lineRule="auto"/>
        <w:rPr>
          <w:rFonts w:ascii="Arial" w:eastAsiaTheme="minorHAnsi" w:hAnsi="Arial" w:cs="Arial"/>
          <w:b/>
          <w:bCs/>
          <w:kern w:val="2"/>
          <w:lang w:val="es-ES" w:eastAsia="en-US"/>
          <w14:ligatures w14:val="standardContextual"/>
        </w:rPr>
      </w:pPr>
    </w:p>
    <w:p w14:paraId="44178FC8" w14:textId="287AE61D" w:rsidR="001D4D18" w:rsidRPr="001D4D18" w:rsidRDefault="001D4D18" w:rsidP="001D4D18">
      <w:pPr>
        <w:spacing w:line="360" w:lineRule="auto"/>
        <w:rPr>
          <w:rFonts w:ascii="Arial" w:eastAsiaTheme="minorHAnsi" w:hAnsi="Arial" w:cs="Arial"/>
          <w:kern w:val="2"/>
          <w:lang w:val="es-ES" w:eastAsia="en-US"/>
          <w14:ligatures w14:val="standardContextual"/>
        </w:rPr>
      </w:pPr>
      <w:r w:rsidRPr="001D4D18">
        <w:rPr>
          <w:rFonts w:ascii="Arial" w:eastAsiaTheme="minorHAnsi" w:hAnsi="Arial" w:cs="Arial"/>
          <w:b/>
          <w:bCs/>
          <w:kern w:val="2"/>
          <w:lang w:val="es-ES" w:eastAsia="en-US"/>
          <w14:ligatures w14:val="standardContextual"/>
        </w:rPr>
        <w:lastRenderedPageBreak/>
        <w:t>Sobre la calidad del servicio estudiantil</w:t>
      </w:r>
    </w:p>
    <w:p w14:paraId="56F3BDA0" w14:textId="77777777"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 xml:space="preserve">Los servicios pueden ser definidos como una actividad realizada por una persona hacia otra, según un requerimiento específico, imperceptible y consumible en ese momento (Parasuraman et al., 1985). </w:t>
      </w:r>
      <w:r w:rsidRPr="001D4D18">
        <w:rPr>
          <w:rFonts w:ascii="Arial" w:eastAsiaTheme="minorHAnsi" w:hAnsi="Arial" w:cs="Arial"/>
          <w:kern w:val="2"/>
          <w:lang w:val="es-EC" w:eastAsia="en-US"/>
          <w14:ligatures w14:val="standardContextual"/>
        </w:rPr>
        <w:t xml:space="preserve">En la norma </w:t>
      </w:r>
      <w:r w:rsidRPr="001D4D18">
        <w:rPr>
          <w:rFonts w:ascii="Arial" w:eastAsiaTheme="minorHAnsi" w:hAnsi="Arial" w:cs="Arial"/>
          <w:kern w:val="2"/>
          <w:lang w:val="es-ES" w:eastAsia="en-US"/>
          <w14:ligatures w14:val="standardContextual"/>
        </w:rPr>
        <w:t>ISO 9000 (2015),</w:t>
      </w:r>
      <w:r w:rsidRPr="001D4D18">
        <w:rPr>
          <w:rFonts w:ascii="Arial" w:eastAsiaTheme="minorHAnsi" w:hAnsi="Arial" w:cs="Arial"/>
          <w:b/>
          <w:bCs/>
          <w:kern w:val="2"/>
          <w:lang w:val="es-ES" w:eastAsia="en-US"/>
          <w14:ligatures w14:val="standardContextual"/>
        </w:rPr>
        <w:t xml:space="preserve"> </w:t>
      </w:r>
      <w:r w:rsidRPr="001D4D18">
        <w:rPr>
          <w:rFonts w:ascii="Arial" w:eastAsiaTheme="minorHAnsi" w:hAnsi="Arial" w:cs="Arial"/>
          <w:kern w:val="2"/>
          <w:lang w:val="es-ES" w:eastAsia="en-US"/>
          <w14:ligatures w14:val="standardContextual"/>
        </w:rPr>
        <w:t>se expresan los fundamentos y el vocabulario de los sistemas de gestión de la calidad. Aquí, podemos apreciar los siguientes conceptos: (i) “La calidad de los productos y servicios de una organización está determinada por la capacidad para satisfacer a los clientes, y por el impacto previsto y el no previsto sobre las partes interesadas pertinentes” y (</w:t>
      </w:r>
      <w:proofErr w:type="spellStart"/>
      <w:r w:rsidRPr="001D4D18">
        <w:rPr>
          <w:rFonts w:ascii="Arial" w:eastAsiaTheme="minorHAnsi" w:hAnsi="Arial" w:cs="Arial"/>
          <w:kern w:val="2"/>
          <w:lang w:val="es-ES" w:eastAsia="en-US"/>
          <w14:ligatures w14:val="standardContextual"/>
        </w:rPr>
        <w:t>ii</w:t>
      </w:r>
      <w:proofErr w:type="spellEnd"/>
      <w:r w:rsidRPr="001D4D18">
        <w:rPr>
          <w:rFonts w:ascii="Arial" w:eastAsiaTheme="minorHAnsi" w:hAnsi="Arial" w:cs="Arial"/>
          <w:kern w:val="2"/>
          <w:lang w:val="es-ES" w:eastAsia="en-US"/>
          <w14:ligatures w14:val="standardContextual"/>
        </w:rPr>
        <w:t>) “La calidad de los productos y servicios incluye no solo su función y desempeño previstos, sino también su valor percibido y el beneficio para los clientes”.</w:t>
      </w:r>
    </w:p>
    <w:p w14:paraId="0B187282"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5FBE9863" w14:textId="18C2FAB3"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Se podría decir, entonces, que la calidad viene representada por el proceso de dar cumplimiento a los requisitos que aportan valor y generan satisfacción a la clientela, que, como se menciona anteriormente, y por objeto de este estudio, el concepto de calidad será tratado como aquellos atributos característicos de la IES que permitan juzgar el valor (grado de utilidad para satisfacer una necesidad) de los servicios generados para la comunidad estudiantil.</w:t>
      </w:r>
    </w:p>
    <w:p w14:paraId="0BF9CF39" w14:textId="77777777" w:rsidR="00092706" w:rsidRDefault="00092706" w:rsidP="001D4D18">
      <w:pPr>
        <w:shd w:val="clear" w:color="auto" w:fill="FDFDFD"/>
        <w:spacing w:line="360" w:lineRule="auto"/>
        <w:jc w:val="both"/>
        <w:rPr>
          <w:rFonts w:ascii="Arial" w:eastAsiaTheme="minorHAnsi" w:hAnsi="Arial" w:cs="Arial"/>
          <w:kern w:val="2"/>
          <w:lang w:val="pt-PT" w:eastAsia="en-US"/>
          <w14:ligatures w14:val="standardContextual"/>
        </w:rPr>
      </w:pPr>
    </w:p>
    <w:p w14:paraId="2DE8F212" w14:textId="43ED91A9" w:rsidR="001D4D18" w:rsidRPr="001D4D18" w:rsidRDefault="001D4D18" w:rsidP="001D4D18">
      <w:pPr>
        <w:shd w:val="clear" w:color="auto" w:fill="FDFDFD"/>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pt-PT" w:eastAsia="en-US"/>
          <w14:ligatures w14:val="standardContextual"/>
        </w:rPr>
        <w:t xml:space="preserve">De Oliveira-Santini et al. </w:t>
      </w:r>
      <w:r w:rsidRPr="001D4D18">
        <w:rPr>
          <w:rFonts w:ascii="Arial" w:eastAsiaTheme="minorHAnsi" w:hAnsi="Arial" w:cs="Arial"/>
          <w:kern w:val="2"/>
          <w:lang w:val="es-ES" w:eastAsia="en-US"/>
          <w14:ligatures w14:val="standardContextual"/>
        </w:rPr>
        <w:t xml:space="preserve">(2017), mencionan los estudios de Richard Oliver en 1981, Wayne </w:t>
      </w:r>
      <w:proofErr w:type="spellStart"/>
      <w:r w:rsidRPr="001D4D18">
        <w:rPr>
          <w:rFonts w:ascii="Arial" w:eastAsiaTheme="minorHAnsi" w:hAnsi="Arial" w:cs="Arial"/>
          <w:kern w:val="2"/>
          <w:lang w:val="es-ES" w:eastAsia="en-US"/>
          <w14:ligatures w14:val="standardContextual"/>
        </w:rPr>
        <w:t>DeSarbo</w:t>
      </w:r>
      <w:proofErr w:type="spellEnd"/>
      <w:r w:rsidRPr="001D4D18">
        <w:rPr>
          <w:rFonts w:ascii="Arial" w:eastAsiaTheme="minorHAnsi" w:hAnsi="Arial" w:cs="Arial"/>
          <w:kern w:val="2"/>
          <w:lang w:val="es-ES" w:eastAsia="en-US"/>
          <w14:ligatures w14:val="standardContextual"/>
        </w:rPr>
        <w:t xml:space="preserve"> y Richard Oliver, en 1988, y Haim Mano y Richard Oliver, en 1993, </w:t>
      </w:r>
      <w:r w:rsidRPr="001D4D18">
        <w:rPr>
          <w:rFonts w:ascii="Arial" w:eastAsiaTheme="minorHAnsi" w:hAnsi="Arial" w:cs="Arial"/>
          <w:kern w:val="2"/>
          <w:lang w:val="es-ES" w:eastAsia="en-US"/>
          <w14:ligatures w14:val="standardContextual"/>
        </w:rPr>
        <w:lastRenderedPageBreak/>
        <w:t>donde se relaciona la satisfacción con aquellas brechas entre lo que esperan recibir y lo que realmente reciben sobre un producto o servicio mediante un proceso cognitivo o un estado afectivo. Esto puede simplificarse en que la satisfacción es el sentimiento de felicidad que se obtiene cuando las necesidades y los deseos de una persona son cumplidos y que, en el contexto educativo, la satisfacción estudiantil se puede definir como una actitud a corto plazo que resulta de una evaluación de las experiencias educativas, de servicios y de las instalaciones, que son percibidas por el estudiantado (</w:t>
      </w:r>
      <w:proofErr w:type="spellStart"/>
      <w:r w:rsidRPr="001D4D18">
        <w:rPr>
          <w:rFonts w:ascii="Arial" w:eastAsiaTheme="minorHAnsi" w:hAnsi="Arial" w:cs="Arial"/>
          <w:kern w:val="2"/>
          <w:lang w:val="es-ES" w:eastAsia="en-US"/>
          <w14:ligatures w14:val="standardContextual"/>
        </w:rPr>
        <w:t>Weerasinghe</w:t>
      </w:r>
      <w:proofErr w:type="spellEnd"/>
      <w:r w:rsidRPr="001D4D18">
        <w:rPr>
          <w:rFonts w:ascii="Arial" w:eastAsiaTheme="minorHAnsi" w:hAnsi="Arial" w:cs="Arial"/>
          <w:kern w:val="2"/>
          <w:lang w:val="es-ES" w:eastAsia="en-US"/>
          <w14:ligatures w14:val="standardContextual"/>
        </w:rPr>
        <w:t xml:space="preserve"> y Fernando, 2017).</w:t>
      </w:r>
    </w:p>
    <w:p w14:paraId="5F74640E"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5C9B69CA" w14:textId="098F747C"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Al considerar que una organización, en especial las de servicio estudiantil, no puede permitirse permanecer sin trascender (Garbanzo-Vargas, 2016), la inclusión de la gestión de la calidad es crucial para el desarrollo universitario (</w:t>
      </w:r>
      <w:proofErr w:type="spellStart"/>
      <w:r w:rsidRPr="001D4D18">
        <w:rPr>
          <w:rFonts w:ascii="Arial" w:eastAsiaTheme="minorHAnsi" w:hAnsi="Arial" w:cs="Arial"/>
          <w:kern w:val="2"/>
          <w:lang w:val="es-ES" w:eastAsia="en-US"/>
          <w14:ligatures w14:val="standardContextual"/>
        </w:rPr>
        <w:t>Milosavljevic</w:t>
      </w:r>
      <w:proofErr w:type="spellEnd"/>
      <w:r w:rsidRPr="001D4D18">
        <w:rPr>
          <w:rFonts w:ascii="Arial" w:eastAsiaTheme="minorHAnsi" w:hAnsi="Arial" w:cs="Arial"/>
          <w:kern w:val="2"/>
          <w:lang w:val="es-ES" w:eastAsia="en-US"/>
          <w14:ligatures w14:val="standardContextual"/>
        </w:rPr>
        <w:t xml:space="preserve"> et al., 2018; Véliz-Briones, 2018) y, como uno de los aspectos de mayor importancia al evaluar la calidad, se considera la evaluación de satisfacción de la persona usuaria como pilar fundamental (Álvarez-Botello et al., 2015). Es más, la calidad en el servicio en una institución educativa se refleja en la conformidad y satisfacción de las personas usuarias sobre los diferentes servicios que se ofrecen (Cano-Ibarra y Vargas-Hernández, 2016) al garantizar que los servicios y los programas académicos cumplan sus expectativas (Soto-Grant, 2024). </w:t>
      </w:r>
    </w:p>
    <w:p w14:paraId="2541F271"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51364EA3" w14:textId="0F2F50F8" w:rsidR="001D4D18" w:rsidRPr="001D4D18" w:rsidRDefault="001D4D18" w:rsidP="001D4D18">
      <w:pPr>
        <w:spacing w:line="360" w:lineRule="auto"/>
        <w:jc w:val="both"/>
        <w:rPr>
          <w:rFonts w:ascii="Arial" w:eastAsiaTheme="minorHAnsi" w:hAnsi="Arial" w:cs="Arial"/>
          <w:color w:val="211D1E"/>
          <w:kern w:val="2"/>
          <w:lang w:val="es-EC" w:eastAsia="en-US"/>
          <w14:ligatures w14:val="standardContextual"/>
        </w:rPr>
      </w:pPr>
      <w:r w:rsidRPr="001D4D18">
        <w:rPr>
          <w:rFonts w:ascii="Arial" w:eastAsiaTheme="minorHAnsi" w:hAnsi="Arial" w:cs="Arial"/>
          <w:kern w:val="2"/>
          <w:lang w:val="es-ES" w:eastAsia="en-US"/>
          <w14:ligatures w14:val="standardContextual"/>
        </w:rPr>
        <w:lastRenderedPageBreak/>
        <w:t>Esta inclusión de calidad en las operaciones de las organizaciones</w:t>
      </w:r>
      <w:r w:rsidRPr="001D4D18">
        <w:rPr>
          <w:rFonts w:ascii="Arial" w:eastAsiaTheme="minorHAnsi" w:hAnsi="Arial" w:cs="Arial"/>
          <w:color w:val="211D1E"/>
          <w:kern w:val="2"/>
          <w:lang w:val="es-EC" w:eastAsia="en-US"/>
          <w14:ligatures w14:val="standardContextual"/>
        </w:rPr>
        <w:t xml:space="preserve"> no es un tema desconocido para las IES,</w:t>
      </w:r>
      <w:r w:rsidRPr="001D4D18">
        <w:rPr>
          <w:rFonts w:ascii="Arial" w:eastAsiaTheme="minorHAnsi" w:hAnsi="Arial" w:cs="Arial"/>
          <w:kern w:val="2"/>
          <w:lang w:val="es-ES" w:eastAsia="en-US"/>
          <w14:ligatures w14:val="standardContextual"/>
        </w:rPr>
        <w:t xml:space="preserve"> porque estas presentan una necesidad imperante en satisfacer las necesidades y superar las expectativas del estudiantado, que, en otras palabras, podía expresarse como mejora de la calidad (Morales-Muñoz et al., 2022). Lo</w:t>
      </w:r>
      <w:r w:rsidRPr="001D4D18">
        <w:rPr>
          <w:rFonts w:ascii="Arial" w:eastAsiaTheme="minorHAnsi" w:hAnsi="Arial" w:cs="Arial"/>
          <w:color w:val="211D1E"/>
          <w:kern w:val="2"/>
          <w:lang w:val="es-EC" w:eastAsia="en-US"/>
          <w14:ligatures w14:val="standardContextual"/>
        </w:rPr>
        <w:t xml:space="preserve">s autores </w:t>
      </w:r>
      <w:r w:rsidRPr="001D4D18">
        <w:rPr>
          <w:rFonts w:ascii="Arial" w:eastAsiaTheme="minorHAnsi" w:hAnsi="Arial" w:cs="Arial"/>
          <w:kern w:val="2"/>
          <w:lang w:val="es-ES" w:eastAsia="en-US"/>
          <w14:ligatures w14:val="standardContextual"/>
        </w:rPr>
        <w:t>Labraña y Mariñez (2021) mencionan que la implementación de medidas de aseguramiento de la calidad es una acción para poner a disposición de las exigencias del mercado las actividades de las universidades; además, Palominos-Belmar et al. (2016)</w:t>
      </w:r>
      <w:r w:rsidRPr="001D4D18">
        <w:rPr>
          <w:rFonts w:ascii="Arial" w:eastAsiaTheme="minorHAnsi" w:hAnsi="Arial" w:cs="Arial"/>
          <w:color w:val="211D1E"/>
          <w:kern w:val="2"/>
          <w:lang w:val="es-ES" w:eastAsia="en-US"/>
          <w14:ligatures w14:val="standardContextual"/>
        </w:rPr>
        <w:t xml:space="preserve"> </w:t>
      </w:r>
      <w:r w:rsidRPr="001D4D18">
        <w:rPr>
          <w:rFonts w:ascii="Arial" w:eastAsiaTheme="minorHAnsi" w:hAnsi="Arial" w:cs="Arial"/>
          <w:color w:val="211D1E"/>
          <w:kern w:val="2"/>
          <w:lang w:val="es-EC" w:eastAsia="en-US"/>
          <w14:ligatures w14:val="standardContextual"/>
        </w:rPr>
        <w:t>indican que, a medida que el panorama académico se expande y evoluciona, las expectativas de la comunidad estudiantil aumentan, lo que obliga a una mejora constante en términos de calidad del proceso de formación y de los servicios complementarios.</w:t>
      </w:r>
    </w:p>
    <w:p w14:paraId="5CCBC166"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2B739E67" w14:textId="6DFEA34D" w:rsidR="001D4D18" w:rsidRPr="001D4D18" w:rsidRDefault="001D4D18" w:rsidP="001D4D18">
      <w:pPr>
        <w:spacing w:line="360" w:lineRule="auto"/>
        <w:jc w:val="both"/>
        <w:rPr>
          <w:rFonts w:ascii="Arial" w:eastAsiaTheme="minorHAnsi" w:hAnsi="Arial" w:cs="Arial"/>
          <w:color w:val="211D1E"/>
          <w:kern w:val="2"/>
          <w:lang w:val="es-EC" w:eastAsia="en-US"/>
          <w14:ligatures w14:val="standardContextual"/>
        </w:rPr>
      </w:pPr>
      <w:proofErr w:type="spellStart"/>
      <w:r w:rsidRPr="001D4D18">
        <w:rPr>
          <w:rFonts w:ascii="Arial" w:eastAsiaTheme="minorHAnsi" w:hAnsi="Arial" w:cs="Arial"/>
          <w:kern w:val="2"/>
          <w:lang w:val="es-ES" w:eastAsia="en-US"/>
          <w14:ligatures w14:val="standardContextual"/>
        </w:rPr>
        <w:t>Cinkir</w:t>
      </w:r>
      <w:proofErr w:type="spellEnd"/>
      <w:r w:rsidRPr="001D4D18">
        <w:rPr>
          <w:rFonts w:ascii="Arial" w:eastAsiaTheme="minorHAnsi" w:hAnsi="Arial" w:cs="Arial"/>
          <w:kern w:val="2"/>
          <w:lang w:val="es-ES" w:eastAsia="en-US"/>
          <w14:ligatures w14:val="standardContextual"/>
        </w:rPr>
        <w:t xml:space="preserve"> et al. (2022) indican que a mayor percepción de mejora de la calidad educativa por parte del alumnado los efectos positivos aumentan. </w:t>
      </w:r>
      <w:r w:rsidRPr="001D4D18">
        <w:rPr>
          <w:rFonts w:ascii="Arial" w:eastAsiaTheme="minorHAnsi" w:hAnsi="Arial" w:cs="Arial"/>
          <w:color w:val="211D1E"/>
          <w:kern w:val="2"/>
          <w:lang w:val="es-EC" w:eastAsia="en-US"/>
          <w14:ligatures w14:val="standardContextual"/>
        </w:rPr>
        <w:t xml:space="preserve">Por ello, estudios como los de </w:t>
      </w:r>
      <w:proofErr w:type="spellStart"/>
      <w:r w:rsidRPr="001D4D18">
        <w:rPr>
          <w:rFonts w:ascii="Arial" w:eastAsiaTheme="minorHAnsi" w:hAnsi="Arial" w:cs="Arial"/>
          <w:kern w:val="2"/>
          <w:lang w:val="es-ES" w:eastAsia="en-US"/>
          <w14:ligatures w14:val="standardContextual"/>
        </w:rPr>
        <w:t>Fayos</w:t>
      </w:r>
      <w:proofErr w:type="spellEnd"/>
      <w:r w:rsidRPr="001D4D18">
        <w:rPr>
          <w:rFonts w:ascii="Arial" w:eastAsiaTheme="minorHAnsi" w:hAnsi="Arial" w:cs="Arial"/>
          <w:kern w:val="2"/>
          <w:lang w:val="es-ES" w:eastAsia="en-US"/>
          <w14:ligatures w14:val="standardContextual"/>
        </w:rPr>
        <w:t xml:space="preserve"> et al. (2011) y Alvarado-Lagunas et al. (2015)</w:t>
      </w:r>
      <w:r w:rsidRPr="001D4D18">
        <w:rPr>
          <w:rFonts w:ascii="Arial" w:eastAsiaTheme="minorHAnsi" w:hAnsi="Arial" w:cs="Arial"/>
          <w:b/>
          <w:bCs/>
          <w:kern w:val="2"/>
          <w:lang w:val="es-ES" w:eastAsia="en-US"/>
          <w14:ligatures w14:val="standardContextual"/>
        </w:rPr>
        <w:t xml:space="preserve"> </w:t>
      </w:r>
      <w:r w:rsidRPr="001D4D18">
        <w:rPr>
          <w:rFonts w:ascii="Arial" w:eastAsiaTheme="minorHAnsi" w:hAnsi="Arial" w:cs="Arial"/>
          <w:color w:val="211D1E"/>
          <w:kern w:val="2"/>
          <w:lang w:val="es-EC" w:eastAsia="en-US"/>
          <w14:ligatures w14:val="standardContextual"/>
        </w:rPr>
        <w:t>aseguran que la población estudiantil examina una amplia variedad de factores antes de elegir una IES, entre los cuales se resalta, por objeto de este estudio, el factor de los servicios complementarios entregados.</w:t>
      </w:r>
    </w:p>
    <w:p w14:paraId="6BD96F9E"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715FA5CE" w14:textId="77777777" w:rsidR="00092706"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Gutiérrez-Cifuentes y Zúñiga-</w:t>
      </w:r>
      <w:proofErr w:type="spellStart"/>
      <w:r w:rsidRPr="001D4D18">
        <w:rPr>
          <w:rFonts w:ascii="Arial" w:eastAsiaTheme="minorHAnsi" w:hAnsi="Arial" w:cs="Arial"/>
          <w:kern w:val="2"/>
          <w:lang w:val="es-ES" w:eastAsia="en-US"/>
          <w14:ligatures w14:val="standardContextual"/>
        </w:rPr>
        <w:t>Bolivar</w:t>
      </w:r>
      <w:proofErr w:type="spellEnd"/>
      <w:r w:rsidRPr="001D4D18">
        <w:rPr>
          <w:rFonts w:ascii="Arial" w:eastAsiaTheme="minorHAnsi" w:hAnsi="Arial" w:cs="Arial"/>
          <w:kern w:val="2"/>
          <w:lang w:val="es-ES" w:eastAsia="en-US"/>
          <w14:ligatures w14:val="standardContextual"/>
        </w:rPr>
        <w:t xml:space="preserve"> (2023), tras una amplia revisión de literatura en diferentes UBE en IES sudamericanas, denotan a la educación superior integral </w:t>
      </w:r>
      <w:r w:rsidRPr="001D4D18">
        <w:rPr>
          <w:rFonts w:ascii="Arial" w:eastAsiaTheme="minorHAnsi" w:hAnsi="Arial" w:cs="Arial"/>
          <w:kern w:val="2"/>
          <w:lang w:val="es-ES" w:eastAsia="en-US"/>
          <w14:ligatures w14:val="standardContextual"/>
        </w:rPr>
        <w:lastRenderedPageBreak/>
        <w:t xml:space="preserve">como un desafío latente y la identifican como un proceso fundamental para el desarrollo personal y profesional de la comunidad educativa, la cual responde al cumplimiento de normativas institucionales y estatales así como a una necesidad estudiantil de contar con un acompañamiento transversal, integral o complementario en diferentes aspectos de lo que se denomina bienestar estudiantil. </w:t>
      </w:r>
    </w:p>
    <w:p w14:paraId="0D90B16F" w14:textId="7D68C060" w:rsidR="001D4D18" w:rsidRPr="001D4D18" w:rsidRDefault="001D4D18" w:rsidP="001D4D18">
      <w:pPr>
        <w:spacing w:line="360" w:lineRule="auto"/>
        <w:jc w:val="both"/>
        <w:rPr>
          <w:rFonts w:ascii="Arial" w:eastAsiaTheme="minorHAnsi" w:hAnsi="Arial" w:cs="Arial"/>
          <w:kern w:val="2"/>
          <w:lang w:val="es-EC" w:eastAsia="en-US"/>
          <w14:ligatures w14:val="standardContextual"/>
        </w:rPr>
      </w:pPr>
      <w:r w:rsidRPr="001D4D18">
        <w:rPr>
          <w:rFonts w:ascii="Arial" w:eastAsiaTheme="minorHAnsi" w:hAnsi="Arial" w:cs="Arial"/>
          <w:kern w:val="2"/>
          <w:lang w:val="es-ES" w:eastAsia="en-US"/>
          <w14:ligatures w14:val="standardContextual"/>
        </w:rPr>
        <w:t>De ese modo, concluye al reconocer que el bienestar universitario y sus programas se convierten en un escenario para apoyar la labor formativa de las IES y menciona la importancia de su inclusión dentro de las políticas de aseguramiento y acreditación de la alta calidad.</w:t>
      </w:r>
    </w:p>
    <w:p w14:paraId="6C014605" w14:textId="77777777" w:rsidR="00092706" w:rsidRPr="00092706" w:rsidRDefault="00092706" w:rsidP="001D4D18">
      <w:pPr>
        <w:spacing w:line="360" w:lineRule="auto"/>
        <w:jc w:val="both"/>
        <w:rPr>
          <w:rFonts w:ascii="Arial" w:eastAsiaTheme="minorHAnsi" w:hAnsi="Arial" w:cs="Arial"/>
          <w:kern w:val="2"/>
          <w:lang w:val="es-EC" w:eastAsia="en-US"/>
          <w14:ligatures w14:val="standardContextual"/>
        </w:rPr>
      </w:pPr>
    </w:p>
    <w:p w14:paraId="02F3A4E7" w14:textId="0F9BEDDF"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 xml:space="preserve">Palominos-Belmar et al. (2016) manifiestan que los servicios complementarios transforman </w:t>
      </w:r>
      <w:r w:rsidRPr="001D4D18">
        <w:rPr>
          <w:rFonts w:ascii="Arial" w:eastAsiaTheme="minorHAnsi" w:hAnsi="Arial" w:cs="Arial"/>
          <w:color w:val="211D1E"/>
          <w:kern w:val="2"/>
          <w:lang w:val="es-EC" w:eastAsia="en-US"/>
          <w14:ligatures w14:val="standardContextual"/>
        </w:rPr>
        <w:t xml:space="preserve">al proceso de formación educativa en una experiencia compleja, donde estos influyen sobre la satisfacción de la comunidad estudiantil en igual medida que los factores puramente educativos. Esto puede corroborarse con varios hallazgos: </w:t>
      </w:r>
      <w:proofErr w:type="spellStart"/>
      <w:r w:rsidRPr="001D4D18">
        <w:rPr>
          <w:rFonts w:ascii="Arial" w:eastAsiaTheme="minorHAnsi" w:hAnsi="Arial" w:cs="Arial"/>
          <w:kern w:val="2"/>
          <w:lang w:val="es-ES" w:eastAsia="en-US"/>
          <w14:ligatures w14:val="standardContextual"/>
        </w:rPr>
        <w:t>Ushantha</w:t>
      </w:r>
      <w:proofErr w:type="spellEnd"/>
      <w:r w:rsidRPr="001D4D18">
        <w:rPr>
          <w:rFonts w:ascii="Arial" w:eastAsiaTheme="minorHAnsi" w:hAnsi="Arial" w:cs="Arial"/>
          <w:kern w:val="2"/>
          <w:lang w:val="es-ES" w:eastAsia="en-US"/>
          <w14:ligatures w14:val="standardContextual"/>
        </w:rPr>
        <w:t xml:space="preserve"> y </w:t>
      </w:r>
      <w:proofErr w:type="spellStart"/>
      <w:r w:rsidRPr="001D4D18">
        <w:rPr>
          <w:rFonts w:ascii="Arial" w:eastAsiaTheme="minorHAnsi" w:hAnsi="Arial" w:cs="Arial"/>
          <w:kern w:val="2"/>
          <w:lang w:val="es-ES" w:eastAsia="en-US"/>
          <w14:ligatures w14:val="standardContextual"/>
        </w:rPr>
        <w:t>Kumara</w:t>
      </w:r>
      <w:proofErr w:type="spellEnd"/>
      <w:r w:rsidRPr="001D4D18">
        <w:rPr>
          <w:rFonts w:ascii="Arial" w:eastAsiaTheme="minorHAnsi" w:hAnsi="Arial" w:cs="Arial"/>
          <w:kern w:val="2"/>
          <w:lang w:val="es-ES" w:eastAsia="en-US"/>
          <w14:ligatures w14:val="standardContextual"/>
        </w:rPr>
        <w:t xml:space="preserve"> (2016), de Oliveira-Santini et al. (2017), </w:t>
      </w:r>
      <w:proofErr w:type="spellStart"/>
      <w:r w:rsidRPr="001D4D18">
        <w:rPr>
          <w:rFonts w:ascii="Arial" w:eastAsiaTheme="minorHAnsi" w:hAnsi="Arial" w:cs="Arial"/>
          <w:kern w:val="2"/>
          <w:lang w:val="es-ES" w:eastAsia="en-US"/>
          <w14:ligatures w14:val="standardContextual"/>
        </w:rPr>
        <w:t>Weerasinghe</w:t>
      </w:r>
      <w:proofErr w:type="spellEnd"/>
      <w:r w:rsidRPr="001D4D18">
        <w:rPr>
          <w:rFonts w:ascii="Arial" w:eastAsiaTheme="minorHAnsi" w:hAnsi="Arial" w:cs="Arial"/>
          <w:kern w:val="2"/>
          <w:lang w:val="es-ES" w:eastAsia="en-US"/>
          <w14:ligatures w14:val="standardContextual"/>
        </w:rPr>
        <w:t xml:space="preserve"> y </w:t>
      </w:r>
      <w:proofErr w:type="spellStart"/>
      <w:r w:rsidRPr="001D4D18">
        <w:rPr>
          <w:rFonts w:ascii="Arial" w:eastAsiaTheme="minorHAnsi" w:hAnsi="Arial" w:cs="Arial"/>
          <w:kern w:val="2"/>
          <w:lang w:val="es-ES" w:eastAsia="en-US"/>
          <w14:ligatures w14:val="standardContextual"/>
        </w:rPr>
        <w:t>Lalitha</w:t>
      </w:r>
      <w:proofErr w:type="spellEnd"/>
      <w:r w:rsidRPr="001D4D18">
        <w:rPr>
          <w:rFonts w:ascii="Arial" w:eastAsiaTheme="minorHAnsi" w:hAnsi="Arial" w:cs="Arial"/>
          <w:kern w:val="2"/>
          <w:lang w:val="es-ES" w:eastAsia="en-US"/>
          <w14:ligatures w14:val="standardContextual"/>
        </w:rPr>
        <w:t xml:space="preserve"> (2017), Zambrano-Velásquez y Andrade-Zambrano (2018), </w:t>
      </w:r>
      <w:proofErr w:type="spellStart"/>
      <w:r w:rsidRPr="001D4D18">
        <w:rPr>
          <w:rFonts w:ascii="Arial" w:eastAsiaTheme="minorHAnsi" w:hAnsi="Arial" w:cs="Arial"/>
          <w:kern w:val="2"/>
          <w:lang w:val="es-ES" w:eastAsia="en-US"/>
          <w14:ligatures w14:val="standardContextual"/>
        </w:rPr>
        <w:t>Cinkir</w:t>
      </w:r>
      <w:proofErr w:type="spellEnd"/>
      <w:r w:rsidRPr="001D4D18">
        <w:rPr>
          <w:rFonts w:ascii="Arial" w:eastAsiaTheme="minorHAnsi" w:hAnsi="Arial" w:cs="Arial"/>
          <w:kern w:val="2"/>
          <w:lang w:val="es-ES" w:eastAsia="en-US"/>
          <w14:ligatures w14:val="standardContextual"/>
        </w:rPr>
        <w:t xml:space="preserve"> et al. (2022) y Gutiérrez-Cifuentes y Zúñiga-Bolívar (2023), </w:t>
      </w:r>
      <w:r w:rsidRPr="001D4D18">
        <w:rPr>
          <w:rFonts w:ascii="Arial" w:eastAsiaTheme="minorHAnsi" w:hAnsi="Arial" w:cs="Arial"/>
          <w:color w:val="211D1E"/>
          <w:kern w:val="2"/>
          <w:lang w:val="es-EC" w:eastAsia="en-US"/>
          <w14:ligatures w14:val="standardContextual"/>
        </w:rPr>
        <w:t xml:space="preserve">donde los factores o dimensiones no académicas, es decir, complementarias, forman parte de los factores de calidad del servicio y en algunos casos presentan una relación directa y mayor significancia en la percepción de un servicio estudiantil de calidad. Adicionalmente, el autor </w:t>
      </w:r>
      <w:r w:rsidRPr="001D4D18">
        <w:rPr>
          <w:rFonts w:ascii="Arial" w:eastAsiaTheme="minorHAnsi" w:hAnsi="Arial" w:cs="Arial"/>
          <w:kern w:val="2"/>
          <w:lang w:val="es-ES" w:eastAsia="en-US"/>
          <w14:ligatures w14:val="standardContextual"/>
        </w:rPr>
        <w:lastRenderedPageBreak/>
        <w:t>Salcedo-Muñoz (2017) resalta que el papel de las UBE es la búsqueda del mejoramiento de la calidad de vida de quienes conforman la comunidad educativa.</w:t>
      </w:r>
    </w:p>
    <w:p w14:paraId="5809E086" w14:textId="77777777"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Labraña y Mariñez (2021), recuerdan la denominada paradoja de la confianza, propuesta por Luhmann, en el año 1996, que establece “nada asegura que los sistemas organizacionales desempeñen adecuadamente sus actividades, pero aun así se espera que estos puedan cumplir las expectativas que su misma existencia hace posible establecer”. Por ello, los autores González et al. (1996) mencionan la importancia del control de calidad en las operaciones de la organización, pues se ejecutan con el fin de garantizar los resultados previstos y evitar la aparición o la recurrencia de problemas que afecten el progreso normal del servicio al ser que los procesos de evaluación y mejora deben ser llevados a cabo con regularidad (</w:t>
      </w:r>
      <w:proofErr w:type="spellStart"/>
      <w:r w:rsidRPr="001D4D18">
        <w:rPr>
          <w:rFonts w:ascii="Arial" w:eastAsiaTheme="minorHAnsi" w:hAnsi="Arial" w:cs="Arial"/>
          <w:kern w:val="2"/>
          <w:lang w:val="es-ES" w:eastAsia="en-US"/>
          <w14:ligatures w14:val="standardContextual"/>
        </w:rPr>
        <w:t>Latif</w:t>
      </w:r>
      <w:proofErr w:type="spellEnd"/>
      <w:r w:rsidRPr="001D4D18">
        <w:rPr>
          <w:rFonts w:ascii="Arial" w:eastAsiaTheme="minorHAnsi" w:hAnsi="Arial" w:cs="Arial"/>
          <w:kern w:val="2"/>
          <w:lang w:val="es-ES" w:eastAsia="en-US"/>
          <w14:ligatures w14:val="standardContextual"/>
        </w:rPr>
        <w:t xml:space="preserve"> et al., 2017).</w:t>
      </w:r>
    </w:p>
    <w:p w14:paraId="47415512"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0DF74DC6" w14:textId="10B69365"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 xml:space="preserve">Estos problemas de calidad pueden denominarse deficiencias en la gestión de la calidad del servicio, es decir, aquellos atributos del servicio cuyo grado de utilidad no satisface una necesidad que idealmente sí lo haría. Los autores He et al. (1996), Honda et al. (2016) y </w:t>
      </w:r>
      <w:proofErr w:type="spellStart"/>
      <w:r w:rsidRPr="001D4D18">
        <w:rPr>
          <w:rFonts w:ascii="Arial" w:eastAsiaTheme="minorHAnsi" w:hAnsi="Arial" w:cs="Arial"/>
          <w:kern w:val="2"/>
          <w:lang w:val="es-ES" w:eastAsia="en-US"/>
          <w14:ligatures w14:val="standardContextual"/>
        </w:rPr>
        <w:t>Parajón</w:t>
      </w:r>
      <w:proofErr w:type="spellEnd"/>
      <w:r w:rsidRPr="001D4D18">
        <w:rPr>
          <w:rFonts w:ascii="Arial" w:eastAsiaTheme="minorHAnsi" w:hAnsi="Arial" w:cs="Arial"/>
          <w:kern w:val="2"/>
          <w:lang w:val="es-ES" w:eastAsia="en-US"/>
          <w14:ligatures w14:val="standardContextual"/>
        </w:rPr>
        <w:t xml:space="preserve"> (2022) señalan que</w:t>
      </w:r>
      <w:r w:rsidRPr="001D4D18">
        <w:rPr>
          <w:rFonts w:ascii="Arial" w:eastAsiaTheme="minorHAnsi" w:hAnsi="Arial" w:cs="Arial"/>
          <w:b/>
          <w:bCs/>
          <w:kern w:val="2"/>
          <w:lang w:val="es-ES" w:eastAsia="en-US"/>
          <w14:ligatures w14:val="standardContextual"/>
        </w:rPr>
        <w:t xml:space="preserve"> </w:t>
      </w:r>
      <w:r w:rsidRPr="001D4D18">
        <w:rPr>
          <w:rFonts w:ascii="Arial" w:eastAsiaTheme="minorHAnsi" w:hAnsi="Arial" w:cs="Arial"/>
          <w:kern w:val="2"/>
          <w:lang w:val="es-ES" w:eastAsia="en-US"/>
          <w14:ligatures w14:val="standardContextual"/>
        </w:rPr>
        <w:t>los problemas de calidad son circunstancias indeseables y desfavorables que siempre están presentes en las organizaciones y la mejora de la calidad solo se puede lograr mediante la resolución de estos problemas.</w:t>
      </w:r>
    </w:p>
    <w:p w14:paraId="64053BEF" w14:textId="77777777" w:rsidR="00BD6DA1" w:rsidRDefault="00BD6DA1" w:rsidP="001D4D18">
      <w:pPr>
        <w:spacing w:line="360" w:lineRule="auto"/>
        <w:jc w:val="both"/>
        <w:rPr>
          <w:rFonts w:ascii="Arial" w:eastAsiaTheme="minorHAnsi" w:hAnsi="Arial" w:cs="Arial"/>
          <w:kern w:val="2"/>
          <w:lang w:val="es-ES" w:eastAsia="en-US"/>
          <w14:ligatures w14:val="standardContextual"/>
        </w:rPr>
      </w:pPr>
    </w:p>
    <w:p w14:paraId="636F6E48" w14:textId="18432C3F"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lastRenderedPageBreak/>
        <w:t xml:space="preserve">Por lo tanto, se resalta la importancia de la identificación de estas deficiencias como un proceso viable para la mejora de calidad, pues, como manifiestan Palominos-Belmar et al. (2016), la evaluación de la calidad de los servicios presenta una oportunidad potencial para mejorar la experiencia de la comunidad estudiantil y que cuantificar su satisfacción frente a los servicios de formación educativa es relevante para conocer su conformidad con la calidad del servicio entregado por las IES. Por ello, este trabajo pretende </w:t>
      </w:r>
      <w:r w:rsidRPr="001D4D18">
        <w:rPr>
          <w:rFonts w:ascii="Arial" w:eastAsiaTheme="minorHAnsi" w:hAnsi="Arial" w:cs="Arial"/>
          <w:color w:val="211D1E"/>
          <w:kern w:val="2"/>
          <w:lang w:val="es-EC" w:eastAsia="en-US"/>
          <w14:ligatures w14:val="standardContextual"/>
        </w:rPr>
        <w:t>determinar si el nivel de satisfacción del estudiantado sobre el servicio recibido se afecta cuando este experimenta problemas.</w:t>
      </w:r>
    </w:p>
    <w:p w14:paraId="225AD6A9" w14:textId="77777777" w:rsidR="00BD6DA1" w:rsidRDefault="00BD6DA1" w:rsidP="001D4D18">
      <w:pPr>
        <w:spacing w:line="360" w:lineRule="auto"/>
        <w:jc w:val="both"/>
        <w:rPr>
          <w:rFonts w:ascii="Arial" w:eastAsiaTheme="minorHAnsi" w:hAnsi="Arial" w:cs="Arial"/>
          <w:b/>
          <w:bCs/>
          <w:kern w:val="2"/>
          <w:lang w:val="es-ES" w:eastAsia="en-US"/>
          <w14:ligatures w14:val="standardContextual"/>
        </w:rPr>
      </w:pPr>
    </w:p>
    <w:p w14:paraId="626E869A" w14:textId="37D931DE"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b/>
          <w:bCs/>
          <w:kern w:val="2"/>
          <w:lang w:val="es-ES" w:eastAsia="en-US"/>
          <w14:ligatures w14:val="standardContextual"/>
        </w:rPr>
        <w:t>Sobre la caracterización de procesos para cuantificar y mejorar la calidad</w:t>
      </w:r>
      <w:r w:rsidRPr="001D4D18">
        <w:rPr>
          <w:rFonts w:ascii="Arial" w:eastAsiaTheme="minorHAnsi" w:hAnsi="Arial" w:cs="Arial"/>
          <w:kern w:val="2"/>
          <w:lang w:val="es-ES" w:eastAsia="en-US"/>
          <w14:ligatures w14:val="standardContextual"/>
        </w:rPr>
        <w:t xml:space="preserve"> </w:t>
      </w:r>
    </w:p>
    <w:p w14:paraId="452EB0D7" w14:textId="77777777" w:rsidR="001D4D18" w:rsidRPr="001D4D18" w:rsidRDefault="001D4D18" w:rsidP="001D4D18">
      <w:pPr>
        <w:spacing w:line="360" w:lineRule="auto"/>
        <w:jc w:val="both"/>
        <w:rPr>
          <w:rFonts w:ascii="Arial" w:eastAsiaTheme="minorHAnsi" w:hAnsi="Arial" w:cs="Arial"/>
          <w:kern w:val="2"/>
          <w:lang w:val="es-EC" w:eastAsia="en-US"/>
          <w14:ligatures w14:val="standardContextual"/>
        </w:rPr>
      </w:pPr>
      <w:proofErr w:type="spellStart"/>
      <w:r w:rsidRPr="001D4D18">
        <w:rPr>
          <w:rFonts w:ascii="Arial" w:eastAsiaTheme="minorHAnsi" w:hAnsi="Arial" w:cs="Arial"/>
          <w:kern w:val="2"/>
          <w:lang w:val="es-EC" w:eastAsia="en-US"/>
          <w14:ligatures w14:val="standardContextual"/>
        </w:rPr>
        <w:t>Shwabe-Neveu</w:t>
      </w:r>
      <w:proofErr w:type="spellEnd"/>
      <w:r w:rsidRPr="001D4D18">
        <w:rPr>
          <w:rFonts w:ascii="Arial" w:eastAsiaTheme="minorHAnsi" w:hAnsi="Arial" w:cs="Arial"/>
          <w:kern w:val="2"/>
          <w:lang w:val="es-EC" w:eastAsia="en-US"/>
          <w14:ligatures w14:val="standardContextual"/>
        </w:rPr>
        <w:t xml:space="preserve"> et al. (2016) mencionan que la gestión de procesos permite mantener una visión holística entre la organización y su realidad al identificar los procesos estratégicos y de apoyo del negocio, que están orientados a agregar valor e incrementar la satisfacción de la persona usuaria.</w:t>
      </w:r>
    </w:p>
    <w:p w14:paraId="560945C2" w14:textId="77777777" w:rsidR="00092706" w:rsidRDefault="00092706" w:rsidP="001D4D18">
      <w:pPr>
        <w:spacing w:line="360" w:lineRule="auto"/>
        <w:jc w:val="both"/>
        <w:rPr>
          <w:rFonts w:ascii="Arial" w:eastAsiaTheme="minorHAnsi" w:hAnsi="Arial" w:cs="Arial"/>
          <w:kern w:val="2"/>
          <w:lang w:val="es-ES" w:eastAsia="en-US"/>
          <w14:ligatures w14:val="standardContextual"/>
        </w:rPr>
      </w:pPr>
    </w:p>
    <w:p w14:paraId="2B42FB5A" w14:textId="3069630A" w:rsidR="001D4D18" w:rsidRPr="001D4D18" w:rsidRDefault="001D4D18" w:rsidP="001D4D18">
      <w:pPr>
        <w:spacing w:line="360" w:lineRule="auto"/>
        <w:jc w:val="both"/>
        <w:rPr>
          <w:rFonts w:ascii="Arial" w:eastAsiaTheme="minorHAnsi" w:hAnsi="Arial" w:cs="Arial"/>
          <w:kern w:val="2"/>
          <w:lang w:val="es-ES" w:eastAsia="en-US"/>
          <w14:ligatures w14:val="standardContextual"/>
        </w:rPr>
      </w:pPr>
      <w:r w:rsidRPr="001D4D18">
        <w:rPr>
          <w:rFonts w:ascii="Arial" w:eastAsiaTheme="minorHAnsi" w:hAnsi="Arial" w:cs="Arial"/>
          <w:kern w:val="2"/>
          <w:lang w:val="es-ES" w:eastAsia="en-US"/>
          <w14:ligatures w14:val="standardContextual"/>
        </w:rPr>
        <w:t xml:space="preserve">Sobre la cuantificación de la calidad del servicio, Quinn et al. (2014) señalan que, para que algo pueda mejorarse cuantificablemente, debe poder medirse. En ese sentido, </w:t>
      </w:r>
      <w:proofErr w:type="spellStart"/>
      <w:r w:rsidRPr="001D4D18">
        <w:rPr>
          <w:rFonts w:ascii="Arial" w:eastAsiaTheme="minorHAnsi" w:hAnsi="Arial" w:cs="Arial"/>
          <w:kern w:val="2"/>
          <w:lang w:val="es-ES" w:eastAsia="en-US"/>
          <w14:ligatures w14:val="standardContextual"/>
        </w:rPr>
        <w:t>Dorri</w:t>
      </w:r>
      <w:proofErr w:type="spellEnd"/>
      <w:r w:rsidRPr="001D4D18">
        <w:rPr>
          <w:rFonts w:ascii="Arial" w:eastAsiaTheme="minorHAnsi" w:hAnsi="Arial" w:cs="Arial"/>
          <w:kern w:val="2"/>
          <w:lang w:val="es-ES" w:eastAsia="en-US"/>
          <w14:ligatures w14:val="standardContextual"/>
        </w:rPr>
        <w:t xml:space="preserve"> et al. (2012) afirman la importancia de que toda organización implemente la denominada cadena de valor para poder estudiarla y mejorarla. En ella se establecen los macroprocesos de la organización que estructuran las actividades para generar valor a las partes interesadas y satisfacer las necesidades </w:t>
      </w:r>
      <w:r w:rsidRPr="001D4D18">
        <w:rPr>
          <w:rFonts w:ascii="Arial" w:eastAsiaTheme="minorHAnsi" w:hAnsi="Arial" w:cs="Arial"/>
          <w:kern w:val="2"/>
          <w:lang w:val="es-ES" w:eastAsia="en-US"/>
          <w14:ligatures w14:val="standardContextual"/>
        </w:rPr>
        <w:lastRenderedPageBreak/>
        <w:t xml:space="preserve">identificadas. </w:t>
      </w:r>
      <w:r w:rsidRPr="001D4D18">
        <w:rPr>
          <w:rFonts w:ascii="Arial" w:eastAsiaTheme="minorHAnsi" w:hAnsi="Arial" w:cs="Arial"/>
          <w:kern w:val="2"/>
          <w:lang w:val="es-EC" w:eastAsia="en-US"/>
          <w14:ligatures w14:val="standardContextual"/>
        </w:rPr>
        <w:t>Así, se puede decir que la caracterización del proceso permite visualizar a personas actoras que interactúan en el servicio con el fin de estudiar sus comportamientos e identificar las potenciales mejoras que permitan generar de manera efectiva el valor agregado del servicio, lo que implica el cumplimiento de las necesidades de la persona usuaria y, por ende, un elevado nivel de satisfacción (</w:t>
      </w:r>
      <w:proofErr w:type="spellStart"/>
      <w:r w:rsidRPr="001D4D18">
        <w:rPr>
          <w:rFonts w:ascii="Arial" w:eastAsiaTheme="minorHAnsi" w:hAnsi="Arial" w:cs="Arial"/>
          <w:kern w:val="2"/>
          <w:lang w:val="es-ES" w:eastAsia="en-US"/>
          <w14:ligatures w14:val="standardContextual"/>
        </w:rPr>
        <w:t>Dorri</w:t>
      </w:r>
      <w:proofErr w:type="spellEnd"/>
      <w:r w:rsidRPr="001D4D18">
        <w:rPr>
          <w:rFonts w:ascii="Arial" w:eastAsiaTheme="minorHAnsi" w:hAnsi="Arial" w:cs="Arial"/>
          <w:kern w:val="2"/>
          <w:lang w:val="es-ES" w:eastAsia="en-US"/>
          <w14:ligatures w14:val="standardContextual"/>
        </w:rPr>
        <w:t xml:space="preserve"> et al., 2012)</w:t>
      </w:r>
      <w:r w:rsidRPr="001D4D18">
        <w:rPr>
          <w:rFonts w:ascii="Arial" w:eastAsiaTheme="minorHAnsi" w:hAnsi="Arial" w:cs="Arial"/>
          <w:kern w:val="2"/>
          <w:lang w:val="es-EC" w:eastAsia="en-US"/>
          <w14:ligatures w14:val="standardContextual"/>
        </w:rPr>
        <w:t xml:space="preserve">. </w:t>
      </w:r>
      <w:r w:rsidRPr="001D4D18">
        <w:rPr>
          <w:rFonts w:ascii="Arial" w:eastAsiaTheme="minorHAnsi" w:hAnsi="Arial" w:cs="Arial"/>
          <w:kern w:val="2"/>
          <w:lang w:val="es-ES" w:eastAsia="en-US"/>
          <w14:ligatures w14:val="standardContextual"/>
        </w:rPr>
        <w:t>En la figura 1 se establece una cadena de valor (CV) genérica para una IES, donde se puede apreciar la estructura de los procesos estratégicos, agregadores de valor o atributos y de apoyo o complementarios, que se consideran criterios básicos en toda cadena valor.</w:t>
      </w:r>
    </w:p>
    <w:p w14:paraId="73FFE089" w14:textId="77777777" w:rsidR="0085549C" w:rsidRDefault="0085549C" w:rsidP="0085549C">
      <w:pPr>
        <w:jc w:val="center"/>
        <w:rPr>
          <w:rFonts w:ascii="Arial" w:eastAsiaTheme="minorHAnsi" w:hAnsi="Arial" w:cs="Arial"/>
          <w:kern w:val="2"/>
          <w:lang w:val="es-ES" w:eastAsia="en-US"/>
          <w14:ligatures w14:val="standardContextual"/>
        </w:rPr>
      </w:pPr>
    </w:p>
    <w:p w14:paraId="7CACA716" w14:textId="0C961066" w:rsidR="0085549C" w:rsidRPr="0085549C" w:rsidRDefault="0085549C" w:rsidP="0085549C">
      <w:pPr>
        <w:jc w:val="center"/>
        <w:rPr>
          <w:rFonts w:ascii="Arial" w:eastAsiaTheme="minorHAnsi" w:hAnsi="Arial" w:cs="Arial"/>
          <w:kern w:val="2"/>
          <w:lang w:val="es-ES" w:eastAsia="en-US"/>
          <w14:ligatures w14:val="standardContextual"/>
        </w:rPr>
      </w:pPr>
      <w:r w:rsidRPr="0085549C">
        <w:rPr>
          <w:rFonts w:ascii="Arial" w:eastAsiaTheme="minorHAnsi" w:hAnsi="Arial" w:cs="Arial"/>
          <w:kern w:val="2"/>
          <w:lang w:val="es-ES" w:eastAsia="en-US"/>
          <w14:ligatures w14:val="standardContextual"/>
        </w:rPr>
        <w:t>Figura 1. Cadena de valor genérica de una IES</w:t>
      </w:r>
    </w:p>
    <w:p w14:paraId="0692E969" w14:textId="77777777" w:rsidR="0085549C" w:rsidRPr="0085549C" w:rsidRDefault="0085549C" w:rsidP="0085549C">
      <w:pPr>
        <w:jc w:val="center"/>
        <w:rPr>
          <w:rFonts w:ascii="Arial" w:eastAsiaTheme="minorHAnsi" w:hAnsi="Arial" w:cs="Arial"/>
          <w:kern w:val="2"/>
          <w:lang w:val="es-ES" w:eastAsia="en-US"/>
          <w14:ligatures w14:val="standardContextual"/>
        </w:rPr>
      </w:pPr>
      <w:r w:rsidRPr="0085549C">
        <w:rPr>
          <w:rFonts w:ascii="Arial" w:eastAsiaTheme="minorHAnsi" w:hAnsi="Arial" w:cs="Arial"/>
          <w:noProof/>
          <w:kern w:val="2"/>
          <w:lang w:val="en-US" w:eastAsia="en-US"/>
          <w14:ligatures w14:val="standardContextual"/>
        </w:rPr>
        <w:drawing>
          <wp:inline distT="0" distB="0" distL="0" distR="0" wp14:anchorId="256D511F" wp14:editId="0273E0E2">
            <wp:extent cx="5475605" cy="2486025"/>
            <wp:effectExtent l="38100" t="38100" r="29845" b="47625"/>
            <wp:docPr id="601904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04133" name=""/>
                    <pic:cNvPicPr/>
                  </pic:nvPicPr>
                  <pic:blipFill>
                    <a:blip r:embed="rId11"/>
                    <a:stretch>
                      <a:fillRect/>
                    </a:stretch>
                  </pic:blipFill>
                  <pic:spPr>
                    <a:xfrm>
                      <a:off x="0" y="0"/>
                      <a:ext cx="5543970" cy="2517064"/>
                    </a:xfrm>
                    <a:prstGeom prst="rect">
                      <a:avLst/>
                    </a:prstGeom>
                    <a:ln w="28575">
                      <a:solidFill>
                        <a:sysClr val="windowText" lastClr="000000"/>
                      </a:solidFill>
                    </a:ln>
                  </pic:spPr>
                </pic:pic>
              </a:graphicData>
            </a:graphic>
          </wp:inline>
        </w:drawing>
      </w:r>
    </w:p>
    <w:p w14:paraId="4D1122B5" w14:textId="4565D54E" w:rsidR="0085549C" w:rsidRDefault="0085549C" w:rsidP="0085549C">
      <w:pPr>
        <w:spacing w:line="360" w:lineRule="auto"/>
        <w:jc w:val="center"/>
        <w:rPr>
          <w:rFonts w:ascii="Arial" w:eastAsiaTheme="minorHAnsi" w:hAnsi="Arial" w:cs="Arial"/>
          <w:kern w:val="2"/>
          <w:lang w:val="es-EC" w:eastAsia="en-US"/>
          <w14:ligatures w14:val="standardContextual"/>
        </w:rPr>
      </w:pPr>
      <w:r w:rsidRPr="0085549C">
        <w:rPr>
          <w:rFonts w:ascii="Arial" w:eastAsiaTheme="minorHAnsi" w:hAnsi="Arial" w:cs="Arial"/>
          <w:kern w:val="2"/>
          <w:lang w:val="es-EC" w:eastAsia="en-US"/>
          <w14:ligatures w14:val="standardContextual"/>
        </w:rPr>
        <w:t xml:space="preserve">Fuente: Adaptado de </w:t>
      </w:r>
      <w:proofErr w:type="spellStart"/>
      <w:r w:rsidRPr="0085549C">
        <w:rPr>
          <w:rFonts w:ascii="Arial" w:eastAsiaTheme="minorHAnsi" w:hAnsi="Arial" w:cs="Arial"/>
          <w:kern w:val="2"/>
          <w:lang w:val="es-EC" w:eastAsia="en-US"/>
          <w14:ligatures w14:val="standardContextual"/>
        </w:rPr>
        <w:t>Dorri</w:t>
      </w:r>
      <w:proofErr w:type="spellEnd"/>
      <w:r w:rsidRPr="0085549C">
        <w:rPr>
          <w:rFonts w:ascii="Arial" w:eastAsiaTheme="minorHAnsi" w:hAnsi="Arial" w:cs="Arial"/>
          <w:kern w:val="2"/>
          <w:lang w:val="es-EC" w:eastAsia="en-US"/>
          <w14:ligatures w14:val="standardContextual"/>
        </w:rPr>
        <w:t xml:space="preserve"> et al., 2012</w:t>
      </w:r>
    </w:p>
    <w:p w14:paraId="18B74DEF" w14:textId="77777777"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lastRenderedPageBreak/>
        <w:t>Por lo anterior, se considera relevante estudiar el comportamiento y la relación entre la calidad del servicio y la satisfacción percibida entre los actores que conforma dicha cadena de valor. Para este caso, lo conforman la UBE de una IES como proveedores del servicio y el estudiantado como receptores directos de este.</w:t>
      </w:r>
    </w:p>
    <w:p w14:paraId="4B3595CD" w14:textId="77777777"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p>
    <w:p w14:paraId="61C0BA5A"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b/>
          <w:bCs/>
          <w:kern w:val="2"/>
          <w:lang w:val="es-ES" w:eastAsia="en-US"/>
          <w14:ligatures w14:val="standardContextual"/>
        </w:rPr>
        <w:t>Método</w:t>
      </w:r>
    </w:p>
    <w:p w14:paraId="39BA0994" w14:textId="77777777"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t>Este estudio aborda la percepción de satisfacción del estudiantado frente a los problemas de calidad experimentados en el servicio de la UBE. Para ello, se ejecuta un estudio de enfoque mixto, con un diseño no experimental de corte transversal y de alcance correlacional (Hernández et al., 2014).</w:t>
      </w:r>
    </w:p>
    <w:p w14:paraId="06FFF752" w14:textId="77777777" w:rsidR="00172D95" w:rsidRDefault="00172D95" w:rsidP="00CD7EF9">
      <w:pPr>
        <w:spacing w:line="360" w:lineRule="auto"/>
        <w:rPr>
          <w:rFonts w:ascii="Arial" w:eastAsiaTheme="minorHAnsi" w:hAnsi="Arial" w:cs="Arial"/>
          <w:b/>
          <w:bCs/>
          <w:kern w:val="2"/>
          <w:lang w:val="es-ES" w:eastAsia="en-US"/>
          <w14:ligatures w14:val="standardContextual"/>
        </w:rPr>
      </w:pPr>
    </w:p>
    <w:p w14:paraId="0BFCAF3A" w14:textId="6B0A58DD" w:rsidR="00CD7EF9" w:rsidRPr="00CD7EF9" w:rsidRDefault="00CD7EF9" w:rsidP="00CD7EF9">
      <w:pPr>
        <w:spacing w:line="360" w:lineRule="auto"/>
        <w:rPr>
          <w:rFonts w:ascii="Arial" w:eastAsiaTheme="minorHAnsi" w:hAnsi="Arial" w:cs="Arial"/>
          <w:kern w:val="2"/>
          <w:lang w:val="es-ES" w:eastAsia="en-US"/>
          <w14:ligatures w14:val="standardContextual"/>
        </w:rPr>
      </w:pPr>
      <w:r w:rsidRPr="00CD7EF9">
        <w:rPr>
          <w:rFonts w:ascii="Arial" w:eastAsiaTheme="minorHAnsi" w:hAnsi="Arial" w:cs="Arial"/>
          <w:b/>
          <w:bCs/>
          <w:kern w:val="2"/>
          <w:lang w:val="es-ES" w:eastAsia="en-US"/>
          <w14:ligatures w14:val="standardContextual"/>
        </w:rPr>
        <w:t>Sobre la organización objeto de estudio</w:t>
      </w:r>
    </w:p>
    <w:p w14:paraId="77DAF7B1" w14:textId="77777777"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t>Esta investigación se ejecuta en la UBE de una IES pública en Ecuador. La UBE, objeto de estudio con base en el plan estratégico institucional, oferta mediante diversas áreas y programas que se observan en la tabla 1: un conjunto de servicios destinados a contribuir de forma integral en los procesos de acompañamiento y desarrollo personal e institucional de la comunidad educativa.</w:t>
      </w:r>
    </w:p>
    <w:p w14:paraId="008CD727" w14:textId="77777777" w:rsidR="00CD7EF9" w:rsidRDefault="00CD7EF9" w:rsidP="00CD7EF9">
      <w:pPr>
        <w:jc w:val="center"/>
        <w:rPr>
          <w:rFonts w:ascii="Arial" w:eastAsiaTheme="minorHAnsi" w:hAnsi="Arial" w:cs="Arial"/>
          <w:kern w:val="2"/>
          <w:lang w:val="es-ES" w:eastAsia="en-US"/>
          <w14:ligatures w14:val="standardContextual"/>
        </w:rPr>
      </w:pPr>
    </w:p>
    <w:p w14:paraId="6B5A4B5F" w14:textId="77777777" w:rsidR="00172D95" w:rsidRDefault="00172D95" w:rsidP="00CD7EF9">
      <w:pPr>
        <w:jc w:val="center"/>
        <w:rPr>
          <w:rFonts w:ascii="Arial" w:eastAsiaTheme="minorHAnsi" w:hAnsi="Arial" w:cs="Arial"/>
          <w:kern w:val="2"/>
          <w:lang w:val="es-ES" w:eastAsia="en-US"/>
          <w14:ligatures w14:val="standardContextual"/>
        </w:rPr>
      </w:pPr>
    </w:p>
    <w:p w14:paraId="64814C86" w14:textId="77777777" w:rsidR="00172D95" w:rsidRDefault="00172D95" w:rsidP="00CD7EF9">
      <w:pPr>
        <w:jc w:val="center"/>
        <w:rPr>
          <w:rFonts w:ascii="Arial" w:eastAsiaTheme="minorHAnsi" w:hAnsi="Arial" w:cs="Arial"/>
          <w:kern w:val="2"/>
          <w:lang w:val="es-ES" w:eastAsia="en-US"/>
          <w14:ligatures w14:val="standardContextual"/>
        </w:rPr>
      </w:pPr>
    </w:p>
    <w:p w14:paraId="6D004DFF" w14:textId="77777777" w:rsidR="00172D95" w:rsidRDefault="00172D95" w:rsidP="00CD7EF9">
      <w:pPr>
        <w:jc w:val="center"/>
        <w:rPr>
          <w:rFonts w:ascii="Arial" w:eastAsiaTheme="minorHAnsi" w:hAnsi="Arial" w:cs="Arial"/>
          <w:kern w:val="2"/>
          <w:lang w:val="es-ES" w:eastAsia="en-US"/>
          <w14:ligatures w14:val="standardContextual"/>
        </w:rPr>
      </w:pPr>
    </w:p>
    <w:p w14:paraId="55B375F1" w14:textId="77777777" w:rsidR="00172D95" w:rsidRDefault="00172D95" w:rsidP="00CD7EF9">
      <w:pPr>
        <w:jc w:val="center"/>
        <w:rPr>
          <w:rFonts w:ascii="Arial" w:eastAsiaTheme="minorHAnsi" w:hAnsi="Arial" w:cs="Arial"/>
          <w:kern w:val="2"/>
          <w:lang w:val="es-ES" w:eastAsia="en-US"/>
          <w14:ligatures w14:val="standardContextual"/>
        </w:rPr>
      </w:pPr>
    </w:p>
    <w:p w14:paraId="52E5C55A" w14:textId="77777777" w:rsidR="00172D95" w:rsidRDefault="00172D95" w:rsidP="00CD7EF9">
      <w:pPr>
        <w:jc w:val="center"/>
        <w:rPr>
          <w:rFonts w:ascii="Arial" w:eastAsiaTheme="minorHAnsi" w:hAnsi="Arial" w:cs="Arial"/>
          <w:kern w:val="2"/>
          <w:lang w:val="es-ES" w:eastAsia="en-US"/>
          <w14:ligatures w14:val="standardContextual"/>
        </w:rPr>
      </w:pPr>
    </w:p>
    <w:p w14:paraId="63841993" w14:textId="60C078C3" w:rsidR="00CD7EF9" w:rsidRPr="00CD7EF9" w:rsidRDefault="00CD7EF9" w:rsidP="00CD7EF9">
      <w:pPr>
        <w:jc w:val="center"/>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lastRenderedPageBreak/>
        <w:t>Tabla 1. Área y programas de la UBE</w:t>
      </w:r>
    </w:p>
    <w:tbl>
      <w:tblPr>
        <w:tblStyle w:val="Tablanormal4"/>
        <w:tblW w:w="8505" w:type="dxa"/>
        <w:jc w:val="center"/>
        <w:tblLayout w:type="fixed"/>
        <w:tblLook w:val="04A0" w:firstRow="1" w:lastRow="0" w:firstColumn="1" w:lastColumn="0" w:noHBand="0" w:noVBand="1"/>
      </w:tblPr>
      <w:tblGrid>
        <w:gridCol w:w="1418"/>
        <w:gridCol w:w="1701"/>
        <w:gridCol w:w="1134"/>
        <w:gridCol w:w="1417"/>
        <w:gridCol w:w="1701"/>
        <w:gridCol w:w="1134"/>
      </w:tblGrid>
      <w:tr w:rsidR="00CD7EF9" w:rsidRPr="00CD7EF9" w14:paraId="650936BF" w14:textId="77777777" w:rsidTr="001B4644">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auto"/>
              <w:bottom w:val="single" w:sz="12" w:space="0" w:color="auto"/>
            </w:tcBorders>
            <w:shd w:val="clear" w:color="auto" w:fill="auto"/>
            <w:vAlign w:val="center"/>
          </w:tcPr>
          <w:p w14:paraId="5DD611BD"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Área</w:t>
            </w:r>
          </w:p>
        </w:tc>
        <w:tc>
          <w:tcPr>
            <w:tcW w:w="1701" w:type="dxa"/>
            <w:tcBorders>
              <w:top w:val="single" w:sz="12" w:space="0" w:color="auto"/>
              <w:bottom w:val="single" w:sz="12" w:space="0" w:color="auto"/>
            </w:tcBorders>
            <w:shd w:val="clear" w:color="auto" w:fill="auto"/>
            <w:vAlign w:val="center"/>
          </w:tcPr>
          <w:p w14:paraId="78736ABB"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Servicio</w:t>
            </w:r>
          </w:p>
        </w:tc>
        <w:tc>
          <w:tcPr>
            <w:tcW w:w="1134" w:type="dxa"/>
            <w:tcBorders>
              <w:top w:val="single" w:sz="12" w:space="0" w:color="auto"/>
              <w:bottom w:val="single" w:sz="12" w:space="0" w:color="auto"/>
              <w:right w:val="single" w:sz="4" w:space="0" w:color="auto"/>
            </w:tcBorders>
            <w:shd w:val="clear" w:color="auto" w:fill="auto"/>
            <w:vAlign w:val="center"/>
          </w:tcPr>
          <w:p w14:paraId="7ED2776C"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Código</w:t>
            </w:r>
          </w:p>
        </w:tc>
        <w:tc>
          <w:tcPr>
            <w:tcW w:w="1417" w:type="dxa"/>
            <w:tcBorders>
              <w:top w:val="single" w:sz="12" w:space="0" w:color="auto"/>
              <w:left w:val="single" w:sz="4" w:space="0" w:color="auto"/>
              <w:bottom w:val="single" w:sz="12" w:space="0" w:color="auto"/>
            </w:tcBorders>
            <w:vAlign w:val="center"/>
          </w:tcPr>
          <w:p w14:paraId="6B3C7539"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Área</w:t>
            </w:r>
          </w:p>
        </w:tc>
        <w:tc>
          <w:tcPr>
            <w:tcW w:w="1701" w:type="dxa"/>
            <w:tcBorders>
              <w:top w:val="single" w:sz="12" w:space="0" w:color="auto"/>
              <w:bottom w:val="single" w:sz="12" w:space="0" w:color="auto"/>
            </w:tcBorders>
            <w:vAlign w:val="center"/>
          </w:tcPr>
          <w:p w14:paraId="096A09D1"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Servicio</w:t>
            </w:r>
          </w:p>
        </w:tc>
        <w:tc>
          <w:tcPr>
            <w:tcW w:w="1134" w:type="dxa"/>
            <w:tcBorders>
              <w:top w:val="single" w:sz="12" w:space="0" w:color="auto"/>
              <w:bottom w:val="single" w:sz="12" w:space="0" w:color="auto"/>
            </w:tcBorders>
            <w:vAlign w:val="center"/>
          </w:tcPr>
          <w:p w14:paraId="44073F03"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Código</w:t>
            </w:r>
          </w:p>
        </w:tc>
      </w:tr>
      <w:tr w:rsidR="00CD7EF9" w:rsidRPr="00CD7EF9" w14:paraId="3D10E5CE" w14:textId="77777777" w:rsidTr="001B4644">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auto"/>
            </w:tcBorders>
            <w:shd w:val="clear" w:color="auto" w:fill="auto"/>
            <w:vAlign w:val="center"/>
          </w:tcPr>
          <w:p w14:paraId="2D86235E"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Salud física</w:t>
            </w:r>
          </w:p>
        </w:tc>
        <w:tc>
          <w:tcPr>
            <w:tcW w:w="1701" w:type="dxa"/>
            <w:tcBorders>
              <w:top w:val="single" w:sz="12" w:space="0" w:color="auto"/>
              <w:bottom w:val="single" w:sz="4" w:space="0" w:color="auto"/>
            </w:tcBorders>
            <w:shd w:val="clear" w:color="auto" w:fill="auto"/>
            <w:vAlign w:val="center"/>
          </w:tcPr>
          <w:p w14:paraId="0E0788CB" w14:textId="77777777" w:rsidR="00CD7EF9" w:rsidRPr="00CD7EF9" w:rsidRDefault="00CD7EF9" w:rsidP="00CD7EF9">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Dispensario médico</w:t>
            </w:r>
          </w:p>
        </w:tc>
        <w:tc>
          <w:tcPr>
            <w:tcW w:w="1134" w:type="dxa"/>
            <w:tcBorders>
              <w:top w:val="single" w:sz="12" w:space="0" w:color="auto"/>
              <w:bottom w:val="single" w:sz="4" w:space="0" w:color="auto"/>
              <w:right w:val="single" w:sz="4" w:space="0" w:color="auto"/>
            </w:tcBorders>
            <w:shd w:val="clear" w:color="auto" w:fill="auto"/>
            <w:vAlign w:val="center"/>
          </w:tcPr>
          <w:p w14:paraId="52179DB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S1</w:t>
            </w:r>
          </w:p>
        </w:tc>
        <w:tc>
          <w:tcPr>
            <w:tcW w:w="1417" w:type="dxa"/>
            <w:vMerge w:val="restart"/>
            <w:tcBorders>
              <w:top w:val="single" w:sz="12" w:space="0" w:color="auto"/>
              <w:left w:val="single" w:sz="4" w:space="0" w:color="auto"/>
            </w:tcBorders>
            <w:shd w:val="clear" w:color="auto" w:fill="FFFFFF" w:themeFill="background1"/>
            <w:vAlign w:val="center"/>
          </w:tcPr>
          <w:p w14:paraId="6F09C094"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CD7EF9">
              <w:rPr>
                <w:rFonts w:ascii="Arial" w:eastAsiaTheme="minorHAnsi" w:hAnsi="Arial" w:cs="Arial"/>
                <w:b/>
                <w:bCs/>
                <w:lang w:eastAsia="en-US"/>
              </w:rPr>
              <w:t>Trabajo social</w:t>
            </w:r>
          </w:p>
        </w:tc>
        <w:tc>
          <w:tcPr>
            <w:tcW w:w="1701" w:type="dxa"/>
            <w:tcBorders>
              <w:top w:val="single" w:sz="12" w:space="0" w:color="auto"/>
              <w:bottom w:val="single" w:sz="4" w:space="0" w:color="auto"/>
            </w:tcBorders>
            <w:shd w:val="clear" w:color="auto" w:fill="FFFFFF" w:themeFill="background1"/>
            <w:vAlign w:val="center"/>
          </w:tcPr>
          <w:p w14:paraId="642DE4D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Becas y ayudas socio-económicas</w:t>
            </w:r>
          </w:p>
        </w:tc>
        <w:tc>
          <w:tcPr>
            <w:tcW w:w="1134" w:type="dxa"/>
            <w:tcBorders>
              <w:top w:val="single" w:sz="12" w:space="0" w:color="auto"/>
              <w:bottom w:val="single" w:sz="4" w:space="0" w:color="auto"/>
            </w:tcBorders>
            <w:shd w:val="clear" w:color="auto" w:fill="FFFFFF" w:themeFill="background1"/>
            <w:vAlign w:val="center"/>
          </w:tcPr>
          <w:p w14:paraId="4FB0649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S5</w:t>
            </w:r>
          </w:p>
        </w:tc>
      </w:tr>
      <w:tr w:rsidR="00CD7EF9" w:rsidRPr="00CD7EF9" w14:paraId="4B1C3A91" w14:textId="77777777" w:rsidTr="001B4644">
        <w:trPr>
          <w:trHeight w:val="449"/>
          <w:jc w:val="center"/>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shd w:val="clear" w:color="auto" w:fill="auto"/>
            <w:vAlign w:val="center"/>
          </w:tcPr>
          <w:p w14:paraId="4C4CD299" w14:textId="77777777" w:rsidR="00CD7EF9" w:rsidRPr="00CD7EF9" w:rsidRDefault="00CD7EF9" w:rsidP="00CD7EF9">
            <w:pPr>
              <w:spacing w:line="276" w:lineRule="auto"/>
              <w:jc w:val="center"/>
              <w:rPr>
                <w:rFonts w:ascii="Arial" w:eastAsiaTheme="minorHAnsi" w:hAnsi="Arial" w:cs="Arial"/>
                <w:lang w:eastAsia="en-US"/>
              </w:rPr>
            </w:pPr>
          </w:p>
        </w:tc>
        <w:tc>
          <w:tcPr>
            <w:tcW w:w="1701" w:type="dxa"/>
            <w:tcBorders>
              <w:top w:val="single" w:sz="4" w:space="0" w:color="auto"/>
              <w:bottom w:val="single" w:sz="4" w:space="0" w:color="auto"/>
            </w:tcBorders>
            <w:shd w:val="clear" w:color="auto" w:fill="auto"/>
            <w:vAlign w:val="center"/>
          </w:tcPr>
          <w:p w14:paraId="3A380B5A" w14:textId="77777777" w:rsidR="00CD7EF9" w:rsidRPr="00CD7EF9" w:rsidRDefault="00CD7EF9" w:rsidP="00CD7EF9">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Dispensario odontológico</w:t>
            </w:r>
          </w:p>
        </w:tc>
        <w:tc>
          <w:tcPr>
            <w:tcW w:w="1134" w:type="dxa"/>
            <w:tcBorders>
              <w:top w:val="single" w:sz="4" w:space="0" w:color="auto"/>
              <w:bottom w:val="single" w:sz="4" w:space="0" w:color="auto"/>
              <w:right w:val="single" w:sz="4" w:space="0" w:color="auto"/>
            </w:tcBorders>
            <w:shd w:val="clear" w:color="auto" w:fill="auto"/>
            <w:vAlign w:val="center"/>
          </w:tcPr>
          <w:p w14:paraId="13185862"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S2</w:t>
            </w:r>
          </w:p>
        </w:tc>
        <w:tc>
          <w:tcPr>
            <w:tcW w:w="1417" w:type="dxa"/>
            <w:vMerge/>
            <w:tcBorders>
              <w:left w:val="single" w:sz="4" w:space="0" w:color="auto"/>
            </w:tcBorders>
            <w:shd w:val="clear" w:color="auto" w:fill="FFFFFF" w:themeFill="background1"/>
            <w:vAlign w:val="center"/>
          </w:tcPr>
          <w:p w14:paraId="28037587"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701" w:type="dxa"/>
            <w:tcBorders>
              <w:top w:val="single" w:sz="4" w:space="0" w:color="auto"/>
              <w:bottom w:val="single" w:sz="4" w:space="0" w:color="auto"/>
            </w:tcBorders>
            <w:shd w:val="clear" w:color="auto" w:fill="FFFFFF" w:themeFill="background1"/>
            <w:vAlign w:val="center"/>
          </w:tcPr>
          <w:p w14:paraId="27C0924A"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Aulas de estimulación temprana</w:t>
            </w:r>
          </w:p>
        </w:tc>
        <w:tc>
          <w:tcPr>
            <w:tcW w:w="1134" w:type="dxa"/>
            <w:tcBorders>
              <w:top w:val="single" w:sz="4" w:space="0" w:color="auto"/>
              <w:bottom w:val="single" w:sz="4" w:space="0" w:color="auto"/>
            </w:tcBorders>
            <w:shd w:val="clear" w:color="auto" w:fill="FFFFFF" w:themeFill="background1"/>
            <w:vAlign w:val="center"/>
          </w:tcPr>
          <w:p w14:paraId="21B8D6FC"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S6</w:t>
            </w:r>
          </w:p>
        </w:tc>
      </w:tr>
      <w:tr w:rsidR="00CD7EF9" w:rsidRPr="00CD7EF9" w14:paraId="63255D35" w14:textId="77777777" w:rsidTr="001B4644">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shd w:val="clear" w:color="auto" w:fill="auto"/>
            <w:vAlign w:val="center"/>
          </w:tcPr>
          <w:p w14:paraId="14FFAF49"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Salud mental</w:t>
            </w:r>
          </w:p>
        </w:tc>
        <w:tc>
          <w:tcPr>
            <w:tcW w:w="1701" w:type="dxa"/>
            <w:tcBorders>
              <w:top w:val="single" w:sz="4" w:space="0" w:color="auto"/>
              <w:bottom w:val="single" w:sz="4" w:space="0" w:color="auto"/>
            </w:tcBorders>
            <w:shd w:val="clear" w:color="auto" w:fill="auto"/>
            <w:vAlign w:val="center"/>
          </w:tcPr>
          <w:p w14:paraId="2FF4387F" w14:textId="77777777" w:rsidR="00CD7EF9" w:rsidRPr="00CD7EF9" w:rsidRDefault="00CD7EF9" w:rsidP="00CD7EF9">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Psicología clínica y educativa</w:t>
            </w:r>
          </w:p>
        </w:tc>
        <w:tc>
          <w:tcPr>
            <w:tcW w:w="1134" w:type="dxa"/>
            <w:tcBorders>
              <w:top w:val="single" w:sz="4" w:space="0" w:color="auto"/>
              <w:bottom w:val="single" w:sz="4" w:space="0" w:color="auto"/>
              <w:right w:val="single" w:sz="4" w:space="0" w:color="auto"/>
            </w:tcBorders>
            <w:shd w:val="clear" w:color="auto" w:fill="auto"/>
            <w:vAlign w:val="center"/>
          </w:tcPr>
          <w:p w14:paraId="472823B9"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S3</w:t>
            </w:r>
          </w:p>
        </w:tc>
        <w:tc>
          <w:tcPr>
            <w:tcW w:w="1417" w:type="dxa"/>
            <w:vMerge/>
            <w:tcBorders>
              <w:left w:val="single" w:sz="4" w:space="0" w:color="auto"/>
            </w:tcBorders>
            <w:shd w:val="clear" w:color="auto" w:fill="FFFFFF" w:themeFill="background1"/>
            <w:vAlign w:val="center"/>
          </w:tcPr>
          <w:p w14:paraId="69EF43E6"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701" w:type="dxa"/>
            <w:tcBorders>
              <w:top w:val="single" w:sz="4" w:space="0" w:color="auto"/>
              <w:bottom w:val="single" w:sz="4" w:space="0" w:color="auto"/>
            </w:tcBorders>
            <w:shd w:val="clear" w:color="auto" w:fill="FFFFFF" w:themeFill="background1"/>
            <w:vAlign w:val="center"/>
          </w:tcPr>
          <w:p w14:paraId="1B0CCAA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Comisión psico- pedagógica</w:t>
            </w:r>
          </w:p>
        </w:tc>
        <w:tc>
          <w:tcPr>
            <w:tcW w:w="1134" w:type="dxa"/>
            <w:tcBorders>
              <w:top w:val="single" w:sz="4" w:space="0" w:color="auto"/>
              <w:bottom w:val="single" w:sz="4" w:space="0" w:color="auto"/>
            </w:tcBorders>
            <w:shd w:val="clear" w:color="auto" w:fill="FFFFFF" w:themeFill="background1"/>
            <w:vAlign w:val="center"/>
          </w:tcPr>
          <w:p w14:paraId="54C6A14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S7</w:t>
            </w:r>
          </w:p>
        </w:tc>
      </w:tr>
      <w:tr w:rsidR="00CD7EF9" w:rsidRPr="00CD7EF9" w14:paraId="6FBF8B41" w14:textId="77777777" w:rsidTr="001B4644">
        <w:trPr>
          <w:trHeight w:val="672"/>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12" w:space="0" w:color="auto"/>
            </w:tcBorders>
            <w:shd w:val="clear" w:color="auto" w:fill="auto"/>
            <w:vAlign w:val="center"/>
          </w:tcPr>
          <w:p w14:paraId="2B759A3D"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Derechos humanos</w:t>
            </w:r>
          </w:p>
        </w:tc>
        <w:tc>
          <w:tcPr>
            <w:tcW w:w="1701" w:type="dxa"/>
            <w:tcBorders>
              <w:top w:val="single" w:sz="4" w:space="0" w:color="auto"/>
              <w:bottom w:val="single" w:sz="12" w:space="0" w:color="auto"/>
            </w:tcBorders>
            <w:shd w:val="clear" w:color="auto" w:fill="auto"/>
            <w:vAlign w:val="center"/>
          </w:tcPr>
          <w:p w14:paraId="59AAE3C9" w14:textId="77777777" w:rsidR="00CD7EF9" w:rsidRPr="00CD7EF9" w:rsidRDefault="00CD7EF9" w:rsidP="00CD7EF9">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Defensoría estudiantil</w:t>
            </w:r>
          </w:p>
        </w:tc>
        <w:tc>
          <w:tcPr>
            <w:tcW w:w="1134" w:type="dxa"/>
            <w:tcBorders>
              <w:top w:val="single" w:sz="4" w:space="0" w:color="auto"/>
              <w:bottom w:val="single" w:sz="12" w:space="0" w:color="auto"/>
              <w:right w:val="single" w:sz="4" w:space="0" w:color="auto"/>
            </w:tcBorders>
            <w:shd w:val="clear" w:color="auto" w:fill="auto"/>
            <w:vAlign w:val="center"/>
          </w:tcPr>
          <w:p w14:paraId="0BF176C1"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S4</w:t>
            </w:r>
          </w:p>
        </w:tc>
        <w:tc>
          <w:tcPr>
            <w:tcW w:w="1417" w:type="dxa"/>
            <w:vMerge/>
            <w:tcBorders>
              <w:left w:val="single" w:sz="4" w:space="0" w:color="auto"/>
              <w:bottom w:val="single" w:sz="12" w:space="0" w:color="auto"/>
            </w:tcBorders>
            <w:shd w:val="clear" w:color="auto" w:fill="FFFFFF" w:themeFill="background1"/>
            <w:vAlign w:val="center"/>
          </w:tcPr>
          <w:p w14:paraId="496590B2"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701" w:type="dxa"/>
            <w:tcBorders>
              <w:top w:val="single" w:sz="4" w:space="0" w:color="auto"/>
              <w:bottom w:val="single" w:sz="12" w:space="0" w:color="auto"/>
            </w:tcBorders>
            <w:shd w:val="clear" w:color="auto" w:fill="FFFFFF" w:themeFill="background1"/>
            <w:vAlign w:val="center"/>
          </w:tcPr>
          <w:p w14:paraId="586CDA8C"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Lactarios</w:t>
            </w:r>
          </w:p>
        </w:tc>
        <w:tc>
          <w:tcPr>
            <w:tcW w:w="1134" w:type="dxa"/>
            <w:tcBorders>
              <w:top w:val="single" w:sz="4" w:space="0" w:color="auto"/>
              <w:bottom w:val="single" w:sz="12" w:space="0" w:color="auto"/>
            </w:tcBorders>
            <w:shd w:val="clear" w:color="auto" w:fill="FFFFFF" w:themeFill="background1"/>
            <w:vAlign w:val="center"/>
          </w:tcPr>
          <w:p w14:paraId="63091D8D"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S8</w:t>
            </w:r>
          </w:p>
        </w:tc>
      </w:tr>
    </w:tbl>
    <w:p w14:paraId="224E1F12" w14:textId="77777777" w:rsidR="00CD7EF9" w:rsidRPr="00CD7EF9" w:rsidRDefault="00CD7EF9" w:rsidP="00CD7EF9">
      <w:pPr>
        <w:spacing w:line="360" w:lineRule="auto"/>
        <w:jc w:val="both"/>
        <w:rPr>
          <w:rFonts w:ascii="Arial" w:eastAsiaTheme="minorHAnsi" w:hAnsi="Arial" w:cs="Arial"/>
          <w:b/>
          <w:bCs/>
          <w:kern w:val="2"/>
          <w:lang w:val="es-EC" w:eastAsia="en-US"/>
          <w14:ligatures w14:val="standardContextual"/>
        </w:rPr>
      </w:pPr>
    </w:p>
    <w:p w14:paraId="2A0AC317" w14:textId="77777777" w:rsidR="00CD7EF9" w:rsidRPr="00CD7EF9" w:rsidRDefault="00CD7EF9" w:rsidP="00CD7EF9">
      <w:pPr>
        <w:spacing w:line="360" w:lineRule="auto"/>
        <w:jc w:val="both"/>
        <w:rPr>
          <w:rFonts w:ascii="Arial" w:eastAsiaTheme="minorHAnsi" w:hAnsi="Arial" w:cs="Arial"/>
          <w:b/>
          <w:bCs/>
          <w:kern w:val="2"/>
          <w:lang w:val="es-EC" w:eastAsia="en-US"/>
          <w14:ligatures w14:val="standardContextual"/>
        </w:rPr>
      </w:pPr>
      <w:r w:rsidRPr="00CD7EF9">
        <w:rPr>
          <w:rFonts w:ascii="Arial" w:eastAsiaTheme="minorHAnsi" w:hAnsi="Arial" w:cs="Arial"/>
          <w:b/>
          <w:bCs/>
          <w:kern w:val="2"/>
          <w:lang w:val="es-EC" w:eastAsia="en-US"/>
          <w14:ligatures w14:val="standardContextual"/>
        </w:rPr>
        <w:t>Primera fase: entrevistas a la UBE y encuestas a los estudiantes del servicio</w:t>
      </w:r>
    </w:p>
    <w:p w14:paraId="79EB231E"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En primer lugar, se entrevista a ocho personas, quienes son encargadas de los programas de la UBE. El propósito de estas entrevistas semiestructuradas fue (i) describir la cadena de valor del servicio y establecer los procesos por los cuales ejecutan los programas ofertados para que se identificaran claramente las actividades y las personas actoras que intervienen y (</w:t>
      </w:r>
      <w:proofErr w:type="spellStart"/>
      <w:r w:rsidRPr="00CD7EF9">
        <w:rPr>
          <w:rFonts w:ascii="Arial" w:eastAsiaTheme="minorHAnsi" w:hAnsi="Arial" w:cs="Arial"/>
          <w:kern w:val="2"/>
          <w:lang w:val="es-EC" w:eastAsia="en-US"/>
          <w14:ligatures w14:val="standardContextual"/>
        </w:rPr>
        <w:t>ii</w:t>
      </w:r>
      <w:proofErr w:type="spellEnd"/>
      <w:r w:rsidRPr="00CD7EF9">
        <w:rPr>
          <w:rFonts w:ascii="Arial" w:eastAsiaTheme="minorHAnsi" w:hAnsi="Arial" w:cs="Arial"/>
          <w:kern w:val="2"/>
          <w:lang w:val="es-EC" w:eastAsia="en-US"/>
          <w14:ligatures w14:val="standardContextual"/>
        </w:rPr>
        <w:t>) determinar, desde la perspectiva de la UBE, los problemas percibidos o experimentados en el proceso del programa respectivo.</w:t>
      </w:r>
    </w:p>
    <w:p w14:paraId="05916593" w14:textId="77777777" w:rsidR="00CD7EF9" w:rsidRDefault="00CD7EF9" w:rsidP="00CD7EF9">
      <w:pPr>
        <w:spacing w:line="360" w:lineRule="auto"/>
        <w:jc w:val="both"/>
        <w:rPr>
          <w:rFonts w:ascii="Arial" w:eastAsiaTheme="minorHAnsi" w:hAnsi="Arial" w:cs="Arial"/>
          <w:kern w:val="2"/>
          <w:lang w:val="es-EC" w:eastAsia="en-US"/>
          <w14:ligatures w14:val="standardContextual"/>
        </w:rPr>
      </w:pPr>
    </w:p>
    <w:p w14:paraId="4CAF26F7" w14:textId="3626B242"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lastRenderedPageBreak/>
        <w:t>Posteriormente, se encuesta exclusivamente a la comunidad estudiantil que haya sido usuaria del servicio, esto con el fin de (i) determinar desde su perspectiva los problemas percibidos o experimentados en el proceso del programa respectivo y (</w:t>
      </w:r>
      <w:proofErr w:type="spellStart"/>
      <w:r w:rsidRPr="00CD7EF9">
        <w:rPr>
          <w:rFonts w:ascii="Arial" w:eastAsiaTheme="minorHAnsi" w:hAnsi="Arial" w:cs="Arial"/>
          <w:kern w:val="2"/>
          <w:lang w:val="es-EC" w:eastAsia="en-US"/>
          <w14:ligatures w14:val="standardContextual"/>
        </w:rPr>
        <w:t>ii</w:t>
      </w:r>
      <w:proofErr w:type="spellEnd"/>
      <w:r w:rsidRPr="00CD7EF9">
        <w:rPr>
          <w:rFonts w:ascii="Arial" w:eastAsiaTheme="minorHAnsi" w:hAnsi="Arial" w:cs="Arial"/>
          <w:kern w:val="2"/>
          <w:lang w:val="es-EC" w:eastAsia="en-US"/>
          <w14:ligatures w14:val="standardContextual"/>
        </w:rPr>
        <w:t>) determinar la satisfacción general con respecto a los servicios de la UBE.</w:t>
      </w:r>
    </w:p>
    <w:p w14:paraId="2E0AC077" w14:textId="77777777" w:rsidR="00CD7EF9" w:rsidRDefault="00CD7EF9" w:rsidP="00CD7EF9">
      <w:pPr>
        <w:spacing w:line="360" w:lineRule="auto"/>
        <w:jc w:val="both"/>
        <w:rPr>
          <w:rFonts w:ascii="Arial" w:eastAsiaTheme="minorHAnsi" w:hAnsi="Arial" w:cs="Arial"/>
          <w:kern w:val="2"/>
          <w:lang w:val="es-EC" w:eastAsia="en-US"/>
          <w14:ligatures w14:val="standardContextual"/>
        </w:rPr>
      </w:pPr>
    </w:p>
    <w:p w14:paraId="7676AF50" w14:textId="35F25DF1"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Los ocho programas fueron agrupados por afinidad, lo cual fue identificado en las entrevistas y los procesos levantados. Esta encuesta resulta en 15 preguntas para los servicios S1 y S2 (grupo 1-área médica); y 13 preguntas para los servicios S3 – S8 (grupo 2-otras áreas). Todas las preguntas, respectivamente para el grupo, fueron cerradas a excepción de una que era de carácter abierta, la cual pretendía obtener, desde la “voz del estudiantado”, aquellos factores considerados de valor que generaban insatisfacción debido a los problemas experimentados.</w:t>
      </w:r>
    </w:p>
    <w:p w14:paraId="5931D947" w14:textId="77777777" w:rsidR="00CD7EF9" w:rsidRDefault="00CD7EF9" w:rsidP="00CD7EF9">
      <w:pPr>
        <w:spacing w:line="360" w:lineRule="auto"/>
        <w:jc w:val="both"/>
        <w:rPr>
          <w:rFonts w:ascii="Arial" w:eastAsiaTheme="minorHAnsi" w:hAnsi="Arial" w:cs="Arial"/>
          <w:kern w:val="2"/>
          <w:lang w:val="es-ES" w:eastAsia="en-US"/>
          <w14:ligatures w14:val="standardContextual"/>
        </w:rPr>
      </w:pPr>
    </w:p>
    <w:p w14:paraId="42308B3F" w14:textId="6D866DDE"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t>Para las preguntas cerradas y con el fin de cuantificar la satisfacción, la encuesta se estructura mediante una escala Likert del tipo «de acuerdo», cuyas alternativas u opciones de respuesta se definen según una escala de 4 grados o niveles.</w:t>
      </w:r>
    </w:p>
    <w:p w14:paraId="2FAA3373" w14:textId="77777777" w:rsidR="00CD7EF9" w:rsidRDefault="00CD7EF9" w:rsidP="00CD7EF9">
      <w:pPr>
        <w:spacing w:line="360" w:lineRule="auto"/>
        <w:jc w:val="both"/>
        <w:rPr>
          <w:rFonts w:ascii="Arial" w:eastAsiaTheme="minorHAnsi" w:hAnsi="Arial" w:cs="Arial"/>
          <w:kern w:val="2"/>
          <w:lang w:val="es-ES" w:eastAsia="en-US"/>
          <w14:ligatures w14:val="standardContextual"/>
        </w:rPr>
      </w:pPr>
    </w:p>
    <w:p w14:paraId="5B5ABB0A" w14:textId="68696DE7"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t xml:space="preserve">Con respecto a las opciones de respuesta o niveles de la escala, se definen las siguientes: (1) Totalmente en desacuerdo, (2) En desacuerdo, (3) De acuerdo y (4) Totalmente de acuerdo. El objetivo principal, al usar esta escala en la que se elimina la alternativa intermedia o de «indecisión», fue evitar los sesgos ocasionados por </w:t>
      </w:r>
      <w:r w:rsidRPr="00CD7EF9">
        <w:rPr>
          <w:rFonts w:ascii="Arial" w:eastAsiaTheme="minorHAnsi" w:hAnsi="Arial" w:cs="Arial"/>
          <w:kern w:val="2"/>
          <w:lang w:val="es-ES" w:eastAsia="en-US"/>
          <w14:ligatures w14:val="standardContextual"/>
        </w:rPr>
        <w:lastRenderedPageBreak/>
        <w:t xml:space="preserve">la deseabilidad social (Matas, 2018). Este tipo de escala se puede evidenciar, en otros estudios, como los de Gallardo et al. (2018) y </w:t>
      </w:r>
      <w:proofErr w:type="spellStart"/>
      <w:r w:rsidRPr="00CD7EF9">
        <w:rPr>
          <w:rFonts w:ascii="Arial" w:eastAsiaTheme="minorHAnsi" w:hAnsi="Arial" w:cs="Arial"/>
          <w:kern w:val="2"/>
          <w:lang w:val="es-ES" w:eastAsia="en-US"/>
          <w14:ligatures w14:val="standardContextual"/>
        </w:rPr>
        <w:t>Surdez</w:t>
      </w:r>
      <w:proofErr w:type="spellEnd"/>
      <w:r w:rsidRPr="00CD7EF9">
        <w:rPr>
          <w:rFonts w:ascii="Arial" w:eastAsiaTheme="minorHAnsi" w:hAnsi="Arial" w:cs="Arial"/>
          <w:kern w:val="2"/>
          <w:lang w:val="es-ES" w:eastAsia="en-US"/>
          <w14:ligatures w14:val="standardContextual"/>
        </w:rPr>
        <w:t>-Pérez et al. (2018) en los que se pretende conocer el nivel de satisfacción del estudiantado sobre distintos procesos universitarios.</w:t>
      </w:r>
    </w:p>
    <w:p w14:paraId="0CD27293" w14:textId="77777777" w:rsidR="00CD7EF9" w:rsidRDefault="00CD7EF9" w:rsidP="00CD7EF9">
      <w:pPr>
        <w:spacing w:line="360" w:lineRule="auto"/>
        <w:jc w:val="both"/>
        <w:rPr>
          <w:rFonts w:ascii="Arial" w:eastAsiaTheme="minorHAnsi" w:hAnsi="Arial" w:cs="Arial"/>
          <w:kern w:val="2"/>
          <w:lang w:val="es-ES" w:eastAsia="en-US"/>
          <w14:ligatures w14:val="standardContextual"/>
        </w:rPr>
      </w:pPr>
    </w:p>
    <w:p w14:paraId="42C64F97" w14:textId="2F849846" w:rsidR="00CD7EF9" w:rsidRPr="00CD7EF9" w:rsidRDefault="00CD7EF9" w:rsidP="00CD7EF9">
      <w:pPr>
        <w:spacing w:line="360" w:lineRule="auto"/>
        <w:jc w:val="both"/>
        <w:rPr>
          <w:rFonts w:ascii="Arial" w:eastAsiaTheme="minorHAnsi" w:hAnsi="Arial" w:cs="Arial"/>
          <w:kern w:val="2"/>
          <w:lang w:val="es-ES" w:eastAsia="en-US"/>
          <w14:ligatures w14:val="standardContextual"/>
        </w:rPr>
      </w:pPr>
      <w:r w:rsidRPr="00CD7EF9">
        <w:rPr>
          <w:rFonts w:ascii="Arial" w:eastAsiaTheme="minorHAnsi" w:hAnsi="Arial" w:cs="Arial"/>
          <w:kern w:val="2"/>
          <w:lang w:val="es-ES" w:eastAsia="en-US"/>
          <w14:ligatures w14:val="standardContextual"/>
        </w:rPr>
        <w:t>Las preguntas de esta encuesta fueron validadas en dos instancias: (i) por la dirección de la UBE y (</w:t>
      </w:r>
      <w:proofErr w:type="spellStart"/>
      <w:r w:rsidRPr="00CD7EF9">
        <w:rPr>
          <w:rFonts w:ascii="Arial" w:eastAsiaTheme="minorHAnsi" w:hAnsi="Arial" w:cs="Arial"/>
          <w:kern w:val="2"/>
          <w:lang w:val="es-ES" w:eastAsia="en-US"/>
          <w14:ligatures w14:val="standardContextual"/>
        </w:rPr>
        <w:t>ii</w:t>
      </w:r>
      <w:proofErr w:type="spellEnd"/>
      <w:r w:rsidRPr="00CD7EF9">
        <w:rPr>
          <w:rFonts w:ascii="Arial" w:eastAsiaTheme="minorHAnsi" w:hAnsi="Arial" w:cs="Arial"/>
          <w:kern w:val="2"/>
          <w:lang w:val="es-ES" w:eastAsia="en-US"/>
          <w14:ligatures w14:val="standardContextual"/>
        </w:rPr>
        <w:t>) por un grupo de estudiantes escogidos al azar.</w:t>
      </w:r>
    </w:p>
    <w:p w14:paraId="1D0F8EEE" w14:textId="77777777" w:rsidR="00CD7EF9" w:rsidRDefault="00CD7EF9" w:rsidP="00CD7EF9">
      <w:pPr>
        <w:spacing w:line="360" w:lineRule="auto"/>
        <w:jc w:val="both"/>
        <w:rPr>
          <w:rFonts w:ascii="Arial" w:eastAsiaTheme="minorHAnsi" w:hAnsi="Arial" w:cs="Arial"/>
          <w:kern w:val="2"/>
          <w:lang w:val="es-EC" w:eastAsia="en-US"/>
          <w14:ligatures w14:val="standardContextual"/>
        </w:rPr>
      </w:pPr>
    </w:p>
    <w:p w14:paraId="4CE82F58" w14:textId="00822D46"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El estudio abarca el análisis de tres periodos académicos: (i) marzo-agosto 2022, (</w:t>
      </w:r>
      <w:proofErr w:type="spellStart"/>
      <w:r w:rsidRPr="00CD7EF9">
        <w:rPr>
          <w:rFonts w:ascii="Arial" w:eastAsiaTheme="minorHAnsi" w:hAnsi="Arial" w:cs="Arial"/>
          <w:kern w:val="2"/>
          <w:lang w:val="es-EC" w:eastAsia="en-US"/>
          <w14:ligatures w14:val="standardContextual"/>
        </w:rPr>
        <w:t>ii</w:t>
      </w:r>
      <w:proofErr w:type="spellEnd"/>
      <w:r w:rsidRPr="00CD7EF9">
        <w:rPr>
          <w:rFonts w:ascii="Arial" w:eastAsiaTheme="minorHAnsi" w:hAnsi="Arial" w:cs="Arial"/>
          <w:kern w:val="2"/>
          <w:lang w:val="es-EC" w:eastAsia="en-US"/>
          <w14:ligatures w14:val="standardContextual"/>
        </w:rPr>
        <w:t>) septiembre 2022–febrero 2023, y (</w:t>
      </w:r>
      <w:proofErr w:type="spellStart"/>
      <w:r w:rsidRPr="00CD7EF9">
        <w:rPr>
          <w:rFonts w:ascii="Arial" w:eastAsiaTheme="minorHAnsi" w:hAnsi="Arial" w:cs="Arial"/>
          <w:kern w:val="2"/>
          <w:lang w:val="es-EC" w:eastAsia="en-US"/>
          <w14:ligatures w14:val="standardContextual"/>
        </w:rPr>
        <w:t>iii</w:t>
      </w:r>
      <w:proofErr w:type="spellEnd"/>
      <w:r w:rsidRPr="00CD7EF9">
        <w:rPr>
          <w:rFonts w:ascii="Arial" w:eastAsiaTheme="minorHAnsi" w:hAnsi="Arial" w:cs="Arial"/>
          <w:kern w:val="2"/>
          <w:lang w:val="es-EC" w:eastAsia="en-US"/>
          <w14:ligatures w14:val="standardContextual"/>
        </w:rPr>
        <w:t>) marzo-agosto 2023. Para cada caso, la UBE proporciona los datos sobre el número de atenciones. A partir de allí, se determina una muestra representativa al usar la ecuación 1 mencionada por Montesano (2001).</w:t>
      </w:r>
    </w:p>
    <w:p w14:paraId="026D147F"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p>
    <w:p w14:paraId="2DB7F13A" w14:textId="77777777" w:rsidR="00CD7EF9" w:rsidRPr="00CD7EF9" w:rsidRDefault="00CD7EF9" w:rsidP="00CD7EF9">
      <w:pPr>
        <w:spacing w:line="360" w:lineRule="auto"/>
        <w:jc w:val="both"/>
        <w:rPr>
          <w:rFonts w:ascii="Arial" w:eastAsiaTheme="minorEastAsia" w:hAnsi="Arial" w:cs="Arial"/>
          <w:kern w:val="2"/>
          <w:lang w:val="es-EC" w:eastAsia="en-US"/>
          <w14:ligatures w14:val="standardContextual"/>
        </w:rPr>
      </w:pPr>
      <m:oMathPara>
        <m:oMath>
          <m:r>
            <m:rPr>
              <m:sty m:val="p"/>
            </m:rPr>
            <w:rPr>
              <w:rFonts w:ascii="Cambria Math" w:eastAsiaTheme="minorHAnsi" w:hAnsi="Cambria Math" w:cs="Arial"/>
              <w:kern w:val="2"/>
              <w:sz w:val="28"/>
              <w:szCs w:val="28"/>
              <w:lang w:val="es-EC" w:eastAsia="en-US"/>
              <w14:ligatures w14:val="standardContextual"/>
            </w:rPr>
            <m:t>n=</m:t>
          </m:r>
          <m:f>
            <m:fPr>
              <m:ctrlPr>
                <w:rPr>
                  <w:rFonts w:ascii="Cambria Math" w:eastAsiaTheme="minorHAnsi" w:hAnsi="Cambria Math" w:cs="Arial"/>
                  <w:kern w:val="2"/>
                  <w:sz w:val="28"/>
                  <w:szCs w:val="28"/>
                  <w:lang w:val="es-EC" w:eastAsia="en-US"/>
                  <w14:ligatures w14:val="standardContextual"/>
                </w:rPr>
              </m:ctrlPr>
            </m:fPr>
            <m:num>
              <m:sSup>
                <m:sSupPr>
                  <m:ctrlPr>
                    <w:rPr>
                      <w:rFonts w:ascii="Cambria Math" w:eastAsiaTheme="minorHAnsi" w:hAnsi="Cambria Math" w:cs="Arial"/>
                      <w:kern w:val="2"/>
                      <w:sz w:val="28"/>
                      <w:szCs w:val="28"/>
                      <w:lang w:val="es-EC" w:eastAsia="en-US"/>
                      <w14:ligatures w14:val="standardContextual"/>
                    </w:rPr>
                  </m:ctrlPr>
                </m:sSupPr>
                <m:e>
                  <m:r>
                    <m:rPr>
                      <m:sty m:val="p"/>
                    </m:rPr>
                    <w:rPr>
                      <w:rFonts w:ascii="Cambria Math" w:eastAsiaTheme="minorHAnsi" w:hAnsi="Cambria Math" w:cs="Arial"/>
                      <w:kern w:val="2"/>
                      <w:sz w:val="28"/>
                      <w:szCs w:val="28"/>
                      <w:lang w:val="es-EC" w:eastAsia="en-US"/>
                      <w14:ligatures w14:val="standardContextual"/>
                    </w:rPr>
                    <m:t>Z</m:t>
                  </m:r>
                </m:e>
                <m:sup>
                  <m:r>
                    <m:rPr>
                      <m:sty m:val="p"/>
                    </m:rPr>
                    <w:rPr>
                      <w:rFonts w:ascii="Cambria Math" w:eastAsiaTheme="minorHAnsi" w:hAnsi="Cambria Math" w:cs="Arial"/>
                      <w:kern w:val="2"/>
                      <w:sz w:val="28"/>
                      <w:szCs w:val="28"/>
                      <w:lang w:val="es-EC" w:eastAsia="en-US"/>
                      <w14:ligatures w14:val="standardContextual"/>
                    </w:rPr>
                    <m:t>2</m:t>
                  </m:r>
                </m:sup>
              </m:sSup>
              <m:r>
                <m:rPr>
                  <m:sty m:val="p"/>
                </m:rPr>
                <w:rPr>
                  <w:rFonts w:ascii="Cambria Math" w:eastAsiaTheme="minorHAnsi" w:hAnsi="Cambria Math" w:cs="Arial"/>
                  <w:kern w:val="2"/>
                  <w:sz w:val="28"/>
                  <w:szCs w:val="28"/>
                  <w:lang w:val="es-EC" w:eastAsia="en-US"/>
                  <w14:ligatures w14:val="standardContextual"/>
                </w:rPr>
                <m:t>*N*p*q</m:t>
              </m:r>
            </m:num>
            <m:den>
              <m:d>
                <m:dPr>
                  <m:ctrlPr>
                    <w:rPr>
                      <w:rFonts w:ascii="Cambria Math" w:eastAsiaTheme="minorHAnsi" w:hAnsi="Cambria Math" w:cs="Arial"/>
                      <w:kern w:val="2"/>
                      <w:sz w:val="28"/>
                      <w:szCs w:val="28"/>
                      <w:lang w:val="es-EC" w:eastAsia="en-US"/>
                      <w14:ligatures w14:val="standardContextual"/>
                    </w:rPr>
                  </m:ctrlPr>
                </m:dPr>
                <m:e>
                  <m:d>
                    <m:dPr>
                      <m:ctrlPr>
                        <w:rPr>
                          <w:rFonts w:ascii="Cambria Math" w:eastAsiaTheme="minorHAnsi" w:hAnsi="Cambria Math" w:cs="Arial"/>
                          <w:kern w:val="2"/>
                          <w:sz w:val="28"/>
                          <w:szCs w:val="28"/>
                          <w:lang w:val="es-EC" w:eastAsia="en-US"/>
                          <w14:ligatures w14:val="standardContextual"/>
                        </w:rPr>
                      </m:ctrlPr>
                    </m:dPr>
                    <m:e>
                      <m:r>
                        <m:rPr>
                          <m:sty m:val="p"/>
                        </m:rPr>
                        <w:rPr>
                          <w:rFonts w:ascii="Cambria Math" w:eastAsiaTheme="minorHAnsi" w:hAnsi="Cambria Math" w:cs="Arial"/>
                          <w:kern w:val="2"/>
                          <w:sz w:val="28"/>
                          <w:szCs w:val="28"/>
                          <w:lang w:val="es-EC" w:eastAsia="en-US"/>
                          <w14:ligatures w14:val="standardContextual"/>
                        </w:rPr>
                        <m:t>N-1</m:t>
                      </m:r>
                    </m:e>
                  </m:d>
                  <m:r>
                    <m:rPr>
                      <m:sty m:val="p"/>
                    </m:rPr>
                    <w:rPr>
                      <w:rFonts w:ascii="Cambria Math" w:eastAsiaTheme="minorHAnsi" w:hAnsi="Cambria Math" w:cs="Arial"/>
                      <w:kern w:val="2"/>
                      <w:sz w:val="28"/>
                      <w:szCs w:val="28"/>
                      <w:lang w:val="es-EC" w:eastAsia="en-US"/>
                      <w14:ligatures w14:val="standardContextual"/>
                    </w:rPr>
                    <m:t>*</m:t>
                  </m:r>
                  <m:sSup>
                    <m:sSupPr>
                      <m:ctrlPr>
                        <w:rPr>
                          <w:rFonts w:ascii="Cambria Math" w:eastAsiaTheme="minorHAnsi" w:hAnsi="Cambria Math" w:cs="Arial"/>
                          <w:kern w:val="2"/>
                          <w:sz w:val="28"/>
                          <w:szCs w:val="28"/>
                          <w:lang w:val="es-EC" w:eastAsia="en-US"/>
                          <w14:ligatures w14:val="standardContextual"/>
                        </w:rPr>
                      </m:ctrlPr>
                    </m:sSupPr>
                    <m:e>
                      <m:r>
                        <m:rPr>
                          <m:sty m:val="p"/>
                        </m:rPr>
                        <w:rPr>
                          <w:rFonts w:ascii="Cambria Math" w:eastAsiaTheme="minorHAnsi" w:hAnsi="Cambria Math" w:cs="Arial"/>
                          <w:kern w:val="2"/>
                          <w:sz w:val="28"/>
                          <w:szCs w:val="28"/>
                          <w:lang w:val="es-EC" w:eastAsia="en-US"/>
                          <w14:ligatures w14:val="standardContextual"/>
                        </w:rPr>
                        <m:t>e</m:t>
                      </m:r>
                    </m:e>
                    <m:sup>
                      <m:r>
                        <m:rPr>
                          <m:sty m:val="p"/>
                        </m:rPr>
                        <w:rPr>
                          <w:rFonts w:ascii="Cambria Math" w:eastAsiaTheme="minorHAnsi" w:hAnsi="Cambria Math" w:cs="Arial"/>
                          <w:kern w:val="2"/>
                          <w:sz w:val="28"/>
                          <w:szCs w:val="28"/>
                          <w:lang w:val="es-EC" w:eastAsia="en-US"/>
                          <w14:ligatures w14:val="standardContextual"/>
                        </w:rPr>
                        <m:t>2</m:t>
                      </m:r>
                    </m:sup>
                  </m:sSup>
                </m:e>
              </m:d>
              <m:r>
                <m:rPr>
                  <m:sty m:val="p"/>
                </m:rPr>
                <w:rPr>
                  <w:rFonts w:ascii="Cambria Math" w:eastAsiaTheme="minorHAnsi" w:hAnsi="Cambria Math" w:cs="Arial"/>
                  <w:kern w:val="2"/>
                  <w:sz w:val="28"/>
                  <w:szCs w:val="28"/>
                  <w:lang w:val="es-EC" w:eastAsia="en-US"/>
                  <w14:ligatures w14:val="standardContextual"/>
                </w:rPr>
                <m:t>+(</m:t>
              </m:r>
              <m:sSup>
                <m:sSupPr>
                  <m:ctrlPr>
                    <w:rPr>
                      <w:rFonts w:ascii="Cambria Math" w:eastAsiaTheme="minorHAnsi" w:hAnsi="Cambria Math" w:cs="Arial"/>
                      <w:kern w:val="2"/>
                      <w:sz w:val="28"/>
                      <w:szCs w:val="28"/>
                      <w:lang w:val="es-EC" w:eastAsia="en-US"/>
                      <w14:ligatures w14:val="standardContextual"/>
                    </w:rPr>
                  </m:ctrlPr>
                </m:sSupPr>
                <m:e>
                  <m:r>
                    <m:rPr>
                      <m:sty m:val="p"/>
                    </m:rPr>
                    <w:rPr>
                      <w:rFonts w:ascii="Cambria Math" w:eastAsiaTheme="minorHAnsi" w:hAnsi="Cambria Math" w:cs="Arial"/>
                      <w:kern w:val="2"/>
                      <w:sz w:val="28"/>
                      <w:szCs w:val="28"/>
                      <w:lang w:val="es-EC" w:eastAsia="en-US"/>
                      <w14:ligatures w14:val="standardContextual"/>
                    </w:rPr>
                    <m:t>Z</m:t>
                  </m:r>
                </m:e>
                <m:sup>
                  <m:r>
                    <m:rPr>
                      <m:sty m:val="p"/>
                    </m:rPr>
                    <w:rPr>
                      <w:rFonts w:ascii="Cambria Math" w:eastAsiaTheme="minorHAnsi" w:hAnsi="Cambria Math" w:cs="Arial"/>
                      <w:kern w:val="2"/>
                      <w:sz w:val="28"/>
                      <w:szCs w:val="28"/>
                      <w:lang w:val="es-EC" w:eastAsia="en-US"/>
                      <w14:ligatures w14:val="standardContextual"/>
                    </w:rPr>
                    <m:t>2</m:t>
                  </m:r>
                </m:sup>
              </m:sSup>
              <m:r>
                <m:rPr>
                  <m:sty m:val="p"/>
                </m:rPr>
                <w:rPr>
                  <w:rFonts w:ascii="Cambria Math" w:eastAsiaTheme="minorHAnsi" w:hAnsi="Cambria Math" w:cs="Arial"/>
                  <w:kern w:val="2"/>
                  <w:sz w:val="28"/>
                  <w:szCs w:val="28"/>
                  <w:lang w:val="es-EC" w:eastAsia="en-US"/>
                  <w14:ligatures w14:val="standardContextual"/>
                </w:rPr>
                <m:t>*p*q)</m:t>
              </m:r>
            </m:den>
          </m:f>
          <m:r>
            <m:rPr>
              <m:sty m:val="p"/>
            </m:rPr>
            <w:rPr>
              <w:rFonts w:ascii="Cambria Math" w:eastAsiaTheme="minorHAnsi" w:hAnsi="Cambria Math" w:cs="Arial"/>
              <w:kern w:val="2"/>
              <w:sz w:val="28"/>
              <w:szCs w:val="28"/>
              <w:lang w:val="es-EC" w:eastAsia="en-US"/>
              <w14:ligatures w14:val="standardContextual"/>
            </w:rPr>
            <m:t xml:space="preserve">       (Ec. 1)</m:t>
          </m:r>
        </m:oMath>
      </m:oMathPara>
    </w:p>
    <w:p w14:paraId="04AE148B"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p>
    <w:p w14:paraId="2556D424"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 xml:space="preserve">En la tabla 2 se muestra el número de atenciones por servicio y la muestra representativa calculada. Además, se depura la base de datos, lo cual significa la eliminación de algunos datos de estudiantes como proceso de validación y limpieza </w:t>
      </w:r>
      <w:r w:rsidRPr="00CD7EF9">
        <w:rPr>
          <w:rFonts w:ascii="Arial" w:eastAsiaTheme="minorHAnsi" w:hAnsi="Arial" w:cs="Arial"/>
          <w:kern w:val="2"/>
          <w:lang w:val="es-EC" w:eastAsia="en-US"/>
          <w14:ligatures w14:val="standardContextual"/>
        </w:rPr>
        <w:lastRenderedPageBreak/>
        <w:t>de datos. Se obtuvo un total de 710 datos recolectados, tal y como se muestra en la tabla 2.</w:t>
      </w:r>
    </w:p>
    <w:p w14:paraId="0F153309"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p>
    <w:p w14:paraId="3B539E76" w14:textId="77777777" w:rsidR="00CD7EF9" w:rsidRPr="00CD7EF9" w:rsidRDefault="00CD7EF9" w:rsidP="00CD7EF9">
      <w:pPr>
        <w:jc w:val="center"/>
        <w:rPr>
          <w:rFonts w:ascii="Arial" w:eastAsiaTheme="minorHAnsi" w:hAnsi="Arial" w:cs="Arial"/>
          <w:kern w:val="2"/>
          <w:lang w:val="es-EC" w:eastAsia="en-US"/>
          <w14:ligatures w14:val="standardContextual"/>
        </w:rPr>
      </w:pPr>
      <w:r w:rsidRPr="00CD7EF9">
        <w:rPr>
          <w:rFonts w:ascii="Arial" w:eastAsiaTheme="minorHAnsi" w:hAnsi="Arial" w:cs="Arial"/>
          <w:kern w:val="2"/>
          <w:lang w:val="es-ES" w:eastAsia="en-US"/>
          <w14:ligatures w14:val="standardContextual"/>
        </w:rPr>
        <w:t>Tabla 2. Muestra calculada y datos recolectados de la UBE por área</w:t>
      </w:r>
    </w:p>
    <w:tbl>
      <w:tblPr>
        <w:tblStyle w:val="Tablanormal4"/>
        <w:tblW w:w="8504" w:type="dxa"/>
        <w:tblLook w:val="04A0" w:firstRow="1" w:lastRow="0" w:firstColumn="1" w:lastColumn="0" w:noHBand="0" w:noVBand="1"/>
      </w:tblPr>
      <w:tblGrid>
        <w:gridCol w:w="975"/>
        <w:gridCol w:w="1073"/>
        <w:gridCol w:w="1268"/>
        <w:gridCol w:w="1268"/>
        <w:gridCol w:w="1268"/>
        <w:gridCol w:w="1219"/>
        <w:gridCol w:w="1574"/>
      </w:tblGrid>
      <w:tr w:rsidR="00CD7EF9" w:rsidRPr="00CD7EF9" w14:paraId="5C8F34A2" w14:textId="77777777" w:rsidTr="001B4644">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96" w:type="dxa"/>
            <w:tcBorders>
              <w:top w:val="single" w:sz="12" w:space="0" w:color="auto"/>
              <w:bottom w:val="single" w:sz="12" w:space="0" w:color="auto"/>
            </w:tcBorders>
            <w:shd w:val="clear" w:color="auto" w:fill="auto"/>
            <w:vAlign w:val="center"/>
          </w:tcPr>
          <w:p w14:paraId="11F2E591"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Grupo</w:t>
            </w:r>
          </w:p>
        </w:tc>
        <w:tc>
          <w:tcPr>
            <w:tcW w:w="1190" w:type="dxa"/>
            <w:tcBorders>
              <w:top w:val="single" w:sz="12" w:space="0" w:color="auto"/>
              <w:bottom w:val="single" w:sz="12" w:space="0" w:color="auto"/>
            </w:tcBorders>
            <w:shd w:val="clear" w:color="auto" w:fill="auto"/>
            <w:vAlign w:val="center"/>
          </w:tcPr>
          <w:p w14:paraId="2E5DB734"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Servicio</w:t>
            </w:r>
          </w:p>
        </w:tc>
        <w:tc>
          <w:tcPr>
            <w:tcW w:w="1199" w:type="dxa"/>
            <w:tcBorders>
              <w:top w:val="single" w:sz="12" w:space="0" w:color="auto"/>
              <w:bottom w:val="single" w:sz="12" w:space="0" w:color="auto"/>
            </w:tcBorders>
            <w:shd w:val="clear" w:color="auto" w:fill="auto"/>
            <w:vAlign w:val="center"/>
          </w:tcPr>
          <w:p w14:paraId="5C4A2353"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Población individual</w:t>
            </w:r>
          </w:p>
        </w:tc>
        <w:tc>
          <w:tcPr>
            <w:tcW w:w="1168" w:type="dxa"/>
            <w:tcBorders>
              <w:top w:val="single" w:sz="12" w:space="0" w:color="auto"/>
              <w:bottom w:val="single" w:sz="12" w:space="0" w:color="auto"/>
            </w:tcBorders>
            <w:shd w:val="clear" w:color="auto" w:fill="auto"/>
            <w:vAlign w:val="center"/>
          </w:tcPr>
          <w:p w14:paraId="233A1466"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Población depurada</w:t>
            </w:r>
          </w:p>
        </w:tc>
        <w:tc>
          <w:tcPr>
            <w:tcW w:w="1302" w:type="dxa"/>
            <w:tcBorders>
              <w:top w:val="single" w:sz="12" w:space="0" w:color="auto"/>
              <w:bottom w:val="single" w:sz="12" w:space="0" w:color="auto"/>
            </w:tcBorders>
            <w:shd w:val="clear" w:color="auto" w:fill="auto"/>
            <w:vAlign w:val="center"/>
          </w:tcPr>
          <w:p w14:paraId="062D6074"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Población final</w:t>
            </w:r>
          </w:p>
        </w:tc>
        <w:tc>
          <w:tcPr>
            <w:tcW w:w="1148" w:type="dxa"/>
            <w:tcBorders>
              <w:top w:val="single" w:sz="12" w:space="0" w:color="auto"/>
              <w:bottom w:val="single" w:sz="12" w:space="0" w:color="auto"/>
            </w:tcBorders>
            <w:shd w:val="clear" w:color="auto" w:fill="auto"/>
            <w:vAlign w:val="center"/>
          </w:tcPr>
          <w:p w14:paraId="15D9FBFD"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Muestra calculada</w:t>
            </w:r>
          </w:p>
        </w:tc>
        <w:tc>
          <w:tcPr>
            <w:tcW w:w="1501" w:type="dxa"/>
            <w:tcBorders>
              <w:top w:val="single" w:sz="12" w:space="0" w:color="auto"/>
              <w:bottom w:val="single" w:sz="12" w:space="0" w:color="auto"/>
            </w:tcBorders>
            <w:shd w:val="clear" w:color="auto" w:fill="auto"/>
            <w:vAlign w:val="center"/>
          </w:tcPr>
          <w:p w14:paraId="66A4D513" w14:textId="77777777" w:rsidR="00CD7EF9" w:rsidRPr="00CD7EF9" w:rsidRDefault="00CD7EF9" w:rsidP="00CD7EF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Datos recolectados</w:t>
            </w:r>
          </w:p>
        </w:tc>
      </w:tr>
      <w:tr w:rsidR="00CD7EF9" w:rsidRPr="00CD7EF9" w14:paraId="030A902B"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6" w:type="dxa"/>
            <w:vMerge w:val="restart"/>
            <w:tcBorders>
              <w:top w:val="single" w:sz="12" w:space="0" w:color="auto"/>
            </w:tcBorders>
            <w:shd w:val="clear" w:color="auto" w:fill="auto"/>
            <w:vAlign w:val="center"/>
          </w:tcPr>
          <w:p w14:paraId="7CE318EB"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Área médica</w:t>
            </w:r>
          </w:p>
        </w:tc>
        <w:tc>
          <w:tcPr>
            <w:tcW w:w="1190" w:type="dxa"/>
            <w:tcBorders>
              <w:top w:val="single" w:sz="12" w:space="0" w:color="auto"/>
              <w:bottom w:val="single" w:sz="4" w:space="0" w:color="auto"/>
            </w:tcBorders>
            <w:shd w:val="clear" w:color="auto" w:fill="auto"/>
            <w:vAlign w:val="center"/>
          </w:tcPr>
          <w:p w14:paraId="2F3FE90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S1</w:t>
            </w:r>
          </w:p>
        </w:tc>
        <w:tc>
          <w:tcPr>
            <w:tcW w:w="1199" w:type="dxa"/>
            <w:tcBorders>
              <w:top w:val="single" w:sz="12" w:space="0" w:color="auto"/>
              <w:bottom w:val="single" w:sz="4" w:space="0" w:color="auto"/>
            </w:tcBorders>
            <w:shd w:val="clear" w:color="auto" w:fill="auto"/>
            <w:vAlign w:val="center"/>
          </w:tcPr>
          <w:p w14:paraId="41DC975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1410</w:t>
            </w:r>
          </w:p>
        </w:tc>
        <w:tc>
          <w:tcPr>
            <w:tcW w:w="1168" w:type="dxa"/>
            <w:vMerge w:val="restart"/>
            <w:tcBorders>
              <w:top w:val="single" w:sz="12" w:space="0" w:color="auto"/>
            </w:tcBorders>
            <w:shd w:val="clear" w:color="auto" w:fill="auto"/>
            <w:vAlign w:val="center"/>
          </w:tcPr>
          <w:p w14:paraId="46A631C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5</w:t>
            </w:r>
          </w:p>
        </w:tc>
        <w:tc>
          <w:tcPr>
            <w:tcW w:w="1302" w:type="dxa"/>
            <w:vMerge w:val="restart"/>
            <w:tcBorders>
              <w:top w:val="single" w:sz="12" w:space="0" w:color="auto"/>
            </w:tcBorders>
            <w:shd w:val="clear" w:color="auto" w:fill="auto"/>
            <w:vAlign w:val="center"/>
          </w:tcPr>
          <w:p w14:paraId="70D17FD4"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1424</w:t>
            </w:r>
          </w:p>
        </w:tc>
        <w:tc>
          <w:tcPr>
            <w:tcW w:w="1148" w:type="dxa"/>
            <w:vMerge w:val="restart"/>
            <w:tcBorders>
              <w:top w:val="single" w:sz="12" w:space="0" w:color="auto"/>
            </w:tcBorders>
            <w:shd w:val="clear" w:color="auto" w:fill="auto"/>
            <w:vAlign w:val="center"/>
          </w:tcPr>
          <w:p w14:paraId="3021D99C"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325</w:t>
            </w:r>
          </w:p>
        </w:tc>
        <w:tc>
          <w:tcPr>
            <w:tcW w:w="1501" w:type="dxa"/>
            <w:vMerge w:val="restart"/>
            <w:tcBorders>
              <w:top w:val="single" w:sz="12" w:space="0" w:color="auto"/>
            </w:tcBorders>
            <w:shd w:val="clear" w:color="auto" w:fill="auto"/>
            <w:vAlign w:val="center"/>
          </w:tcPr>
          <w:p w14:paraId="1DA5F73D"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325</w:t>
            </w:r>
          </w:p>
        </w:tc>
      </w:tr>
      <w:tr w:rsidR="00CD7EF9" w:rsidRPr="00CD7EF9" w14:paraId="29BE21E3"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996" w:type="dxa"/>
            <w:vMerge/>
            <w:tcBorders>
              <w:bottom w:val="single" w:sz="4" w:space="0" w:color="auto"/>
            </w:tcBorders>
            <w:shd w:val="clear" w:color="auto" w:fill="auto"/>
            <w:vAlign w:val="center"/>
          </w:tcPr>
          <w:p w14:paraId="47496D28"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4" w:space="0" w:color="auto"/>
            </w:tcBorders>
            <w:shd w:val="clear" w:color="auto" w:fill="auto"/>
            <w:vAlign w:val="center"/>
          </w:tcPr>
          <w:p w14:paraId="66ED5F76"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S2</w:t>
            </w:r>
          </w:p>
        </w:tc>
        <w:tc>
          <w:tcPr>
            <w:tcW w:w="1199" w:type="dxa"/>
            <w:tcBorders>
              <w:top w:val="single" w:sz="4" w:space="0" w:color="auto"/>
              <w:bottom w:val="single" w:sz="4" w:space="0" w:color="auto"/>
            </w:tcBorders>
            <w:shd w:val="clear" w:color="auto" w:fill="auto"/>
            <w:vAlign w:val="center"/>
          </w:tcPr>
          <w:p w14:paraId="3B743119"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19</w:t>
            </w:r>
          </w:p>
        </w:tc>
        <w:tc>
          <w:tcPr>
            <w:tcW w:w="1168" w:type="dxa"/>
            <w:vMerge/>
            <w:tcBorders>
              <w:bottom w:val="single" w:sz="4" w:space="0" w:color="auto"/>
            </w:tcBorders>
            <w:shd w:val="clear" w:color="auto" w:fill="auto"/>
            <w:vAlign w:val="center"/>
          </w:tcPr>
          <w:p w14:paraId="738C4FE4"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302" w:type="dxa"/>
            <w:vMerge/>
            <w:tcBorders>
              <w:bottom w:val="single" w:sz="4" w:space="0" w:color="auto"/>
            </w:tcBorders>
            <w:shd w:val="clear" w:color="auto" w:fill="auto"/>
            <w:vAlign w:val="center"/>
          </w:tcPr>
          <w:p w14:paraId="68E1C66D"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148" w:type="dxa"/>
            <w:vMerge/>
            <w:tcBorders>
              <w:bottom w:val="single" w:sz="4" w:space="0" w:color="auto"/>
            </w:tcBorders>
            <w:shd w:val="clear" w:color="auto" w:fill="auto"/>
            <w:vAlign w:val="center"/>
          </w:tcPr>
          <w:p w14:paraId="38863351"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501" w:type="dxa"/>
            <w:vMerge/>
            <w:tcBorders>
              <w:bottom w:val="single" w:sz="4" w:space="0" w:color="auto"/>
            </w:tcBorders>
            <w:shd w:val="clear" w:color="auto" w:fill="auto"/>
            <w:vAlign w:val="center"/>
          </w:tcPr>
          <w:p w14:paraId="0F6B7D99"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r w:rsidR="00CD7EF9" w:rsidRPr="00CD7EF9" w14:paraId="630E7679"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6" w:type="dxa"/>
            <w:vMerge w:val="restart"/>
            <w:shd w:val="clear" w:color="auto" w:fill="auto"/>
            <w:vAlign w:val="center"/>
          </w:tcPr>
          <w:p w14:paraId="7E26C9FE" w14:textId="77777777" w:rsidR="00CD7EF9" w:rsidRPr="00CD7EF9" w:rsidRDefault="00CD7EF9" w:rsidP="00CD7EF9">
            <w:pPr>
              <w:spacing w:line="276" w:lineRule="auto"/>
              <w:jc w:val="center"/>
              <w:rPr>
                <w:rFonts w:ascii="Arial" w:eastAsiaTheme="minorHAnsi" w:hAnsi="Arial" w:cs="Arial"/>
                <w:lang w:eastAsia="en-US"/>
              </w:rPr>
            </w:pPr>
            <w:r w:rsidRPr="00CD7EF9">
              <w:rPr>
                <w:rFonts w:ascii="Arial" w:eastAsiaTheme="minorHAnsi" w:hAnsi="Arial" w:cs="Arial"/>
                <w:lang w:eastAsia="en-US"/>
              </w:rPr>
              <w:t>Otras áreas</w:t>
            </w:r>
          </w:p>
        </w:tc>
        <w:tc>
          <w:tcPr>
            <w:tcW w:w="1190" w:type="dxa"/>
            <w:tcBorders>
              <w:bottom w:val="single" w:sz="4" w:space="0" w:color="auto"/>
            </w:tcBorders>
            <w:shd w:val="clear" w:color="auto" w:fill="auto"/>
            <w:vAlign w:val="center"/>
          </w:tcPr>
          <w:p w14:paraId="31200EE2"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S3</w:t>
            </w:r>
          </w:p>
        </w:tc>
        <w:tc>
          <w:tcPr>
            <w:tcW w:w="1199" w:type="dxa"/>
            <w:tcBorders>
              <w:bottom w:val="single" w:sz="4" w:space="0" w:color="auto"/>
            </w:tcBorders>
            <w:shd w:val="clear" w:color="auto" w:fill="auto"/>
            <w:vAlign w:val="center"/>
          </w:tcPr>
          <w:p w14:paraId="35E7C673"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507</w:t>
            </w:r>
          </w:p>
        </w:tc>
        <w:tc>
          <w:tcPr>
            <w:tcW w:w="1168" w:type="dxa"/>
            <w:vMerge w:val="restart"/>
            <w:shd w:val="clear" w:color="auto" w:fill="auto"/>
            <w:vAlign w:val="center"/>
          </w:tcPr>
          <w:p w14:paraId="17B4F528"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126</w:t>
            </w:r>
          </w:p>
        </w:tc>
        <w:tc>
          <w:tcPr>
            <w:tcW w:w="1302" w:type="dxa"/>
            <w:vMerge w:val="restart"/>
            <w:shd w:val="clear" w:color="auto" w:fill="auto"/>
            <w:vAlign w:val="center"/>
          </w:tcPr>
          <w:p w14:paraId="142DCF08"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1611</w:t>
            </w:r>
          </w:p>
        </w:tc>
        <w:tc>
          <w:tcPr>
            <w:tcW w:w="1148" w:type="dxa"/>
            <w:vMerge w:val="restart"/>
            <w:shd w:val="clear" w:color="auto" w:fill="auto"/>
            <w:vAlign w:val="center"/>
          </w:tcPr>
          <w:p w14:paraId="3C6C3508"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365</w:t>
            </w:r>
          </w:p>
        </w:tc>
        <w:tc>
          <w:tcPr>
            <w:tcW w:w="1501" w:type="dxa"/>
            <w:vMerge w:val="restart"/>
            <w:shd w:val="clear" w:color="auto" w:fill="auto"/>
            <w:vAlign w:val="center"/>
          </w:tcPr>
          <w:p w14:paraId="1E3B468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385</w:t>
            </w:r>
          </w:p>
        </w:tc>
      </w:tr>
      <w:tr w:rsidR="00CD7EF9" w:rsidRPr="00CD7EF9" w14:paraId="6245055F"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996" w:type="dxa"/>
            <w:vMerge/>
            <w:shd w:val="clear" w:color="auto" w:fill="auto"/>
            <w:vAlign w:val="center"/>
          </w:tcPr>
          <w:p w14:paraId="3CE3E556"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4" w:space="0" w:color="auto"/>
            </w:tcBorders>
            <w:shd w:val="clear" w:color="auto" w:fill="auto"/>
            <w:vAlign w:val="center"/>
          </w:tcPr>
          <w:p w14:paraId="0DE1E4DE"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S4</w:t>
            </w:r>
          </w:p>
        </w:tc>
        <w:tc>
          <w:tcPr>
            <w:tcW w:w="1199" w:type="dxa"/>
            <w:tcBorders>
              <w:top w:val="single" w:sz="4" w:space="0" w:color="auto"/>
              <w:bottom w:val="single" w:sz="4" w:space="0" w:color="auto"/>
            </w:tcBorders>
            <w:shd w:val="clear" w:color="auto" w:fill="auto"/>
            <w:vAlign w:val="center"/>
          </w:tcPr>
          <w:p w14:paraId="2E15DD36"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51</w:t>
            </w:r>
          </w:p>
        </w:tc>
        <w:tc>
          <w:tcPr>
            <w:tcW w:w="1168" w:type="dxa"/>
            <w:vMerge/>
            <w:shd w:val="clear" w:color="auto" w:fill="auto"/>
            <w:vAlign w:val="center"/>
          </w:tcPr>
          <w:p w14:paraId="17D41BD0"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302" w:type="dxa"/>
            <w:vMerge/>
            <w:shd w:val="clear" w:color="auto" w:fill="auto"/>
            <w:vAlign w:val="center"/>
          </w:tcPr>
          <w:p w14:paraId="3F3BC112"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148" w:type="dxa"/>
            <w:vMerge/>
            <w:shd w:val="clear" w:color="auto" w:fill="auto"/>
            <w:vAlign w:val="center"/>
          </w:tcPr>
          <w:p w14:paraId="726AA674"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501" w:type="dxa"/>
            <w:vMerge/>
            <w:shd w:val="clear" w:color="auto" w:fill="auto"/>
            <w:vAlign w:val="center"/>
          </w:tcPr>
          <w:p w14:paraId="0080A4F5"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r w:rsidR="00CD7EF9" w:rsidRPr="00CD7EF9" w14:paraId="0EF96EB5"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6" w:type="dxa"/>
            <w:vMerge/>
            <w:shd w:val="clear" w:color="auto" w:fill="auto"/>
            <w:vAlign w:val="center"/>
          </w:tcPr>
          <w:p w14:paraId="0CEBFA76"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4" w:space="0" w:color="auto"/>
            </w:tcBorders>
            <w:shd w:val="clear" w:color="auto" w:fill="auto"/>
            <w:vAlign w:val="center"/>
          </w:tcPr>
          <w:p w14:paraId="53F443DA"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S5</w:t>
            </w:r>
          </w:p>
        </w:tc>
        <w:tc>
          <w:tcPr>
            <w:tcW w:w="1199" w:type="dxa"/>
            <w:tcBorders>
              <w:top w:val="single" w:sz="4" w:space="0" w:color="auto"/>
              <w:bottom w:val="single" w:sz="4" w:space="0" w:color="auto"/>
            </w:tcBorders>
            <w:shd w:val="clear" w:color="auto" w:fill="auto"/>
            <w:vAlign w:val="center"/>
          </w:tcPr>
          <w:p w14:paraId="5CDBEAD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1033</w:t>
            </w:r>
          </w:p>
        </w:tc>
        <w:tc>
          <w:tcPr>
            <w:tcW w:w="1168" w:type="dxa"/>
            <w:vMerge/>
            <w:shd w:val="clear" w:color="auto" w:fill="auto"/>
            <w:vAlign w:val="center"/>
          </w:tcPr>
          <w:p w14:paraId="7BCE3D55"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302" w:type="dxa"/>
            <w:vMerge/>
            <w:shd w:val="clear" w:color="auto" w:fill="auto"/>
            <w:vAlign w:val="center"/>
          </w:tcPr>
          <w:p w14:paraId="3213DB4B"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148" w:type="dxa"/>
            <w:vMerge/>
            <w:shd w:val="clear" w:color="auto" w:fill="auto"/>
            <w:vAlign w:val="center"/>
          </w:tcPr>
          <w:p w14:paraId="3ED09800"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501" w:type="dxa"/>
            <w:vMerge/>
            <w:shd w:val="clear" w:color="auto" w:fill="auto"/>
            <w:vAlign w:val="center"/>
          </w:tcPr>
          <w:p w14:paraId="636403FA"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r>
      <w:tr w:rsidR="00CD7EF9" w:rsidRPr="00CD7EF9" w14:paraId="3B38EEDB"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996" w:type="dxa"/>
            <w:vMerge/>
            <w:shd w:val="clear" w:color="auto" w:fill="auto"/>
            <w:vAlign w:val="center"/>
          </w:tcPr>
          <w:p w14:paraId="1218C3EA"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4" w:space="0" w:color="auto"/>
            </w:tcBorders>
            <w:shd w:val="clear" w:color="auto" w:fill="auto"/>
            <w:vAlign w:val="center"/>
          </w:tcPr>
          <w:p w14:paraId="5B209749"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S6</w:t>
            </w:r>
          </w:p>
        </w:tc>
        <w:tc>
          <w:tcPr>
            <w:tcW w:w="1199" w:type="dxa"/>
            <w:tcBorders>
              <w:top w:val="single" w:sz="4" w:space="0" w:color="auto"/>
              <w:bottom w:val="single" w:sz="4" w:space="0" w:color="auto"/>
            </w:tcBorders>
            <w:shd w:val="clear" w:color="auto" w:fill="auto"/>
            <w:vAlign w:val="center"/>
          </w:tcPr>
          <w:p w14:paraId="0C58BCF7"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38</w:t>
            </w:r>
          </w:p>
        </w:tc>
        <w:tc>
          <w:tcPr>
            <w:tcW w:w="1168" w:type="dxa"/>
            <w:vMerge/>
            <w:shd w:val="clear" w:color="auto" w:fill="auto"/>
            <w:vAlign w:val="center"/>
          </w:tcPr>
          <w:p w14:paraId="4356035B"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302" w:type="dxa"/>
            <w:vMerge/>
            <w:shd w:val="clear" w:color="auto" w:fill="auto"/>
            <w:vAlign w:val="center"/>
          </w:tcPr>
          <w:p w14:paraId="55CB99AB"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148" w:type="dxa"/>
            <w:vMerge/>
            <w:shd w:val="clear" w:color="auto" w:fill="auto"/>
            <w:vAlign w:val="center"/>
          </w:tcPr>
          <w:p w14:paraId="7ED30644"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501" w:type="dxa"/>
            <w:vMerge/>
            <w:shd w:val="clear" w:color="auto" w:fill="auto"/>
            <w:vAlign w:val="center"/>
          </w:tcPr>
          <w:p w14:paraId="00A4540C"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r w:rsidR="00CD7EF9" w:rsidRPr="00CD7EF9" w14:paraId="71543E3F"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6" w:type="dxa"/>
            <w:vMerge/>
            <w:shd w:val="clear" w:color="auto" w:fill="auto"/>
            <w:vAlign w:val="center"/>
          </w:tcPr>
          <w:p w14:paraId="12301EA1"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4" w:space="0" w:color="auto"/>
            </w:tcBorders>
            <w:shd w:val="clear" w:color="auto" w:fill="auto"/>
            <w:vAlign w:val="center"/>
          </w:tcPr>
          <w:p w14:paraId="5B13C7F9"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S7</w:t>
            </w:r>
          </w:p>
        </w:tc>
        <w:tc>
          <w:tcPr>
            <w:tcW w:w="1199" w:type="dxa"/>
            <w:tcBorders>
              <w:top w:val="single" w:sz="4" w:space="0" w:color="auto"/>
              <w:bottom w:val="single" w:sz="4" w:space="0" w:color="auto"/>
            </w:tcBorders>
            <w:shd w:val="clear" w:color="auto" w:fill="auto"/>
            <w:vAlign w:val="center"/>
          </w:tcPr>
          <w:p w14:paraId="20EB9238"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76</w:t>
            </w:r>
          </w:p>
        </w:tc>
        <w:tc>
          <w:tcPr>
            <w:tcW w:w="1168" w:type="dxa"/>
            <w:vMerge/>
            <w:shd w:val="clear" w:color="auto" w:fill="auto"/>
            <w:vAlign w:val="center"/>
          </w:tcPr>
          <w:p w14:paraId="0855445D"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302" w:type="dxa"/>
            <w:vMerge/>
            <w:shd w:val="clear" w:color="auto" w:fill="auto"/>
            <w:vAlign w:val="center"/>
          </w:tcPr>
          <w:p w14:paraId="4A2C6B57"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148" w:type="dxa"/>
            <w:vMerge/>
            <w:shd w:val="clear" w:color="auto" w:fill="auto"/>
            <w:vAlign w:val="center"/>
          </w:tcPr>
          <w:p w14:paraId="251ED45B"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c>
          <w:tcPr>
            <w:tcW w:w="1501" w:type="dxa"/>
            <w:vMerge/>
            <w:shd w:val="clear" w:color="auto" w:fill="auto"/>
            <w:vAlign w:val="center"/>
          </w:tcPr>
          <w:p w14:paraId="2AC5622E" w14:textId="77777777" w:rsidR="00CD7EF9" w:rsidRPr="00CD7EF9" w:rsidRDefault="00CD7EF9" w:rsidP="00CD7EF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p>
        </w:tc>
      </w:tr>
      <w:tr w:rsidR="00CD7EF9" w:rsidRPr="00CD7EF9" w14:paraId="4E8AFA16"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996" w:type="dxa"/>
            <w:vMerge/>
            <w:tcBorders>
              <w:bottom w:val="single" w:sz="12" w:space="0" w:color="auto"/>
            </w:tcBorders>
            <w:shd w:val="clear" w:color="auto" w:fill="auto"/>
            <w:vAlign w:val="center"/>
          </w:tcPr>
          <w:p w14:paraId="47E4F84A" w14:textId="77777777" w:rsidR="00CD7EF9" w:rsidRPr="00CD7EF9" w:rsidRDefault="00CD7EF9" w:rsidP="00CD7EF9">
            <w:pPr>
              <w:spacing w:line="276" w:lineRule="auto"/>
              <w:jc w:val="center"/>
              <w:rPr>
                <w:rFonts w:ascii="Arial" w:eastAsiaTheme="minorHAnsi" w:hAnsi="Arial" w:cs="Arial"/>
                <w:lang w:eastAsia="en-US"/>
              </w:rPr>
            </w:pPr>
          </w:p>
        </w:tc>
        <w:tc>
          <w:tcPr>
            <w:tcW w:w="1190" w:type="dxa"/>
            <w:tcBorders>
              <w:top w:val="single" w:sz="4" w:space="0" w:color="auto"/>
              <w:bottom w:val="single" w:sz="12" w:space="0" w:color="auto"/>
            </w:tcBorders>
            <w:shd w:val="clear" w:color="auto" w:fill="auto"/>
            <w:vAlign w:val="center"/>
          </w:tcPr>
          <w:p w14:paraId="3615FD09"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S8</w:t>
            </w:r>
          </w:p>
        </w:tc>
        <w:tc>
          <w:tcPr>
            <w:tcW w:w="1199" w:type="dxa"/>
            <w:tcBorders>
              <w:top w:val="single" w:sz="4" w:space="0" w:color="auto"/>
              <w:bottom w:val="single" w:sz="12" w:space="0" w:color="auto"/>
            </w:tcBorders>
            <w:shd w:val="clear" w:color="auto" w:fill="auto"/>
            <w:vAlign w:val="center"/>
          </w:tcPr>
          <w:p w14:paraId="0499070F"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CD7EF9">
              <w:rPr>
                <w:rFonts w:ascii="Arial" w:eastAsiaTheme="minorHAnsi" w:hAnsi="Arial" w:cs="Arial"/>
                <w:lang w:eastAsia="en-US"/>
              </w:rPr>
              <w:t>32</w:t>
            </w:r>
          </w:p>
        </w:tc>
        <w:tc>
          <w:tcPr>
            <w:tcW w:w="1168" w:type="dxa"/>
            <w:vMerge/>
            <w:tcBorders>
              <w:bottom w:val="single" w:sz="12" w:space="0" w:color="auto"/>
            </w:tcBorders>
            <w:shd w:val="clear" w:color="auto" w:fill="auto"/>
            <w:vAlign w:val="center"/>
          </w:tcPr>
          <w:p w14:paraId="7DB0742E"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302" w:type="dxa"/>
            <w:vMerge/>
            <w:tcBorders>
              <w:bottom w:val="single" w:sz="12" w:space="0" w:color="auto"/>
            </w:tcBorders>
            <w:shd w:val="clear" w:color="auto" w:fill="auto"/>
            <w:vAlign w:val="center"/>
          </w:tcPr>
          <w:p w14:paraId="75660F94"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148" w:type="dxa"/>
            <w:vMerge/>
            <w:tcBorders>
              <w:bottom w:val="single" w:sz="12" w:space="0" w:color="auto"/>
            </w:tcBorders>
            <w:shd w:val="clear" w:color="auto" w:fill="auto"/>
            <w:vAlign w:val="center"/>
          </w:tcPr>
          <w:p w14:paraId="67709F2B"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501" w:type="dxa"/>
            <w:vMerge/>
            <w:tcBorders>
              <w:bottom w:val="single" w:sz="12" w:space="0" w:color="auto"/>
            </w:tcBorders>
            <w:shd w:val="clear" w:color="auto" w:fill="auto"/>
            <w:vAlign w:val="center"/>
          </w:tcPr>
          <w:p w14:paraId="66971EF1" w14:textId="77777777" w:rsidR="00CD7EF9" w:rsidRPr="00CD7EF9" w:rsidRDefault="00CD7EF9" w:rsidP="00CD7EF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bl>
    <w:p w14:paraId="44A90578" w14:textId="77777777" w:rsidR="00CD7EF9" w:rsidRPr="00CD7EF9" w:rsidRDefault="00CD7EF9" w:rsidP="00CD7EF9">
      <w:pPr>
        <w:spacing w:line="360" w:lineRule="auto"/>
        <w:jc w:val="both"/>
        <w:rPr>
          <w:rFonts w:ascii="Arial" w:eastAsiaTheme="minorHAnsi" w:hAnsi="Arial" w:cs="Arial"/>
          <w:b/>
          <w:bCs/>
          <w:kern w:val="2"/>
          <w:lang w:val="es-EC" w:eastAsia="en-US"/>
          <w14:ligatures w14:val="standardContextual"/>
        </w:rPr>
      </w:pPr>
    </w:p>
    <w:p w14:paraId="2343A084" w14:textId="77777777" w:rsidR="00CD7EF9" w:rsidRPr="00CD7EF9" w:rsidRDefault="00CD7EF9" w:rsidP="00CD7EF9">
      <w:pPr>
        <w:spacing w:line="360" w:lineRule="auto"/>
        <w:jc w:val="both"/>
        <w:rPr>
          <w:rFonts w:ascii="Arial" w:eastAsiaTheme="minorHAnsi" w:hAnsi="Arial" w:cs="Arial"/>
          <w:b/>
          <w:bCs/>
          <w:kern w:val="2"/>
          <w:lang w:val="es-EC" w:eastAsia="en-US"/>
          <w14:ligatures w14:val="standardContextual"/>
        </w:rPr>
      </w:pPr>
      <w:r w:rsidRPr="00CD7EF9">
        <w:rPr>
          <w:rFonts w:ascii="Arial" w:eastAsiaTheme="minorHAnsi" w:hAnsi="Arial" w:cs="Arial"/>
          <w:b/>
          <w:bCs/>
          <w:kern w:val="2"/>
          <w:lang w:val="es-EC" w:eastAsia="en-US"/>
          <w14:ligatures w14:val="standardContextual"/>
        </w:rPr>
        <w:t>Segunda fase: análisis de los datos</w:t>
      </w:r>
    </w:p>
    <w:p w14:paraId="7471AC36" w14:textId="77777777"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Con respecto a las entrevistas, se identifican y se registran los problemas detectados en el proceso de cada uno de los servicios de la UBE.</w:t>
      </w:r>
    </w:p>
    <w:p w14:paraId="7F572EE7" w14:textId="77777777" w:rsidR="006E1B50" w:rsidRDefault="006E1B50" w:rsidP="00CD7EF9">
      <w:pPr>
        <w:spacing w:line="360" w:lineRule="auto"/>
        <w:jc w:val="both"/>
        <w:rPr>
          <w:rFonts w:ascii="Arial" w:eastAsiaTheme="minorHAnsi" w:hAnsi="Arial" w:cs="Arial"/>
          <w:kern w:val="2"/>
          <w:lang w:val="es-EC" w:eastAsia="en-US"/>
          <w14:ligatures w14:val="standardContextual"/>
        </w:rPr>
      </w:pPr>
    </w:p>
    <w:p w14:paraId="47E87FAA" w14:textId="14D66115"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Además, las respuestas de las encuestas se estructuraron de la siguiente manera: (i) información demográfica (sexo, edad, facultad, servicio utilizado y periodo académico), (</w:t>
      </w:r>
      <w:proofErr w:type="spellStart"/>
      <w:r w:rsidRPr="00CD7EF9">
        <w:rPr>
          <w:rFonts w:ascii="Arial" w:eastAsiaTheme="minorHAnsi" w:hAnsi="Arial" w:cs="Arial"/>
          <w:kern w:val="2"/>
          <w:lang w:val="es-EC" w:eastAsia="en-US"/>
          <w14:ligatures w14:val="standardContextual"/>
        </w:rPr>
        <w:t>ii</w:t>
      </w:r>
      <w:proofErr w:type="spellEnd"/>
      <w:r w:rsidRPr="00CD7EF9">
        <w:rPr>
          <w:rFonts w:ascii="Arial" w:eastAsiaTheme="minorHAnsi" w:hAnsi="Arial" w:cs="Arial"/>
          <w:kern w:val="2"/>
          <w:lang w:val="es-EC" w:eastAsia="en-US"/>
          <w14:ligatures w14:val="standardContextual"/>
        </w:rPr>
        <w:t>) información sobre el servicio (proceso, utilidad y satisfacción sobre el servicio) y (</w:t>
      </w:r>
      <w:proofErr w:type="spellStart"/>
      <w:r w:rsidRPr="00CD7EF9">
        <w:rPr>
          <w:rFonts w:ascii="Arial" w:eastAsiaTheme="minorHAnsi" w:hAnsi="Arial" w:cs="Arial"/>
          <w:kern w:val="2"/>
          <w:lang w:val="es-EC" w:eastAsia="en-US"/>
          <w14:ligatures w14:val="standardContextual"/>
        </w:rPr>
        <w:t>iii</w:t>
      </w:r>
      <w:proofErr w:type="spellEnd"/>
      <w:r w:rsidRPr="00CD7EF9">
        <w:rPr>
          <w:rFonts w:ascii="Arial" w:eastAsiaTheme="minorHAnsi" w:hAnsi="Arial" w:cs="Arial"/>
          <w:kern w:val="2"/>
          <w:lang w:val="es-EC" w:eastAsia="en-US"/>
          <w14:ligatures w14:val="standardContextual"/>
        </w:rPr>
        <w:t>) problemas experimentados en el servicio.</w:t>
      </w:r>
    </w:p>
    <w:p w14:paraId="1E0DAD92" w14:textId="77777777" w:rsidR="008736C2" w:rsidRDefault="008736C2" w:rsidP="00CD7EF9">
      <w:pPr>
        <w:spacing w:line="360" w:lineRule="auto"/>
        <w:jc w:val="both"/>
        <w:rPr>
          <w:rFonts w:ascii="Arial" w:eastAsiaTheme="minorHAnsi" w:hAnsi="Arial" w:cs="Arial"/>
          <w:kern w:val="2"/>
          <w:lang w:val="es-EC" w:eastAsia="en-US"/>
          <w14:ligatures w14:val="standardContextual"/>
        </w:rPr>
      </w:pPr>
    </w:p>
    <w:p w14:paraId="3D7673E6" w14:textId="11770529" w:rsidR="00CD7EF9" w:rsidRPr="00CD7EF9" w:rsidRDefault="00CD7EF9" w:rsidP="00CD7EF9">
      <w:pPr>
        <w:spacing w:line="360" w:lineRule="auto"/>
        <w:jc w:val="both"/>
        <w:rPr>
          <w:rFonts w:ascii="Arial" w:eastAsiaTheme="minorHAnsi" w:hAnsi="Arial" w:cs="Arial"/>
          <w:kern w:val="2"/>
          <w:lang w:val="es-EC" w:eastAsia="en-US"/>
          <w14:ligatures w14:val="standardContextual"/>
        </w:rPr>
      </w:pPr>
      <w:r w:rsidRPr="00CD7EF9">
        <w:rPr>
          <w:rFonts w:ascii="Arial" w:eastAsiaTheme="minorHAnsi" w:hAnsi="Arial" w:cs="Arial"/>
          <w:kern w:val="2"/>
          <w:lang w:val="es-EC" w:eastAsia="en-US"/>
          <w14:ligatures w14:val="standardContextual"/>
        </w:rPr>
        <w:t>Para ambos casos, al tabular los problemas, en primer lugar, se trabaja con los síntomas experimentados, es decir, los efectos de los problemas. En segundo lugar, estos se organizan en problemas de calidad. En otras palabras, se tradujo la voz del cliente (personas usuarias) y del proveedor (trabajadores de la UBE) a un lenguaje transversal, que responde a problemas de calidad y sobre los cuales la organización puede trabajar y mejorar.</w:t>
      </w:r>
    </w:p>
    <w:p w14:paraId="6EB4EB9F" w14:textId="77777777" w:rsidR="00CD7EF9" w:rsidRPr="0085549C" w:rsidRDefault="00CD7EF9" w:rsidP="00CD7EF9">
      <w:pPr>
        <w:spacing w:line="360" w:lineRule="auto"/>
        <w:jc w:val="both"/>
        <w:rPr>
          <w:rFonts w:ascii="Arial" w:eastAsiaTheme="minorHAnsi" w:hAnsi="Arial" w:cs="Arial"/>
          <w:kern w:val="2"/>
          <w:lang w:val="es-EC" w:eastAsia="en-US"/>
          <w14:ligatures w14:val="standardContextual"/>
        </w:rPr>
      </w:pPr>
    </w:p>
    <w:p w14:paraId="63A80640" w14:textId="77777777" w:rsidR="00526A25" w:rsidRPr="00526A25" w:rsidRDefault="00526A25" w:rsidP="00526A25">
      <w:pPr>
        <w:spacing w:line="360" w:lineRule="auto"/>
        <w:rPr>
          <w:rFonts w:ascii="Arial" w:eastAsiaTheme="minorHAnsi" w:hAnsi="Arial" w:cs="Arial"/>
          <w:b/>
          <w:bCs/>
          <w:kern w:val="2"/>
          <w:lang w:val="es-ES" w:eastAsia="en-US"/>
          <w14:ligatures w14:val="standardContextual"/>
        </w:rPr>
      </w:pPr>
      <w:r w:rsidRPr="00526A25">
        <w:rPr>
          <w:rFonts w:ascii="Arial" w:eastAsiaTheme="minorHAnsi" w:hAnsi="Arial" w:cs="Arial"/>
          <w:b/>
          <w:bCs/>
          <w:kern w:val="2"/>
          <w:lang w:val="es-ES" w:eastAsia="en-US"/>
          <w14:ligatures w14:val="standardContextual"/>
        </w:rPr>
        <w:t>Resultados</w:t>
      </w:r>
    </w:p>
    <w:p w14:paraId="4004B21F" w14:textId="77777777" w:rsidR="00526A25" w:rsidRPr="00526A25" w:rsidRDefault="00526A25" w:rsidP="00526A25">
      <w:pPr>
        <w:spacing w:line="360" w:lineRule="auto"/>
        <w:rPr>
          <w:rFonts w:ascii="Arial" w:eastAsiaTheme="minorHAnsi" w:hAnsi="Arial" w:cs="Arial"/>
          <w:b/>
          <w:bCs/>
          <w:kern w:val="2"/>
          <w:lang w:val="es-ES" w:eastAsia="en-US"/>
          <w14:ligatures w14:val="standardContextual"/>
        </w:rPr>
      </w:pPr>
    </w:p>
    <w:p w14:paraId="0F32262F" w14:textId="77777777" w:rsidR="00526A25" w:rsidRPr="00526A25" w:rsidRDefault="00526A25" w:rsidP="00526A25">
      <w:pPr>
        <w:spacing w:line="360" w:lineRule="auto"/>
        <w:jc w:val="both"/>
        <w:rPr>
          <w:rFonts w:ascii="Arial" w:eastAsiaTheme="minorHAnsi" w:hAnsi="Arial" w:cs="Arial"/>
          <w:b/>
          <w:bCs/>
          <w:kern w:val="2"/>
          <w:lang w:val="es-ES" w:eastAsia="en-US"/>
          <w14:ligatures w14:val="standardContextual"/>
        </w:rPr>
      </w:pPr>
      <w:r w:rsidRPr="00526A25">
        <w:rPr>
          <w:rFonts w:ascii="Arial" w:eastAsiaTheme="minorHAnsi" w:hAnsi="Arial" w:cs="Arial"/>
          <w:b/>
          <w:bCs/>
          <w:kern w:val="2"/>
          <w:lang w:val="es-ES" w:eastAsia="en-US"/>
          <w14:ligatures w14:val="standardContextual"/>
        </w:rPr>
        <w:t>Generales</w:t>
      </w:r>
    </w:p>
    <w:p w14:paraId="11EF812A" w14:textId="77777777"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 xml:space="preserve">Del total de atenciones en los periodos académicos en estudio, el 70 % corresponde al sexo femenino, mientras que el 30%, al masculino; además, en el periodo marzo-agosto 2022 se dio el 25 % de las atenciones, 75 % al sexo femenino y 25 % al masculino; en periodo septiembre 2022-febrero 2023, el 38% de las atenciones, 68 % para el sexo femenino y 32 % para el masculino y en el periodo marzo-agosto 2023 el 37 % de las atenciones totales, 69 % para el sexo femenino y el 31 % para el masculino. En referencia a las edades de la comunidad educativa usuaria de los servicios de la UBE, para el sexo femenino oscilan entre 18 y los 47 años al ser la proporción vital, siguiendo el principio de Pareto, las estudiantes de 20 años con el 16 %; de 23 años, con 15 %; de 21 y 22 años, con el 14 %, respectivamente; de 24 </w:t>
      </w:r>
      <w:r w:rsidRPr="00526A25">
        <w:rPr>
          <w:rFonts w:ascii="Arial" w:eastAsiaTheme="minorHAnsi" w:hAnsi="Arial" w:cs="Arial"/>
          <w:kern w:val="2"/>
          <w:lang w:val="es-ES" w:eastAsia="en-US"/>
          <w14:ligatures w14:val="standardContextual"/>
        </w:rPr>
        <w:lastRenderedPageBreak/>
        <w:t>años, con el 11 % y de 19 años, con 10 %. Para el caso del sexo masculino, las edades son desde los 18 hasta los 40 años al ser la proporción vital los estudiantes de 22 y 23 años con el 18 % respectivamente, de 21 años, con el 17 %; 24 años, con el 10 %; 20 años, con el 9 %; 25 años, con el 8 % y 18 años, con el 6 %.</w:t>
      </w:r>
    </w:p>
    <w:p w14:paraId="480A7165"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2C3AE28E" w14:textId="2A3B8282"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La IES, objeto de estudio, cuenta con 12 facultades y, según los datos obtenidos, siete facultades representan el 84% de las atenciones generadas en la UBE en los periodos analizados. Con respecto a la variable de satisfacción se recuerda la escala usada: 1 «Totalmente insatisfecho» / «color rojo», 2 «Insatisfecho» / «color naranja», 3 «Satisfecho» / «color amarillo» y 4 «Totalmente satisfecho» / «color verde».</w:t>
      </w:r>
    </w:p>
    <w:p w14:paraId="2F81A185"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6A122133" w14:textId="53AD040F"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De manera transversal a los ocho programas o servicios, el promedio del nivel de satisfacción es de 3.08/4.00, que corresponde al sexo femenino 3.07/4.00, mientras que para el sexo masculino es de 3.10/4.00. Es decir, en ambos casos, la población usuaria del servicio se encuentra satisfecha con tendencia a totalmente satisfecha. Con respecto al nivel de satisfacción de cada servicio, se visualiza en la figura 2 y se describe a continuación:</w:t>
      </w:r>
    </w:p>
    <w:p w14:paraId="54908388" w14:textId="77777777"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En S8, el promedio de satisfacción promedio es de 4.00/4.00, es decir, población totalmente satisfecha, siendo un servicio exclusivo del sexo femenino.</w:t>
      </w:r>
    </w:p>
    <w:p w14:paraId="7255CC74"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4712E8B9" w14:textId="1B1E3EA4"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lastRenderedPageBreak/>
        <w:t>En S6, el nivel de satisfacción promedio es de 3.50/4.00, es decir, población satisfecha con una tendencia a estar totalmente satisfecha, siendo un servicio exclusivo del sexo femenino.</w:t>
      </w:r>
    </w:p>
    <w:p w14:paraId="44D493E4"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3B76E5C3" w14:textId="609164CA"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En S2, el nivel de satisfacción promedio es de 3.47/4.00, es decir, población satisfecha con una tendencia a estar totalmente satisfecha; al ser 3.44/4.00 para el sexo femenino y 3.50/4.00 para el masculino.</w:t>
      </w:r>
    </w:p>
    <w:p w14:paraId="1E2771F6"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5B593A89" w14:textId="2A3A6AFF"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En S7, el nivel de satisfacción promedio es de 3.27/4.00, es decir, población satisfecha con una tendencia a estar totalmente satisfecha; al ser 3.33/4.00 para el sexo femenino y 3.20/4.00 para el sexo masculino.</w:t>
      </w:r>
    </w:p>
    <w:p w14:paraId="71B11C1D"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09278BAA" w14:textId="6A4B9C1E"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En S5, el nivel de satisfacción promedio es de 3.17/4.00, es decir, población satisfecha con una tendencia a estar totalmente satisfecha; al ser 3.19/4.00 para el sexo femenino y 3.13 para el sexo masculino.</w:t>
      </w:r>
    </w:p>
    <w:p w14:paraId="6A24DC4E" w14:textId="77777777" w:rsidR="00526A25" w:rsidRDefault="00526A25" w:rsidP="00526A25">
      <w:pPr>
        <w:spacing w:line="360" w:lineRule="auto"/>
        <w:jc w:val="both"/>
        <w:rPr>
          <w:rFonts w:ascii="Arial" w:eastAsiaTheme="minorHAnsi" w:hAnsi="Arial" w:cs="Arial"/>
          <w:kern w:val="2"/>
          <w:lang w:val="es-ES" w:eastAsia="en-US"/>
          <w14:ligatures w14:val="standardContextual"/>
        </w:rPr>
      </w:pPr>
    </w:p>
    <w:p w14:paraId="4D25AFD4" w14:textId="32906FFC"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Para S1, el nivel de satisfacción promedio es de 3.00, es decir, satisfechos; al ser 2.98/4.00 para el sexo femenino y 3.04/4.00 para el sexo masculino.</w:t>
      </w:r>
    </w:p>
    <w:p w14:paraId="39D74543" w14:textId="77777777" w:rsidR="00526A25" w:rsidRP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t>Para S3, nivel de satisfacción promedio es de 2.98/4.00, es decir, población insatisfecha con tendencia a estar satisfecha; al ser 2.97/4.00 para el sexo femenino y 3.00 para el sexo masculino.</w:t>
      </w:r>
    </w:p>
    <w:p w14:paraId="1288EEBD" w14:textId="07EFC718" w:rsidR="00526A25" w:rsidRDefault="00526A25" w:rsidP="00526A25">
      <w:pPr>
        <w:spacing w:line="360" w:lineRule="auto"/>
        <w:jc w:val="both"/>
        <w:rPr>
          <w:rFonts w:ascii="Arial" w:eastAsiaTheme="minorHAnsi" w:hAnsi="Arial" w:cs="Arial"/>
          <w:kern w:val="2"/>
          <w:lang w:val="es-ES" w:eastAsia="en-US"/>
          <w14:ligatures w14:val="standardContextual"/>
        </w:rPr>
      </w:pPr>
      <w:r w:rsidRPr="00526A25">
        <w:rPr>
          <w:rFonts w:ascii="Arial" w:eastAsiaTheme="minorHAnsi" w:hAnsi="Arial" w:cs="Arial"/>
          <w:kern w:val="2"/>
          <w:lang w:val="es-ES" w:eastAsia="en-US"/>
          <w14:ligatures w14:val="standardContextual"/>
        </w:rPr>
        <w:lastRenderedPageBreak/>
        <w:t>Para S4, el nivel de satisfacción promedio es de 2.33/4.00, es decir, población insatisfecha con tendencia a estar satisfecha; al ser 2.00/4.00 para el sexo femenino y 4.00/4.00 para el sexo masculino.</w:t>
      </w:r>
    </w:p>
    <w:p w14:paraId="5761BE03" w14:textId="77777777" w:rsidR="00286EF8" w:rsidRDefault="00286EF8" w:rsidP="00526A25">
      <w:pPr>
        <w:spacing w:line="360" w:lineRule="auto"/>
        <w:jc w:val="both"/>
        <w:rPr>
          <w:rFonts w:ascii="Arial" w:hAnsi="Arial" w:cs="Arial"/>
          <w:lang w:val="es-ES"/>
        </w:rPr>
      </w:pPr>
    </w:p>
    <w:p w14:paraId="32C7CD05" w14:textId="6E1C8686" w:rsidR="00286EF8" w:rsidRPr="00526A25" w:rsidRDefault="00286EF8" w:rsidP="00526A25">
      <w:pPr>
        <w:spacing w:line="360" w:lineRule="auto"/>
        <w:jc w:val="both"/>
        <w:rPr>
          <w:rFonts w:ascii="Arial" w:eastAsiaTheme="minorHAnsi" w:hAnsi="Arial" w:cs="Arial"/>
          <w:kern w:val="2"/>
          <w:lang w:val="es-ES" w:eastAsia="en-US"/>
          <w14:ligatures w14:val="standardContextual"/>
        </w:rPr>
      </w:pPr>
      <w:r w:rsidRPr="000A3185">
        <w:rPr>
          <w:rFonts w:ascii="Arial" w:hAnsi="Arial" w:cs="Arial"/>
          <w:lang w:val="es-ES"/>
        </w:rPr>
        <w:t>Figura 2. Nivel de satisfacción promedio</w:t>
      </w:r>
      <w:r>
        <w:rPr>
          <w:rFonts w:ascii="Arial" w:hAnsi="Arial" w:cs="Arial"/>
          <w:lang w:val="es-ES"/>
        </w:rPr>
        <w:t xml:space="preserve"> de la muestra </w:t>
      </w:r>
      <w:r w:rsidRPr="000A3185">
        <w:rPr>
          <w:rFonts w:ascii="Arial" w:hAnsi="Arial" w:cs="Arial"/>
          <w:lang w:val="es-ES"/>
        </w:rPr>
        <w:t>por servicio ofertado</w:t>
      </w:r>
      <w:r>
        <w:rPr>
          <w:rFonts w:ascii="Arial" w:hAnsi="Arial" w:cs="Arial"/>
          <w:noProof/>
          <w:lang w:val="es-ES"/>
        </w:rPr>
        <w:t xml:space="preserve"> de la UBE</w:t>
      </w:r>
    </w:p>
    <w:p w14:paraId="71C417EE" w14:textId="5A4E303B" w:rsidR="0085549C" w:rsidRDefault="005147FE" w:rsidP="00B55452">
      <w:pPr>
        <w:spacing w:line="360" w:lineRule="auto"/>
        <w:rPr>
          <w:rFonts w:ascii="Arial" w:hAnsi="Arial" w:cs="Arial"/>
          <w:b/>
          <w:bCs/>
          <w:lang w:val="es-ES"/>
        </w:rPr>
      </w:pPr>
      <w:r w:rsidRPr="000A3185">
        <w:rPr>
          <w:rFonts w:ascii="Arial" w:hAnsi="Arial" w:cs="Arial"/>
          <w:noProof/>
          <w:lang w:val="en-US"/>
        </w:rPr>
        <w:drawing>
          <wp:inline distT="0" distB="0" distL="0" distR="0" wp14:anchorId="5AD12704" wp14:editId="17819783">
            <wp:extent cx="5581015" cy="2077327"/>
            <wp:effectExtent l="38100" t="38100" r="38735" b="37465"/>
            <wp:docPr id="1460799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99973" name=""/>
                    <pic:cNvPicPr/>
                  </pic:nvPicPr>
                  <pic:blipFill>
                    <a:blip r:embed="rId12"/>
                    <a:stretch>
                      <a:fillRect/>
                    </a:stretch>
                  </pic:blipFill>
                  <pic:spPr>
                    <a:xfrm>
                      <a:off x="0" y="0"/>
                      <a:ext cx="5581015" cy="2077327"/>
                    </a:xfrm>
                    <a:prstGeom prst="rect">
                      <a:avLst/>
                    </a:prstGeom>
                    <a:ln w="28575">
                      <a:solidFill>
                        <a:sysClr val="windowText" lastClr="000000"/>
                      </a:solidFill>
                    </a:ln>
                  </pic:spPr>
                </pic:pic>
              </a:graphicData>
            </a:graphic>
          </wp:inline>
        </w:drawing>
      </w:r>
    </w:p>
    <w:p w14:paraId="049D3BF3" w14:textId="1F119E10" w:rsidR="000A2A2E" w:rsidRDefault="000A2A2E" w:rsidP="00B55452">
      <w:pPr>
        <w:spacing w:line="360" w:lineRule="auto"/>
        <w:rPr>
          <w:rFonts w:ascii="Arial" w:hAnsi="Arial" w:cs="Arial"/>
          <w:b/>
          <w:bCs/>
          <w:lang w:val="es-ES"/>
        </w:rPr>
      </w:pPr>
    </w:p>
    <w:p w14:paraId="70AD903B" w14:textId="77777777" w:rsidR="00546E2D" w:rsidRPr="00546E2D" w:rsidRDefault="00546E2D" w:rsidP="00546E2D">
      <w:pPr>
        <w:spacing w:line="360" w:lineRule="auto"/>
        <w:jc w:val="both"/>
        <w:rPr>
          <w:rFonts w:ascii="Arial" w:eastAsiaTheme="minorHAnsi" w:hAnsi="Arial" w:cs="Arial"/>
          <w:b/>
          <w:bCs/>
          <w:kern w:val="2"/>
          <w:lang w:val="es-ES" w:eastAsia="en-US"/>
          <w14:ligatures w14:val="standardContextual"/>
        </w:rPr>
      </w:pPr>
      <w:r w:rsidRPr="00546E2D">
        <w:rPr>
          <w:rFonts w:ascii="Arial" w:eastAsiaTheme="minorHAnsi" w:hAnsi="Arial" w:cs="Arial"/>
          <w:b/>
          <w:bCs/>
          <w:kern w:val="2"/>
          <w:lang w:val="es-ES" w:eastAsia="en-US"/>
          <w14:ligatures w14:val="standardContextual"/>
        </w:rPr>
        <w:t>Perspectiva de la DBU</w:t>
      </w:r>
    </w:p>
    <w:p w14:paraId="4D83283C" w14:textId="77777777" w:rsidR="00546E2D" w:rsidRPr="00546E2D" w:rsidRDefault="00546E2D" w:rsidP="00546E2D">
      <w:pPr>
        <w:spacing w:line="360" w:lineRule="auto"/>
        <w:jc w:val="both"/>
        <w:rPr>
          <w:rFonts w:ascii="Arial" w:eastAsiaTheme="minorHAnsi" w:hAnsi="Arial" w:cs="Arial"/>
          <w:kern w:val="2"/>
          <w:lang w:val="es-ES" w:eastAsia="en-US"/>
          <w14:ligatures w14:val="standardContextual"/>
        </w:rPr>
      </w:pPr>
      <w:r w:rsidRPr="00546E2D">
        <w:rPr>
          <w:rFonts w:ascii="Arial" w:eastAsiaTheme="minorHAnsi" w:hAnsi="Arial" w:cs="Arial"/>
          <w:kern w:val="2"/>
          <w:lang w:val="es-ES" w:eastAsia="en-US"/>
          <w14:ligatures w14:val="standardContextual"/>
        </w:rPr>
        <w:t xml:space="preserve">A partir de las entrevistas a los proveedores se caracterizó los procesos de servicio de cada uno de los ocho programas de la UBE, según se muestra en las tablas 3 y 4. </w:t>
      </w:r>
    </w:p>
    <w:p w14:paraId="3BAB68ED" w14:textId="60D4BEC8" w:rsidR="00546E2D" w:rsidRDefault="00546E2D" w:rsidP="00546E2D">
      <w:pPr>
        <w:spacing w:line="360" w:lineRule="auto"/>
        <w:jc w:val="both"/>
        <w:rPr>
          <w:rFonts w:ascii="Arial" w:eastAsiaTheme="minorHAnsi" w:hAnsi="Arial" w:cs="Arial"/>
          <w:kern w:val="2"/>
          <w:lang w:val="es-ES" w:eastAsia="en-US"/>
          <w14:ligatures w14:val="standardContextual"/>
        </w:rPr>
      </w:pPr>
      <w:r w:rsidRPr="00546E2D">
        <w:rPr>
          <w:rFonts w:ascii="Arial" w:eastAsiaTheme="minorHAnsi" w:hAnsi="Arial" w:cs="Arial"/>
          <w:kern w:val="2"/>
          <w:lang w:val="es-ES" w:eastAsia="en-US"/>
          <w14:ligatures w14:val="standardContextual"/>
        </w:rPr>
        <w:lastRenderedPageBreak/>
        <w:t>Además, se determinaron los problemas que forman parte del proceso de servicio, según la UBE. De allí, se categorizaron 16 problemas, que se muestran en las tablas 5 y 6.</w:t>
      </w:r>
    </w:p>
    <w:p w14:paraId="5CA7E6CE" w14:textId="77777777" w:rsidR="00E039F7" w:rsidRPr="00546E2D" w:rsidRDefault="00E039F7" w:rsidP="00546E2D">
      <w:pPr>
        <w:spacing w:line="360" w:lineRule="auto"/>
        <w:jc w:val="both"/>
        <w:rPr>
          <w:rFonts w:ascii="Arial" w:eastAsiaTheme="minorHAnsi" w:hAnsi="Arial" w:cs="Arial"/>
          <w:kern w:val="2"/>
          <w:lang w:val="es-ES" w:eastAsia="en-US"/>
          <w14:ligatures w14:val="standardContextual"/>
        </w:rPr>
      </w:pPr>
    </w:p>
    <w:p w14:paraId="6AFCB47E" w14:textId="77777777" w:rsidR="00E039F7" w:rsidRPr="00E039F7" w:rsidRDefault="00E039F7" w:rsidP="00E039F7">
      <w:pPr>
        <w:jc w:val="center"/>
        <w:rPr>
          <w:rFonts w:ascii="Arial" w:eastAsiaTheme="minorHAnsi" w:hAnsi="Arial" w:cs="Arial"/>
          <w:kern w:val="2"/>
          <w:lang w:val="es-EC" w:eastAsia="en-US"/>
          <w14:ligatures w14:val="standardContextual"/>
        </w:rPr>
      </w:pPr>
      <w:r w:rsidRPr="00E039F7">
        <w:rPr>
          <w:rFonts w:ascii="Arial" w:eastAsiaTheme="minorHAnsi" w:hAnsi="Arial" w:cs="Arial"/>
          <w:kern w:val="2"/>
          <w:lang w:val="es-ES" w:eastAsia="en-US"/>
          <w14:ligatures w14:val="standardContextual"/>
        </w:rPr>
        <w:t>Tabla 3. Caracterización del proceso de servicio de la UBE</w:t>
      </w:r>
    </w:p>
    <w:tbl>
      <w:tblPr>
        <w:tblStyle w:val="Tablanormal41"/>
        <w:tblW w:w="10036" w:type="dxa"/>
        <w:tblLook w:val="04A0" w:firstRow="1" w:lastRow="0" w:firstColumn="1" w:lastColumn="0" w:noHBand="0" w:noVBand="1"/>
      </w:tblPr>
      <w:tblGrid>
        <w:gridCol w:w="1337"/>
        <w:gridCol w:w="2057"/>
        <w:gridCol w:w="6642"/>
      </w:tblGrid>
      <w:tr w:rsidR="00E039F7" w:rsidRPr="00E039F7" w14:paraId="7F3C1124" w14:textId="77777777" w:rsidTr="001B46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37" w:type="dxa"/>
            <w:tcBorders>
              <w:top w:val="single" w:sz="12" w:space="0" w:color="auto"/>
              <w:bottom w:val="single" w:sz="12" w:space="0" w:color="auto"/>
            </w:tcBorders>
            <w:shd w:val="clear" w:color="auto" w:fill="auto"/>
            <w:vAlign w:val="center"/>
          </w:tcPr>
          <w:p w14:paraId="7BA52D8C" w14:textId="77777777" w:rsidR="00E039F7" w:rsidRPr="00E039F7" w:rsidRDefault="00E039F7" w:rsidP="00E039F7">
            <w:pPr>
              <w:spacing w:line="25" w:lineRule="atLeast"/>
              <w:jc w:val="center"/>
              <w:rPr>
                <w:rFonts w:ascii="Arial" w:eastAsiaTheme="minorHAnsi" w:hAnsi="Arial" w:cs="Arial"/>
                <w:lang w:eastAsia="en-US"/>
              </w:rPr>
            </w:pPr>
            <w:r w:rsidRPr="00E039F7">
              <w:rPr>
                <w:rFonts w:ascii="Arial" w:eastAsiaTheme="minorHAnsi" w:hAnsi="Arial" w:cs="Arial"/>
                <w:lang w:eastAsia="en-US"/>
              </w:rPr>
              <w:t>Programa</w:t>
            </w:r>
          </w:p>
        </w:tc>
        <w:tc>
          <w:tcPr>
            <w:tcW w:w="2057" w:type="dxa"/>
            <w:tcBorders>
              <w:top w:val="single" w:sz="12" w:space="0" w:color="auto"/>
              <w:bottom w:val="single" w:sz="12" w:space="0" w:color="auto"/>
            </w:tcBorders>
            <w:shd w:val="clear" w:color="auto" w:fill="auto"/>
            <w:vAlign w:val="center"/>
          </w:tcPr>
          <w:p w14:paraId="0AD143BB" w14:textId="77777777" w:rsidR="00E039F7" w:rsidRPr="00E039F7" w:rsidRDefault="00E039F7" w:rsidP="00E039F7">
            <w:pPr>
              <w:spacing w:line="25" w:lineRule="atLeast"/>
              <w:ind w:hanging="67"/>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Proceso</w:t>
            </w:r>
          </w:p>
        </w:tc>
        <w:tc>
          <w:tcPr>
            <w:tcW w:w="6642" w:type="dxa"/>
            <w:tcBorders>
              <w:top w:val="single" w:sz="12" w:space="0" w:color="auto"/>
              <w:bottom w:val="single" w:sz="12" w:space="0" w:color="auto"/>
            </w:tcBorders>
            <w:shd w:val="clear" w:color="auto" w:fill="auto"/>
            <w:vAlign w:val="center"/>
          </w:tcPr>
          <w:p w14:paraId="192017C1" w14:textId="77777777" w:rsidR="00E039F7" w:rsidRPr="00E039F7" w:rsidRDefault="00E039F7" w:rsidP="00E039F7">
            <w:pPr>
              <w:spacing w:line="25" w:lineRule="atLeast"/>
              <w:ind w:hanging="67"/>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Caracterización</w:t>
            </w:r>
          </w:p>
        </w:tc>
      </w:tr>
      <w:tr w:rsidR="00E039F7" w:rsidRPr="00E039F7" w14:paraId="21E248F0"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12" w:space="0" w:color="auto"/>
              <w:bottom w:val="single" w:sz="4" w:space="0" w:color="auto"/>
            </w:tcBorders>
            <w:shd w:val="clear" w:color="auto" w:fill="auto"/>
            <w:vAlign w:val="center"/>
          </w:tcPr>
          <w:p w14:paraId="3E6A7D9A"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S1</w:t>
            </w:r>
          </w:p>
        </w:tc>
        <w:tc>
          <w:tcPr>
            <w:tcW w:w="2057" w:type="dxa"/>
            <w:tcBorders>
              <w:top w:val="single" w:sz="12" w:space="0" w:color="auto"/>
              <w:bottom w:val="single" w:sz="4" w:space="0" w:color="auto"/>
            </w:tcBorders>
            <w:shd w:val="clear" w:color="auto" w:fill="auto"/>
            <w:vAlign w:val="center"/>
          </w:tcPr>
          <w:p w14:paraId="1661499A"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Atención médica</w:t>
            </w:r>
          </w:p>
        </w:tc>
        <w:tc>
          <w:tcPr>
            <w:tcW w:w="6642" w:type="dxa"/>
            <w:tcBorders>
              <w:top w:val="single" w:sz="12" w:space="0" w:color="auto"/>
              <w:bottom w:val="single" w:sz="4" w:space="0" w:color="auto"/>
            </w:tcBorders>
            <w:shd w:val="clear" w:color="auto" w:fill="auto"/>
            <w:vAlign w:val="center"/>
          </w:tcPr>
          <w:p w14:paraId="2D514574"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 xml:space="preserve">Se da el servicio de hospitalización, seguimiento de casos COVID, primeros auxilios, examen físico, prescripción, diagnóstico y descargo de medicamentos al estudiantado, personal administrativo, trabajadores y docentes. </w:t>
            </w:r>
          </w:p>
        </w:tc>
      </w:tr>
      <w:tr w:rsidR="00E039F7" w:rsidRPr="00E039F7" w14:paraId="1600C232"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bottom w:val="single" w:sz="4" w:space="0" w:color="auto"/>
            </w:tcBorders>
            <w:shd w:val="clear" w:color="auto" w:fill="auto"/>
            <w:vAlign w:val="center"/>
          </w:tcPr>
          <w:p w14:paraId="0114D1D8"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S2</w:t>
            </w:r>
          </w:p>
        </w:tc>
        <w:tc>
          <w:tcPr>
            <w:tcW w:w="2057" w:type="dxa"/>
            <w:tcBorders>
              <w:top w:val="single" w:sz="4" w:space="0" w:color="auto"/>
              <w:bottom w:val="single" w:sz="4" w:space="0" w:color="auto"/>
            </w:tcBorders>
            <w:shd w:val="clear" w:color="auto" w:fill="auto"/>
            <w:vAlign w:val="center"/>
          </w:tcPr>
          <w:p w14:paraId="16C2F6DB"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Atención odontológica</w:t>
            </w:r>
          </w:p>
        </w:tc>
        <w:tc>
          <w:tcPr>
            <w:tcW w:w="6642" w:type="dxa"/>
            <w:tcBorders>
              <w:top w:val="single" w:sz="4" w:space="0" w:color="auto"/>
              <w:bottom w:val="single" w:sz="4" w:space="0" w:color="auto"/>
            </w:tcBorders>
            <w:shd w:val="clear" w:color="auto" w:fill="auto"/>
            <w:vAlign w:val="center"/>
          </w:tcPr>
          <w:p w14:paraId="5084E98E" w14:textId="77777777" w:rsidR="00E039F7" w:rsidRPr="00E039F7" w:rsidRDefault="00E039F7" w:rsidP="00E039F7">
            <w:pPr>
              <w:spacing w:line="312"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Se brinda el servicio odontológico de niveles I y II a personas estudiantes, becarias, obreras y trabajadoras.</w:t>
            </w:r>
          </w:p>
        </w:tc>
      </w:tr>
      <w:tr w:rsidR="00E039F7" w:rsidRPr="00E039F7" w14:paraId="6E12C870"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7" w:type="dxa"/>
            <w:tcBorders>
              <w:bottom w:val="single" w:sz="12" w:space="0" w:color="auto"/>
            </w:tcBorders>
            <w:shd w:val="clear" w:color="auto" w:fill="auto"/>
            <w:vAlign w:val="center"/>
          </w:tcPr>
          <w:p w14:paraId="3626AC9D"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S3</w:t>
            </w:r>
          </w:p>
        </w:tc>
        <w:tc>
          <w:tcPr>
            <w:tcW w:w="2057" w:type="dxa"/>
            <w:tcBorders>
              <w:bottom w:val="single" w:sz="12" w:space="0" w:color="auto"/>
            </w:tcBorders>
            <w:shd w:val="clear" w:color="auto" w:fill="auto"/>
            <w:vAlign w:val="center"/>
          </w:tcPr>
          <w:p w14:paraId="04B8E293"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Atención psicológica</w:t>
            </w:r>
          </w:p>
        </w:tc>
        <w:tc>
          <w:tcPr>
            <w:tcW w:w="6642" w:type="dxa"/>
            <w:tcBorders>
              <w:top w:val="single" w:sz="4" w:space="0" w:color="auto"/>
              <w:bottom w:val="single" w:sz="12" w:space="0" w:color="auto"/>
            </w:tcBorders>
            <w:shd w:val="clear" w:color="auto" w:fill="auto"/>
            <w:vAlign w:val="center"/>
          </w:tcPr>
          <w:p w14:paraId="43D8C538"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Tiene como objetivo contribuir y fortalecer el cuidado de la salud mental.</w:t>
            </w:r>
          </w:p>
        </w:tc>
      </w:tr>
    </w:tbl>
    <w:p w14:paraId="61A05B62" w14:textId="77777777" w:rsidR="00E039F7" w:rsidRPr="00E039F7" w:rsidRDefault="00E039F7" w:rsidP="00E039F7">
      <w:pPr>
        <w:jc w:val="center"/>
        <w:rPr>
          <w:rFonts w:ascii="Arial" w:eastAsiaTheme="minorHAnsi" w:hAnsi="Arial" w:cs="Arial"/>
          <w:kern w:val="2"/>
          <w:lang w:val="es-ES" w:eastAsia="en-US"/>
          <w14:ligatures w14:val="standardContextual"/>
        </w:rPr>
      </w:pPr>
    </w:p>
    <w:p w14:paraId="5FDEB19D" w14:textId="77777777" w:rsidR="00E039F7" w:rsidRPr="00E039F7" w:rsidRDefault="00E039F7" w:rsidP="00E039F7">
      <w:pPr>
        <w:jc w:val="center"/>
        <w:rPr>
          <w:rFonts w:ascii="Arial" w:eastAsiaTheme="minorHAnsi" w:hAnsi="Arial" w:cs="Arial"/>
          <w:kern w:val="2"/>
          <w:lang w:val="es-EC" w:eastAsia="en-US"/>
          <w14:ligatures w14:val="standardContextual"/>
        </w:rPr>
      </w:pPr>
      <w:r w:rsidRPr="00E039F7">
        <w:rPr>
          <w:rFonts w:ascii="Arial" w:eastAsiaTheme="minorHAnsi" w:hAnsi="Arial" w:cs="Arial"/>
          <w:kern w:val="2"/>
          <w:lang w:val="es-ES" w:eastAsia="en-US"/>
          <w14:ligatures w14:val="standardContextual"/>
        </w:rPr>
        <w:t>Tabla 4. Caracterización del proceso de servicio de la UBE (continuación)</w:t>
      </w:r>
    </w:p>
    <w:tbl>
      <w:tblPr>
        <w:tblStyle w:val="Tablanormal41"/>
        <w:tblW w:w="10036" w:type="dxa"/>
        <w:tblLook w:val="04A0" w:firstRow="1" w:lastRow="0" w:firstColumn="1" w:lastColumn="0" w:noHBand="0" w:noVBand="1"/>
      </w:tblPr>
      <w:tblGrid>
        <w:gridCol w:w="1337"/>
        <w:gridCol w:w="2057"/>
        <w:gridCol w:w="6642"/>
      </w:tblGrid>
      <w:tr w:rsidR="00E039F7" w:rsidRPr="00E039F7" w14:paraId="0621C5CF" w14:textId="77777777" w:rsidTr="001B46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37" w:type="dxa"/>
            <w:tcBorders>
              <w:top w:val="single" w:sz="12" w:space="0" w:color="auto"/>
              <w:bottom w:val="single" w:sz="12" w:space="0" w:color="auto"/>
            </w:tcBorders>
            <w:vAlign w:val="center"/>
          </w:tcPr>
          <w:p w14:paraId="7D50CD44" w14:textId="77777777" w:rsidR="00E039F7" w:rsidRPr="00E039F7" w:rsidRDefault="00E039F7" w:rsidP="00E039F7">
            <w:pPr>
              <w:spacing w:line="25" w:lineRule="atLeast"/>
              <w:jc w:val="center"/>
              <w:rPr>
                <w:rFonts w:ascii="Arial" w:eastAsiaTheme="minorHAnsi" w:hAnsi="Arial" w:cs="Arial"/>
                <w:lang w:eastAsia="en-US"/>
              </w:rPr>
            </w:pPr>
            <w:r w:rsidRPr="00E039F7">
              <w:rPr>
                <w:rFonts w:ascii="Arial" w:eastAsiaTheme="minorHAnsi" w:hAnsi="Arial" w:cs="Arial"/>
                <w:lang w:eastAsia="en-US"/>
              </w:rPr>
              <w:t>Programa</w:t>
            </w:r>
          </w:p>
        </w:tc>
        <w:tc>
          <w:tcPr>
            <w:tcW w:w="2057" w:type="dxa"/>
            <w:tcBorders>
              <w:top w:val="single" w:sz="12" w:space="0" w:color="auto"/>
              <w:bottom w:val="single" w:sz="12" w:space="0" w:color="auto"/>
            </w:tcBorders>
            <w:vAlign w:val="center"/>
          </w:tcPr>
          <w:p w14:paraId="1FDFA5DD" w14:textId="77777777" w:rsidR="00E039F7" w:rsidRPr="00E039F7" w:rsidRDefault="00E039F7" w:rsidP="00E039F7">
            <w:pPr>
              <w:spacing w:line="25" w:lineRule="atLeast"/>
              <w:ind w:hanging="67"/>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Proceso</w:t>
            </w:r>
          </w:p>
        </w:tc>
        <w:tc>
          <w:tcPr>
            <w:tcW w:w="6642" w:type="dxa"/>
            <w:tcBorders>
              <w:top w:val="single" w:sz="12" w:space="0" w:color="auto"/>
              <w:bottom w:val="single" w:sz="12" w:space="0" w:color="auto"/>
            </w:tcBorders>
            <w:vAlign w:val="center"/>
          </w:tcPr>
          <w:p w14:paraId="61EAC203" w14:textId="77777777" w:rsidR="00E039F7" w:rsidRPr="00E039F7" w:rsidRDefault="00E039F7" w:rsidP="00E039F7">
            <w:pPr>
              <w:spacing w:line="25" w:lineRule="atLeast"/>
              <w:ind w:hanging="67"/>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Caracterización</w:t>
            </w:r>
          </w:p>
        </w:tc>
      </w:tr>
      <w:tr w:rsidR="00E039F7" w:rsidRPr="00E039F7" w14:paraId="7A44DA77"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12" w:space="0" w:color="auto"/>
              <w:bottom w:val="single" w:sz="4" w:space="0" w:color="auto"/>
            </w:tcBorders>
            <w:shd w:val="clear" w:color="auto" w:fill="auto"/>
            <w:vAlign w:val="center"/>
          </w:tcPr>
          <w:p w14:paraId="58AE4C12"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S4</w:t>
            </w:r>
          </w:p>
        </w:tc>
        <w:tc>
          <w:tcPr>
            <w:tcW w:w="2057" w:type="dxa"/>
            <w:tcBorders>
              <w:top w:val="single" w:sz="12" w:space="0" w:color="auto"/>
              <w:bottom w:val="single" w:sz="4" w:space="0" w:color="auto"/>
            </w:tcBorders>
            <w:shd w:val="clear" w:color="auto" w:fill="auto"/>
            <w:vAlign w:val="center"/>
          </w:tcPr>
          <w:p w14:paraId="31A93F62"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Defensoría estudiantil</w:t>
            </w:r>
          </w:p>
        </w:tc>
        <w:tc>
          <w:tcPr>
            <w:tcW w:w="6642" w:type="dxa"/>
            <w:tcBorders>
              <w:top w:val="single" w:sz="12" w:space="0" w:color="auto"/>
              <w:bottom w:val="single" w:sz="4" w:space="0" w:color="auto"/>
            </w:tcBorders>
            <w:shd w:val="clear" w:color="auto" w:fill="auto"/>
            <w:vAlign w:val="center"/>
          </w:tcPr>
          <w:p w14:paraId="44F15B35"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Es un ente que va ligado al servicio de la defensa de los derechos del estudiantado, en el sentido del patrocinio legal en procesos administrativos, de régimen disciplinario, administrativos de protocolo y administrativos de ámbito académico.</w:t>
            </w:r>
          </w:p>
        </w:tc>
      </w:tr>
      <w:tr w:rsidR="00E039F7" w:rsidRPr="00E039F7" w14:paraId="44B4A308"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bottom w:val="single" w:sz="4" w:space="0" w:color="auto"/>
            </w:tcBorders>
            <w:shd w:val="clear" w:color="auto" w:fill="auto"/>
            <w:vAlign w:val="center"/>
          </w:tcPr>
          <w:p w14:paraId="3E7DFBBF"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S5</w:t>
            </w:r>
          </w:p>
        </w:tc>
        <w:tc>
          <w:tcPr>
            <w:tcW w:w="2057" w:type="dxa"/>
            <w:tcBorders>
              <w:top w:val="single" w:sz="4" w:space="0" w:color="auto"/>
              <w:bottom w:val="single" w:sz="4" w:space="0" w:color="auto"/>
            </w:tcBorders>
            <w:shd w:val="clear" w:color="auto" w:fill="auto"/>
            <w:vAlign w:val="center"/>
          </w:tcPr>
          <w:p w14:paraId="022F9340"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Gestión de becas y ayudas socioeconómicas</w:t>
            </w:r>
          </w:p>
        </w:tc>
        <w:tc>
          <w:tcPr>
            <w:tcW w:w="6642" w:type="dxa"/>
            <w:tcBorders>
              <w:top w:val="single" w:sz="4" w:space="0" w:color="auto"/>
              <w:bottom w:val="single" w:sz="4" w:space="0" w:color="auto"/>
            </w:tcBorders>
            <w:shd w:val="clear" w:color="auto" w:fill="auto"/>
            <w:vAlign w:val="center"/>
          </w:tcPr>
          <w:p w14:paraId="7630AEF3" w14:textId="77777777" w:rsidR="00E039F7" w:rsidRPr="00E039F7" w:rsidRDefault="00E039F7" w:rsidP="00E039F7">
            <w:pPr>
              <w:spacing w:line="312"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Se ofrecen seis tipos de becas de distinta índole y una ayuda económica, que son dirigidas a todo el estudiantado de la institución desde el primer ingreso.</w:t>
            </w:r>
          </w:p>
        </w:tc>
      </w:tr>
      <w:tr w:rsidR="00E039F7" w:rsidRPr="00E039F7" w14:paraId="0F1D98FD"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bottom w:val="single" w:sz="4" w:space="0" w:color="auto"/>
            </w:tcBorders>
            <w:shd w:val="clear" w:color="auto" w:fill="auto"/>
            <w:vAlign w:val="center"/>
          </w:tcPr>
          <w:p w14:paraId="60DF32F6"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lastRenderedPageBreak/>
              <w:t>S6</w:t>
            </w:r>
          </w:p>
        </w:tc>
        <w:tc>
          <w:tcPr>
            <w:tcW w:w="2057" w:type="dxa"/>
            <w:tcBorders>
              <w:top w:val="single" w:sz="4" w:space="0" w:color="auto"/>
              <w:bottom w:val="single" w:sz="4" w:space="0" w:color="auto"/>
            </w:tcBorders>
            <w:shd w:val="clear" w:color="auto" w:fill="auto"/>
            <w:vAlign w:val="center"/>
          </w:tcPr>
          <w:p w14:paraId="6DB2E506"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Estimulación temprana</w:t>
            </w:r>
          </w:p>
        </w:tc>
        <w:tc>
          <w:tcPr>
            <w:tcW w:w="6642" w:type="dxa"/>
            <w:tcBorders>
              <w:top w:val="single" w:sz="4" w:space="0" w:color="auto"/>
              <w:bottom w:val="single" w:sz="4" w:space="0" w:color="auto"/>
            </w:tcBorders>
            <w:shd w:val="clear" w:color="auto" w:fill="auto"/>
          </w:tcPr>
          <w:p w14:paraId="03091956"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Es un servicio destinado a los hijos e hijas de mujeres progenitoras de la población estudiantil, desde 1 a 4 años, en los cursos de Maternal I, Maternal II, Inicial I e Inicial II.</w:t>
            </w:r>
          </w:p>
        </w:tc>
      </w:tr>
      <w:tr w:rsidR="00E039F7" w:rsidRPr="00E039F7" w14:paraId="4008F1D8" w14:textId="77777777" w:rsidTr="001B4644">
        <w:trPr>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bottom w:val="single" w:sz="4" w:space="0" w:color="auto"/>
            </w:tcBorders>
            <w:shd w:val="clear" w:color="auto" w:fill="auto"/>
            <w:vAlign w:val="center"/>
          </w:tcPr>
          <w:p w14:paraId="7D82E3D9"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S7</w:t>
            </w:r>
          </w:p>
        </w:tc>
        <w:tc>
          <w:tcPr>
            <w:tcW w:w="2057" w:type="dxa"/>
            <w:tcBorders>
              <w:top w:val="single" w:sz="4" w:space="0" w:color="auto"/>
              <w:bottom w:val="single" w:sz="4" w:space="0" w:color="auto"/>
            </w:tcBorders>
            <w:shd w:val="clear" w:color="auto" w:fill="auto"/>
            <w:vAlign w:val="center"/>
          </w:tcPr>
          <w:p w14:paraId="216BE6AF"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Atención psicopedagógica</w:t>
            </w:r>
          </w:p>
        </w:tc>
        <w:tc>
          <w:tcPr>
            <w:tcW w:w="6642" w:type="dxa"/>
            <w:tcBorders>
              <w:top w:val="single" w:sz="4" w:space="0" w:color="auto"/>
              <w:bottom w:val="single" w:sz="4" w:space="0" w:color="auto"/>
            </w:tcBorders>
            <w:shd w:val="clear" w:color="auto" w:fill="auto"/>
            <w:vAlign w:val="center"/>
          </w:tcPr>
          <w:p w14:paraId="437D7BF3" w14:textId="77777777" w:rsidR="00E039F7" w:rsidRPr="00E039F7" w:rsidRDefault="00E039F7" w:rsidP="00E039F7">
            <w:pPr>
              <w:spacing w:line="312"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Es un servicio de diagnóstico, intervención y seguimiento enfocado a toda la población estudiantil de la institución que tienen algún tipo de discapacidad o problema de aprendizaje. Está conformado por Psicología Educativa, Trabajo Social y Psiquiatría.</w:t>
            </w:r>
          </w:p>
        </w:tc>
      </w:tr>
      <w:tr w:rsidR="00E039F7" w:rsidRPr="00E039F7" w14:paraId="53858EEB" w14:textId="77777777" w:rsidTr="001B46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bottom w:val="single" w:sz="12" w:space="0" w:color="auto"/>
            </w:tcBorders>
            <w:shd w:val="clear" w:color="auto" w:fill="auto"/>
            <w:vAlign w:val="center"/>
          </w:tcPr>
          <w:p w14:paraId="3232B9C5" w14:textId="77777777" w:rsidR="00E039F7" w:rsidRPr="00E039F7" w:rsidRDefault="00E039F7" w:rsidP="00E039F7">
            <w:pPr>
              <w:spacing w:line="312" w:lineRule="auto"/>
              <w:jc w:val="center"/>
              <w:rPr>
                <w:rFonts w:ascii="Arial" w:eastAsiaTheme="minorHAnsi" w:hAnsi="Arial" w:cs="Arial"/>
                <w:lang w:eastAsia="en-US"/>
              </w:rPr>
            </w:pPr>
            <w:r w:rsidRPr="00E039F7">
              <w:rPr>
                <w:rFonts w:ascii="Arial" w:eastAsiaTheme="minorHAnsi" w:hAnsi="Arial" w:cs="Arial"/>
                <w:lang w:eastAsia="en-US"/>
              </w:rPr>
              <w:t>S8</w:t>
            </w:r>
          </w:p>
        </w:tc>
        <w:tc>
          <w:tcPr>
            <w:tcW w:w="2057" w:type="dxa"/>
            <w:tcBorders>
              <w:top w:val="single" w:sz="4" w:space="0" w:color="auto"/>
              <w:bottom w:val="single" w:sz="12" w:space="0" w:color="auto"/>
            </w:tcBorders>
            <w:shd w:val="clear" w:color="auto" w:fill="auto"/>
            <w:vAlign w:val="center"/>
          </w:tcPr>
          <w:p w14:paraId="5F0D8D49"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Gestión de lactarios</w:t>
            </w:r>
          </w:p>
        </w:tc>
        <w:tc>
          <w:tcPr>
            <w:tcW w:w="6642" w:type="dxa"/>
            <w:tcBorders>
              <w:top w:val="single" w:sz="4" w:space="0" w:color="auto"/>
              <w:bottom w:val="single" w:sz="12" w:space="0" w:color="auto"/>
            </w:tcBorders>
            <w:shd w:val="clear" w:color="auto" w:fill="auto"/>
            <w:vAlign w:val="center"/>
          </w:tcPr>
          <w:p w14:paraId="25F217BE"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Las cabinas de extracción de leche materna o lactarios están dirigidas para todas las madres en periodo de lactancia materna de la institución, sean estudiantes, docentes o trabajadoras.</w:t>
            </w:r>
          </w:p>
        </w:tc>
      </w:tr>
    </w:tbl>
    <w:p w14:paraId="45C89E5E" w14:textId="77777777" w:rsidR="00E039F7" w:rsidRPr="00E039F7" w:rsidRDefault="00E039F7" w:rsidP="00E039F7">
      <w:pPr>
        <w:tabs>
          <w:tab w:val="left" w:pos="3360"/>
        </w:tabs>
        <w:spacing w:line="360" w:lineRule="auto"/>
        <w:jc w:val="center"/>
        <w:rPr>
          <w:rFonts w:ascii="Arial" w:eastAsiaTheme="minorHAnsi" w:hAnsi="Arial" w:cs="Arial"/>
          <w:kern w:val="2"/>
          <w:lang w:val="es-EC" w:eastAsia="en-US"/>
          <w14:ligatures w14:val="standardContextual"/>
        </w:rPr>
      </w:pPr>
    </w:p>
    <w:p w14:paraId="3C70638D" w14:textId="77777777" w:rsidR="00E039F7" w:rsidRPr="00E039F7" w:rsidRDefault="00E039F7" w:rsidP="00E039F7">
      <w:pPr>
        <w:tabs>
          <w:tab w:val="left" w:pos="3360"/>
        </w:tabs>
        <w:jc w:val="center"/>
        <w:rPr>
          <w:rFonts w:ascii="Arial" w:eastAsiaTheme="minorHAnsi" w:hAnsi="Arial" w:cs="Arial"/>
          <w:kern w:val="2"/>
          <w:lang w:val="es-EC" w:eastAsia="en-US"/>
          <w14:ligatures w14:val="standardContextual"/>
        </w:rPr>
      </w:pPr>
      <w:r w:rsidRPr="00E039F7">
        <w:rPr>
          <w:rFonts w:ascii="Arial" w:eastAsiaTheme="minorHAnsi" w:hAnsi="Arial" w:cs="Arial"/>
          <w:kern w:val="2"/>
          <w:lang w:val="es-EC" w:eastAsia="en-US"/>
          <w14:ligatures w14:val="standardContextual"/>
        </w:rPr>
        <w:t>Tabla 5. Problemas existentes desde la perspectiva de la instancia proveedora</w:t>
      </w:r>
    </w:p>
    <w:tbl>
      <w:tblPr>
        <w:tblStyle w:val="Tablanormal41"/>
        <w:tblW w:w="8788" w:type="dxa"/>
        <w:jc w:val="center"/>
        <w:tblLayout w:type="fixed"/>
        <w:tblLook w:val="04A0" w:firstRow="1" w:lastRow="0" w:firstColumn="1" w:lastColumn="0" w:noHBand="0" w:noVBand="1"/>
      </w:tblPr>
      <w:tblGrid>
        <w:gridCol w:w="1134"/>
        <w:gridCol w:w="3261"/>
        <w:gridCol w:w="1134"/>
        <w:gridCol w:w="3259"/>
      </w:tblGrid>
      <w:tr w:rsidR="00E039F7" w:rsidRPr="00E039F7" w14:paraId="2FC4AA4B" w14:textId="77777777" w:rsidTr="001B464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auto"/>
              <w:bottom w:val="single" w:sz="12" w:space="0" w:color="auto"/>
            </w:tcBorders>
            <w:shd w:val="clear" w:color="auto" w:fill="auto"/>
            <w:vAlign w:val="center"/>
          </w:tcPr>
          <w:p w14:paraId="3EA7E52D" w14:textId="77777777" w:rsidR="00E039F7" w:rsidRPr="00E039F7" w:rsidRDefault="00E039F7" w:rsidP="00E039F7">
            <w:pPr>
              <w:spacing w:line="312" w:lineRule="auto"/>
              <w:rPr>
                <w:rFonts w:ascii="Arial" w:eastAsiaTheme="minorHAnsi" w:hAnsi="Arial" w:cs="Arial"/>
                <w:lang w:eastAsia="en-US"/>
              </w:rPr>
            </w:pPr>
            <w:r w:rsidRPr="00E039F7">
              <w:rPr>
                <w:rFonts w:ascii="Arial" w:eastAsiaTheme="minorHAnsi" w:hAnsi="Arial" w:cs="Arial"/>
                <w:lang w:eastAsia="en-US"/>
              </w:rPr>
              <w:t>Código</w:t>
            </w:r>
          </w:p>
        </w:tc>
        <w:tc>
          <w:tcPr>
            <w:tcW w:w="3261" w:type="dxa"/>
            <w:tcBorders>
              <w:top w:val="single" w:sz="12" w:space="0" w:color="auto"/>
              <w:bottom w:val="single" w:sz="12" w:space="0" w:color="auto"/>
              <w:right w:val="single" w:sz="4" w:space="0" w:color="auto"/>
            </w:tcBorders>
            <w:shd w:val="clear" w:color="auto" w:fill="auto"/>
            <w:vAlign w:val="center"/>
          </w:tcPr>
          <w:p w14:paraId="4A0FB7BA" w14:textId="77777777" w:rsidR="00E039F7" w:rsidRPr="00E039F7" w:rsidRDefault="00E039F7" w:rsidP="00E039F7">
            <w:pPr>
              <w:spacing w:line="312"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Problema</w:t>
            </w:r>
          </w:p>
        </w:tc>
        <w:tc>
          <w:tcPr>
            <w:tcW w:w="1134" w:type="dxa"/>
            <w:tcBorders>
              <w:top w:val="single" w:sz="12" w:space="0" w:color="auto"/>
              <w:left w:val="single" w:sz="4" w:space="0" w:color="auto"/>
              <w:bottom w:val="single" w:sz="12" w:space="0" w:color="auto"/>
            </w:tcBorders>
            <w:shd w:val="clear" w:color="auto" w:fill="auto"/>
            <w:vAlign w:val="center"/>
          </w:tcPr>
          <w:p w14:paraId="5808463E" w14:textId="77777777" w:rsidR="00E039F7" w:rsidRPr="00E039F7" w:rsidRDefault="00E039F7" w:rsidP="00E039F7">
            <w:pPr>
              <w:spacing w:line="312"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Código</w:t>
            </w:r>
          </w:p>
        </w:tc>
        <w:tc>
          <w:tcPr>
            <w:tcW w:w="3259" w:type="dxa"/>
            <w:tcBorders>
              <w:top w:val="single" w:sz="12" w:space="0" w:color="auto"/>
              <w:bottom w:val="single" w:sz="12" w:space="0" w:color="auto"/>
            </w:tcBorders>
            <w:shd w:val="clear" w:color="auto" w:fill="auto"/>
            <w:vAlign w:val="center"/>
          </w:tcPr>
          <w:p w14:paraId="507B9309" w14:textId="77777777" w:rsidR="00E039F7" w:rsidRPr="00E039F7" w:rsidRDefault="00E039F7" w:rsidP="00E039F7">
            <w:pPr>
              <w:spacing w:line="312"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Problema</w:t>
            </w:r>
          </w:p>
        </w:tc>
      </w:tr>
      <w:tr w:rsidR="00E039F7" w:rsidRPr="00E039F7" w14:paraId="68DBA4CA"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auto"/>
            </w:tcBorders>
            <w:shd w:val="clear" w:color="auto" w:fill="auto"/>
            <w:vAlign w:val="center"/>
          </w:tcPr>
          <w:p w14:paraId="26C5D9E9" w14:textId="77777777" w:rsidR="00E039F7" w:rsidRPr="00E039F7" w:rsidRDefault="00E039F7" w:rsidP="00E039F7">
            <w:pPr>
              <w:spacing w:line="312" w:lineRule="auto"/>
              <w:jc w:val="both"/>
              <w:rPr>
                <w:rFonts w:ascii="Arial" w:eastAsiaTheme="minorHAnsi" w:hAnsi="Arial" w:cs="Arial"/>
                <w:lang w:eastAsia="en-US"/>
              </w:rPr>
            </w:pPr>
            <w:r w:rsidRPr="00E039F7">
              <w:rPr>
                <w:rFonts w:ascii="Arial" w:eastAsiaTheme="minorHAnsi" w:hAnsi="Arial" w:cs="Arial"/>
                <w:lang w:eastAsia="en-US"/>
              </w:rPr>
              <w:t>PA</w:t>
            </w:r>
          </w:p>
        </w:tc>
        <w:tc>
          <w:tcPr>
            <w:tcW w:w="3261" w:type="dxa"/>
            <w:tcBorders>
              <w:top w:val="single" w:sz="12" w:space="0" w:color="auto"/>
              <w:right w:val="single" w:sz="4" w:space="0" w:color="auto"/>
            </w:tcBorders>
            <w:shd w:val="clear" w:color="auto" w:fill="auto"/>
            <w:vAlign w:val="center"/>
          </w:tcPr>
          <w:p w14:paraId="0F45913F"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Burocracia</w:t>
            </w:r>
          </w:p>
        </w:tc>
        <w:tc>
          <w:tcPr>
            <w:tcW w:w="1134" w:type="dxa"/>
            <w:tcBorders>
              <w:top w:val="single" w:sz="12" w:space="0" w:color="auto"/>
              <w:left w:val="single" w:sz="4" w:space="0" w:color="auto"/>
            </w:tcBorders>
            <w:shd w:val="clear" w:color="auto" w:fill="auto"/>
            <w:vAlign w:val="center"/>
          </w:tcPr>
          <w:p w14:paraId="7AE1C9F1"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PB</w:t>
            </w:r>
          </w:p>
        </w:tc>
        <w:tc>
          <w:tcPr>
            <w:tcW w:w="3259" w:type="dxa"/>
            <w:tcBorders>
              <w:top w:val="single" w:sz="12" w:space="0" w:color="auto"/>
            </w:tcBorders>
            <w:shd w:val="clear" w:color="auto" w:fill="auto"/>
            <w:vAlign w:val="center"/>
          </w:tcPr>
          <w:p w14:paraId="430D1B43"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Retrabajo</w:t>
            </w:r>
          </w:p>
        </w:tc>
      </w:tr>
      <w:tr w:rsidR="00E039F7" w:rsidRPr="00E039F7" w14:paraId="72E8708D" w14:textId="77777777" w:rsidTr="001B4644">
        <w:trPr>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tcBorders>
            <w:shd w:val="clear" w:color="auto" w:fill="auto"/>
            <w:vAlign w:val="center"/>
          </w:tcPr>
          <w:p w14:paraId="4D4DD636" w14:textId="77777777" w:rsidR="00E039F7" w:rsidRPr="00E039F7" w:rsidRDefault="00E039F7" w:rsidP="00E039F7">
            <w:pPr>
              <w:spacing w:line="312" w:lineRule="auto"/>
              <w:jc w:val="both"/>
              <w:rPr>
                <w:rFonts w:ascii="Arial" w:eastAsiaTheme="minorHAnsi" w:hAnsi="Arial" w:cs="Arial"/>
                <w:lang w:eastAsia="en-US"/>
              </w:rPr>
            </w:pPr>
            <w:r w:rsidRPr="00E039F7">
              <w:rPr>
                <w:rFonts w:ascii="Arial" w:eastAsiaTheme="minorHAnsi" w:hAnsi="Arial" w:cs="Arial"/>
                <w:lang w:eastAsia="en-US"/>
              </w:rPr>
              <w:t>PC</w:t>
            </w:r>
          </w:p>
        </w:tc>
        <w:tc>
          <w:tcPr>
            <w:tcW w:w="3261" w:type="dxa"/>
            <w:tcBorders>
              <w:top w:val="single" w:sz="4" w:space="0" w:color="auto"/>
              <w:right w:val="single" w:sz="4" w:space="0" w:color="auto"/>
            </w:tcBorders>
            <w:shd w:val="clear" w:color="auto" w:fill="auto"/>
            <w:vAlign w:val="center"/>
          </w:tcPr>
          <w:p w14:paraId="3E1FC6FC"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Demanda excesiva</w:t>
            </w:r>
          </w:p>
        </w:tc>
        <w:tc>
          <w:tcPr>
            <w:tcW w:w="1134" w:type="dxa"/>
            <w:tcBorders>
              <w:top w:val="single" w:sz="4" w:space="0" w:color="auto"/>
              <w:left w:val="single" w:sz="4" w:space="0" w:color="auto"/>
            </w:tcBorders>
            <w:shd w:val="clear" w:color="auto" w:fill="auto"/>
            <w:vAlign w:val="center"/>
          </w:tcPr>
          <w:p w14:paraId="64218491" w14:textId="77777777" w:rsidR="00E039F7" w:rsidRPr="00E039F7" w:rsidRDefault="00E039F7" w:rsidP="00E039F7">
            <w:pPr>
              <w:spacing w:line="312"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PD</w:t>
            </w:r>
          </w:p>
        </w:tc>
        <w:tc>
          <w:tcPr>
            <w:tcW w:w="3259" w:type="dxa"/>
            <w:tcBorders>
              <w:top w:val="single" w:sz="4" w:space="0" w:color="auto"/>
            </w:tcBorders>
            <w:shd w:val="clear" w:color="auto" w:fill="auto"/>
            <w:vAlign w:val="center"/>
          </w:tcPr>
          <w:p w14:paraId="74E79267"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Procesos innecesarios o inexistentes</w:t>
            </w:r>
          </w:p>
        </w:tc>
      </w:tr>
      <w:tr w:rsidR="00E039F7" w:rsidRPr="00E039F7" w14:paraId="592FB077" w14:textId="77777777" w:rsidTr="001B4644">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5A32CA3B" w14:textId="77777777" w:rsidR="00E039F7" w:rsidRPr="00E039F7" w:rsidRDefault="00E039F7" w:rsidP="00E039F7">
            <w:pPr>
              <w:spacing w:line="312" w:lineRule="auto"/>
              <w:jc w:val="both"/>
              <w:rPr>
                <w:rFonts w:ascii="Arial" w:eastAsiaTheme="minorHAnsi" w:hAnsi="Arial" w:cs="Arial"/>
                <w:lang w:eastAsia="en-US"/>
              </w:rPr>
            </w:pPr>
            <w:r w:rsidRPr="00E039F7">
              <w:rPr>
                <w:rFonts w:ascii="Arial" w:eastAsiaTheme="minorHAnsi" w:hAnsi="Arial" w:cs="Arial"/>
                <w:lang w:eastAsia="en-US"/>
              </w:rPr>
              <w:t>PE</w:t>
            </w:r>
          </w:p>
        </w:tc>
        <w:tc>
          <w:tcPr>
            <w:tcW w:w="3261" w:type="dxa"/>
            <w:tcBorders>
              <w:top w:val="single" w:sz="4" w:space="0" w:color="auto"/>
              <w:bottom w:val="single" w:sz="4" w:space="0" w:color="auto"/>
              <w:right w:val="single" w:sz="4" w:space="0" w:color="auto"/>
            </w:tcBorders>
            <w:shd w:val="clear" w:color="auto" w:fill="auto"/>
            <w:vAlign w:val="center"/>
          </w:tcPr>
          <w:p w14:paraId="698520C2"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Baja interacción entre los servidores involucrados</w:t>
            </w:r>
          </w:p>
        </w:tc>
        <w:tc>
          <w:tcPr>
            <w:tcW w:w="1134" w:type="dxa"/>
            <w:tcBorders>
              <w:top w:val="single" w:sz="4" w:space="0" w:color="auto"/>
              <w:left w:val="single" w:sz="4" w:space="0" w:color="auto"/>
              <w:bottom w:val="single" w:sz="4" w:space="0" w:color="auto"/>
            </w:tcBorders>
            <w:shd w:val="clear" w:color="auto" w:fill="auto"/>
            <w:vAlign w:val="center"/>
          </w:tcPr>
          <w:p w14:paraId="33469ED3"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PF</w:t>
            </w:r>
          </w:p>
        </w:tc>
        <w:tc>
          <w:tcPr>
            <w:tcW w:w="3259" w:type="dxa"/>
            <w:tcBorders>
              <w:top w:val="single" w:sz="4" w:space="0" w:color="auto"/>
              <w:bottom w:val="single" w:sz="4" w:space="0" w:color="auto"/>
            </w:tcBorders>
            <w:shd w:val="clear" w:color="auto" w:fill="auto"/>
            <w:vAlign w:val="center"/>
          </w:tcPr>
          <w:p w14:paraId="3747D128"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Elevado tiempo de espera en la atención</w:t>
            </w:r>
          </w:p>
        </w:tc>
      </w:tr>
      <w:tr w:rsidR="00E039F7" w:rsidRPr="00E039F7" w14:paraId="61A6870E" w14:textId="77777777" w:rsidTr="001B4644">
        <w:trPr>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1591A345" w14:textId="77777777" w:rsidR="00E039F7" w:rsidRPr="00E039F7" w:rsidRDefault="00E039F7" w:rsidP="00E039F7">
            <w:pPr>
              <w:spacing w:line="312" w:lineRule="auto"/>
              <w:jc w:val="both"/>
              <w:rPr>
                <w:rFonts w:ascii="Arial" w:eastAsiaTheme="minorHAnsi" w:hAnsi="Arial" w:cs="Arial"/>
                <w:lang w:eastAsia="en-US"/>
              </w:rPr>
            </w:pPr>
            <w:r w:rsidRPr="00E039F7">
              <w:rPr>
                <w:rFonts w:ascii="Arial" w:eastAsiaTheme="minorHAnsi" w:hAnsi="Arial" w:cs="Arial"/>
                <w:lang w:eastAsia="en-US"/>
              </w:rPr>
              <w:t>PG</w:t>
            </w:r>
          </w:p>
        </w:tc>
        <w:tc>
          <w:tcPr>
            <w:tcW w:w="3261" w:type="dxa"/>
            <w:tcBorders>
              <w:top w:val="single" w:sz="4" w:space="0" w:color="auto"/>
              <w:bottom w:val="single" w:sz="4" w:space="0" w:color="auto"/>
              <w:right w:val="single" w:sz="4" w:space="0" w:color="auto"/>
            </w:tcBorders>
            <w:shd w:val="clear" w:color="auto" w:fill="auto"/>
            <w:vAlign w:val="center"/>
          </w:tcPr>
          <w:p w14:paraId="0F313FF9"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Demora en el procesamiento de datos e información</w:t>
            </w:r>
          </w:p>
        </w:tc>
        <w:tc>
          <w:tcPr>
            <w:tcW w:w="1134" w:type="dxa"/>
            <w:tcBorders>
              <w:top w:val="single" w:sz="4" w:space="0" w:color="auto"/>
              <w:left w:val="single" w:sz="4" w:space="0" w:color="auto"/>
              <w:bottom w:val="single" w:sz="4" w:space="0" w:color="auto"/>
            </w:tcBorders>
            <w:shd w:val="clear" w:color="auto" w:fill="auto"/>
            <w:vAlign w:val="center"/>
          </w:tcPr>
          <w:p w14:paraId="6F6FE5E2" w14:textId="77777777" w:rsidR="00E039F7" w:rsidRPr="00E039F7" w:rsidRDefault="00E039F7" w:rsidP="00E039F7">
            <w:pPr>
              <w:spacing w:line="312"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PH</w:t>
            </w:r>
          </w:p>
        </w:tc>
        <w:tc>
          <w:tcPr>
            <w:tcW w:w="3259" w:type="dxa"/>
            <w:tcBorders>
              <w:top w:val="single" w:sz="4" w:space="0" w:color="auto"/>
              <w:bottom w:val="single" w:sz="4" w:space="0" w:color="auto"/>
            </w:tcBorders>
            <w:shd w:val="clear" w:color="auto" w:fill="auto"/>
            <w:vAlign w:val="center"/>
          </w:tcPr>
          <w:p w14:paraId="32D2F24F" w14:textId="77777777" w:rsidR="00E039F7" w:rsidRPr="00E039F7" w:rsidRDefault="00E039F7" w:rsidP="00E039F7">
            <w:pPr>
              <w:spacing w:line="312"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Servicio incompleto</w:t>
            </w:r>
          </w:p>
        </w:tc>
      </w:tr>
      <w:tr w:rsidR="00E039F7" w:rsidRPr="00E039F7" w14:paraId="2A06768E" w14:textId="77777777" w:rsidTr="001B4644">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12" w:space="0" w:color="auto"/>
            </w:tcBorders>
            <w:shd w:val="clear" w:color="auto" w:fill="auto"/>
            <w:vAlign w:val="center"/>
          </w:tcPr>
          <w:p w14:paraId="4C98136E" w14:textId="77777777" w:rsidR="00E039F7" w:rsidRPr="00E039F7" w:rsidRDefault="00E039F7" w:rsidP="00E039F7">
            <w:pPr>
              <w:spacing w:line="312" w:lineRule="auto"/>
              <w:jc w:val="both"/>
              <w:rPr>
                <w:rFonts w:ascii="Arial" w:eastAsiaTheme="minorHAnsi" w:hAnsi="Arial" w:cs="Arial"/>
                <w:lang w:eastAsia="en-US"/>
              </w:rPr>
            </w:pPr>
            <w:r w:rsidRPr="00E039F7">
              <w:rPr>
                <w:rFonts w:ascii="Arial" w:eastAsiaTheme="minorHAnsi" w:hAnsi="Arial" w:cs="Arial"/>
                <w:lang w:eastAsia="en-US"/>
              </w:rPr>
              <w:t>PI</w:t>
            </w:r>
          </w:p>
        </w:tc>
        <w:tc>
          <w:tcPr>
            <w:tcW w:w="3261" w:type="dxa"/>
            <w:tcBorders>
              <w:top w:val="single" w:sz="4" w:space="0" w:color="auto"/>
              <w:bottom w:val="single" w:sz="12" w:space="0" w:color="auto"/>
              <w:right w:val="single" w:sz="4" w:space="0" w:color="auto"/>
            </w:tcBorders>
            <w:shd w:val="clear" w:color="auto" w:fill="auto"/>
            <w:vAlign w:val="center"/>
          </w:tcPr>
          <w:p w14:paraId="012E39A8"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Relaciones externas perjudicadas</w:t>
            </w:r>
          </w:p>
        </w:tc>
        <w:tc>
          <w:tcPr>
            <w:tcW w:w="1134" w:type="dxa"/>
            <w:tcBorders>
              <w:top w:val="single" w:sz="4" w:space="0" w:color="auto"/>
              <w:left w:val="single" w:sz="4" w:space="0" w:color="auto"/>
              <w:bottom w:val="single" w:sz="12" w:space="0" w:color="auto"/>
            </w:tcBorders>
            <w:shd w:val="clear" w:color="auto" w:fill="auto"/>
            <w:vAlign w:val="center"/>
          </w:tcPr>
          <w:p w14:paraId="65669B93" w14:textId="77777777" w:rsidR="00E039F7" w:rsidRPr="00E039F7" w:rsidRDefault="00E039F7" w:rsidP="00E039F7">
            <w:pPr>
              <w:spacing w:line="312"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PJ</w:t>
            </w:r>
          </w:p>
        </w:tc>
        <w:tc>
          <w:tcPr>
            <w:tcW w:w="3259" w:type="dxa"/>
            <w:tcBorders>
              <w:top w:val="single" w:sz="4" w:space="0" w:color="auto"/>
              <w:bottom w:val="single" w:sz="12" w:space="0" w:color="auto"/>
            </w:tcBorders>
            <w:shd w:val="clear" w:color="auto" w:fill="auto"/>
            <w:vAlign w:val="center"/>
          </w:tcPr>
          <w:p w14:paraId="2C6B436D" w14:textId="77777777" w:rsidR="00E039F7" w:rsidRPr="00E039F7" w:rsidRDefault="00E039F7" w:rsidP="00E039F7">
            <w:pPr>
              <w:spacing w:line="312"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Desperdicio de recursos</w:t>
            </w:r>
          </w:p>
        </w:tc>
      </w:tr>
    </w:tbl>
    <w:p w14:paraId="54FEE3C7" w14:textId="77777777" w:rsidR="00E039F7" w:rsidRPr="00E039F7" w:rsidRDefault="00E039F7" w:rsidP="00E039F7">
      <w:pPr>
        <w:spacing w:after="160" w:line="259" w:lineRule="auto"/>
        <w:rPr>
          <w:rFonts w:asciiTheme="minorHAnsi" w:eastAsiaTheme="minorHAnsi" w:hAnsiTheme="minorHAnsi" w:cstheme="minorBidi"/>
          <w:kern w:val="2"/>
          <w:sz w:val="22"/>
          <w:szCs w:val="22"/>
          <w:lang w:val="es-EC" w:eastAsia="en-US"/>
          <w14:ligatures w14:val="standardContextual"/>
        </w:rPr>
      </w:pPr>
    </w:p>
    <w:p w14:paraId="48BD4CB5" w14:textId="77777777" w:rsidR="00E039F7" w:rsidRDefault="00E039F7" w:rsidP="00E039F7">
      <w:pPr>
        <w:tabs>
          <w:tab w:val="left" w:pos="3360"/>
        </w:tabs>
        <w:jc w:val="center"/>
        <w:rPr>
          <w:rFonts w:ascii="Arial" w:eastAsiaTheme="minorHAnsi" w:hAnsi="Arial" w:cs="Arial"/>
          <w:kern w:val="2"/>
          <w:lang w:val="es-EC" w:eastAsia="en-US"/>
          <w14:ligatures w14:val="standardContextual"/>
        </w:rPr>
      </w:pPr>
    </w:p>
    <w:p w14:paraId="517519FD" w14:textId="304E591C" w:rsidR="00E039F7" w:rsidRPr="00E039F7" w:rsidRDefault="00E039F7" w:rsidP="00E039F7">
      <w:pPr>
        <w:tabs>
          <w:tab w:val="left" w:pos="3360"/>
        </w:tabs>
        <w:jc w:val="center"/>
        <w:rPr>
          <w:rFonts w:ascii="Arial" w:eastAsiaTheme="minorHAnsi" w:hAnsi="Arial" w:cs="Arial"/>
          <w:kern w:val="2"/>
          <w:lang w:val="es-EC" w:eastAsia="en-US"/>
          <w14:ligatures w14:val="standardContextual"/>
        </w:rPr>
      </w:pPr>
      <w:r w:rsidRPr="00E039F7">
        <w:rPr>
          <w:rFonts w:ascii="Arial" w:eastAsiaTheme="minorHAnsi" w:hAnsi="Arial" w:cs="Arial"/>
          <w:kern w:val="2"/>
          <w:lang w:val="es-EC" w:eastAsia="en-US"/>
          <w14:ligatures w14:val="standardContextual"/>
        </w:rPr>
        <w:lastRenderedPageBreak/>
        <w:t>Tabla 6. Problemas existentes desde la perspectiva de la instancia proveedora (continuación)</w:t>
      </w:r>
    </w:p>
    <w:tbl>
      <w:tblPr>
        <w:tblStyle w:val="Tablanormal41"/>
        <w:tblW w:w="8788" w:type="dxa"/>
        <w:jc w:val="center"/>
        <w:tblLayout w:type="fixed"/>
        <w:tblLook w:val="04A0" w:firstRow="1" w:lastRow="0" w:firstColumn="1" w:lastColumn="0" w:noHBand="0" w:noVBand="1"/>
      </w:tblPr>
      <w:tblGrid>
        <w:gridCol w:w="1134"/>
        <w:gridCol w:w="3261"/>
        <w:gridCol w:w="1134"/>
        <w:gridCol w:w="3259"/>
      </w:tblGrid>
      <w:tr w:rsidR="00E039F7" w:rsidRPr="00E039F7" w14:paraId="4EFA90F8" w14:textId="77777777" w:rsidTr="001B464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auto"/>
              <w:bottom w:val="single" w:sz="12" w:space="0" w:color="auto"/>
            </w:tcBorders>
            <w:shd w:val="clear" w:color="auto" w:fill="auto"/>
            <w:vAlign w:val="center"/>
          </w:tcPr>
          <w:p w14:paraId="1472F0CE" w14:textId="77777777" w:rsidR="00E039F7" w:rsidRPr="00E039F7" w:rsidRDefault="00E039F7" w:rsidP="00E039F7">
            <w:pPr>
              <w:spacing w:line="276" w:lineRule="auto"/>
              <w:rPr>
                <w:rFonts w:ascii="Arial" w:eastAsiaTheme="minorHAnsi" w:hAnsi="Arial" w:cs="Arial"/>
                <w:lang w:eastAsia="en-US"/>
              </w:rPr>
            </w:pPr>
            <w:r w:rsidRPr="00E039F7">
              <w:rPr>
                <w:rFonts w:ascii="Arial" w:eastAsiaTheme="minorHAnsi" w:hAnsi="Arial" w:cs="Arial"/>
                <w:lang w:eastAsia="en-US"/>
              </w:rPr>
              <w:t>Código</w:t>
            </w:r>
          </w:p>
        </w:tc>
        <w:tc>
          <w:tcPr>
            <w:tcW w:w="3261" w:type="dxa"/>
            <w:tcBorders>
              <w:top w:val="single" w:sz="12" w:space="0" w:color="auto"/>
              <w:bottom w:val="single" w:sz="12" w:space="0" w:color="auto"/>
              <w:right w:val="single" w:sz="4" w:space="0" w:color="auto"/>
            </w:tcBorders>
            <w:shd w:val="clear" w:color="auto" w:fill="auto"/>
            <w:vAlign w:val="center"/>
          </w:tcPr>
          <w:p w14:paraId="188CC5E9" w14:textId="77777777" w:rsidR="00E039F7" w:rsidRPr="00E039F7" w:rsidRDefault="00E039F7" w:rsidP="00E039F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Problema</w:t>
            </w:r>
          </w:p>
        </w:tc>
        <w:tc>
          <w:tcPr>
            <w:tcW w:w="1134" w:type="dxa"/>
            <w:tcBorders>
              <w:top w:val="single" w:sz="12" w:space="0" w:color="auto"/>
              <w:left w:val="single" w:sz="4" w:space="0" w:color="auto"/>
              <w:bottom w:val="single" w:sz="12" w:space="0" w:color="auto"/>
            </w:tcBorders>
            <w:shd w:val="clear" w:color="auto" w:fill="auto"/>
            <w:vAlign w:val="center"/>
          </w:tcPr>
          <w:p w14:paraId="6B914286" w14:textId="77777777" w:rsidR="00E039F7" w:rsidRPr="00E039F7" w:rsidRDefault="00E039F7" w:rsidP="00E039F7">
            <w:pPr>
              <w:spacing w:line="276"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Código</w:t>
            </w:r>
          </w:p>
        </w:tc>
        <w:tc>
          <w:tcPr>
            <w:tcW w:w="3259" w:type="dxa"/>
            <w:tcBorders>
              <w:top w:val="single" w:sz="12" w:space="0" w:color="auto"/>
              <w:bottom w:val="single" w:sz="12" w:space="0" w:color="auto"/>
            </w:tcBorders>
            <w:shd w:val="clear" w:color="auto" w:fill="auto"/>
            <w:vAlign w:val="center"/>
          </w:tcPr>
          <w:p w14:paraId="3EB20870" w14:textId="77777777" w:rsidR="00E039F7" w:rsidRPr="00E039F7" w:rsidRDefault="00E039F7" w:rsidP="00E039F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Problema</w:t>
            </w:r>
          </w:p>
        </w:tc>
      </w:tr>
      <w:tr w:rsidR="00E039F7" w:rsidRPr="00E039F7" w14:paraId="286C3BD5" w14:textId="77777777" w:rsidTr="001B4644">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7D986397" w14:textId="77777777" w:rsidR="00E039F7" w:rsidRPr="00E039F7" w:rsidRDefault="00E039F7" w:rsidP="00E039F7">
            <w:pPr>
              <w:spacing w:line="276" w:lineRule="auto"/>
              <w:jc w:val="both"/>
              <w:rPr>
                <w:rFonts w:ascii="Arial" w:eastAsiaTheme="minorHAnsi" w:hAnsi="Arial" w:cs="Arial"/>
                <w:lang w:eastAsia="en-US"/>
              </w:rPr>
            </w:pPr>
            <w:r w:rsidRPr="00E039F7">
              <w:rPr>
                <w:rFonts w:ascii="Arial" w:eastAsiaTheme="minorHAnsi" w:hAnsi="Arial" w:cs="Arial"/>
                <w:lang w:eastAsia="en-US"/>
              </w:rPr>
              <w:t>PK</w:t>
            </w:r>
          </w:p>
        </w:tc>
        <w:tc>
          <w:tcPr>
            <w:tcW w:w="3261" w:type="dxa"/>
            <w:tcBorders>
              <w:top w:val="single" w:sz="4" w:space="0" w:color="auto"/>
              <w:bottom w:val="single" w:sz="4" w:space="0" w:color="auto"/>
              <w:right w:val="single" w:sz="4" w:space="0" w:color="auto"/>
            </w:tcBorders>
            <w:shd w:val="clear" w:color="auto" w:fill="auto"/>
            <w:vAlign w:val="center"/>
          </w:tcPr>
          <w:p w14:paraId="5A318E77" w14:textId="77777777" w:rsidR="00E039F7" w:rsidRPr="00E039F7" w:rsidRDefault="00E039F7" w:rsidP="00E039F7">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Bajo nivel de prevención en la gestión</w:t>
            </w:r>
          </w:p>
        </w:tc>
        <w:tc>
          <w:tcPr>
            <w:tcW w:w="1134" w:type="dxa"/>
            <w:tcBorders>
              <w:top w:val="single" w:sz="4" w:space="0" w:color="auto"/>
              <w:left w:val="single" w:sz="4" w:space="0" w:color="auto"/>
              <w:bottom w:val="single" w:sz="4" w:space="0" w:color="auto"/>
            </w:tcBorders>
            <w:shd w:val="clear" w:color="auto" w:fill="auto"/>
            <w:vAlign w:val="center"/>
          </w:tcPr>
          <w:p w14:paraId="3A3359C0" w14:textId="77777777" w:rsidR="00E039F7" w:rsidRPr="00E039F7" w:rsidRDefault="00E039F7" w:rsidP="00E039F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PL</w:t>
            </w:r>
          </w:p>
        </w:tc>
        <w:tc>
          <w:tcPr>
            <w:tcW w:w="3259" w:type="dxa"/>
            <w:tcBorders>
              <w:top w:val="single" w:sz="4" w:space="0" w:color="auto"/>
              <w:bottom w:val="single" w:sz="4" w:space="0" w:color="auto"/>
            </w:tcBorders>
            <w:shd w:val="clear" w:color="auto" w:fill="auto"/>
            <w:vAlign w:val="center"/>
          </w:tcPr>
          <w:p w14:paraId="5F06F184" w14:textId="77777777" w:rsidR="00E039F7" w:rsidRPr="00E039F7" w:rsidRDefault="00E039F7" w:rsidP="00E039F7">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Equipos deteriorados</w:t>
            </w:r>
          </w:p>
        </w:tc>
      </w:tr>
      <w:tr w:rsidR="00E039F7" w:rsidRPr="00E039F7" w14:paraId="4A5BD4BC" w14:textId="77777777" w:rsidTr="001B4644">
        <w:trPr>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5B401CEA" w14:textId="77777777" w:rsidR="00E039F7" w:rsidRPr="00E039F7" w:rsidRDefault="00E039F7" w:rsidP="00E039F7">
            <w:pPr>
              <w:spacing w:line="276" w:lineRule="auto"/>
              <w:jc w:val="both"/>
              <w:rPr>
                <w:rFonts w:ascii="Arial" w:eastAsiaTheme="minorHAnsi" w:hAnsi="Arial" w:cs="Arial"/>
                <w:lang w:eastAsia="en-US"/>
              </w:rPr>
            </w:pPr>
            <w:r w:rsidRPr="00E039F7">
              <w:rPr>
                <w:rFonts w:ascii="Arial" w:eastAsiaTheme="minorHAnsi" w:hAnsi="Arial" w:cs="Arial"/>
                <w:lang w:eastAsia="en-US"/>
              </w:rPr>
              <w:t>PM</w:t>
            </w:r>
          </w:p>
        </w:tc>
        <w:tc>
          <w:tcPr>
            <w:tcW w:w="3261" w:type="dxa"/>
            <w:tcBorders>
              <w:top w:val="single" w:sz="4" w:space="0" w:color="auto"/>
              <w:bottom w:val="single" w:sz="4" w:space="0" w:color="auto"/>
              <w:right w:val="single" w:sz="4" w:space="0" w:color="auto"/>
            </w:tcBorders>
            <w:shd w:val="clear" w:color="auto" w:fill="auto"/>
            <w:vAlign w:val="center"/>
          </w:tcPr>
          <w:p w14:paraId="45A2223C" w14:textId="77777777" w:rsidR="00E039F7" w:rsidRPr="00E039F7" w:rsidRDefault="00E039F7" w:rsidP="00E039F7">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Desabastecimiento de medicamentos</w:t>
            </w:r>
          </w:p>
        </w:tc>
        <w:tc>
          <w:tcPr>
            <w:tcW w:w="1134" w:type="dxa"/>
            <w:tcBorders>
              <w:top w:val="single" w:sz="4" w:space="0" w:color="auto"/>
              <w:left w:val="single" w:sz="4" w:space="0" w:color="auto"/>
              <w:bottom w:val="single" w:sz="4" w:space="0" w:color="auto"/>
            </w:tcBorders>
            <w:shd w:val="clear" w:color="auto" w:fill="auto"/>
            <w:vAlign w:val="center"/>
          </w:tcPr>
          <w:p w14:paraId="780840D8" w14:textId="77777777" w:rsidR="00E039F7" w:rsidRPr="00E039F7" w:rsidRDefault="00E039F7" w:rsidP="00E039F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b/>
                <w:bCs/>
                <w:lang w:eastAsia="en-US"/>
              </w:rPr>
              <w:t>PN</w:t>
            </w:r>
          </w:p>
        </w:tc>
        <w:tc>
          <w:tcPr>
            <w:tcW w:w="3259" w:type="dxa"/>
            <w:tcBorders>
              <w:top w:val="single" w:sz="4" w:space="0" w:color="auto"/>
              <w:bottom w:val="single" w:sz="4" w:space="0" w:color="auto"/>
            </w:tcBorders>
            <w:shd w:val="clear" w:color="auto" w:fill="auto"/>
            <w:vAlign w:val="center"/>
          </w:tcPr>
          <w:p w14:paraId="6FAC91A2" w14:textId="77777777" w:rsidR="00E039F7" w:rsidRPr="00E039F7" w:rsidRDefault="00E039F7" w:rsidP="00E039F7">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Vehículos no disponibles</w:t>
            </w:r>
          </w:p>
        </w:tc>
      </w:tr>
      <w:tr w:rsidR="00E039F7" w:rsidRPr="00E039F7" w14:paraId="7AE2C697" w14:textId="77777777" w:rsidTr="001B4644">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12" w:space="0" w:color="auto"/>
            </w:tcBorders>
            <w:shd w:val="clear" w:color="auto" w:fill="auto"/>
            <w:vAlign w:val="center"/>
          </w:tcPr>
          <w:p w14:paraId="3FFD04E4" w14:textId="77777777" w:rsidR="00E039F7" w:rsidRPr="00E039F7" w:rsidRDefault="00E039F7" w:rsidP="00E039F7">
            <w:pPr>
              <w:spacing w:line="276" w:lineRule="auto"/>
              <w:jc w:val="both"/>
              <w:rPr>
                <w:rFonts w:ascii="Arial" w:eastAsiaTheme="minorHAnsi" w:hAnsi="Arial" w:cs="Arial"/>
                <w:lang w:eastAsia="en-US"/>
              </w:rPr>
            </w:pPr>
            <w:r w:rsidRPr="00E039F7">
              <w:rPr>
                <w:rFonts w:ascii="Arial" w:eastAsiaTheme="minorHAnsi" w:hAnsi="Arial" w:cs="Arial"/>
                <w:lang w:eastAsia="en-US"/>
              </w:rPr>
              <w:t>PO</w:t>
            </w:r>
          </w:p>
        </w:tc>
        <w:tc>
          <w:tcPr>
            <w:tcW w:w="3261" w:type="dxa"/>
            <w:tcBorders>
              <w:top w:val="single" w:sz="4" w:space="0" w:color="auto"/>
              <w:bottom w:val="single" w:sz="12" w:space="0" w:color="auto"/>
              <w:right w:val="single" w:sz="4" w:space="0" w:color="auto"/>
            </w:tcBorders>
            <w:shd w:val="clear" w:color="auto" w:fill="auto"/>
            <w:vAlign w:val="center"/>
          </w:tcPr>
          <w:p w14:paraId="68B17B70" w14:textId="77777777" w:rsidR="00E039F7" w:rsidRPr="00E039F7" w:rsidRDefault="00E039F7" w:rsidP="00E039F7">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Gestión inadecuada de la publicidad y comunicación</w:t>
            </w:r>
          </w:p>
        </w:tc>
        <w:tc>
          <w:tcPr>
            <w:tcW w:w="1134" w:type="dxa"/>
            <w:tcBorders>
              <w:top w:val="single" w:sz="4" w:space="0" w:color="auto"/>
              <w:left w:val="single" w:sz="4" w:space="0" w:color="auto"/>
              <w:bottom w:val="single" w:sz="12" w:space="0" w:color="auto"/>
            </w:tcBorders>
            <w:shd w:val="clear" w:color="auto" w:fill="auto"/>
            <w:vAlign w:val="center"/>
          </w:tcPr>
          <w:p w14:paraId="7BD96501" w14:textId="77777777" w:rsidR="00E039F7" w:rsidRPr="00E039F7" w:rsidRDefault="00E039F7" w:rsidP="00E039F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E039F7">
              <w:rPr>
                <w:rFonts w:ascii="Arial" w:eastAsiaTheme="minorHAnsi" w:hAnsi="Arial" w:cs="Arial"/>
                <w:b/>
                <w:bCs/>
                <w:lang w:eastAsia="en-US"/>
              </w:rPr>
              <w:t>PP</w:t>
            </w:r>
          </w:p>
        </w:tc>
        <w:tc>
          <w:tcPr>
            <w:tcW w:w="3259" w:type="dxa"/>
            <w:tcBorders>
              <w:top w:val="single" w:sz="4" w:space="0" w:color="auto"/>
              <w:bottom w:val="single" w:sz="12" w:space="0" w:color="auto"/>
            </w:tcBorders>
            <w:shd w:val="clear" w:color="auto" w:fill="auto"/>
            <w:vAlign w:val="center"/>
          </w:tcPr>
          <w:p w14:paraId="5E04D817" w14:textId="77777777" w:rsidR="00E039F7" w:rsidRPr="00E039F7" w:rsidRDefault="00E039F7" w:rsidP="00E039F7">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E039F7">
              <w:rPr>
                <w:rFonts w:ascii="Arial" w:eastAsiaTheme="minorHAnsi" w:hAnsi="Arial" w:cs="Arial"/>
                <w:lang w:eastAsia="en-US"/>
              </w:rPr>
              <w:t>Infraestructura física limitada</w:t>
            </w:r>
          </w:p>
        </w:tc>
      </w:tr>
    </w:tbl>
    <w:p w14:paraId="68E97FB2" w14:textId="77777777" w:rsidR="00E039F7" w:rsidRPr="00E039F7" w:rsidRDefault="00E039F7" w:rsidP="00E039F7">
      <w:pPr>
        <w:spacing w:line="360" w:lineRule="auto"/>
        <w:rPr>
          <w:rFonts w:ascii="Arial" w:eastAsiaTheme="minorHAnsi" w:hAnsi="Arial" w:cs="Arial"/>
          <w:kern w:val="2"/>
          <w:lang w:val="es-ES" w:eastAsia="en-US"/>
          <w14:ligatures w14:val="standardContextual"/>
        </w:rPr>
      </w:pPr>
    </w:p>
    <w:p w14:paraId="50370E86" w14:textId="77777777" w:rsidR="00B0281E" w:rsidRPr="00B0281E" w:rsidRDefault="00B0281E" w:rsidP="00B0281E">
      <w:pPr>
        <w:spacing w:line="360" w:lineRule="auto"/>
        <w:jc w:val="both"/>
        <w:rPr>
          <w:rFonts w:ascii="Arial" w:eastAsiaTheme="minorHAnsi" w:hAnsi="Arial" w:cs="Arial"/>
          <w:b/>
          <w:bCs/>
          <w:kern w:val="2"/>
          <w:lang w:val="es-ES" w:eastAsia="en-US"/>
          <w14:ligatures w14:val="standardContextual"/>
        </w:rPr>
      </w:pPr>
      <w:r w:rsidRPr="00B0281E">
        <w:rPr>
          <w:rFonts w:ascii="Arial" w:eastAsiaTheme="minorHAnsi" w:hAnsi="Arial" w:cs="Arial"/>
          <w:b/>
          <w:bCs/>
          <w:kern w:val="2"/>
          <w:lang w:val="es-ES" w:eastAsia="en-US"/>
          <w14:ligatures w14:val="standardContextual"/>
        </w:rPr>
        <w:t>Perspectiva del estudiantado</w:t>
      </w:r>
    </w:p>
    <w:p w14:paraId="6B350BA2" w14:textId="77777777" w:rsidR="00B0281E" w:rsidRPr="00B0281E" w:rsidRDefault="00B0281E" w:rsidP="00B0281E">
      <w:pPr>
        <w:spacing w:line="360" w:lineRule="auto"/>
        <w:jc w:val="both"/>
        <w:rPr>
          <w:rFonts w:ascii="Arial" w:eastAsiaTheme="minorHAnsi" w:hAnsi="Arial" w:cs="Arial"/>
          <w:kern w:val="2"/>
          <w:lang w:val="es-ES" w:eastAsia="en-US"/>
          <w14:ligatures w14:val="standardContextual"/>
        </w:rPr>
      </w:pPr>
      <w:r w:rsidRPr="00B0281E">
        <w:rPr>
          <w:rFonts w:ascii="Arial" w:eastAsiaTheme="minorHAnsi" w:hAnsi="Arial" w:cs="Arial"/>
          <w:kern w:val="2"/>
          <w:lang w:val="es-ES" w:eastAsia="en-US"/>
          <w14:ligatures w14:val="standardContextual"/>
        </w:rPr>
        <w:t xml:space="preserve">Se determinaron 15 problemas en los procesos de la UBE, los cuales se muestran en la tabla 7. Se destaca el hecho de que nueve de los problemas experimentados por la UBE permanecen y coinciden con los que ha experimentado la comunidad educativa beneficiaria del servicio. </w:t>
      </w:r>
    </w:p>
    <w:p w14:paraId="08B1DD69" w14:textId="77777777" w:rsidR="00B0281E" w:rsidRDefault="00B0281E" w:rsidP="00B0281E">
      <w:pPr>
        <w:spacing w:line="360" w:lineRule="auto"/>
        <w:jc w:val="both"/>
        <w:rPr>
          <w:rFonts w:ascii="Arial" w:eastAsiaTheme="minorHAnsi" w:hAnsi="Arial" w:cs="Arial"/>
          <w:kern w:val="2"/>
          <w:lang w:val="es-ES" w:eastAsia="en-US"/>
          <w14:ligatures w14:val="standardContextual"/>
        </w:rPr>
      </w:pPr>
    </w:p>
    <w:p w14:paraId="6D0C47B3" w14:textId="0B2795FE" w:rsidR="00B0281E" w:rsidRPr="00B0281E" w:rsidRDefault="00B0281E" w:rsidP="00B0281E">
      <w:pPr>
        <w:spacing w:line="360" w:lineRule="auto"/>
        <w:jc w:val="both"/>
        <w:rPr>
          <w:rFonts w:ascii="Arial" w:eastAsiaTheme="minorHAnsi" w:hAnsi="Arial" w:cs="Arial"/>
          <w:kern w:val="2"/>
          <w:lang w:val="es-ES" w:eastAsia="en-US"/>
          <w14:ligatures w14:val="standardContextual"/>
        </w:rPr>
      </w:pPr>
      <w:r w:rsidRPr="00B0281E">
        <w:rPr>
          <w:rFonts w:ascii="Arial" w:eastAsiaTheme="minorHAnsi" w:hAnsi="Arial" w:cs="Arial"/>
          <w:kern w:val="2"/>
          <w:lang w:val="es-ES" w:eastAsia="en-US"/>
          <w14:ligatures w14:val="standardContextual"/>
        </w:rPr>
        <w:t xml:space="preserve">Se muestran, en la figura 3, los problemas vitales de ambas perspectivas, es decir, el 20% de los problemas que están presentes en el 80% de los programas. Se obedece a la regla 80-20 de Pareto, donde se denota que la frecuencia de percepción de estos problemas varía según la perspectiva. Al analizar, paralelamente, ambas perspectivas y bajo el principio de Pareto, de los 16 problemas para la UBE y los 15 para el estudiantado, dos problemas son comunes: el PF y PO. </w:t>
      </w:r>
    </w:p>
    <w:p w14:paraId="42E46617" w14:textId="77777777" w:rsidR="00021F05" w:rsidRPr="00021F05" w:rsidRDefault="00021F05" w:rsidP="00021F05">
      <w:pPr>
        <w:keepNext/>
        <w:jc w:val="center"/>
        <w:rPr>
          <w:rFonts w:ascii="Arial" w:eastAsiaTheme="minorHAnsi" w:hAnsi="Arial" w:cs="Arial"/>
          <w:lang w:val="es-EC" w:eastAsia="en-US"/>
        </w:rPr>
      </w:pPr>
      <w:r w:rsidRPr="00021F05">
        <w:rPr>
          <w:rFonts w:ascii="Arial" w:eastAsiaTheme="minorHAnsi" w:hAnsi="Arial" w:cs="Arial"/>
          <w:lang w:val="es-EC" w:eastAsia="en-US"/>
        </w:rPr>
        <w:lastRenderedPageBreak/>
        <w:t>Tabla 7. Problemas existentes desde la perspectiva del estudiantado de la UBE</w:t>
      </w:r>
    </w:p>
    <w:tbl>
      <w:tblPr>
        <w:tblStyle w:val="Tablanormal42"/>
        <w:tblW w:w="8931" w:type="dxa"/>
        <w:jc w:val="center"/>
        <w:tblLayout w:type="fixed"/>
        <w:tblLook w:val="04A0" w:firstRow="1" w:lastRow="0" w:firstColumn="1" w:lastColumn="0" w:noHBand="0" w:noVBand="1"/>
      </w:tblPr>
      <w:tblGrid>
        <w:gridCol w:w="1077"/>
        <w:gridCol w:w="3402"/>
        <w:gridCol w:w="1077"/>
        <w:gridCol w:w="3375"/>
      </w:tblGrid>
      <w:tr w:rsidR="00021F05" w:rsidRPr="00021F05" w14:paraId="7DB02734" w14:textId="77777777" w:rsidTr="001B464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12" w:space="0" w:color="auto"/>
              <w:bottom w:val="single" w:sz="12" w:space="0" w:color="auto"/>
            </w:tcBorders>
            <w:shd w:val="clear" w:color="auto" w:fill="auto"/>
            <w:vAlign w:val="center"/>
          </w:tcPr>
          <w:p w14:paraId="4F2D4CEE" w14:textId="77777777" w:rsidR="00021F05" w:rsidRPr="00021F05" w:rsidRDefault="00021F05" w:rsidP="00021F05">
            <w:pPr>
              <w:spacing w:line="276" w:lineRule="auto"/>
              <w:rPr>
                <w:rFonts w:ascii="Arial" w:eastAsiaTheme="minorHAnsi" w:hAnsi="Arial" w:cs="Arial"/>
                <w:lang w:eastAsia="en-US"/>
              </w:rPr>
            </w:pPr>
            <w:r w:rsidRPr="00021F05">
              <w:rPr>
                <w:rFonts w:ascii="Arial" w:eastAsiaTheme="minorHAnsi" w:hAnsi="Arial" w:cs="Arial"/>
                <w:lang w:eastAsia="en-US"/>
              </w:rPr>
              <w:t>Código</w:t>
            </w:r>
          </w:p>
        </w:tc>
        <w:tc>
          <w:tcPr>
            <w:tcW w:w="3402" w:type="dxa"/>
            <w:tcBorders>
              <w:top w:val="single" w:sz="12" w:space="0" w:color="auto"/>
              <w:bottom w:val="single" w:sz="12" w:space="0" w:color="auto"/>
              <w:right w:val="single" w:sz="4" w:space="0" w:color="auto"/>
            </w:tcBorders>
            <w:shd w:val="clear" w:color="auto" w:fill="auto"/>
            <w:vAlign w:val="center"/>
          </w:tcPr>
          <w:p w14:paraId="17ED38BB" w14:textId="77777777" w:rsidR="00021F05" w:rsidRPr="00021F05" w:rsidRDefault="00021F05" w:rsidP="00021F0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Problema</w:t>
            </w:r>
          </w:p>
        </w:tc>
        <w:tc>
          <w:tcPr>
            <w:tcW w:w="1077" w:type="dxa"/>
            <w:tcBorders>
              <w:top w:val="single" w:sz="12" w:space="0" w:color="auto"/>
              <w:left w:val="single" w:sz="4" w:space="0" w:color="auto"/>
              <w:bottom w:val="single" w:sz="12" w:space="0" w:color="auto"/>
            </w:tcBorders>
            <w:shd w:val="clear" w:color="auto" w:fill="auto"/>
            <w:vAlign w:val="center"/>
          </w:tcPr>
          <w:p w14:paraId="02A6117D" w14:textId="77777777" w:rsidR="00021F05" w:rsidRPr="00021F05" w:rsidRDefault="00021F05" w:rsidP="00021F05">
            <w:pPr>
              <w:spacing w:line="276"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Código</w:t>
            </w:r>
          </w:p>
        </w:tc>
        <w:tc>
          <w:tcPr>
            <w:tcW w:w="3375" w:type="dxa"/>
            <w:tcBorders>
              <w:top w:val="single" w:sz="12" w:space="0" w:color="auto"/>
              <w:bottom w:val="single" w:sz="12" w:space="0" w:color="auto"/>
            </w:tcBorders>
            <w:shd w:val="clear" w:color="auto" w:fill="auto"/>
            <w:vAlign w:val="center"/>
          </w:tcPr>
          <w:p w14:paraId="37F99AB0" w14:textId="77777777" w:rsidR="00021F05" w:rsidRPr="00021F05" w:rsidRDefault="00021F05" w:rsidP="00021F0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Problema</w:t>
            </w:r>
          </w:p>
        </w:tc>
      </w:tr>
      <w:tr w:rsidR="00021F05" w:rsidRPr="00021F05" w14:paraId="1460F53A"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12" w:space="0" w:color="auto"/>
              <w:bottom w:val="single" w:sz="4" w:space="0" w:color="auto"/>
            </w:tcBorders>
            <w:shd w:val="clear" w:color="auto" w:fill="auto"/>
            <w:vAlign w:val="center"/>
          </w:tcPr>
          <w:p w14:paraId="69DD01DB"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PA*</w:t>
            </w:r>
          </w:p>
        </w:tc>
        <w:tc>
          <w:tcPr>
            <w:tcW w:w="3402" w:type="dxa"/>
            <w:tcBorders>
              <w:top w:val="single" w:sz="12" w:space="0" w:color="auto"/>
              <w:bottom w:val="single" w:sz="4" w:space="0" w:color="auto"/>
              <w:right w:val="single" w:sz="4" w:space="0" w:color="auto"/>
            </w:tcBorders>
            <w:shd w:val="clear" w:color="auto" w:fill="auto"/>
            <w:vAlign w:val="center"/>
          </w:tcPr>
          <w:p w14:paraId="5E9D1416"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Burocracia</w:t>
            </w:r>
          </w:p>
        </w:tc>
        <w:tc>
          <w:tcPr>
            <w:tcW w:w="1077" w:type="dxa"/>
            <w:tcBorders>
              <w:top w:val="single" w:sz="12" w:space="0" w:color="auto"/>
              <w:left w:val="single" w:sz="4" w:space="0" w:color="auto"/>
              <w:bottom w:val="single" w:sz="4" w:space="0" w:color="auto"/>
            </w:tcBorders>
            <w:shd w:val="clear" w:color="auto" w:fill="auto"/>
            <w:vAlign w:val="center"/>
          </w:tcPr>
          <w:p w14:paraId="4B186E8D" w14:textId="77777777" w:rsidR="00021F05" w:rsidRPr="00021F05" w:rsidRDefault="00021F05" w:rsidP="00021F0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PC*</w:t>
            </w:r>
          </w:p>
        </w:tc>
        <w:tc>
          <w:tcPr>
            <w:tcW w:w="3375" w:type="dxa"/>
            <w:tcBorders>
              <w:top w:val="single" w:sz="12" w:space="0" w:color="auto"/>
              <w:bottom w:val="single" w:sz="4" w:space="0" w:color="auto"/>
            </w:tcBorders>
            <w:shd w:val="clear" w:color="auto" w:fill="auto"/>
            <w:vAlign w:val="center"/>
          </w:tcPr>
          <w:p w14:paraId="0355F9E8"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Demanda excesiva</w:t>
            </w:r>
          </w:p>
        </w:tc>
      </w:tr>
      <w:tr w:rsidR="00021F05" w:rsidRPr="00021F05" w14:paraId="0BF5308A"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single" w:sz="4" w:space="0" w:color="auto"/>
            </w:tcBorders>
            <w:shd w:val="clear" w:color="auto" w:fill="auto"/>
            <w:vAlign w:val="center"/>
          </w:tcPr>
          <w:p w14:paraId="66AC7188"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PE*</w:t>
            </w:r>
          </w:p>
        </w:tc>
        <w:tc>
          <w:tcPr>
            <w:tcW w:w="3402" w:type="dxa"/>
            <w:tcBorders>
              <w:top w:val="single" w:sz="4" w:space="0" w:color="auto"/>
              <w:bottom w:val="single" w:sz="4" w:space="0" w:color="auto"/>
              <w:right w:val="single" w:sz="4" w:space="0" w:color="auto"/>
            </w:tcBorders>
            <w:shd w:val="clear" w:color="auto" w:fill="auto"/>
            <w:vAlign w:val="center"/>
          </w:tcPr>
          <w:p w14:paraId="008C68D8"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Baja interacción entre los servidores involucrados</w:t>
            </w:r>
          </w:p>
        </w:tc>
        <w:tc>
          <w:tcPr>
            <w:tcW w:w="1077" w:type="dxa"/>
            <w:tcBorders>
              <w:top w:val="single" w:sz="4" w:space="0" w:color="auto"/>
              <w:left w:val="single" w:sz="4" w:space="0" w:color="auto"/>
              <w:bottom w:val="single" w:sz="4" w:space="0" w:color="auto"/>
            </w:tcBorders>
            <w:shd w:val="clear" w:color="auto" w:fill="auto"/>
            <w:vAlign w:val="center"/>
          </w:tcPr>
          <w:p w14:paraId="259ED24E" w14:textId="77777777" w:rsidR="00021F05" w:rsidRPr="00021F05" w:rsidRDefault="00021F05" w:rsidP="00021F0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PF*</w:t>
            </w:r>
          </w:p>
        </w:tc>
        <w:tc>
          <w:tcPr>
            <w:tcW w:w="3375" w:type="dxa"/>
            <w:tcBorders>
              <w:top w:val="single" w:sz="4" w:space="0" w:color="auto"/>
              <w:bottom w:val="single" w:sz="4" w:space="0" w:color="auto"/>
            </w:tcBorders>
            <w:shd w:val="clear" w:color="auto" w:fill="auto"/>
            <w:vAlign w:val="center"/>
          </w:tcPr>
          <w:p w14:paraId="58F6B7C7"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Elevado tiempo de espera en la atención</w:t>
            </w:r>
          </w:p>
        </w:tc>
      </w:tr>
      <w:tr w:rsidR="00021F05" w:rsidRPr="00021F05" w14:paraId="349C5FED"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single" w:sz="4" w:space="0" w:color="auto"/>
            </w:tcBorders>
            <w:shd w:val="clear" w:color="auto" w:fill="auto"/>
            <w:vAlign w:val="center"/>
          </w:tcPr>
          <w:p w14:paraId="5853D4D4"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PH*</w:t>
            </w:r>
          </w:p>
        </w:tc>
        <w:tc>
          <w:tcPr>
            <w:tcW w:w="3402" w:type="dxa"/>
            <w:tcBorders>
              <w:top w:val="single" w:sz="4" w:space="0" w:color="auto"/>
              <w:bottom w:val="single" w:sz="4" w:space="0" w:color="auto"/>
              <w:right w:val="single" w:sz="4" w:space="0" w:color="auto"/>
            </w:tcBorders>
            <w:shd w:val="clear" w:color="auto" w:fill="auto"/>
            <w:vAlign w:val="center"/>
          </w:tcPr>
          <w:p w14:paraId="2318B9C9"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Servicio incompleto</w:t>
            </w:r>
          </w:p>
        </w:tc>
        <w:tc>
          <w:tcPr>
            <w:tcW w:w="1077" w:type="dxa"/>
            <w:tcBorders>
              <w:top w:val="single" w:sz="4" w:space="0" w:color="auto"/>
              <w:left w:val="single" w:sz="4" w:space="0" w:color="auto"/>
              <w:bottom w:val="single" w:sz="4" w:space="0" w:color="auto"/>
            </w:tcBorders>
            <w:shd w:val="clear" w:color="auto" w:fill="auto"/>
            <w:vAlign w:val="center"/>
          </w:tcPr>
          <w:p w14:paraId="069C15A9" w14:textId="77777777" w:rsidR="00021F05" w:rsidRPr="00021F05" w:rsidRDefault="00021F05" w:rsidP="00021F0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PM*</w:t>
            </w:r>
          </w:p>
        </w:tc>
        <w:tc>
          <w:tcPr>
            <w:tcW w:w="3375" w:type="dxa"/>
            <w:tcBorders>
              <w:top w:val="single" w:sz="4" w:space="0" w:color="auto"/>
              <w:bottom w:val="single" w:sz="4" w:space="0" w:color="auto"/>
            </w:tcBorders>
            <w:shd w:val="clear" w:color="auto" w:fill="auto"/>
            <w:vAlign w:val="center"/>
          </w:tcPr>
          <w:p w14:paraId="2CF7AC5E"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Desabastecimiento de medicamentos</w:t>
            </w:r>
          </w:p>
        </w:tc>
      </w:tr>
      <w:tr w:rsidR="00021F05" w:rsidRPr="00021F05" w14:paraId="0C1FA64B"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single" w:sz="4" w:space="0" w:color="auto"/>
            </w:tcBorders>
            <w:shd w:val="clear" w:color="auto" w:fill="auto"/>
            <w:vAlign w:val="center"/>
          </w:tcPr>
          <w:p w14:paraId="6E18CF67"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PL*</w:t>
            </w:r>
          </w:p>
        </w:tc>
        <w:tc>
          <w:tcPr>
            <w:tcW w:w="3402" w:type="dxa"/>
            <w:tcBorders>
              <w:top w:val="single" w:sz="4" w:space="0" w:color="auto"/>
              <w:bottom w:val="single" w:sz="4" w:space="0" w:color="auto"/>
              <w:right w:val="single" w:sz="4" w:space="0" w:color="auto"/>
            </w:tcBorders>
            <w:shd w:val="clear" w:color="auto" w:fill="auto"/>
            <w:vAlign w:val="center"/>
          </w:tcPr>
          <w:p w14:paraId="48D9871F"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Equipos deteriorados</w:t>
            </w:r>
          </w:p>
        </w:tc>
        <w:tc>
          <w:tcPr>
            <w:tcW w:w="1077" w:type="dxa"/>
            <w:tcBorders>
              <w:top w:val="single" w:sz="4" w:space="0" w:color="auto"/>
              <w:left w:val="single" w:sz="4" w:space="0" w:color="auto"/>
              <w:bottom w:val="single" w:sz="4" w:space="0" w:color="auto"/>
            </w:tcBorders>
            <w:shd w:val="clear" w:color="auto" w:fill="auto"/>
            <w:vAlign w:val="center"/>
          </w:tcPr>
          <w:p w14:paraId="5C218EE5" w14:textId="77777777" w:rsidR="00021F05" w:rsidRPr="00021F05" w:rsidRDefault="00021F05" w:rsidP="00021F0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PO*</w:t>
            </w:r>
          </w:p>
        </w:tc>
        <w:tc>
          <w:tcPr>
            <w:tcW w:w="3375" w:type="dxa"/>
            <w:tcBorders>
              <w:top w:val="single" w:sz="4" w:space="0" w:color="auto"/>
              <w:bottom w:val="single" w:sz="4" w:space="0" w:color="auto"/>
            </w:tcBorders>
            <w:shd w:val="clear" w:color="auto" w:fill="auto"/>
            <w:vAlign w:val="center"/>
          </w:tcPr>
          <w:p w14:paraId="0E73D0D8"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Gestión inadecuada de la publicidad y comunicación</w:t>
            </w:r>
          </w:p>
        </w:tc>
      </w:tr>
      <w:tr w:rsidR="00021F05" w:rsidRPr="00021F05" w14:paraId="3D39C29E"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tcBorders>
            <w:shd w:val="clear" w:color="auto" w:fill="auto"/>
            <w:vAlign w:val="center"/>
          </w:tcPr>
          <w:p w14:paraId="353B4B16"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PP*</w:t>
            </w:r>
          </w:p>
        </w:tc>
        <w:tc>
          <w:tcPr>
            <w:tcW w:w="3402" w:type="dxa"/>
            <w:tcBorders>
              <w:top w:val="single" w:sz="4" w:space="0" w:color="auto"/>
              <w:right w:val="single" w:sz="4" w:space="0" w:color="auto"/>
            </w:tcBorders>
            <w:shd w:val="clear" w:color="auto" w:fill="auto"/>
            <w:vAlign w:val="center"/>
          </w:tcPr>
          <w:p w14:paraId="3EBC5B8A"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Infraestructura física limitada</w:t>
            </w:r>
          </w:p>
        </w:tc>
        <w:tc>
          <w:tcPr>
            <w:tcW w:w="1077" w:type="dxa"/>
            <w:tcBorders>
              <w:top w:val="single" w:sz="4" w:space="0" w:color="auto"/>
              <w:left w:val="single" w:sz="4" w:space="0" w:color="auto"/>
            </w:tcBorders>
            <w:shd w:val="clear" w:color="auto" w:fill="auto"/>
            <w:vAlign w:val="center"/>
          </w:tcPr>
          <w:p w14:paraId="5B10A116" w14:textId="77777777" w:rsidR="00021F05" w:rsidRPr="00021F05" w:rsidRDefault="00021F05" w:rsidP="00021F0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PQ</w:t>
            </w:r>
          </w:p>
        </w:tc>
        <w:tc>
          <w:tcPr>
            <w:tcW w:w="3375" w:type="dxa"/>
            <w:tcBorders>
              <w:top w:val="single" w:sz="4" w:space="0" w:color="auto"/>
            </w:tcBorders>
            <w:shd w:val="clear" w:color="auto" w:fill="auto"/>
            <w:vAlign w:val="center"/>
          </w:tcPr>
          <w:p w14:paraId="2800AEAC"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Insatisfacción de los usuarios</w:t>
            </w:r>
          </w:p>
        </w:tc>
      </w:tr>
      <w:tr w:rsidR="00021F05" w:rsidRPr="00021F05" w14:paraId="40346B3B" w14:textId="77777777" w:rsidTr="001B4644">
        <w:trPr>
          <w:trHeight w:val="624"/>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tcBorders>
            <w:shd w:val="clear" w:color="auto" w:fill="auto"/>
            <w:vAlign w:val="center"/>
          </w:tcPr>
          <w:p w14:paraId="6BEC01D6"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PR</w:t>
            </w:r>
          </w:p>
        </w:tc>
        <w:tc>
          <w:tcPr>
            <w:tcW w:w="3402" w:type="dxa"/>
            <w:tcBorders>
              <w:top w:val="single" w:sz="4" w:space="0" w:color="auto"/>
              <w:right w:val="single" w:sz="4" w:space="0" w:color="auto"/>
            </w:tcBorders>
            <w:shd w:val="clear" w:color="auto" w:fill="auto"/>
            <w:vAlign w:val="center"/>
          </w:tcPr>
          <w:p w14:paraId="580F51CC"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Demora en la asignación de recursos</w:t>
            </w:r>
          </w:p>
        </w:tc>
        <w:tc>
          <w:tcPr>
            <w:tcW w:w="1077" w:type="dxa"/>
            <w:tcBorders>
              <w:top w:val="single" w:sz="4" w:space="0" w:color="auto"/>
              <w:left w:val="single" w:sz="4" w:space="0" w:color="auto"/>
            </w:tcBorders>
            <w:shd w:val="clear" w:color="auto" w:fill="auto"/>
            <w:vAlign w:val="center"/>
          </w:tcPr>
          <w:p w14:paraId="5EC1DE0B" w14:textId="77777777" w:rsidR="00021F05" w:rsidRPr="00021F05" w:rsidRDefault="00021F05" w:rsidP="00021F05">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PS</w:t>
            </w:r>
          </w:p>
        </w:tc>
        <w:tc>
          <w:tcPr>
            <w:tcW w:w="3375" w:type="dxa"/>
            <w:tcBorders>
              <w:top w:val="single" w:sz="4" w:space="0" w:color="auto"/>
            </w:tcBorders>
            <w:shd w:val="clear" w:color="auto" w:fill="auto"/>
            <w:vAlign w:val="center"/>
          </w:tcPr>
          <w:p w14:paraId="4E702B28" w14:textId="77777777" w:rsidR="00021F05" w:rsidRP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Localización de instalaciones limitada</w:t>
            </w:r>
          </w:p>
        </w:tc>
      </w:tr>
      <w:tr w:rsidR="00021F05" w:rsidRPr="00021F05" w14:paraId="4673E51C" w14:textId="77777777" w:rsidTr="001B4644">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single" w:sz="4" w:space="0" w:color="auto"/>
            </w:tcBorders>
            <w:shd w:val="clear" w:color="auto" w:fill="auto"/>
            <w:vAlign w:val="center"/>
          </w:tcPr>
          <w:p w14:paraId="36029E23"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PT</w:t>
            </w:r>
          </w:p>
        </w:tc>
        <w:tc>
          <w:tcPr>
            <w:tcW w:w="3402" w:type="dxa"/>
            <w:tcBorders>
              <w:top w:val="single" w:sz="4" w:space="0" w:color="auto"/>
              <w:bottom w:val="single" w:sz="4" w:space="0" w:color="auto"/>
              <w:right w:val="single" w:sz="4" w:space="0" w:color="auto"/>
            </w:tcBorders>
            <w:shd w:val="clear" w:color="auto" w:fill="auto"/>
            <w:vAlign w:val="center"/>
          </w:tcPr>
          <w:p w14:paraId="1D79672E"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Derivaciones insatisfactorias o inexistentes</w:t>
            </w:r>
          </w:p>
        </w:tc>
        <w:tc>
          <w:tcPr>
            <w:tcW w:w="1077" w:type="dxa"/>
            <w:tcBorders>
              <w:top w:val="single" w:sz="4" w:space="0" w:color="auto"/>
              <w:left w:val="single" w:sz="4" w:space="0" w:color="auto"/>
              <w:bottom w:val="single" w:sz="4" w:space="0" w:color="auto"/>
            </w:tcBorders>
            <w:shd w:val="clear" w:color="auto" w:fill="auto"/>
            <w:vAlign w:val="center"/>
          </w:tcPr>
          <w:p w14:paraId="5578079B" w14:textId="77777777" w:rsidR="00021F05" w:rsidRPr="00021F05" w:rsidRDefault="00021F05" w:rsidP="00021F0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lang w:eastAsia="en-US"/>
              </w:rPr>
            </w:pPr>
            <w:r w:rsidRPr="00021F05">
              <w:rPr>
                <w:rFonts w:ascii="Arial" w:eastAsiaTheme="minorHAnsi" w:hAnsi="Arial" w:cs="Arial"/>
                <w:b/>
                <w:bCs/>
                <w:lang w:eastAsia="en-US"/>
              </w:rPr>
              <w:t>PU</w:t>
            </w:r>
          </w:p>
        </w:tc>
        <w:tc>
          <w:tcPr>
            <w:tcW w:w="3375" w:type="dxa"/>
            <w:tcBorders>
              <w:top w:val="single" w:sz="4" w:space="0" w:color="auto"/>
              <w:bottom w:val="single" w:sz="4" w:space="0" w:color="auto"/>
            </w:tcBorders>
            <w:shd w:val="clear" w:color="auto" w:fill="auto"/>
            <w:vAlign w:val="center"/>
          </w:tcPr>
          <w:p w14:paraId="78C8B27A" w14:textId="77777777" w:rsidR="00021F05" w:rsidRPr="00021F05" w:rsidRDefault="00021F05" w:rsidP="00021F05">
            <w:pPr>
              <w:spacing w:line="276"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Seguimiento a casos inadecuado o inexistente</w:t>
            </w:r>
          </w:p>
        </w:tc>
      </w:tr>
      <w:tr w:rsidR="00021F05" w:rsidRPr="00021F05" w14:paraId="29FF93EC"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single" w:sz="12" w:space="0" w:color="auto"/>
            </w:tcBorders>
            <w:shd w:val="clear" w:color="auto" w:fill="auto"/>
            <w:vAlign w:val="center"/>
          </w:tcPr>
          <w:p w14:paraId="67294780" w14:textId="77777777" w:rsidR="00021F05" w:rsidRPr="00021F05" w:rsidRDefault="00021F05" w:rsidP="00021F05">
            <w:pPr>
              <w:spacing w:line="276" w:lineRule="auto"/>
              <w:jc w:val="both"/>
              <w:rPr>
                <w:rFonts w:ascii="Arial" w:eastAsiaTheme="minorHAnsi" w:hAnsi="Arial" w:cs="Arial"/>
                <w:lang w:eastAsia="en-US"/>
              </w:rPr>
            </w:pPr>
            <w:r w:rsidRPr="00021F05">
              <w:rPr>
                <w:rFonts w:ascii="Arial" w:eastAsiaTheme="minorHAnsi" w:hAnsi="Arial" w:cs="Arial"/>
                <w:lang w:eastAsia="en-US"/>
              </w:rPr>
              <w:t>PV</w:t>
            </w:r>
          </w:p>
        </w:tc>
        <w:tc>
          <w:tcPr>
            <w:tcW w:w="7854" w:type="dxa"/>
            <w:gridSpan w:val="3"/>
            <w:tcBorders>
              <w:top w:val="single" w:sz="4" w:space="0" w:color="auto"/>
              <w:bottom w:val="single" w:sz="12" w:space="0" w:color="auto"/>
            </w:tcBorders>
            <w:shd w:val="clear" w:color="auto" w:fill="auto"/>
            <w:vAlign w:val="center"/>
          </w:tcPr>
          <w:p w14:paraId="6A15FD53" w14:textId="77777777" w:rsidR="00021F05" w:rsidRDefault="00021F05" w:rsidP="00021F05">
            <w:pPr>
              <w:spacing w:line="276"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21F05">
              <w:rPr>
                <w:rFonts w:ascii="Arial" w:eastAsiaTheme="minorHAnsi" w:hAnsi="Arial" w:cs="Arial"/>
                <w:lang w:eastAsia="en-US"/>
              </w:rPr>
              <w:t>Infraestructura tecnológica limitada</w:t>
            </w:r>
          </w:p>
          <w:p w14:paraId="35A8DBA8" w14:textId="478C171D" w:rsidR="00EF3B7F" w:rsidRPr="00021F05" w:rsidRDefault="00EF3B7F" w:rsidP="00EF3B7F">
            <w:pPr>
              <w:pStyle w:val="Descripcin"/>
              <w:keepNext/>
              <w:spacing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i w:val="0"/>
                <w:iCs w:val="0"/>
                <w:color w:val="auto"/>
                <w:sz w:val="24"/>
                <w:szCs w:val="24"/>
                <w:lang w:eastAsia="en-US"/>
              </w:rPr>
            </w:pPr>
            <w:r w:rsidRPr="000A3185">
              <w:rPr>
                <w:rFonts w:eastAsiaTheme="minorHAnsi"/>
                <w:i w:val="0"/>
                <w:iCs w:val="0"/>
                <w:color w:val="auto"/>
                <w:sz w:val="24"/>
                <w:szCs w:val="24"/>
                <w:lang w:eastAsia="en-US"/>
              </w:rPr>
              <w:t xml:space="preserve">Nota: (*) Problemas </w:t>
            </w:r>
            <w:r>
              <w:rPr>
                <w:rFonts w:eastAsiaTheme="minorHAnsi"/>
                <w:i w:val="0"/>
                <w:iCs w:val="0"/>
                <w:color w:val="auto"/>
                <w:sz w:val="24"/>
                <w:szCs w:val="24"/>
                <w:lang w:eastAsia="en-US"/>
              </w:rPr>
              <w:t>convergentes</w:t>
            </w:r>
            <w:r w:rsidRPr="000A3185">
              <w:rPr>
                <w:rFonts w:eastAsiaTheme="minorHAnsi"/>
                <w:i w:val="0"/>
                <w:iCs w:val="0"/>
                <w:color w:val="auto"/>
                <w:sz w:val="24"/>
                <w:szCs w:val="24"/>
                <w:lang w:eastAsia="en-US"/>
              </w:rPr>
              <w:t xml:space="preserve"> entre estudiantes y UBE</w:t>
            </w:r>
          </w:p>
        </w:tc>
      </w:tr>
    </w:tbl>
    <w:p w14:paraId="46706A03" w14:textId="1A3419F7" w:rsidR="009F3590" w:rsidRDefault="009F3590" w:rsidP="006E6CCD">
      <w:pPr>
        <w:pStyle w:val="Descripcin"/>
        <w:keepNext/>
        <w:spacing w:beforeAutospacing="0" w:after="0" w:afterAutospacing="0"/>
        <w:jc w:val="center"/>
        <w:rPr>
          <w:rFonts w:eastAsiaTheme="minorHAnsi"/>
          <w:lang w:eastAsia="en-US"/>
        </w:rPr>
      </w:pPr>
      <w:r w:rsidRPr="000A3185">
        <w:rPr>
          <w:rFonts w:eastAsiaTheme="minorHAnsi"/>
          <w:i w:val="0"/>
          <w:iCs w:val="0"/>
          <w:color w:val="auto"/>
          <w:sz w:val="24"/>
          <w:szCs w:val="24"/>
          <w:lang w:eastAsia="en-US"/>
        </w:rPr>
        <w:lastRenderedPageBreak/>
        <w:t>Figura 3. Problemas vitales existentes en el proceso de servicio</w:t>
      </w:r>
      <w:r>
        <w:rPr>
          <w:rFonts w:eastAsiaTheme="minorHAnsi"/>
          <w:i w:val="0"/>
          <w:iCs w:val="0"/>
          <w:color w:val="auto"/>
          <w:sz w:val="24"/>
          <w:szCs w:val="24"/>
          <w:lang w:eastAsia="en-US"/>
        </w:rPr>
        <w:t xml:space="preserve"> desde la perspectiva del estudiantado de la UBE</w:t>
      </w:r>
    </w:p>
    <w:p w14:paraId="14E0F78E" w14:textId="63DDF678" w:rsidR="00EF3B7F" w:rsidRPr="006E6CCD" w:rsidRDefault="006E6CCD" w:rsidP="00BD1FF2">
      <w:pPr>
        <w:keepNext/>
        <w:spacing w:line="360" w:lineRule="auto"/>
        <w:jc w:val="center"/>
        <w:rPr>
          <w:rFonts w:ascii="Arial" w:eastAsiaTheme="minorHAnsi" w:hAnsi="Arial" w:cs="Arial"/>
          <w:lang w:val="es-ES" w:eastAsia="en-US"/>
        </w:rPr>
      </w:pPr>
      <w:r w:rsidRPr="006E6CCD">
        <w:rPr>
          <w:rFonts w:eastAsiaTheme="minorHAnsi"/>
          <w:noProof/>
        </w:rPr>
        <w:drawing>
          <wp:inline distT="0" distB="0" distL="0" distR="0" wp14:anchorId="65A04D7D" wp14:editId="6490986A">
            <wp:extent cx="5581015" cy="3095002"/>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015" cy="3095002"/>
                    </a:xfrm>
                    <a:prstGeom prst="rect">
                      <a:avLst/>
                    </a:prstGeom>
                    <a:noFill/>
                    <a:ln>
                      <a:noFill/>
                    </a:ln>
                  </pic:spPr>
                </pic:pic>
              </a:graphicData>
            </a:graphic>
          </wp:inline>
        </w:drawing>
      </w:r>
    </w:p>
    <w:p w14:paraId="5C6E8948" w14:textId="77777777" w:rsidR="00C12908" w:rsidRPr="00C12908" w:rsidRDefault="00C12908" w:rsidP="00C12908">
      <w:pPr>
        <w:spacing w:line="360" w:lineRule="auto"/>
        <w:jc w:val="both"/>
        <w:rPr>
          <w:rFonts w:ascii="Arial" w:eastAsiaTheme="minorHAnsi" w:hAnsi="Arial" w:cs="Arial"/>
          <w:kern w:val="2"/>
          <w:lang w:val="es-ES" w:eastAsia="en-US"/>
          <w14:ligatures w14:val="standardContextual"/>
        </w:rPr>
      </w:pPr>
      <w:r w:rsidRPr="00C12908">
        <w:rPr>
          <w:rFonts w:ascii="Arial" w:eastAsiaTheme="minorHAnsi" w:hAnsi="Arial" w:cs="Arial"/>
          <w:kern w:val="2"/>
          <w:lang w:val="es-ES" w:eastAsia="en-US"/>
          <w14:ligatures w14:val="standardContextual"/>
        </w:rPr>
        <w:t>Dada la cadena de valor genérica para las IES, previamente citada en este trabajo, se categorizan, en la tabla 7, los problemas vitales de ambas perspectivas con el fin de comparar su ubicación dentro de la cadena de valor del servicio. De esto se define que, desde la UBE, (i) se observan más problemas cuando se ejecuta el servicio (momento de la verdad) y (</w:t>
      </w:r>
      <w:proofErr w:type="spellStart"/>
      <w:r w:rsidRPr="00C12908">
        <w:rPr>
          <w:rFonts w:ascii="Arial" w:eastAsiaTheme="minorHAnsi" w:hAnsi="Arial" w:cs="Arial"/>
          <w:kern w:val="2"/>
          <w:lang w:val="es-ES" w:eastAsia="en-US"/>
          <w14:ligatures w14:val="standardContextual"/>
        </w:rPr>
        <w:t>ii</w:t>
      </w:r>
      <w:proofErr w:type="spellEnd"/>
      <w:r w:rsidRPr="00C12908">
        <w:rPr>
          <w:rFonts w:ascii="Arial" w:eastAsiaTheme="minorHAnsi" w:hAnsi="Arial" w:cs="Arial"/>
          <w:kern w:val="2"/>
          <w:lang w:val="es-ES" w:eastAsia="en-US"/>
          <w14:ligatures w14:val="standardContextual"/>
        </w:rPr>
        <w:t xml:space="preserve">) existe mayor amplitud en la categorización de problemas alcanzando el nivel estratégico. Desde la comunidad estudiantil beneficiaria: (i) los problemas se centran en el momento de la verdad y lo que </w:t>
      </w:r>
      <w:r w:rsidRPr="00C12908">
        <w:rPr>
          <w:rFonts w:ascii="Arial" w:eastAsiaTheme="minorHAnsi" w:hAnsi="Arial" w:cs="Arial"/>
          <w:kern w:val="2"/>
          <w:lang w:val="es-ES" w:eastAsia="en-US"/>
          <w14:ligatures w14:val="standardContextual"/>
        </w:rPr>
        <w:lastRenderedPageBreak/>
        <w:t>soporta a estos procesos y (</w:t>
      </w:r>
      <w:proofErr w:type="spellStart"/>
      <w:r w:rsidRPr="00C12908">
        <w:rPr>
          <w:rFonts w:ascii="Arial" w:eastAsiaTheme="minorHAnsi" w:hAnsi="Arial" w:cs="Arial"/>
          <w:kern w:val="2"/>
          <w:lang w:val="es-ES" w:eastAsia="en-US"/>
          <w14:ligatures w14:val="standardContextual"/>
        </w:rPr>
        <w:t>ii</w:t>
      </w:r>
      <w:proofErr w:type="spellEnd"/>
      <w:r w:rsidRPr="00C12908">
        <w:rPr>
          <w:rFonts w:ascii="Arial" w:eastAsiaTheme="minorHAnsi" w:hAnsi="Arial" w:cs="Arial"/>
          <w:kern w:val="2"/>
          <w:lang w:val="es-ES" w:eastAsia="en-US"/>
          <w14:ligatures w14:val="standardContextual"/>
        </w:rPr>
        <w:t>) existe mayor precisión para definir los problemas más relevantes.</w:t>
      </w:r>
    </w:p>
    <w:p w14:paraId="61815080" w14:textId="313F1D25" w:rsidR="00EF3B7F" w:rsidRDefault="00EF3B7F" w:rsidP="00C12908">
      <w:pPr>
        <w:keepNext/>
        <w:spacing w:line="360" w:lineRule="auto"/>
        <w:rPr>
          <w:rFonts w:ascii="Arial" w:eastAsiaTheme="minorHAnsi" w:hAnsi="Arial" w:cs="Arial"/>
          <w:lang w:val="es-EC" w:eastAsia="en-US"/>
        </w:rPr>
      </w:pPr>
    </w:p>
    <w:p w14:paraId="5977DBB5" w14:textId="77777777" w:rsidR="00633A51" w:rsidRPr="00633A51" w:rsidRDefault="00633A51" w:rsidP="00633A51">
      <w:pPr>
        <w:jc w:val="center"/>
        <w:rPr>
          <w:rFonts w:ascii="Arial" w:eastAsiaTheme="minorHAnsi" w:hAnsi="Arial" w:cs="Arial"/>
          <w:kern w:val="2"/>
          <w:lang w:val="es-ES" w:eastAsia="en-US"/>
          <w14:ligatures w14:val="standardContextual"/>
        </w:rPr>
      </w:pPr>
      <w:r w:rsidRPr="00633A51">
        <w:rPr>
          <w:rFonts w:ascii="Arial" w:eastAsiaTheme="minorHAnsi" w:hAnsi="Arial" w:cs="Arial"/>
          <w:kern w:val="2"/>
          <w:lang w:val="es-ES" w:eastAsia="en-US"/>
          <w14:ligatures w14:val="standardContextual"/>
        </w:rPr>
        <w:t>Tabla 7. Categorización de problemas dentro de la cadena de valor del servicio de la UBE</w:t>
      </w:r>
    </w:p>
    <w:tbl>
      <w:tblPr>
        <w:tblStyle w:val="Tablanormal43"/>
        <w:tblW w:w="5245" w:type="dxa"/>
        <w:jc w:val="center"/>
        <w:tblLayout w:type="fixed"/>
        <w:tblLook w:val="04A0" w:firstRow="1" w:lastRow="0" w:firstColumn="1" w:lastColumn="0" w:noHBand="0" w:noVBand="1"/>
      </w:tblPr>
      <w:tblGrid>
        <w:gridCol w:w="1702"/>
        <w:gridCol w:w="1700"/>
        <w:gridCol w:w="1843"/>
      </w:tblGrid>
      <w:tr w:rsidR="00633A51" w:rsidRPr="00633A51" w14:paraId="72D5ACB7" w14:textId="77777777" w:rsidTr="001B4644">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702" w:type="dxa"/>
            <w:tcBorders>
              <w:top w:val="single" w:sz="12" w:space="0" w:color="auto"/>
              <w:bottom w:val="single" w:sz="12" w:space="0" w:color="auto"/>
            </w:tcBorders>
            <w:shd w:val="clear" w:color="auto" w:fill="auto"/>
            <w:vAlign w:val="center"/>
          </w:tcPr>
          <w:p w14:paraId="66348631" w14:textId="77777777" w:rsidR="00633A51" w:rsidRPr="00633A51" w:rsidRDefault="00633A51" w:rsidP="00633A51">
            <w:pPr>
              <w:spacing w:line="276" w:lineRule="auto"/>
              <w:jc w:val="center"/>
              <w:rPr>
                <w:rFonts w:ascii="Arial" w:eastAsiaTheme="minorHAnsi" w:hAnsi="Arial" w:cs="Arial"/>
                <w:lang w:eastAsia="en-US"/>
              </w:rPr>
            </w:pPr>
            <w:r w:rsidRPr="00633A51">
              <w:rPr>
                <w:rFonts w:ascii="Arial" w:eastAsiaTheme="minorHAnsi" w:hAnsi="Arial" w:cs="Arial"/>
                <w:lang w:eastAsia="en-US"/>
              </w:rPr>
              <w:t>Procesos CV</w:t>
            </w:r>
          </w:p>
        </w:tc>
        <w:tc>
          <w:tcPr>
            <w:tcW w:w="1700" w:type="dxa"/>
            <w:tcBorders>
              <w:top w:val="single" w:sz="12" w:space="0" w:color="auto"/>
              <w:bottom w:val="single" w:sz="12" w:space="0" w:color="auto"/>
            </w:tcBorders>
            <w:shd w:val="clear" w:color="auto" w:fill="auto"/>
            <w:vAlign w:val="center"/>
          </w:tcPr>
          <w:p w14:paraId="080D0508" w14:textId="77777777" w:rsidR="00633A51" w:rsidRPr="00633A51" w:rsidRDefault="00633A51" w:rsidP="00633A51">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UBE</w:t>
            </w:r>
          </w:p>
          <w:p w14:paraId="7686C7B7" w14:textId="77777777" w:rsidR="00633A51" w:rsidRPr="00633A51" w:rsidRDefault="00633A51" w:rsidP="00633A51">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(Proveedor)</w:t>
            </w:r>
          </w:p>
        </w:tc>
        <w:tc>
          <w:tcPr>
            <w:tcW w:w="1843" w:type="dxa"/>
            <w:tcBorders>
              <w:top w:val="single" w:sz="12" w:space="0" w:color="auto"/>
              <w:bottom w:val="single" w:sz="12" w:space="0" w:color="auto"/>
            </w:tcBorders>
            <w:shd w:val="clear" w:color="auto" w:fill="auto"/>
            <w:vAlign w:val="center"/>
          </w:tcPr>
          <w:p w14:paraId="2BA8A015" w14:textId="77777777" w:rsidR="00633A51" w:rsidRPr="00633A51" w:rsidRDefault="00633A51" w:rsidP="00633A51">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Beneficiarios</w:t>
            </w:r>
          </w:p>
          <w:p w14:paraId="7F120EFB" w14:textId="77777777" w:rsidR="00633A51" w:rsidRPr="00633A51" w:rsidRDefault="00633A51" w:rsidP="00633A51">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(Receptor)</w:t>
            </w:r>
          </w:p>
        </w:tc>
      </w:tr>
      <w:tr w:rsidR="00633A51" w:rsidRPr="00633A51" w14:paraId="68CCC1FA" w14:textId="77777777" w:rsidTr="001B4644">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shd w:val="clear" w:color="auto" w:fill="auto"/>
            <w:vAlign w:val="center"/>
          </w:tcPr>
          <w:p w14:paraId="0A4FDA4D" w14:textId="77777777" w:rsidR="00633A51" w:rsidRPr="00633A51" w:rsidRDefault="00633A51" w:rsidP="00633A51">
            <w:pPr>
              <w:spacing w:line="360" w:lineRule="auto"/>
              <w:jc w:val="center"/>
              <w:rPr>
                <w:rFonts w:ascii="Arial" w:eastAsiaTheme="minorHAnsi" w:hAnsi="Arial" w:cs="Arial"/>
                <w:lang w:eastAsia="en-US"/>
              </w:rPr>
            </w:pPr>
            <w:r w:rsidRPr="00633A51">
              <w:rPr>
                <w:rFonts w:ascii="Arial" w:eastAsiaTheme="minorHAnsi" w:hAnsi="Arial" w:cs="Arial"/>
                <w:lang w:eastAsia="en-US"/>
              </w:rPr>
              <w:t>Estratégicos</w:t>
            </w:r>
          </w:p>
        </w:tc>
        <w:tc>
          <w:tcPr>
            <w:tcW w:w="1700" w:type="dxa"/>
            <w:tcBorders>
              <w:top w:val="single" w:sz="4" w:space="0" w:color="auto"/>
              <w:bottom w:val="single" w:sz="4" w:space="0" w:color="auto"/>
            </w:tcBorders>
            <w:shd w:val="clear" w:color="auto" w:fill="auto"/>
            <w:vAlign w:val="center"/>
          </w:tcPr>
          <w:p w14:paraId="34766C27" w14:textId="77777777" w:rsidR="00633A51" w:rsidRPr="00633A51" w:rsidRDefault="00633A51" w:rsidP="00633A51">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PD, PK</w:t>
            </w:r>
          </w:p>
        </w:tc>
        <w:tc>
          <w:tcPr>
            <w:tcW w:w="1843" w:type="dxa"/>
            <w:tcBorders>
              <w:top w:val="single" w:sz="4" w:space="0" w:color="auto"/>
              <w:bottom w:val="single" w:sz="4" w:space="0" w:color="auto"/>
            </w:tcBorders>
            <w:shd w:val="clear" w:color="auto" w:fill="auto"/>
            <w:vAlign w:val="center"/>
          </w:tcPr>
          <w:p w14:paraId="3E1FE624" w14:textId="77777777" w:rsidR="00633A51" w:rsidRPr="00633A51" w:rsidRDefault="00633A51" w:rsidP="00633A5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w:t>
            </w:r>
          </w:p>
        </w:tc>
      </w:tr>
      <w:tr w:rsidR="00633A51" w:rsidRPr="00633A51" w14:paraId="691F53AE" w14:textId="77777777" w:rsidTr="001B4644">
        <w:trPr>
          <w:trHeight w:val="510"/>
          <w:jc w:val="center"/>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shd w:val="clear" w:color="auto" w:fill="auto"/>
            <w:vAlign w:val="center"/>
          </w:tcPr>
          <w:p w14:paraId="123A77ED" w14:textId="77777777" w:rsidR="00633A51" w:rsidRPr="00633A51" w:rsidRDefault="00633A51" w:rsidP="00633A51">
            <w:pPr>
              <w:spacing w:line="360" w:lineRule="auto"/>
              <w:jc w:val="center"/>
              <w:rPr>
                <w:rFonts w:ascii="Arial" w:eastAsiaTheme="minorHAnsi" w:hAnsi="Arial" w:cs="Arial"/>
                <w:lang w:eastAsia="en-US"/>
              </w:rPr>
            </w:pPr>
            <w:r w:rsidRPr="00633A51">
              <w:rPr>
                <w:rFonts w:ascii="Arial" w:eastAsiaTheme="minorHAnsi" w:hAnsi="Arial" w:cs="Arial"/>
                <w:lang w:eastAsia="en-US"/>
              </w:rPr>
              <w:t>Atributos</w:t>
            </w:r>
          </w:p>
        </w:tc>
        <w:tc>
          <w:tcPr>
            <w:tcW w:w="1700" w:type="dxa"/>
            <w:tcBorders>
              <w:top w:val="single" w:sz="4" w:space="0" w:color="auto"/>
              <w:bottom w:val="single" w:sz="4" w:space="0" w:color="auto"/>
            </w:tcBorders>
            <w:shd w:val="clear" w:color="auto" w:fill="auto"/>
            <w:vAlign w:val="center"/>
          </w:tcPr>
          <w:p w14:paraId="68178C59" w14:textId="77777777" w:rsidR="00633A51" w:rsidRPr="00633A51" w:rsidRDefault="00633A51" w:rsidP="00633A51">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PC, PE, PF, PJ, PA</w:t>
            </w:r>
          </w:p>
        </w:tc>
        <w:tc>
          <w:tcPr>
            <w:tcW w:w="1843" w:type="dxa"/>
            <w:tcBorders>
              <w:top w:val="single" w:sz="4" w:space="0" w:color="auto"/>
              <w:bottom w:val="single" w:sz="4" w:space="0" w:color="auto"/>
            </w:tcBorders>
            <w:shd w:val="clear" w:color="auto" w:fill="auto"/>
            <w:vAlign w:val="center"/>
          </w:tcPr>
          <w:p w14:paraId="6A701695" w14:textId="77777777" w:rsidR="00633A51" w:rsidRPr="00633A51" w:rsidRDefault="00633A51" w:rsidP="00633A51">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PQ, PF, PH</w:t>
            </w:r>
          </w:p>
        </w:tc>
      </w:tr>
      <w:tr w:rsidR="00633A51" w:rsidRPr="00633A51" w14:paraId="7178BD9A" w14:textId="77777777" w:rsidTr="001B4644">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702" w:type="dxa"/>
            <w:tcBorders>
              <w:bottom w:val="single" w:sz="12" w:space="0" w:color="auto"/>
            </w:tcBorders>
            <w:shd w:val="clear" w:color="auto" w:fill="auto"/>
            <w:vAlign w:val="center"/>
          </w:tcPr>
          <w:p w14:paraId="71DA1638" w14:textId="77777777" w:rsidR="00633A51" w:rsidRPr="00633A51" w:rsidRDefault="00633A51" w:rsidP="00633A51">
            <w:pPr>
              <w:spacing w:line="360" w:lineRule="auto"/>
              <w:jc w:val="center"/>
              <w:rPr>
                <w:rFonts w:ascii="Arial" w:eastAsiaTheme="minorHAnsi" w:hAnsi="Arial" w:cs="Arial"/>
                <w:lang w:eastAsia="en-US"/>
              </w:rPr>
            </w:pPr>
            <w:r w:rsidRPr="00633A51">
              <w:rPr>
                <w:rFonts w:ascii="Arial" w:eastAsiaTheme="minorHAnsi" w:hAnsi="Arial" w:cs="Arial"/>
                <w:lang w:eastAsia="en-US"/>
              </w:rPr>
              <w:t>De soporte</w:t>
            </w:r>
          </w:p>
        </w:tc>
        <w:tc>
          <w:tcPr>
            <w:tcW w:w="1700" w:type="dxa"/>
            <w:tcBorders>
              <w:top w:val="single" w:sz="4" w:space="0" w:color="auto"/>
              <w:bottom w:val="single" w:sz="12" w:space="0" w:color="auto"/>
            </w:tcBorders>
            <w:shd w:val="clear" w:color="auto" w:fill="auto"/>
            <w:vAlign w:val="center"/>
          </w:tcPr>
          <w:p w14:paraId="569364A5" w14:textId="77777777" w:rsidR="00633A51" w:rsidRPr="00633A51" w:rsidRDefault="00633A51" w:rsidP="00633A51">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PO, PG</w:t>
            </w:r>
          </w:p>
        </w:tc>
        <w:tc>
          <w:tcPr>
            <w:tcW w:w="1843" w:type="dxa"/>
            <w:tcBorders>
              <w:top w:val="single" w:sz="4" w:space="0" w:color="auto"/>
              <w:bottom w:val="single" w:sz="12" w:space="0" w:color="auto"/>
            </w:tcBorders>
            <w:shd w:val="clear" w:color="auto" w:fill="auto"/>
            <w:vAlign w:val="center"/>
          </w:tcPr>
          <w:p w14:paraId="6F88E2FC" w14:textId="77777777" w:rsidR="00633A51" w:rsidRPr="00633A51" w:rsidRDefault="00633A51" w:rsidP="00633A51">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633A51">
              <w:rPr>
                <w:rFonts w:ascii="Arial" w:eastAsiaTheme="minorHAnsi" w:hAnsi="Arial" w:cs="Arial"/>
                <w:lang w:eastAsia="en-US"/>
              </w:rPr>
              <w:t>PP, PO, PM</w:t>
            </w:r>
          </w:p>
        </w:tc>
      </w:tr>
    </w:tbl>
    <w:p w14:paraId="400EB80E" w14:textId="77777777" w:rsidR="00633A51" w:rsidRPr="00633A51" w:rsidRDefault="00633A51" w:rsidP="00633A51">
      <w:pPr>
        <w:spacing w:line="360" w:lineRule="auto"/>
        <w:jc w:val="both"/>
        <w:rPr>
          <w:rFonts w:ascii="Arial" w:eastAsiaTheme="minorHAnsi" w:hAnsi="Arial" w:cs="Arial"/>
          <w:kern w:val="2"/>
          <w:lang w:val="es-ES" w:eastAsia="en-US"/>
          <w14:ligatures w14:val="standardContextual"/>
        </w:rPr>
      </w:pPr>
    </w:p>
    <w:p w14:paraId="0FB7B559" w14:textId="77777777" w:rsidR="00633A51" w:rsidRPr="00633A51" w:rsidRDefault="00633A51" w:rsidP="00633A51">
      <w:pPr>
        <w:spacing w:line="360" w:lineRule="auto"/>
        <w:jc w:val="both"/>
        <w:rPr>
          <w:rFonts w:ascii="Arial" w:eastAsiaTheme="minorHAnsi" w:hAnsi="Arial" w:cs="Arial"/>
          <w:kern w:val="2"/>
          <w:lang w:val="es-ES" w:eastAsia="en-US"/>
          <w14:ligatures w14:val="standardContextual"/>
        </w:rPr>
      </w:pPr>
      <w:r w:rsidRPr="00633A51">
        <w:rPr>
          <w:rFonts w:ascii="Arial" w:eastAsiaTheme="minorHAnsi" w:hAnsi="Arial" w:cs="Arial"/>
          <w:kern w:val="2"/>
          <w:lang w:val="es-ES" w:eastAsia="en-US"/>
          <w14:ligatures w14:val="standardContextual"/>
        </w:rPr>
        <w:t>En cuanto a lo expresado en las figuras 4 y 5, se muestra una comparación entre las variables: (i) nivel de satisfacción y (</w:t>
      </w:r>
      <w:proofErr w:type="spellStart"/>
      <w:r w:rsidRPr="00633A51">
        <w:rPr>
          <w:rFonts w:ascii="Arial" w:eastAsiaTheme="minorHAnsi" w:hAnsi="Arial" w:cs="Arial"/>
          <w:kern w:val="2"/>
          <w:lang w:val="es-ES" w:eastAsia="en-US"/>
          <w14:ligatures w14:val="standardContextual"/>
        </w:rPr>
        <w:t>ii</w:t>
      </w:r>
      <w:proofErr w:type="spellEnd"/>
      <w:r w:rsidRPr="00633A51">
        <w:rPr>
          <w:rFonts w:ascii="Arial" w:eastAsiaTheme="minorHAnsi" w:hAnsi="Arial" w:cs="Arial"/>
          <w:kern w:val="2"/>
          <w:lang w:val="es-ES" w:eastAsia="en-US"/>
          <w14:ligatures w14:val="standardContextual"/>
        </w:rPr>
        <w:t>) nivel de utilidad sobre el servicio, es decir, entre las opiniones de la comunidad educativa beneficiaria sobre la utilidad del servicio (presencia de valor) y sobre su nivel de satisfacción. En esta comparación es importante considerar las brechas generadas entre estas dos variables. Así, es lógico asegurar que si un servicio no fue de ayuda (carencia de valor) para la persona usuaria, no está satisfecha con ello y, contrariamente, si fue de ayuda (presencia de valor), está satisfecho. Nótese que esto ocurre en el caso del servicio de la Comisión Psicopedagógica o S7, en donde las dos variables tienen las mismas magnitudes. Sin embargo, esto no sucede para los demás servicios.</w:t>
      </w:r>
    </w:p>
    <w:p w14:paraId="6FBB00F5" w14:textId="7420A6DE" w:rsidR="00071E85" w:rsidRDefault="00633A51" w:rsidP="00071E85">
      <w:pPr>
        <w:spacing w:line="360" w:lineRule="auto"/>
        <w:jc w:val="both"/>
        <w:rPr>
          <w:rFonts w:ascii="Arial" w:eastAsiaTheme="minorHAnsi" w:hAnsi="Arial" w:cs="Arial"/>
          <w:kern w:val="2"/>
          <w:lang w:val="es-ES" w:eastAsia="en-US"/>
          <w14:ligatures w14:val="standardContextual"/>
        </w:rPr>
      </w:pPr>
      <w:r w:rsidRPr="00633A51">
        <w:rPr>
          <w:rFonts w:ascii="Arial" w:eastAsiaTheme="minorHAnsi" w:hAnsi="Arial" w:cs="Arial"/>
          <w:kern w:val="2"/>
          <w:lang w:val="es-ES" w:eastAsia="en-US"/>
          <w14:ligatures w14:val="standardContextual"/>
        </w:rPr>
        <w:lastRenderedPageBreak/>
        <w:t>Las brechas generadas dan a entender que: (i) a pesar de que el servicio no fue de ayuda, la persona estudiante está satisfecha y que (</w:t>
      </w:r>
      <w:proofErr w:type="spellStart"/>
      <w:r w:rsidRPr="00633A51">
        <w:rPr>
          <w:rFonts w:ascii="Arial" w:eastAsiaTheme="minorHAnsi" w:hAnsi="Arial" w:cs="Arial"/>
          <w:kern w:val="2"/>
          <w:lang w:val="es-ES" w:eastAsia="en-US"/>
          <w14:ligatures w14:val="standardContextual"/>
        </w:rPr>
        <w:t>ii</w:t>
      </w:r>
      <w:proofErr w:type="spellEnd"/>
      <w:r w:rsidRPr="00633A51">
        <w:rPr>
          <w:rFonts w:ascii="Arial" w:eastAsiaTheme="minorHAnsi" w:hAnsi="Arial" w:cs="Arial"/>
          <w:kern w:val="2"/>
          <w:lang w:val="es-ES" w:eastAsia="en-US"/>
          <w14:ligatures w14:val="standardContextual"/>
        </w:rPr>
        <w:t>) a pesar de que el servicio sí fue de ayuda, la persona estudiante está insatisfecha. Esto se corrobora estadísticamente en el apartado siguiente.</w:t>
      </w:r>
    </w:p>
    <w:p w14:paraId="75BCBF68" w14:textId="28C3F8D5" w:rsidR="00071E85" w:rsidRDefault="00071E85" w:rsidP="00071E85">
      <w:pPr>
        <w:spacing w:line="360" w:lineRule="auto"/>
        <w:jc w:val="both"/>
        <w:rPr>
          <w:rFonts w:ascii="Arial" w:eastAsiaTheme="minorHAnsi" w:hAnsi="Arial" w:cs="Arial"/>
          <w:lang w:val="es-EC" w:eastAsia="en-US"/>
        </w:rPr>
      </w:pPr>
      <w:r w:rsidRPr="00071E85">
        <w:rPr>
          <w:rFonts w:eastAsiaTheme="minorHAnsi"/>
          <w:noProof/>
        </w:rPr>
        <w:drawing>
          <wp:inline distT="0" distB="0" distL="0" distR="0" wp14:anchorId="0304A3DF" wp14:editId="4BE5BD6A">
            <wp:extent cx="5581015" cy="446481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1015" cy="4464812"/>
                    </a:xfrm>
                    <a:prstGeom prst="rect">
                      <a:avLst/>
                    </a:prstGeom>
                    <a:noFill/>
                    <a:ln>
                      <a:noFill/>
                    </a:ln>
                  </pic:spPr>
                </pic:pic>
              </a:graphicData>
            </a:graphic>
          </wp:inline>
        </w:drawing>
      </w:r>
    </w:p>
    <w:p w14:paraId="7B556AFB" w14:textId="30AB531B" w:rsidR="00071E85" w:rsidRDefault="00071E85" w:rsidP="00C12908">
      <w:pPr>
        <w:keepNext/>
        <w:spacing w:line="360" w:lineRule="auto"/>
        <w:rPr>
          <w:rFonts w:ascii="Arial" w:eastAsiaTheme="minorHAnsi" w:hAnsi="Arial" w:cs="Arial"/>
          <w:lang w:val="es-EC" w:eastAsia="en-US"/>
        </w:rPr>
      </w:pPr>
      <w:r w:rsidRPr="00071E85">
        <w:rPr>
          <w:rFonts w:eastAsiaTheme="minorHAnsi"/>
          <w:noProof/>
        </w:rPr>
        <w:lastRenderedPageBreak/>
        <w:drawing>
          <wp:inline distT="0" distB="0" distL="0" distR="0" wp14:anchorId="32BD32CA" wp14:editId="28013639">
            <wp:extent cx="5516880" cy="52387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2972" cy="5244535"/>
                    </a:xfrm>
                    <a:prstGeom prst="rect">
                      <a:avLst/>
                    </a:prstGeom>
                    <a:noFill/>
                    <a:ln>
                      <a:noFill/>
                    </a:ln>
                  </pic:spPr>
                </pic:pic>
              </a:graphicData>
            </a:graphic>
          </wp:inline>
        </w:drawing>
      </w:r>
    </w:p>
    <w:p w14:paraId="281CD171" w14:textId="77777777" w:rsidR="00071E85" w:rsidRDefault="00071E85" w:rsidP="00071E85">
      <w:pPr>
        <w:spacing w:line="360" w:lineRule="auto"/>
        <w:jc w:val="both"/>
        <w:rPr>
          <w:rFonts w:ascii="Arial" w:eastAsiaTheme="minorHAnsi" w:hAnsi="Arial" w:cs="Arial"/>
          <w:b/>
          <w:bCs/>
          <w:kern w:val="2"/>
          <w:lang w:val="es-ES" w:eastAsia="en-US"/>
          <w14:ligatures w14:val="standardContextual"/>
        </w:rPr>
      </w:pPr>
    </w:p>
    <w:p w14:paraId="44ACAF10" w14:textId="73065629" w:rsidR="00071E85" w:rsidRPr="00071E85" w:rsidRDefault="00071E85" w:rsidP="00071E85">
      <w:pPr>
        <w:spacing w:line="360" w:lineRule="auto"/>
        <w:jc w:val="both"/>
        <w:rPr>
          <w:rFonts w:ascii="Arial" w:eastAsiaTheme="minorHAnsi" w:hAnsi="Arial" w:cs="Arial"/>
          <w:b/>
          <w:bCs/>
          <w:kern w:val="2"/>
          <w:lang w:val="es-ES" w:eastAsia="en-US"/>
          <w14:ligatures w14:val="standardContextual"/>
        </w:rPr>
      </w:pPr>
      <w:r w:rsidRPr="00071E85">
        <w:rPr>
          <w:rFonts w:ascii="Arial" w:eastAsiaTheme="minorHAnsi" w:hAnsi="Arial" w:cs="Arial"/>
          <w:b/>
          <w:bCs/>
          <w:kern w:val="2"/>
          <w:lang w:val="es-ES" w:eastAsia="en-US"/>
          <w14:ligatures w14:val="standardContextual"/>
        </w:rPr>
        <w:lastRenderedPageBreak/>
        <w:t>Asociación entre el nivel de satisfacción y la presencia de problemas en el servicio</w:t>
      </w:r>
    </w:p>
    <w:p w14:paraId="2FC4C16B"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 xml:space="preserve">Se plantea la siguiente hipótesis: Ho: las variables nivel de satisfacción del estudiantado y problemas experimentados en el servicio son independientes. Es decir, se pretende determinar si el nivel de satisfacción del estudiantado sobre el servicio recibido se afecta cuando este experimenta problemas. Para ello, se realiza la prueba estadística de Chi-cuadrada al usar el </w:t>
      </w:r>
      <w:r w:rsidRPr="00071E85">
        <w:rPr>
          <w:rFonts w:ascii="Arial" w:eastAsiaTheme="minorHAnsi" w:hAnsi="Arial" w:cs="Arial"/>
          <w:i/>
          <w:color w:val="211D1E"/>
          <w:kern w:val="2"/>
          <w:lang w:val="es-EC" w:eastAsia="en-US"/>
          <w14:ligatures w14:val="standardContextual"/>
        </w:rPr>
        <w:t>software</w:t>
      </w:r>
      <w:r w:rsidRPr="00071E85">
        <w:rPr>
          <w:rFonts w:ascii="Arial" w:eastAsiaTheme="minorHAnsi" w:hAnsi="Arial" w:cs="Arial"/>
          <w:color w:val="211D1E"/>
          <w:kern w:val="2"/>
          <w:lang w:val="es-EC" w:eastAsia="en-US"/>
          <w14:ligatures w14:val="standardContextual"/>
        </w:rPr>
        <w:t xml:space="preserve"> IBM SPSS </w:t>
      </w:r>
      <w:proofErr w:type="spellStart"/>
      <w:r w:rsidRPr="00071E85">
        <w:rPr>
          <w:rFonts w:ascii="Arial" w:eastAsiaTheme="minorHAnsi" w:hAnsi="Arial" w:cs="Arial"/>
          <w:color w:val="211D1E"/>
          <w:kern w:val="2"/>
          <w:lang w:val="es-EC" w:eastAsia="en-US"/>
          <w14:ligatures w14:val="standardContextual"/>
        </w:rPr>
        <w:t>Statistics</w:t>
      </w:r>
      <w:proofErr w:type="spellEnd"/>
      <w:r w:rsidRPr="00071E85">
        <w:rPr>
          <w:rFonts w:ascii="Arial" w:eastAsiaTheme="minorHAnsi" w:hAnsi="Arial" w:cs="Arial"/>
          <w:color w:val="211D1E"/>
          <w:kern w:val="2"/>
          <w:lang w:val="es-EC" w:eastAsia="en-US"/>
          <w14:ligatures w14:val="standardContextual"/>
        </w:rPr>
        <w:t xml:space="preserve"> versión 23.0. En función de lo mencionado por Acosta et al. (2014) y Quispe et al. (2019), la distribución de Chi-cuadrada o Ji-cuadrada es una prueba no paramétrica que se usa para probar si dos variables categóricas son independientes entre sí, es decir, determinar su asociación. Estudios similares, como los de Vera y Trujillo (2018), Alor (2020) y Dávila (2022) usan esta prueba estadística para evaluar la asociación entre la satisfacción de las personas usuarias y otra variable específica de cada estudio respectivo.</w:t>
      </w:r>
    </w:p>
    <w:p w14:paraId="6330BACD"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2A3D0016" w14:textId="0CEFB649"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Esta prueba estadística corre un total de 15 iteraciones y genera dos tablas de contingencia por cada servicio de la UBE, que incluye los problemas «ninguno + problemas vitales» (CN) y otra solo de «problemas vitales» (SN), a excepción del S8, que no tiene el problema «ninguno».</w:t>
      </w:r>
    </w:p>
    <w:p w14:paraId="142F6B97"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01391A26" w14:textId="5F7B31B9"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lastRenderedPageBreak/>
        <w:t>A continuación, se describe información relevante de estas pruebas y en la tabla 8, se presentan las conclusiones estadísticas respectivas a la prueba realizada. De manera general, se puede inferir que:</w:t>
      </w:r>
    </w:p>
    <w:p w14:paraId="3956C71D" w14:textId="77777777" w:rsidR="001B4644" w:rsidRDefault="001B4644" w:rsidP="00071E85">
      <w:pPr>
        <w:spacing w:line="360" w:lineRule="auto"/>
        <w:jc w:val="both"/>
        <w:rPr>
          <w:rFonts w:ascii="Arial" w:eastAsiaTheme="minorHAnsi" w:hAnsi="Arial" w:cs="Arial"/>
          <w:color w:val="211D1E"/>
          <w:kern w:val="2"/>
          <w:lang w:val="es-EC" w:eastAsia="en-US"/>
          <w14:ligatures w14:val="standardContextual"/>
        </w:rPr>
      </w:pPr>
    </w:p>
    <w:p w14:paraId="06ACC23B" w14:textId="6C48A109"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En S1, la existencia de problemas en el servicio influye sobre la satisfacción de la persona estudiante usuaria, a pesar de que una mayor proporción de estos no experimentó problemas.</w:t>
      </w:r>
    </w:p>
    <w:p w14:paraId="643F8575"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2CA3FB2C" w14:textId="7A3F2A1D"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Para S2 y S7, la existencia de problemas en el servicio no influye sobre la satisfacción de la persona estudiante usuaria, a pesar de que una mayor proporción de estos no experimentó problemas.</w:t>
      </w:r>
    </w:p>
    <w:p w14:paraId="4EEAFB31"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29E78CA2" w14:textId="73EFBB22"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Para S3 y S5, existe una asociación o dependencia cuando el estudiantado, en mayor proporción, no experimentó problemas, mientras que los problemas vitales, por sí solos, no afectan la satisfacción del estudiante.</w:t>
      </w:r>
    </w:p>
    <w:p w14:paraId="2686D126"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330AE32E" w14:textId="27B359C0"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 xml:space="preserve">Para S4, S8 y S6, los datos recolectados no son suficientes para determinar estadísticamente si existe independencia entre la satisfacción del estudiantado y los problemas experimentados en el servicio. </w:t>
      </w:r>
    </w:p>
    <w:p w14:paraId="43BA2002"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566AC913" w14:textId="77777777" w:rsidR="00071E85" w:rsidRPr="00071E85" w:rsidRDefault="00071E85" w:rsidP="00071E85">
      <w:pPr>
        <w:keepNext/>
        <w:jc w:val="center"/>
        <w:rPr>
          <w:rFonts w:ascii="Arial" w:hAnsi="Arial" w:cs="Arial"/>
          <w:color w:val="44546A" w:themeColor="text2"/>
          <w:lang w:val="es-EC" w:eastAsia="es-ES"/>
        </w:rPr>
      </w:pPr>
      <w:r w:rsidRPr="00071E85">
        <w:rPr>
          <w:rFonts w:ascii="Arial" w:eastAsiaTheme="minorHAnsi" w:hAnsi="Arial" w:cs="Arial"/>
          <w:lang w:val="es-EC" w:eastAsia="en-US"/>
        </w:rPr>
        <w:lastRenderedPageBreak/>
        <w:t>Tabla 8. Asociación entre las variables de satisfacción y problemas del servicio en la UBE</w:t>
      </w:r>
    </w:p>
    <w:tbl>
      <w:tblPr>
        <w:tblStyle w:val="Tablanormal44"/>
        <w:tblW w:w="8984" w:type="dxa"/>
        <w:jc w:val="center"/>
        <w:tblLayout w:type="fixed"/>
        <w:tblLook w:val="04A0" w:firstRow="1" w:lastRow="0" w:firstColumn="1" w:lastColumn="0" w:noHBand="0" w:noVBand="1"/>
      </w:tblPr>
      <w:tblGrid>
        <w:gridCol w:w="1361"/>
        <w:gridCol w:w="1077"/>
        <w:gridCol w:w="4678"/>
        <w:gridCol w:w="1868"/>
      </w:tblGrid>
      <w:tr w:rsidR="00071E85" w:rsidRPr="00071E85" w14:paraId="0C48724C" w14:textId="77777777" w:rsidTr="001B4644">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tcBorders>
              <w:top w:val="single" w:sz="12" w:space="0" w:color="auto"/>
              <w:bottom w:val="single" w:sz="12" w:space="0" w:color="auto"/>
            </w:tcBorders>
            <w:shd w:val="clear" w:color="auto" w:fill="auto"/>
            <w:vAlign w:val="center"/>
          </w:tcPr>
          <w:p w14:paraId="59B0C60D"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Programa</w:t>
            </w:r>
          </w:p>
        </w:tc>
        <w:tc>
          <w:tcPr>
            <w:tcW w:w="1077" w:type="dxa"/>
            <w:tcBorders>
              <w:top w:val="single" w:sz="12" w:space="0" w:color="auto"/>
              <w:bottom w:val="single" w:sz="12" w:space="0" w:color="auto"/>
            </w:tcBorders>
            <w:shd w:val="clear" w:color="auto" w:fill="auto"/>
            <w:vAlign w:val="center"/>
          </w:tcPr>
          <w:p w14:paraId="6DAACCFE" w14:textId="77777777" w:rsidR="00071E85" w:rsidRPr="00071E85" w:rsidRDefault="00071E85" w:rsidP="00071E8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Prueba</w:t>
            </w:r>
          </w:p>
        </w:tc>
        <w:tc>
          <w:tcPr>
            <w:tcW w:w="4678" w:type="dxa"/>
            <w:tcBorders>
              <w:top w:val="single" w:sz="12" w:space="0" w:color="auto"/>
              <w:bottom w:val="single" w:sz="12" w:space="0" w:color="auto"/>
            </w:tcBorders>
            <w:shd w:val="clear" w:color="auto" w:fill="auto"/>
            <w:vAlign w:val="center"/>
          </w:tcPr>
          <w:p w14:paraId="4C87182B" w14:textId="77777777" w:rsidR="00071E85" w:rsidRPr="00071E85" w:rsidRDefault="00071E85" w:rsidP="00071E8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Ho</w:t>
            </w:r>
          </w:p>
        </w:tc>
        <w:tc>
          <w:tcPr>
            <w:tcW w:w="1868" w:type="dxa"/>
            <w:tcBorders>
              <w:top w:val="single" w:sz="12" w:space="0" w:color="auto"/>
              <w:bottom w:val="single" w:sz="12" w:space="0" w:color="auto"/>
            </w:tcBorders>
            <w:shd w:val="clear" w:color="auto" w:fill="auto"/>
            <w:vAlign w:val="center"/>
          </w:tcPr>
          <w:p w14:paraId="75B71909" w14:textId="77777777" w:rsidR="00071E85" w:rsidRPr="00071E85" w:rsidRDefault="00071E85" w:rsidP="00071E8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p-valor</w:t>
            </w:r>
          </w:p>
        </w:tc>
      </w:tr>
      <w:tr w:rsidR="00071E85" w:rsidRPr="00071E85" w14:paraId="366A19FE"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5255832F"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S1</w:t>
            </w:r>
          </w:p>
        </w:tc>
        <w:tc>
          <w:tcPr>
            <w:tcW w:w="1077" w:type="dxa"/>
            <w:tcBorders>
              <w:top w:val="single" w:sz="4" w:space="0" w:color="auto"/>
              <w:bottom w:val="single" w:sz="4" w:space="0" w:color="auto"/>
            </w:tcBorders>
            <w:shd w:val="clear" w:color="auto" w:fill="auto"/>
            <w:vAlign w:val="center"/>
          </w:tcPr>
          <w:p w14:paraId="3596770B"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4678" w:type="dxa"/>
            <w:vMerge w:val="restart"/>
            <w:tcBorders>
              <w:top w:val="single" w:sz="4" w:space="0" w:color="auto"/>
            </w:tcBorders>
            <w:shd w:val="clear" w:color="auto" w:fill="auto"/>
            <w:vAlign w:val="center"/>
          </w:tcPr>
          <w:p w14:paraId="6861BA15"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Se rechaza.</w:t>
            </w:r>
          </w:p>
        </w:tc>
        <w:tc>
          <w:tcPr>
            <w:tcW w:w="1868" w:type="dxa"/>
            <w:tcBorders>
              <w:top w:val="single" w:sz="4" w:space="0" w:color="auto"/>
              <w:bottom w:val="single" w:sz="4" w:space="0" w:color="auto"/>
            </w:tcBorders>
            <w:shd w:val="clear" w:color="auto" w:fill="auto"/>
            <w:vAlign w:val="center"/>
          </w:tcPr>
          <w:p w14:paraId="082CB6B6"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4.6E-07</w:t>
            </w:r>
          </w:p>
        </w:tc>
      </w:tr>
      <w:tr w:rsidR="00071E85" w:rsidRPr="00071E85" w14:paraId="54FFC9BB"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bottom w:val="single" w:sz="4" w:space="0" w:color="auto"/>
            </w:tcBorders>
            <w:shd w:val="clear" w:color="auto" w:fill="auto"/>
            <w:vAlign w:val="center"/>
          </w:tcPr>
          <w:p w14:paraId="1F73EFC1"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3DC187B8"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4678" w:type="dxa"/>
            <w:vMerge/>
            <w:tcBorders>
              <w:bottom w:val="single" w:sz="4" w:space="0" w:color="auto"/>
            </w:tcBorders>
            <w:shd w:val="clear" w:color="auto" w:fill="auto"/>
            <w:vAlign w:val="center"/>
          </w:tcPr>
          <w:p w14:paraId="4480780F"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868" w:type="dxa"/>
            <w:tcBorders>
              <w:top w:val="single" w:sz="4" w:space="0" w:color="auto"/>
              <w:bottom w:val="single" w:sz="4" w:space="0" w:color="auto"/>
            </w:tcBorders>
            <w:shd w:val="clear" w:color="auto" w:fill="auto"/>
            <w:vAlign w:val="center"/>
          </w:tcPr>
          <w:p w14:paraId="0F8AA59A"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0.024</w:t>
            </w:r>
          </w:p>
        </w:tc>
      </w:tr>
      <w:tr w:rsidR="00071E85" w:rsidRPr="00071E85" w14:paraId="73376060"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73EADB07"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S2</w:t>
            </w:r>
          </w:p>
        </w:tc>
        <w:tc>
          <w:tcPr>
            <w:tcW w:w="1077" w:type="dxa"/>
            <w:tcBorders>
              <w:top w:val="single" w:sz="4" w:space="0" w:color="auto"/>
              <w:bottom w:val="single" w:sz="4" w:space="0" w:color="auto"/>
            </w:tcBorders>
            <w:shd w:val="clear" w:color="auto" w:fill="auto"/>
            <w:vAlign w:val="center"/>
          </w:tcPr>
          <w:p w14:paraId="13E1A26B"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4678" w:type="dxa"/>
            <w:vMerge w:val="restart"/>
            <w:tcBorders>
              <w:top w:val="single" w:sz="4" w:space="0" w:color="auto"/>
            </w:tcBorders>
            <w:shd w:val="clear" w:color="auto" w:fill="auto"/>
            <w:vAlign w:val="center"/>
          </w:tcPr>
          <w:p w14:paraId="5220948C"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No se rechaza.</w:t>
            </w:r>
          </w:p>
        </w:tc>
        <w:tc>
          <w:tcPr>
            <w:tcW w:w="1868" w:type="dxa"/>
            <w:tcBorders>
              <w:top w:val="single" w:sz="4" w:space="0" w:color="auto"/>
              <w:bottom w:val="single" w:sz="4" w:space="0" w:color="auto"/>
            </w:tcBorders>
            <w:shd w:val="clear" w:color="auto" w:fill="auto"/>
            <w:vAlign w:val="center"/>
          </w:tcPr>
          <w:p w14:paraId="46EFA91C"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0.153</w:t>
            </w:r>
          </w:p>
        </w:tc>
      </w:tr>
      <w:tr w:rsidR="00071E85" w:rsidRPr="00071E85" w14:paraId="090F834C"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bottom w:val="single" w:sz="4" w:space="0" w:color="auto"/>
            </w:tcBorders>
            <w:shd w:val="clear" w:color="auto" w:fill="auto"/>
            <w:vAlign w:val="center"/>
          </w:tcPr>
          <w:p w14:paraId="2E792E79"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79F8AB80"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4678" w:type="dxa"/>
            <w:vMerge/>
            <w:tcBorders>
              <w:bottom w:val="single" w:sz="4" w:space="0" w:color="auto"/>
            </w:tcBorders>
            <w:shd w:val="clear" w:color="auto" w:fill="auto"/>
            <w:vAlign w:val="center"/>
          </w:tcPr>
          <w:p w14:paraId="53D83BA5"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c>
          <w:tcPr>
            <w:tcW w:w="1868" w:type="dxa"/>
            <w:tcBorders>
              <w:top w:val="single" w:sz="4" w:space="0" w:color="auto"/>
              <w:bottom w:val="single" w:sz="4" w:space="0" w:color="auto"/>
            </w:tcBorders>
            <w:shd w:val="clear" w:color="auto" w:fill="auto"/>
            <w:vAlign w:val="center"/>
          </w:tcPr>
          <w:p w14:paraId="29750362"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0.419</w:t>
            </w:r>
          </w:p>
        </w:tc>
      </w:tr>
      <w:tr w:rsidR="00071E85" w:rsidRPr="00071E85" w14:paraId="7510CF02"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332CB308"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S3</w:t>
            </w:r>
          </w:p>
        </w:tc>
        <w:tc>
          <w:tcPr>
            <w:tcW w:w="1077" w:type="dxa"/>
            <w:tcBorders>
              <w:top w:val="single" w:sz="4" w:space="0" w:color="auto"/>
              <w:bottom w:val="single" w:sz="4" w:space="0" w:color="auto"/>
            </w:tcBorders>
            <w:shd w:val="clear" w:color="auto" w:fill="auto"/>
            <w:vAlign w:val="center"/>
          </w:tcPr>
          <w:p w14:paraId="54DD0B21"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4678" w:type="dxa"/>
            <w:tcBorders>
              <w:top w:val="single" w:sz="4" w:space="0" w:color="auto"/>
              <w:bottom w:val="single" w:sz="4" w:space="0" w:color="auto"/>
            </w:tcBorders>
            <w:shd w:val="clear" w:color="auto" w:fill="auto"/>
            <w:vAlign w:val="center"/>
          </w:tcPr>
          <w:p w14:paraId="3F00C6EE"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Se rechaza.</w:t>
            </w:r>
          </w:p>
        </w:tc>
        <w:tc>
          <w:tcPr>
            <w:tcW w:w="1868" w:type="dxa"/>
            <w:tcBorders>
              <w:top w:val="single" w:sz="4" w:space="0" w:color="auto"/>
              <w:bottom w:val="single" w:sz="4" w:space="0" w:color="auto"/>
            </w:tcBorders>
            <w:shd w:val="clear" w:color="auto" w:fill="auto"/>
            <w:vAlign w:val="center"/>
          </w:tcPr>
          <w:p w14:paraId="1BDC7F6A"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0.003</w:t>
            </w:r>
          </w:p>
        </w:tc>
      </w:tr>
      <w:tr w:rsidR="00071E85" w:rsidRPr="00071E85" w14:paraId="62691CCB"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bottom w:val="single" w:sz="4" w:space="0" w:color="auto"/>
            </w:tcBorders>
            <w:shd w:val="clear" w:color="auto" w:fill="auto"/>
            <w:vAlign w:val="center"/>
          </w:tcPr>
          <w:p w14:paraId="20E28733"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2D697297"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4678" w:type="dxa"/>
            <w:tcBorders>
              <w:top w:val="single" w:sz="4" w:space="0" w:color="auto"/>
              <w:bottom w:val="single" w:sz="4" w:space="0" w:color="auto"/>
            </w:tcBorders>
            <w:shd w:val="clear" w:color="auto" w:fill="auto"/>
            <w:vAlign w:val="center"/>
          </w:tcPr>
          <w:p w14:paraId="415DD423"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No se rechaza.</w:t>
            </w:r>
          </w:p>
        </w:tc>
        <w:tc>
          <w:tcPr>
            <w:tcW w:w="1868" w:type="dxa"/>
            <w:tcBorders>
              <w:top w:val="single" w:sz="4" w:space="0" w:color="auto"/>
              <w:bottom w:val="single" w:sz="4" w:space="0" w:color="auto"/>
            </w:tcBorders>
            <w:shd w:val="clear" w:color="auto" w:fill="auto"/>
            <w:vAlign w:val="center"/>
          </w:tcPr>
          <w:p w14:paraId="47A00EEB"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0.452</w:t>
            </w:r>
          </w:p>
        </w:tc>
      </w:tr>
      <w:tr w:rsidR="00071E85" w:rsidRPr="00071E85" w14:paraId="3F64DB3C"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75828643"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S4</w:t>
            </w:r>
          </w:p>
        </w:tc>
        <w:tc>
          <w:tcPr>
            <w:tcW w:w="1077" w:type="dxa"/>
            <w:tcBorders>
              <w:top w:val="single" w:sz="4" w:space="0" w:color="auto"/>
              <w:bottom w:val="single" w:sz="4" w:space="0" w:color="auto"/>
            </w:tcBorders>
            <w:shd w:val="clear" w:color="auto" w:fill="auto"/>
            <w:vAlign w:val="center"/>
          </w:tcPr>
          <w:p w14:paraId="2B65B579"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6546" w:type="dxa"/>
            <w:gridSpan w:val="2"/>
            <w:vMerge w:val="restart"/>
            <w:tcBorders>
              <w:top w:val="single" w:sz="4" w:space="0" w:color="auto"/>
            </w:tcBorders>
            <w:shd w:val="clear" w:color="auto" w:fill="auto"/>
            <w:vAlign w:val="center"/>
          </w:tcPr>
          <w:p w14:paraId="77EFA39E"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Datos insuficientes para determinar una significancia estadística</w:t>
            </w:r>
          </w:p>
        </w:tc>
      </w:tr>
      <w:tr w:rsidR="00071E85" w:rsidRPr="00071E85" w14:paraId="13FC5DB5"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top w:val="single" w:sz="4" w:space="0" w:color="auto"/>
            </w:tcBorders>
            <w:shd w:val="clear" w:color="auto" w:fill="auto"/>
            <w:vAlign w:val="center"/>
          </w:tcPr>
          <w:p w14:paraId="1B3B69EF"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515BC732"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6546" w:type="dxa"/>
            <w:gridSpan w:val="2"/>
            <w:vMerge/>
            <w:tcBorders>
              <w:bottom w:val="single" w:sz="4" w:space="0" w:color="auto"/>
            </w:tcBorders>
            <w:shd w:val="clear" w:color="auto" w:fill="auto"/>
            <w:vAlign w:val="center"/>
          </w:tcPr>
          <w:p w14:paraId="48F5AD0B"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r w:rsidR="00071E85" w:rsidRPr="00071E85" w14:paraId="48A2580A"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53A3B302"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S5</w:t>
            </w:r>
          </w:p>
        </w:tc>
        <w:tc>
          <w:tcPr>
            <w:tcW w:w="1077" w:type="dxa"/>
            <w:tcBorders>
              <w:top w:val="single" w:sz="4" w:space="0" w:color="auto"/>
              <w:bottom w:val="single" w:sz="4" w:space="0" w:color="auto"/>
            </w:tcBorders>
            <w:shd w:val="clear" w:color="auto" w:fill="auto"/>
            <w:vAlign w:val="center"/>
          </w:tcPr>
          <w:p w14:paraId="4A172DCA"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4678" w:type="dxa"/>
            <w:tcBorders>
              <w:top w:val="single" w:sz="4" w:space="0" w:color="auto"/>
              <w:bottom w:val="single" w:sz="4" w:space="0" w:color="auto"/>
            </w:tcBorders>
            <w:shd w:val="clear" w:color="auto" w:fill="auto"/>
            <w:vAlign w:val="center"/>
          </w:tcPr>
          <w:p w14:paraId="764484F5"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Se rechaza.</w:t>
            </w:r>
          </w:p>
        </w:tc>
        <w:tc>
          <w:tcPr>
            <w:tcW w:w="1868" w:type="dxa"/>
            <w:tcBorders>
              <w:top w:val="single" w:sz="4" w:space="0" w:color="auto"/>
              <w:bottom w:val="single" w:sz="4" w:space="0" w:color="auto"/>
            </w:tcBorders>
            <w:shd w:val="clear" w:color="auto" w:fill="auto"/>
            <w:vAlign w:val="center"/>
          </w:tcPr>
          <w:p w14:paraId="3DAD9E65"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0.005</w:t>
            </w:r>
          </w:p>
        </w:tc>
      </w:tr>
      <w:tr w:rsidR="00071E85" w:rsidRPr="00071E85" w14:paraId="44907602"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bottom w:val="single" w:sz="4" w:space="0" w:color="auto"/>
            </w:tcBorders>
            <w:shd w:val="clear" w:color="auto" w:fill="auto"/>
            <w:vAlign w:val="center"/>
          </w:tcPr>
          <w:p w14:paraId="17185F30"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1D0868F7"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4678" w:type="dxa"/>
            <w:tcBorders>
              <w:top w:val="single" w:sz="4" w:space="0" w:color="auto"/>
              <w:bottom w:val="single" w:sz="4" w:space="0" w:color="auto"/>
            </w:tcBorders>
            <w:shd w:val="clear" w:color="auto" w:fill="auto"/>
            <w:vAlign w:val="center"/>
          </w:tcPr>
          <w:p w14:paraId="66AF8BDE"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No se rechaza.</w:t>
            </w:r>
          </w:p>
        </w:tc>
        <w:tc>
          <w:tcPr>
            <w:tcW w:w="1868" w:type="dxa"/>
            <w:tcBorders>
              <w:top w:val="single" w:sz="4" w:space="0" w:color="auto"/>
              <w:bottom w:val="single" w:sz="4" w:space="0" w:color="auto"/>
            </w:tcBorders>
            <w:shd w:val="clear" w:color="auto" w:fill="auto"/>
            <w:vAlign w:val="center"/>
          </w:tcPr>
          <w:p w14:paraId="7795B011"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0.739</w:t>
            </w:r>
          </w:p>
        </w:tc>
      </w:tr>
      <w:tr w:rsidR="00071E85" w:rsidRPr="00071E85" w14:paraId="642BBEBF"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shd w:val="clear" w:color="auto" w:fill="auto"/>
            <w:vAlign w:val="center"/>
          </w:tcPr>
          <w:p w14:paraId="750C120D"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S6</w:t>
            </w:r>
          </w:p>
        </w:tc>
        <w:tc>
          <w:tcPr>
            <w:tcW w:w="1077" w:type="dxa"/>
            <w:tcBorders>
              <w:top w:val="single" w:sz="4" w:space="0" w:color="auto"/>
              <w:bottom w:val="single" w:sz="4" w:space="0" w:color="auto"/>
            </w:tcBorders>
            <w:shd w:val="clear" w:color="auto" w:fill="auto"/>
            <w:vAlign w:val="center"/>
          </w:tcPr>
          <w:p w14:paraId="6B1D6911"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6546" w:type="dxa"/>
            <w:gridSpan w:val="2"/>
            <w:vMerge w:val="restart"/>
            <w:tcBorders>
              <w:top w:val="single" w:sz="4" w:space="0" w:color="auto"/>
            </w:tcBorders>
            <w:shd w:val="clear" w:color="auto" w:fill="auto"/>
            <w:vAlign w:val="center"/>
          </w:tcPr>
          <w:p w14:paraId="6254A430"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Datos insuficientes para determinar una significancia estadística</w:t>
            </w:r>
          </w:p>
        </w:tc>
      </w:tr>
      <w:tr w:rsidR="00071E85" w:rsidRPr="00071E85" w14:paraId="094B1F84"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bottom w:val="single" w:sz="4" w:space="0" w:color="auto"/>
            </w:tcBorders>
            <w:shd w:val="clear" w:color="auto" w:fill="auto"/>
            <w:vAlign w:val="center"/>
          </w:tcPr>
          <w:p w14:paraId="7D418225"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552AC0B3"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6546" w:type="dxa"/>
            <w:gridSpan w:val="2"/>
            <w:vMerge/>
            <w:tcBorders>
              <w:bottom w:val="single" w:sz="4" w:space="0" w:color="auto"/>
            </w:tcBorders>
            <w:shd w:val="clear" w:color="auto" w:fill="auto"/>
            <w:vAlign w:val="center"/>
          </w:tcPr>
          <w:p w14:paraId="642F6539"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p>
        </w:tc>
      </w:tr>
      <w:tr w:rsidR="00071E85" w:rsidRPr="00071E85" w14:paraId="69FA7A2B"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auto"/>
            <w:vAlign w:val="center"/>
          </w:tcPr>
          <w:p w14:paraId="2204BC55"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S7</w:t>
            </w:r>
          </w:p>
        </w:tc>
        <w:tc>
          <w:tcPr>
            <w:tcW w:w="1077" w:type="dxa"/>
            <w:tcBorders>
              <w:top w:val="single" w:sz="4" w:space="0" w:color="auto"/>
              <w:bottom w:val="single" w:sz="4" w:space="0" w:color="auto"/>
            </w:tcBorders>
            <w:shd w:val="clear" w:color="auto" w:fill="auto"/>
            <w:vAlign w:val="center"/>
          </w:tcPr>
          <w:p w14:paraId="2AB9D741"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4678" w:type="dxa"/>
            <w:tcBorders>
              <w:top w:val="single" w:sz="4" w:space="0" w:color="auto"/>
              <w:bottom w:val="single" w:sz="4" w:space="0" w:color="auto"/>
            </w:tcBorders>
            <w:shd w:val="clear" w:color="auto" w:fill="auto"/>
            <w:vAlign w:val="center"/>
          </w:tcPr>
          <w:p w14:paraId="3683B24E"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No se rechaza.</w:t>
            </w:r>
          </w:p>
        </w:tc>
        <w:tc>
          <w:tcPr>
            <w:tcW w:w="1868" w:type="dxa"/>
            <w:tcBorders>
              <w:top w:val="single" w:sz="4" w:space="0" w:color="auto"/>
              <w:bottom w:val="single" w:sz="4" w:space="0" w:color="auto"/>
            </w:tcBorders>
            <w:shd w:val="clear" w:color="auto" w:fill="auto"/>
            <w:vAlign w:val="center"/>
          </w:tcPr>
          <w:p w14:paraId="755C1E11"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0.61</w:t>
            </w:r>
          </w:p>
        </w:tc>
      </w:tr>
      <w:tr w:rsidR="00071E85" w:rsidRPr="00071E85" w14:paraId="3314858B" w14:textId="77777777" w:rsidTr="001B4644">
        <w:trPr>
          <w:trHeight w:val="340"/>
          <w:jc w:val="center"/>
        </w:trPr>
        <w:tc>
          <w:tcPr>
            <w:cnfStyle w:val="001000000000" w:firstRow="0" w:lastRow="0" w:firstColumn="1" w:lastColumn="0" w:oddVBand="0" w:evenVBand="0" w:oddHBand="0" w:evenHBand="0" w:firstRowFirstColumn="0" w:firstRowLastColumn="0" w:lastRowFirstColumn="0" w:lastRowLastColumn="0"/>
            <w:tcW w:w="1361" w:type="dxa"/>
            <w:vMerge/>
            <w:tcBorders>
              <w:top w:val="single" w:sz="4" w:space="0" w:color="auto"/>
              <w:bottom w:val="single" w:sz="4" w:space="0" w:color="auto"/>
            </w:tcBorders>
            <w:shd w:val="clear" w:color="auto" w:fill="auto"/>
            <w:vAlign w:val="center"/>
          </w:tcPr>
          <w:p w14:paraId="492DB789" w14:textId="77777777" w:rsidR="00071E85" w:rsidRPr="00071E85" w:rsidRDefault="00071E85" w:rsidP="00071E85">
            <w:pPr>
              <w:spacing w:line="276" w:lineRule="auto"/>
              <w:jc w:val="center"/>
              <w:rPr>
                <w:rFonts w:ascii="Arial" w:eastAsiaTheme="minorHAnsi" w:hAnsi="Arial" w:cs="Arial"/>
                <w:lang w:eastAsia="en-US"/>
              </w:rPr>
            </w:pPr>
          </w:p>
        </w:tc>
        <w:tc>
          <w:tcPr>
            <w:tcW w:w="1077" w:type="dxa"/>
            <w:tcBorders>
              <w:top w:val="single" w:sz="4" w:space="0" w:color="auto"/>
              <w:bottom w:val="single" w:sz="4" w:space="0" w:color="auto"/>
            </w:tcBorders>
            <w:shd w:val="clear" w:color="auto" w:fill="auto"/>
            <w:vAlign w:val="center"/>
          </w:tcPr>
          <w:p w14:paraId="79E6DC88" w14:textId="77777777" w:rsidR="00071E85" w:rsidRPr="00071E85" w:rsidRDefault="00071E85" w:rsidP="00071E8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SN</w:t>
            </w:r>
          </w:p>
        </w:tc>
        <w:tc>
          <w:tcPr>
            <w:tcW w:w="6546" w:type="dxa"/>
            <w:gridSpan w:val="2"/>
            <w:tcBorders>
              <w:top w:val="single" w:sz="4" w:space="0" w:color="auto"/>
              <w:bottom w:val="single" w:sz="4" w:space="0" w:color="auto"/>
            </w:tcBorders>
            <w:shd w:val="clear" w:color="auto" w:fill="auto"/>
            <w:vAlign w:val="center"/>
          </w:tcPr>
          <w:p w14:paraId="28A73E7A" w14:textId="77777777" w:rsidR="00071E85" w:rsidRPr="00071E85" w:rsidRDefault="00071E85" w:rsidP="00071E8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Variable constante</w:t>
            </w:r>
          </w:p>
        </w:tc>
      </w:tr>
      <w:tr w:rsidR="00071E85" w:rsidRPr="00071E85" w14:paraId="1F356AD9" w14:textId="77777777" w:rsidTr="001B46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61" w:type="dxa"/>
            <w:tcBorders>
              <w:top w:val="single" w:sz="4" w:space="0" w:color="auto"/>
              <w:bottom w:val="single" w:sz="12" w:space="0" w:color="auto"/>
            </w:tcBorders>
            <w:shd w:val="clear" w:color="auto" w:fill="auto"/>
            <w:vAlign w:val="center"/>
          </w:tcPr>
          <w:p w14:paraId="3553FA51" w14:textId="77777777" w:rsidR="00071E85" w:rsidRPr="00071E85" w:rsidRDefault="00071E85" w:rsidP="00071E85">
            <w:pPr>
              <w:spacing w:line="276" w:lineRule="auto"/>
              <w:jc w:val="center"/>
              <w:rPr>
                <w:rFonts w:ascii="Arial" w:eastAsiaTheme="minorHAnsi" w:hAnsi="Arial" w:cs="Arial"/>
                <w:lang w:eastAsia="en-US"/>
              </w:rPr>
            </w:pPr>
            <w:r w:rsidRPr="00071E85">
              <w:rPr>
                <w:rFonts w:ascii="Arial" w:eastAsiaTheme="minorHAnsi" w:hAnsi="Arial" w:cs="Arial"/>
                <w:lang w:eastAsia="en-US"/>
              </w:rPr>
              <w:t>S8</w:t>
            </w:r>
          </w:p>
        </w:tc>
        <w:tc>
          <w:tcPr>
            <w:tcW w:w="1077" w:type="dxa"/>
            <w:tcBorders>
              <w:top w:val="single" w:sz="4" w:space="0" w:color="auto"/>
              <w:bottom w:val="single" w:sz="12" w:space="0" w:color="auto"/>
            </w:tcBorders>
            <w:shd w:val="clear" w:color="auto" w:fill="auto"/>
            <w:vAlign w:val="center"/>
          </w:tcPr>
          <w:p w14:paraId="71B6C093" w14:textId="77777777" w:rsidR="00071E85" w:rsidRPr="00071E85" w:rsidRDefault="00071E85" w:rsidP="00071E8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CN</w:t>
            </w:r>
          </w:p>
        </w:tc>
        <w:tc>
          <w:tcPr>
            <w:tcW w:w="6546" w:type="dxa"/>
            <w:gridSpan w:val="2"/>
            <w:tcBorders>
              <w:top w:val="single" w:sz="4" w:space="0" w:color="auto"/>
              <w:bottom w:val="single" w:sz="12" w:space="0" w:color="auto"/>
            </w:tcBorders>
            <w:shd w:val="clear" w:color="auto" w:fill="auto"/>
            <w:vAlign w:val="center"/>
          </w:tcPr>
          <w:p w14:paraId="0B06CEBA" w14:textId="77777777" w:rsidR="00071E85" w:rsidRPr="00071E85" w:rsidRDefault="00071E85" w:rsidP="00071E85">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eastAsia="en-US"/>
              </w:rPr>
            </w:pPr>
            <w:r w:rsidRPr="00071E85">
              <w:rPr>
                <w:rFonts w:ascii="Arial" w:eastAsiaTheme="minorHAnsi" w:hAnsi="Arial" w:cs="Arial"/>
                <w:lang w:eastAsia="en-US"/>
              </w:rPr>
              <w:t>Variable constante</w:t>
            </w:r>
          </w:p>
        </w:tc>
      </w:tr>
    </w:tbl>
    <w:p w14:paraId="67ED6C26" w14:textId="77777777"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5F50BFED" w14:textId="1D1273B3"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 xml:space="preserve">Sobre los resultados se puede establecer los siguientes cuatro aspectos: a pesar de que las personas usuarias del servicio en la UBE experimentan problemas </w:t>
      </w:r>
    </w:p>
    <w:p w14:paraId="37DFD0AC" w14:textId="77777777" w:rsidR="00071E85" w:rsidRPr="00071E85" w:rsidRDefault="00071E85" w:rsidP="00071E85">
      <w:pPr>
        <w:numPr>
          <w:ilvl w:val="0"/>
          <w:numId w:val="43"/>
        </w:numPr>
        <w:spacing w:after="160" w:line="360" w:lineRule="auto"/>
        <w:contextualSpacing/>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están satisfechos y</w:t>
      </w:r>
    </w:p>
    <w:p w14:paraId="20552DB4" w14:textId="77777777" w:rsidR="00071E85" w:rsidRPr="00071E85" w:rsidRDefault="00071E85" w:rsidP="00071E85">
      <w:pPr>
        <w:numPr>
          <w:ilvl w:val="0"/>
          <w:numId w:val="43"/>
        </w:numPr>
        <w:spacing w:after="160" w:line="360" w:lineRule="auto"/>
        <w:contextualSpacing/>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 xml:space="preserve">no están satisfechas; </w:t>
      </w:r>
    </w:p>
    <w:p w14:paraId="7EC71659"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lastRenderedPageBreak/>
        <w:t xml:space="preserve">a pesar de que las personas usuarias del servicio en la UBE no experimentan problemas </w:t>
      </w:r>
    </w:p>
    <w:p w14:paraId="36B14ADF" w14:textId="77777777" w:rsidR="00071E85" w:rsidRPr="00071E85" w:rsidRDefault="00071E85" w:rsidP="00071E85">
      <w:pPr>
        <w:numPr>
          <w:ilvl w:val="0"/>
          <w:numId w:val="43"/>
        </w:numPr>
        <w:spacing w:after="160" w:line="360" w:lineRule="auto"/>
        <w:contextualSpacing/>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están satisfechos y</w:t>
      </w:r>
    </w:p>
    <w:p w14:paraId="4A920E46" w14:textId="77777777" w:rsidR="00071E85" w:rsidRPr="00071E85" w:rsidRDefault="00071E85" w:rsidP="00071E85">
      <w:pPr>
        <w:numPr>
          <w:ilvl w:val="0"/>
          <w:numId w:val="43"/>
        </w:numPr>
        <w:spacing w:after="160" w:line="360" w:lineRule="auto"/>
        <w:contextualSpacing/>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no están satisfechas.</w:t>
      </w:r>
    </w:p>
    <w:p w14:paraId="0A443B09" w14:textId="77777777" w:rsidR="001B4644" w:rsidRDefault="001B4644" w:rsidP="00071E85">
      <w:pPr>
        <w:spacing w:line="360" w:lineRule="auto"/>
        <w:jc w:val="both"/>
        <w:rPr>
          <w:rFonts w:ascii="Arial" w:eastAsiaTheme="minorHAnsi" w:hAnsi="Arial" w:cs="Arial"/>
          <w:color w:val="211D1E"/>
          <w:kern w:val="2"/>
          <w:lang w:val="es-EC" w:eastAsia="en-US"/>
          <w14:ligatures w14:val="standardContextual"/>
        </w:rPr>
      </w:pPr>
    </w:p>
    <w:p w14:paraId="603A7549" w14:textId="51216C4A"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 xml:space="preserve">Estas relaciones se esquematizan para el contexto organizacional de la cadena de valor en la figura 6. Estas relaciones permiten desarrollar las siguientes interrogantes: </w:t>
      </w:r>
    </w:p>
    <w:p w14:paraId="7BB07DB3" w14:textId="77777777" w:rsidR="00DC2D9B" w:rsidRDefault="00DC2D9B" w:rsidP="00071E85">
      <w:pPr>
        <w:spacing w:line="360" w:lineRule="auto"/>
        <w:jc w:val="both"/>
        <w:rPr>
          <w:rFonts w:ascii="Arial" w:eastAsiaTheme="minorHAnsi" w:hAnsi="Arial" w:cs="Arial"/>
          <w:color w:val="211D1E"/>
          <w:kern w:val="2"/>
          <w:lang w:val="es-EC" w:eastAsia="en-US"/>
          <w14:ligatures w14:val="standardContextual"/>
        </w:rPr>
      </w:pPr>
    </w:p>
    <w:p w14:paraId="3DB253E7" w14:textId="525E0346"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(i) ¿Cuál es la conceptualización del estudiantado sobre el término valor del servicio estudiantil?</w:t>
      </w:r>
    </w:p>
    <w:p w14:paraId="7D498B59"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w:t>
      </w:r>
      <w:proofErr w:type="spellStart"/>
      <w:r w:rsidRPr="00071E85">
        <w:rPr>
          <w:rFonts w:ascii="Arial" w:eastAsiaTheme="minorHAnsi" w:hAnsi="Arial" w:cs="Arial"/>
          <w:color w:val="211D1E"/>
          <w:kern w:val="2"/>
          <w:lang w:val="es-EC" w:eastAsia="en-US"/>
          <w14:ligatures w14:val="standardContextual"/>
        </w:rPr>
        <w:t>ii</w:t>
      </w:r>
      <w:proofErr w:type="spellEnd"/>
      <w:r w:rsidRPr="00071E85">
        <w:rPr>
          <w:rFonts w:ascii="Arial" w:eastAsiaTheme="minorHAnsi" w:hAnsi="Arial" w:cs="Arial"/>
          <w:color w:val="211D1E"/>
          <w:kern w:val="2"/>
          <w:lang w:val="es-EC" w:eastAsia="en-US"/>
          <w14:ligatures w14:val="standardContextual"/>
        </w:rPr>
        <w:t>) ¿Cuáles atributos dentro del proceso de servicio estudiantil son considerados de valor para el estudiantado?</w:t>
      </w:r>
    </w:p>
    <w:p w14:paraId="0973CBA6"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w:t>
      </w:r>
      <w:proofErr w:type="spellStart"/>
      <w:r w:rsidRPr="00071E85">
        <w:rPr>
          <w:rFonts w:ascii="Arial" w:eastAsiaTheme="minorHAnsi" w:hAnsi="Arial" w:cs="Arial"/>
          <w:color w:val="211D1E"/>
          <w:kern w:val="2"/>
          <w:lang w:val="es-EC" w:eastAsia="en-US"/>
          <w14:ligatures w14:val="standardContextual"/>
        </w:rPr>
        <w:t>iii</w:t>
      </w:r>
      <w:proofErr w:type="spellEnd"/>
      <w:r w:rsidRPr="00071E85">
        <w:rPr>
          <w:rFonts w:ascii="Arial" w:eastAsiaTheme="minorHAnsi" w:hAnsi="Arial" w:cs="Arial"/>
          <w:color w:val="211D1E"/>
          <w:kern w:val="2"/>
          <w:lang w:val="es-EC" w:eastAsia="en-US"/>
          <w14:ligatures w14:val="standardContextual"/>
        </w:rPr>
        <w:t xml:space="preserve">) Frente a un servicio estudiantil de calidad, ¿cuál es la expectativa de satisfacción que tiene el estudiantado? </w:t>
      </w:r>
    </w:p>
    <w:p w14:paraId="3A584B97" w14:textId="77777777" w:rsidR="00071E85" w:rsidRPr="00071E85" w:rsidRDefault="00071E85" w:rsidP="00071E85">
      <w:pPr>
        <w:spacing w:line="360" w:lineRule="auto"/>
        <w:jc w:val="both"/>
        <w:rPr>
          <w:rFonts w:ascii="Arial" w:eastAsiaTheme="minorHAnsi" w:hAnsi="Arial" w:cs="Arial"/>
          <w:color w:val="211D1E"/>
          <w:kern w:val="2"/>
          <w:lang w:val="es-EC" w:eastAsia="en-US"/>
          <w14:ligatures w14:val="standardContextual"/>
        </w:rPr>
      </w:pPr>
      <w:r w:rsidRPr="00071E85">
        <w:rPr>
          <w:rFonts w:ascii="Arial" w:eastAsiaTheme="minorHAnsi" w:hAnsi="Arial" w:cs="Arial"/>
          <w:color w:val="211D1E"/>
          <w:kern w:val="2"/>
          <w:lang w:val="es-EC" w:eastAsia="en-US"/>
          <w14:ligatures w14:val="standardContextual"/>
        </w:rPr>
        <w:t>(</w:t>
      </w:r>
      <w:proofErr w:type="spellStart"/>
      <w:r w:rsidRPr="00071E85">
        <w:rPr>
          <w:rFonts w:ascii="Arial" w:eastAsiaTheme="minorHAnsi" w:hAnsi="Arial" w:cs="Arial"/>
          <w:color w:val="211D1E"/>
          <w:kern w:val="2"/>
          <w:lang w:val="es-EC" w:eastAsia="en-US"/>
          <w14:ligatures w14:val="standardContextual"/>
        </w:rPr>
        <w:t>iv</w:t>
      </w:r>
      <w:proofErr w:type="spellEnd"/>
      <w:r w:rsidRPr="00071E85">
        <w:rPr>
          <w:rFonts w:ascii="Arial" w:eastAsiaTheme="minorHAnsi" w:hAnsi="Arial" w:cs="Arial"/>
          <w:color w:val="211D1E"/>
          <w:kern w:val="2"/>
          <w:lang w:val="es-EC" w:eastAsia="en-US"/>
          <w14:ligatures w14:val="standardContextual"/>
        </w:rPr>
        <w:t>) Si durante el uso del servicio la persona estudiante usuaria no experimenta problemas, ¿se puede considerar que sí es un problema para la IES como proveedora del servicio?</w:t>
      </w:r>
    </w:p>
    <w:p w14:paraId="6858A0BE" w14:textId="3CD34419" w:rsidR="00071E85" w:rsidRDefault="00071E85" w:rsidP="00071E85">
      <w:pPr>
        <w:spacing w:line="360" w:lineRule="auto"/>
        <w:jc w:val="both"/>
        <w:rPr>
          <w:rFonts w:ascii="Arial" w:eastAsiaTheme="minorHAnsi" w:hAnsi="Arial" w:cs="Arial"/>
          <w:color w:val="211D1E"/>
          <w:kern w:val="2"/>
          <w:lang w:val="es-EC" w:eastAsia="en-US"/>
          <w14:ligatures w14:val="standardContextual"/>
        </w:rPr>
      </w:pPr>
    </w:p>
    <w:p w14:paraId="0FE84788" w14:textId="77777777" w:rsidR="00DC2D9B" w:rsidRPr="00071E85" w:rsidRDefault="00DC2D9B" w:rsidP="00071E85">
      <w:pPr>
        <w:spacing w:line="360" w:lineRule="auto"/>
        <w:jc w:val="both"/>
        <w:rPr>
          <w:rFonts w:ascii="Arial" w:eastAsiaTheme="minorHAnsi" w:hAnsi="Arial" w:cs="Arial"/>
          <w:color w:val="211D1E"/>
          <w:kern w:val="2"/>
          <w:lang w:val="es-EC" w:eastAsia="en-US"/>
          <w14:ligatures w14:val="standardContextual"/>
        </w:rPr>
      </w:pPr>
    </w:p>
    <w:p w14:paraId="2B1B7E67" w14:textId="77777777" w:rsidR="00071E85" w:rsidRPr="00071E85" w:rsidRDefault="00071E85" w:rsidP="00071E85">
      <w:pPr>
        <w:jc w:val="center"/>
        <w:rPr>
          <w:rFonts w:ascii="Arial" w:eastAsiaTheme="minorHAnsi" w:hAnsi="Arial" w:cs="Arial"/>
          <w:kern w:val="2"/>
          <w:lang w:val="es-ES" w:eastAsia="en-US"/>
          <w14:ligatures w14:val="standardContextual"/>
        </w:rPr>
      </w:pPr>
      <w:r w:rsidRPr="00071E85">
        <w:rPr>
          <w:rFonts w:ascii="Arial" w:eastAsiaTheme="minorHAnsi" w:hAnsi="Arial" w:cs="Arial"/>
          <w:kern w:val="2"/>
          <w:lang w:val="es-EC" w:eastAsia="en-US"/>
          <w14:ligatures w14:val="standardContextual"/>
        </w:rPr>
        <w:lastRenderedPageBreak/>
        <w:t xml:space="preserve">Figura 6. Cadena de valor del servicio en un entorno ambiguo de </w:t>
      </w:r>
      <w:bookmarkStart w:id="12" w:name="_Hlk153489419"/>
      <w:r w:rsidRPr="00071E85">
        <w:rPr>
          <w:rFonts w:ascii="Arial" w:eastAsiaTheme="minorHAnsi" w:hAnsi="Arial" w:cs="Arial"/>
          <w:kern w:val="2"/>
          <w:lang w:val="es-EC" w:eastAsia="en-US"/>
          <w14:ligatures w14:val="standardContextual"/>
        </w:rPr>
        <w:t xml:space="preserve">satisfacción de la persona usuaria </w:t>
      </w:r>
      <w:bookmarkEnd w:id="12"/>
      <w:r w:rsidRPr="00071E85">
        <w:rPr>
          <w:rFonts w:ascii="Arial" w:eastAsiaTheme="minorHAnsi" w:hAnsi="Arial" w:cs="Arial"/>
          <w:kern w:val="2"/>
          <w:lang w:val="es-EC" w:eastAsia="en-US"/>
          <w14:ligatures w14:val="standardContextual"/>
        </w:rPr>
        <w:t>en una IES</w:t>
      </w:r>
    </w:p>
    <w:p w14:paraId="58CD060A" w14:textId="77777777" w:rsidR="00071E85" w:rsidRPr="00071E85" w:rsidRDefault="00071E85" w:rsidP="00071E85">
      <w:pPr>
        <w:spacing w:line="360" w:lineRule="auto"/>
        <w:jc w:val="center"/>
        <w:rPr>
          <w:rFonts w:ascii="Arial" w:eastAsiaTheme="minorHAnsi" w:hAnsi="Arial" w:cs="Arial"/>
          <w:kern w:val="2"/>
          <w:lang w:val="es-ES" w:eastAsia="en-US"/>
          <w14:ligatures w14:val="standardContextual"/>
        </w:rPr>
      </w:pPr>
      <w:r w:rsidRPr="00071E85">
        <w:rPr>
          <w:rFonts w:ascii="Arial" w:eastAsiaTheme="minorHAnsi" w:hAnsi="Arial" w:cs="Arial"/>
          <w:noProof/>
          <w:kern w:val="2"/>
          <w:lang w:val="en-US" w:eastAsia="en-US"/>
          <w14:ligatures w14:val="standardContextual"/>
        </w:rPr>
        <w:drawing>
          <wp:inline distT="0" distB="0" distL="0" distR="0" wp14:anchorId="5BD58EF3" wp14:editId="2AD9D732">
            <wp:extent cx="5688505" cy="3444240"/>
            <wp:effectExtent l="38100" t="38100" r="45720" b="41910"/>
            <wp:docPr id="792914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14443" name=""/>
                    <pic:cNvPicPr/>
                  </pic:nvPicPr>
                  <pic:blipFill>
                    <a:blip r:embed="rId16"/>
                    <a:stretch>
                      <a:fillRect/>
                    </a:stretch>
                  </pic:blipFill>
                  <pic:spPr>
                    <a:xfrm>
                      <a:off x="0" y="0"/>
                      <a:ext cx="5717392" cy="3461730"/>
                    </a:xfrm>
                    <a:prstGeom prst="rect">
                      <a:avLst/>
                    </a:prstGeom>
                    <a:ln w="28575">
                      <a:solidFill>
                        <a:sysClr val="windowText" lastClr="000000"/>
                      </a:solidFill>
                    </a:ln>
                  </pic:spPr>
                </pic:pic>
              </a:graphicData>
            </a:graphic>
          </wp:inline>
        </w:drawing>
      </w:r>
    </w:p>
    <w:p w14:paraId="4C6D988E" w14:textId="77777777" w:rsidR="00071E85" w:rsidRPr="00071E85" w:rsidRDefault="00071E85" w:rsidP="00071E85">
      <w:pPr>
        <w:spacing w:line="360" w:lineRule="auto"/>
        <w:rPr>
          <w:rFonts w:ascii="Arial" w:eastAsiaTheme="minorHAnsi" w:hAnsi="Arial" w:cs="Arial"/>
          <w:b/>
          <w:bCs/>
          <w:kern w:val="2"/>
          <w:lang w:val="es-ES" w:eastAsia="en-US"/>
          <w14:ligatures w14:val="standardContextual"/>
        </w:rPr>
      </w:pPr>
    </w:p>
    <w:p w14:paraId="23826125" w14:textId="77777777" w:rsidR="00071E85" w:rsidRPr="00071E85" w:rsidRDefault="00071E85" w:rsidP="00071E85">
      <w:pPr>
        <w:spacing w:line="360" w:lineRule="auto"/>
        <w:rPr>
          <w:rFonts w:ascii="Arial" w:eastAsiaTheme="minorHAnsi" w:hAnsi="Arial" w:cs="Arial"/>
          <w:b/>
          <w:bCs/>
          <w:kern w:val="2"/>
          <w:lang w:val="es-ES" w:eastAsia="en-US"/>
          <w14:ligatures w14:val="standardContextual"/>
        </w:rPr>
      </w:pPr>
      <w:r w:rsidRPr="00071E85">
        <w:rPr>
          <w:rFonts w:ascii="Arial" w:eastAsiaTheme="minorHAnsi" w:hAnsi="Arial" w:cs="Arial"/>
          <w:b/>
          <w:bCs/>
          <w:kern w:val="2"/>
          <w:lang w:val="es-ES" w:eastAsia="en-US"/>
          <w14:ligatures w14:val="standardContextual"/>
        </w:rPr>
        <w:t>Discusión y conclusiones</w:t>
      </w:r>
    </w:p>
    <w:p w14:paraId="0BD960ED"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Este estudio se enfatizó en el análisis del nivel de satisfacción estudiantil y la calidad del servicio de una UBE de una IES pública en Ecuador mediante la experimentación de problemas en el servicio.</w:t>
      </w:r>
    </w:p>
    <w:p w14:paraId="2D681B06"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lastRenderedPageBreak/>
        <w:t xml:space="preserve">En el estudio sobre la calidad y la acreditación en la educación superior del Instituto Internacional de la UNESCO (2020), se asegura que la educación superior es un bien basado en la experiencia, por lo que es imposible estimar la calidad del servicio antes de experimentarlo, lo que provoca una grave asimetría de información entre la comunidad estudiantil y la IES. Con base en esta consideración, la percepción de problemas fue analizada desde la perspectiva de quienes proveen las IES y de quienes reciben el servicio: el estudiantado. Esto con el propósito de obtener la opinión del proceso de servicio desde una visión transversal, pues, como lo mencionan </w:t>
      </w:r>
      <w:proofErr w:type="spellStart"/>
      <w:r w:rsidRPr="00304343">
        <w:rPr>
          <w:rFonts w:ascii="Arial" w:eastAsiaTheme="minorHAnsi" w:hAnsi="Arial" w:cs="Arial"/>
          <w:kern w:val="2"/>
          <w:lang w:val="es-ES" w:eastAsia="en-US"/>
          <w14:ligatures w14:val="standardContextual"/>
        </w:rPr>
        <w:t>Razinkina</w:t>
      </w:r>
      <w:proofErr w:type="spellEnd"/>
      <w:r w:rsidRPr="00304343">
        <w:rPr>
          <w:rFonts w:ascii="Arial" w:eastAsiaTheme="minorHAnsi" w:hAnsi="Arial" w:cs="Arial"/>
          <w:kern w:val="2"/>
          <w:lang w:val="es-ES" w:eastAsia="en-US"/>
          <w14:ligatures w14:val="standardContextual"/>
        </w:rPr>
        <w:t xml:space="preserve"> et al. (2018), cuando además del personal académico y administración, se integra al estudiantado en las actividades de mejora, se añade una nueva dimensión para monitorear la calidad educativa y la satisfacción estudiantil frente a las IES.</w:t>
      </w:r>
    </w:p>
    <w:p w14:paraId="25E4A75D"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0DE16E21" w14:textId="6AADBAD0"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 xml:space="preserve">Con respecto a la calidad del servicio (nivel de valor o de utilidad para satisfacer la necesidad del estudiantado) fue validada con la percepción del nivel de satisfacción por la población estudiantil beneficiaria. Esto se considera pertinente, pues los autores </w:t>
      </w:r>
      <w:proofErr w:type="spellStart"/>
      <w:r w:rsidRPr="00304343">
        <w:rPr>
          <w:rFonts w:ascii="Arial" w:eastAsiaTheme="minorHAnsi" w:hAnsi="Arial" w:cs="Arial"/>
          <w:kern w:val="2"/>
          <w:lang w:val="es-ES" w:eastAsia="en-US"/>
          <w14:ligatures w14:val="standardContextual"/>
        </w:rPr>
        <w:t>Latif</w:t>
      </w:r>
      <w:proofErr w:type="spellEnd"/>
      <w:r w:rsidRPr="00304343">
        <w:rPr>
          <w:rFonts w:ascii="Arial" w:eastAsiaTheme="minorHAnsi" w:hAnsi="Arial" w:cs="Arial"/>
          <w:kern w:val="2"/>
          <w:lang w:val="es-ES" w:eastAsia="en-US"/>
          <w14:ligatures w14:val="standardContextual"/>
        </w:rPr>
        <w:t xml:space="preserve"> et al. (2017) mencionan que la calidad del servicio debe ser evaluada por quienes reciben el servicio y, aunque su visión puede ser parcial, su opinión debe ser tomada en cuenta (Palominos-Belmar et al., 2016). </w:t>
      </w:r>
    </w:p>
    <w:p w14:paraId="13859276"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1C4A9D44" w14:textId="4FF5608B" w:rsidR="00304343" w:rsidRPr="00304343" w:rsidRDefault="00304343" w:rsidP="00304343">
      <w:pPr>
        <w:spacing w:line="360" w:lineRule="auto"/>
        <w:jc w:val="both"/>
        <w:rPr>
          <w:rFonts w:ascii="Arial" w:eastAsiaTheme="minorHAnsi" w:hAnsi="Arial" w:cs="Arial"/>
          <w:kern w:val="2"/>
          <w:lang w:val="es-EC" w:eastAsia="en-US"/>
          <w14:ligatures w14:val="standardContextual"/>
        </w:rPr>
      </w:pPr>
      <w:r w:rsidRPr="00304343">
        <w:rPr>
          <w:rFonts w:ascii="Arial" w:eastAsiaTheme="minorHAnsi" w:hAnsi="Arial" w:cs="Arial"/>
          <w:kern w:val="2"/>
          <w:lang w:val="es-ES" w:eastAsia="en-US"/>
          <w14:ligatures w14:val="standardContextual"/>
        </w:rPr>
        <w:lastRenderedPageBreak/>
        <w:t xml:space="preserve">Los hallazgos de este estudio demuestran que la experiencia de problemas en el servicio no siempre afecta la satisfacción de la persona usuaria; por lo tanto, la percepción de la calidad del servicio se distorsiona. Es decir, la comunidad estudiantil usuaria del servicio puede o no experimentar problemas y pueden o no estar satisfechos con este. Esto genera un contexto ambiguo para las IES y la toma de decisiones orientadas a la mejora continua de la calidad del servicio, porque, al existir dificultades para identificar lo que realmente el estudiantado considera como un servicio estudiantil de calidad, el proceso por el cual este se lleva a cabo no está cumpliendo con su propósito, que es el de aportar una solución al estudiantado que tiene una necesidad presente. Esto implica una evaluación de la razón de ser de la organización. Ello coincide con </w:t>
      </w:r>
      <w:proofErr w:type="spellStart"/>
      <w:r w:rsidRPr="00304343">
        <w:rPr>
          <w:rFonts w:ascii="Arial" w:eastAsiaTheme="minorHAnsi" w:hAnsi="Arial" w:cs="Arial"/>
          <w:kern w:val="2"/>
          <w:lang w:val="es-ES" w:eastAsia="en-US"/>
          <w14:ligatures w14:val="standardContextual"/>
        </w:rPr>
        <w:t>Cinkir</w:t>
      </w:r>
      <w:proofErr w:type="spellEnd"/>
      <w:r w:rsidRPr="00304343">
        <w:rPr>
          <w:rFonts w:ascii="Arial" w:eastAsiaTheme="minorHAnsi" w:hAnsi="Arial" w:cs="Arial"/>
          <w:kern w:val="2"/>
          <w:lang w:val="es-ES" w:eastAsia="en-US"/>
          <w14:ligatures w14:val="standardContextual"/>
        </w:rPr>
        <w:t xml:space="preserve"> et al. (2022), quienes expresan que los conceptos de satisfacción y calidad del servicio en el contexto de la educación superior pueden ser relativamente difíciles de definir; incluso, y como manifiesta </w:t>
      </w:r>
      <w:r w:rsidRPr="00304343">
        <w:rPr>
          <w:rFonts w:ascii="Arial" w:eastAsiaTheme="minorHAnsi" w:hAnsi="Arial" w:cs="Arial"/>
          <w:kern w:val="2"/>
          <w:lang w:val="es-EC" w:eastAsia="en-US"/>
          <w14:ligatures w14:val="standardContextual"/>
        </w:rPr>
        <w:t>De Oliveira-Santini et al. (2017), las relaciones estadísticas entre los constructos de calidad y satisfacción son muy variados y heterogéneos.</w:t>
      </w:r>
    </w:p>
    <w:p w14:paraId="55118C62" w14:textId="77777777" w:rsidR="00304343" w:rsidRDefault="00304343" w:rsidP="00304343">
      <w:pPr>
        <w:spacing w:line="360" w:lineRule="auto"/>
        <w:jc w:val="both"/>
        <w:rPr>
          <w:rFonts w:ascii="Arial" w:eastAsiaTheme="minorHAnsi" w:hAnsi="Arial" w:cs="Arial"/>
          <w:color w:val="211D1E"/>
          <w:kern w:val="2"/>
          <w:lang w:val="es-EC" w:eastAsia="en-US"/>
          <w14:ligatures w14:val="standardContextual"/>
        </w:rPr>
      </w:pPr>
    </w:p>
    <w:p w14:paraId="757FF2CC" w14:textId="065063CE"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color w:val="211D1E"/>
          <w:kern w:val="2"/>
          <w:lang w:val="es-EC" w:eastAsia="en-US"/>
          <w14:ligatures w14:val="standardContextual"/>
        </w:rPr>
        <w:t xml:space="preserve">Resultados similares se pueden encontrar en </w:t>
      </w:r>
      <w:r w:rsidRPr="00304343">
        <w:rPr>
          <w:rFonts w:ascii="Arial" w:eastAsiaTheme="minorHAnsi" w:hAnsi="Arial" w:cs="Arial"/>
          <w:kern w:val="2"/>
          <w:lang w:val="es-ES" w:eastAsia="en-US"/>
          <w14:ligatures w14:val="standardContextual"/>
        </w:rPr>
        <w:t>Palominos-Belmar et al. (2016),</w:t>
      </w:r>
      <w:r w:rsidRPr="00304343">
        <w:rPr>
          <w:rFonts w:ascii="Arial" w:eastAsiaTheme="minorHAnsi" w:hAnsi="Arial" w:cs="Arial"/>
          <w:b/>
          <w:bCs/>
          <w:kern w:val="2"/>
          <w:lang w:val="es-ES" w:eastAsia="en-US"/>
          <w14:ligatures w14:val="standardContextual"/>
        </w:rPr>
        <w:t xml:space="preserve"> </w:t>
      </w:r>
      <w:r w:rsidRPr="00304343">
        <w:rPr>
          <w:rFonts w:ascii="Arial" w:eastAsiaTheme="minorHAnsi" w:hAnsi="Arial" w:cs="Arial"/>
          <w:kern w:val="2"/>
          <w:lang w:val="es-ES" w:eastAsia="en-US"/>
          <w14:ligatures w14:val="standardContextual"/>
        </w:rPr>
        <w:t xml:space="preserve">donde, a pesar de que la comunidad estudiantil aún no ingresa al campo laboral, evalúa positivamente los resultados en su paso por la universidad; asimismo, donde a pesar de evidenciar la falta de innovación docente, poca eficiencia en el ámbito </w:t>
      </w:r>
      <w:r w:rsidRPr="00304343">
        <w:rPr>
          <w:rFonts w:ascii="Arial" w:eastAsiaTheme="minorHAnsi" w:hAnsi="Arial" w:cs="Arial"/>
          <w:kern w:val="2"/>
          <w:lang w:val="es-ES" w:eastAsia="en-US"/>
          <w14:ligatures w14:val="standardContextual"/>
        </w:rPr>
        <w:lastRenderedPageBreak/>
        <w:t>administrativo y deficiencias en la infraestructura de la universidad, se manifiesta una satisfacción general en el servicio.</w:t>
      </w:r>
    </w:p>
    <w:p w14:paraId="3EF06234" w14:textId="77777777" w:rsidR="00304343" w:rsidRDefault="00304343" w:rsidP="00304343">
      <w:pPr>
        <w:spacing w:line="360" w:lineRule="auto"/>
        <w:jc w:val="both"/>
        <w:rPr>
          <w:rFonts w:ascii="Arial" w:eastAsiaTheme="minorHAnsi" w:hAnsi="Arial" w:cs="Arial"/>
          <w:kern w:val="2"/>
          <w:lang w:val="es-EC" w:eastAsia="en-US"/>
          <w14:ligatures w14:val="standardContextual"/>
        </w:rPr>
      </w:pPr>
    </w:p>
    <w:p w14:paraId="489265AF" w14:textId="1D436E6F" w:rsidR="00304343" w:rsidRPr="00304343" w:rsidRDefault="00304343" w:rsidP="00304343">
      <w:pPr>
        <w:spacing w:line="360" w:lineRule="auto"/>
        <w:jc w:val="both"/>
        <w:rPr>
          <w:rFonts w:ascii="Arial" w:eastAsiaTheme="minorHAnsi" w:hAnsi="Arial" w:cs="Arial"/>
          <w:kern w:val="2"/>
          <w:lang w:val="es-EC" w:eastAsia="en-US"/>
          <w14:ligatures w14:val="standardContextual"/>
        </w:rPr>
      </w:pPr>
      <w:r w:rsidRPr="00304343">
        <w:rPr>
          <w:rFonts w:ascii="Arial" w:eastAsiaTheme="minorHAnsi" w:hAnsi="Arial" w:cs="Arial"/>
          <w:kern w:val="2"/>
          <w:lang w:val="es-EC" w:eastAsia="en-US"/>
          <w14:ligatures w14:val="standardContextual"/>
        </w:rPr>
        <w:t xml:space="preserve">García-Fernández et al. (2012) afirman que la calidad del servicio y la satisfacción del cliente son dos conceptos que están íntimamente relacionados, a tal punto de que existe una relación causal entre estos. También, y como se menciona anteriormente, en los </w:t>
      </w:r>
      <w:r w:rsidRPr="00304343">
        <w:rPr>
          <w:rFonts w:ascii="Arial" w:eastAsiaTheme="minorHAnsi" w:hAnsi="Arial" w:cs="Arial"/>
          <w:color w:val="211D1E"/>
          <w:kern w:val="2"/>
          <w:lang w:val="es-EC" w:eastAsia="en-US"/>
          <w14:ligatures w14:val="standardContextual"/>
        </w:rPr>
        <w:t xml:space="preserve">hallazgos de </w:t>
      </w:r>
      <w:proofErr w:type="spellStart"/>
      <w:r w:rsidRPr="00304343">
        <w:rPr>
          <w:rFonts w:ascii="Arial" w:eastAsiaTheme="minorHAnsi" w:hAnsi="Arial" w:cs="Arial"/>
          <w:kern w:val="2"/>
          <w:lang w:val="es-ES" w:eastAsia="en-US"/>
          <w14:ligatures w14:val="standardContextual"/>
        </w:rPr>
        <w:t>Ushantha</w:t>
      </w:r>
      <w:proofErr w:type="spellEnd"/>
      <w:r w:rsidRPr="00304343">
        <w:rPr>
          <w:rFonts w:ascii="Arial" w:eastAsiaTheme="minorHAnsi" w:hAnsi="Arial" w:cs="Arial"/>
          <w:kern w:val="2"/>
          <w:lang w:val="es-ES" w:eastAsia="en-US"/>
          <w14:ligatures w14:val="standardContextual"/>
        </w:rPr>
        <w:t xml:space="preserve"> y </w:t>
      </w:r>
      <w:proofErr w:type="spellStart"/>
      <w:r w:rsidRPr="00304343">
        <w:rPr>
          <w:rFonts w:ascii="Arial" w:eastAsiaTheme="minorHAnsi" w:hAnsi="Arial" w:cs="Arial"/>
          <w:kern w:val="2"/>
          <w:lang w:val="es-ES" w:eastAsia="en-US"/>
          <w14:ligatures w14:val="standardContextual"/>
        </w:rPr>
        <w:t>Kumara</w:t>
      </w:r>
      <w:proofErr w:type="spellEnd"/>
      <w:r w:rsidRPr="00304343">
        <w:rPr>
          <w:rFonts w:ascii="Arial" w:eastAsiaTheme="minorHAnsi" w:hAnsi="Arial" w:cs="Arial"/>
          <w:kern w:val="2"/>
          <w:lang w:val="es-ES" w:eastAsia="en-US"/>
          <w14:ligatures w14:val="standardContextual"/>
        </w:rPr>
        <w:t xml:space="preserve"> (2016), de Oliveira-Santini et al. (2017), </w:t>
      </w:r>
      <w:proofErr w:type="spellStart"/>
      <w:r w:rsidRPr="00304343">
        <w:rPr>
          <w:rFonts w:ascii="Arial" w:eastAsiaTheme="minorHAnsi" w:hAnsi="Arial" w:cs="Arial"/>
          <w:kern w:val="2"/>
          <w:lang w:val="es-ES" w:eastAsia="en-US"/>
          <w14:ligatures w14:val="standardContextual"/>
        </w:rPr>
        <w:t>Weerasinghe</w:t>
      </w:r>
      <w:proofErr w:type="spellEnd"/>
      <w:r w:rsidRPr="00304343">
        <w:rPr>
          <w:rFonts w:ascii="Arial" w:eastAsiaTheme="minorHAnsi" w:hAnsi="Arial" w:cs="Arial"/>
          <w:kern w:val="2"/>
          <w:lang w:val="es-ES" w:eastAsia="en-US"/>
          <w14:ligatures w14:val="standardContextual"/>
        </w:rPr>
        <w:t xml:space="preserve"> y </w:t>
      </w:r>
      <w:proofErr w:type="spellStart"/>
      <w:r w:rsidRPr="00304343">
        <w:rPr>
          <w:rFonts w:ascii="Arial" w:eastAsiaTheme="minorHAnsi" w:hAnsi="Arial" w:cs="Arial"/>
          <w:kern w:val="2"/>
          <w:lang w:val="es-ES" w:eastAsia="en-US"/>
          <w14:ligatures w14:val="standardContextual"/>
        </w:rPr>
        <w:t>Lalitha</w:t>
      </w:r>
      <w:proofErr w:type="spellEnd"/>
      <w:r w:rsidRPr="00304343">
        <w:rPr>
          <w:rFonts w:ascii="Arial" w:eastAsiaTheme="minorHAnsi" w:hAnsi="Arial" w:cs="Arial"/>
          <w:kern w:val="2"/>
          <w:lang w:val="es-ES" w:eastAsia="en-US"/>
          <w14:ligatures w14:val="standardContextual"/>
        </w:rPr>
        <w:t xml:space="preserve"> (2017), Zambrano-Velásquez y Andrade-Zambrano (2018) y </w:t>
      </w:r>
      <w:proofErr w:type="spellStart"/>
      <w:r w:rsidRPr="00304343">
        <w:rPr>
          <w:rFonts w:ascii="Arial" w:eastAsiaTheme="minorHAnsi" w:hAnsi="Arial" w:cs="Arial"/>
          <w:kern w:val="2"/>
          <w:lang w:val="es-ES" w:eastAsia="en-US"/>
          <w14:ligatures w14:val="standardContextual"/>
        </w:rPr>
        <w:t>Cinkir</w:t>
      </w:r>
      <w:proofErr w:type="spellEnd"/>
      <w:r w:rsidRPr="00304343">
        <w:rPr>
          <w:rFonts w:ascii="Arial" w:eastAsiaTheme="minorHAnsi" w:hAnsi="Arial" w:cs="Arial"/>
          <w:kern w:val="2"/>
          <w:lang w:val="es-ES" w:eastAsia="en-US"/>
          <w14:ligatures w14:val="standardContextual"/>
        </w:rPr>
        <w:t xml:space="preserve"> et al. (2022), </w:t>
      </w:r>
      <w:r w:rsidRPr="00304343">
        <w:rPr>
          <w:rFonts w:ascii="Arial" w:eastAsiaTheme="minorHAnsi" w:hAnsi="Arial" w:cs="Arial"/>
          <w:color w:val="211D1E"/>
          <w:kern w:val="2"/>
          <w:lang w:val="es-EC" w:eastAsia="en-US"/>
          <w14:ligatures w14:val="standardContextual"/>
        </w:rPr>
        <w:t xml:space="preserve">donde los factores complementarios forman parte de los factores de calidad del servicio y, en algunos casos, presentan una relación directa y mayor significancia en la percepción de un servicio estudiantil de calidad. </w:t>
      </w:r>
      <w:r w:rsidRPr="00304343">
        <w:rPr>
          <w:rFonts w:ascii="Arial" w:eastAsiaTheme="minorHAnsi" w:hAnsi="Arial" w:cs="Arial"/>
          <w:kern w:val="2"/>
          <w:lang w:val="es-EC" w:eastAsia="en-US"/>
          <w14:ligatures w14:val="standardContextual"/>
        </w:rPr>
        <w:t xml:space="preserve"> En esta investigación se ha evidenciado que, en el contexto de los servicios educativos complementarios de las IES, existen casos en donde la existencia de problemas, que denotara un inadecuado control de la calidad del servicio, no afecta la satisfacción de la persona estudiante usuaria, mientras que en otros sí. </w:t>
      </w:r>
    </w:p>
    <w:p w14:paraId="03A71725" w14:textId="77777777" w:rsidR="00304343" w:rsidRDefault="00304343" w:rsidP="00304343">
      <w:pPr>
        <w:spacing w:line="360" w:lineRule="auto"/>
        <w:jc w:val="both"/>
        <w:rPr>
          <w:rFonts w:ascii="Arial" w:eastAsiaTheme="minorHAnsi" w:hAnsi="Arial" w:cs="Arial"/>
          <w:kern w:val="2"/>
          <w:lang w:val="es-EC" w:eastAsia="en-US"/>
          <w14:ligatures w14:val="standardContextual"/>
        </w:rPr>
      </w:pPr>
    </w:p>
    <w:p w14:paraId="3353C1DE" w14:textId="26F4427A"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C" w:eastAsia="en-US"/>
          <w14:ligatures w14:val="standardContextual"/>
        </w:rPr>
        <w:t>Se concluye que no necesariamente la calidad del servicio estudiantil complementario y la satisfacción de la comunidad educativa beneficiaria son conceptos íntimamente ligados.</w:t>
      </w:r>
    </w:p>
    <w:p w14:paraId="2F412C94"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lastRenderedPageBreak/>
        <w:t>A partir de la revisión de literatura realizada, y de la puntualización del propio criterio, se expresan tres puntos que pueden explicar este tipo de efectos ambiguos en la evaluación de la calidad del servicio complementario de una IES:</w:t>
      </w:r>
    </w:p>
    <w:p w14:paraId="06FD3765"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7257F5D1" w14:textId="3C2F8B3B"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(i) Responde al contexto de la institución pública, donde la percepción cognitiva-afectiva juega un papel muy importante al ser que la comunidad estudiantil valora el hecho de pertenecer a una institución de prestigio a un costo, que no se compara con el de una institución privada; Palominos-Belmar et al. (2016) llega a una conclusión similar.</w:t>
      </w:r>
    </w:p>
    <w:p w14:paraId="0D9E6D73"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337E3AC7" w14:textId="3B42D2D1"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w:t>
      </w:r>
      <w:proofErr w:type="spellStart"/>
      <w:r w:rsidRPr="00304343">
        <w:rPr>
          <w:rFonts w:ascii="Arial" w:eastAsiaTheme="minorHAnsi" w:hAnsi="Arial" w:cs="Arial"/>
          <w:kern w:val="2"/>
          <w:lang w:val="es-ES" w:eastAsia="en-US"/>
          <w14:ligatures w14:val="standardContextual"/>
        </w:rPr>
        <w:t>ii</w:t>
      </w:r>
      <w:proofErr w:type="spellEnd"/>
      <w:r w:rsidRPr="00304343">
        <w:rPr>
          <w:rFonts w:ascii="Arial" w:eastAsiaTheme="minorHAnsi" w:hAnsi="Arial" w:cs="Arial"/>
          <w:kern w:val="2"/>
          <w:lang w:val="es-ES" w:eastAsia="en-US"/>
          <w14:ligatures w14:val="standardContextual"/>
        </w:rPr>
        <w:t>) El hecho de que las IES pueden no considerar a una parte vital en su proceso de servicio, la comunidad estudiantil, y por ello sus acciones estratégicas, no son orientadas a brindar la plena satisfacción de este grupo, desde que se identifica la necesidad hasta que genera y entrega el valor agregado al servicio estudiantil, sino hacia otras partes interesadas. Como mencionan Guzmán-Puentes y Guevara-Ramírez (2022),</w:t>
      </w:r>
      <w:r w:rsidRPr="00304343">
        <w:rPr>
          <w:rFonts w:ascii="Arial" w:eastAsiaTheme="minorHAnsi" w:hAnsi="Arial" w:cs="Arial"/>
          <w:b/>
          <w:bCs/>
          <w:kern w:val="2"/>
          <w:lang w:val="es-ES" w:eastAsia="en-US"/>
          <w14:ligatures w14:val="standardContextual"/>
        </w:rPr>
        <w:t xml:space="preserve"> </w:t>
      </w:r>
      <w:r w:rsidRPr="00304343">
        <w:rPr>
          <w:rFonts w:ascii="Arial" w:eastAsiaTheme="minorHAnsi" w:hAnsi="Arial" w:cs="Arial"/>
          <w:kern w:val="2"/>
          <w:lang w:val="es-ES" w:eastAsia="en-US"/>
          <w14:ligatures w14:val="standardContextual"/>
        </w:rPr>
        <w:t>en su revisión de varias IES en América y Europa, es común el hecho de que los procesos orientados a mejorar varios aspectos de estas instituciones son establecidos únicamente como estrategias de posicionamiento en el mercado y como ventaja competitiva, en lugar de estar orientados a la mejora de la calidad y de la entrega de un servicio estudiantil de valor para el estudiantado.</w:t>
      </w:r>
    </w:p>
    <w:p w14:paraId="0CA1B4D8"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lastRenderedPageBreak/>
        <w:t>(</w:t>
      </w:r>
      <w:proofErr w:type="spellStart"/>
      <w:r w:rsidRPr="00304343">
        <w:rPr>
          <w:rFonts w:ascii="Arial" w:eastAsiaTheme="minorHAnsi" w:hAnsi="Arial" w:cs="Arial"/>
          <w:kern w:val="2"/>
          <w:lang w:val="es-ES" w:eastAsia="en-US"/>
          <w14:ligatures w14:val="standardContextual"/>
        </w:rPr>
        <w:t>iii</w:t>
      </w:r>
      <w:proofErr w:type="spellEnd"/>
      <w:r w:rsidRPr="00304343">
        <w:rPr>
          <w:rFonts w:ascii="Arial" w:eastAsiaTheme="minorHAnsi" w:hAnsi="Arial" w:cs="Arial"/>
          <w:kern w:val="2"/>
          <w:lang w:val="es-ES" w:eastAsia="en-US"/>
          <w14:ligatures w14:val="standardContextual"/>
        </w:rPr>
        <w:t>) No se implanta una cultura permanente de autoevaluación de la calidad del servicio ni de fomentar la criticidad del estudiantado, de modo que el bien entregado-recibido sea evaluado desde ambas perspectivas de la manera más objetiva posible. Suárez-Landazábal (2023) menciona que, en el contexto de las IES, no existe homogeneidad acerca del significado de la calidad y que promover una cultura de calidad significaría proveer a las personas actoras de los procesos de autoevaluación, los parámetros replicables para la excelencia. Además de que la autoevaluación institucional de los procesos de una IES puede ser usada como una herramienta de rendición de cuentas para comprobar la calidad del servicio prestado a la sociedad (Pérez-López, 2023).</w:t>
      </w:r>
    </w:p>
    <w:p w14:paraId="64E4CDE6"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32A38010" w14:textId="11D9A03C"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Finalmente, y como lo menciona el IESALC de la UNESCO (2020), existe una amplia asimetría de información entre las personas de la comunidad estudiantil y el servicio en el proceso de la educación superior, situación que se ha observado en este estudio, puesto que el estudiantado es más puntual al momento de definir los problemas más relevantes, seis en este caso, mientras que la UBE expande su alcance de percepción y abarca mayor cantidad de problemas en el proceso de servicio, nueve problemas en este caso. También, se podría abordar desde la perspectiva del análisis de políticas públicas de innovación y de mejoramiento de la calidad de la educación superior, tal y como menciona Salazar-Medina (2024).</w:t>
      </w:r>
    </w:p>
    <w:p w14:paraId="4574A520" w14:textId="77777777" w:rsidR="00304343" w:rsidRPr="00304343" w:rsidRDefault="00304343" w:rsidP="00304343">
      <w:pPr>
        <w:spacing w:line="360" w:lineRule="auto"/>
        <w:jc w:val="both"/>
        <w:rPr>
          <w:rFonts w:ascii="Arial" w:eastAsiaTheme="minorHAnsi" w:hAnsi="Arial" w:cs="Arial"/>
          <w:b/>
          <w:bCs/>
          <w:kern w:val="2"/>
          <w:lang w:val="es-ES" w:eastAsia="en-US"/>
          <w14:ligatures w14:val="standardContextual"/>
        </w:rPr>
      </w:pPr>
    </w:p>
    <w:p w14:paraId="26EFA91F"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b/>
          <w:bCs/>
          <w:kern w:val="2"/>
          <w:lang w:val="es-ES" w:eastAsia="en-US"/>
          <w14:ligatures w14:val="standardContextual"/>
        </w:rPr>
        <w:lastRenderedPageBreak/>
        <w:t>Estudios futuros</w:t>
      </w:r>
    </w:p>
    <w:p w14:paraId="5337E4B3"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 xml:space="preserve">Se sugiere ampliar el alcance del estudio a varios tipos de IES, públicas y privadas, con el fin de apreciar la influencia de la gratuidad y no gratuidad de los servicios educativos de las IES en referencia a la exigencia del estudiantado sobre la calidad y valor del servicio. </w:t>
      </w:r>
    </w:p>
    <w:p w14:paraId="1AD6EDC2"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224D8A16" w14:textId="38BBE1EC"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De igual manera, evaluar el impacto que tienen las decisiones estratégicas en los procesos operativos (del momento de la verdad) y su relación con la satisfacción y percepción de valor del servicio estudiantil por parte de la comunidad estudiantil.</w:t>
      </w:r>
    </w:p>
    <w:p w14:paraId="40D0773E"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13B7266B" w14:textId="426BE8D8"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Asimismo, se propone estudiar los servicios complementarios de una IES y los atributos necesarios para que sean considerados un servicio indispensable en la educación de calidad del estudiantado.</w:t>
      </w:r>
    </w:p>
    <w:p w14:paraId="4EEC9121" w14:textId="77777777" w:rsidR="00304343" w:rsidRDefault="00304343" w:rsidP="00304343">
      <w:pPr>
        <w:spacing w:line="360" w:lineRule="auto"/>
        <w:jc w:val="both"/>
        <w:rPr>
          <w:rFonts w:ascii="Arial" w:eastAsiaTheme="minorHAnsi" w:hAnsi="Arial" w:cs="Arial"/>
          <w:kern w:val="2"/>
          <w:lang w:val="es-ES" w:eastAsia="en-US"/>
          <w14:ligatures w14:val="standardContextual"/>
        </w:rPr>
      </w:pPr>
    </w:p>
    <w:p w14:paraId="744981BA" w14:textId="187B5806"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Finalmente, se sugiere profundizar en la relación proveedor-receptor del servicio de una IES, en cuanto a la búsqueda de los factores determinantes considerados de valor para ambas partes, con el fin de asegurar un servicio estudiantil de calidad.</w:t>
      </w:r>
    </w:p>
    <w:p w14:paraId="4302B8E0" w14:textId="77777777" w:rsidR="00304343" w:rsidRPr="00304343" w:rsidRDefault="00304343" w:rsidP="00304343">
      <w:pPr>
        <w:spacing w:line="360" w:lineRule="auto"/>
        <w:jc w:val="both"/>
        <w:rPr>
          <w:rFonts w:ascii="Arial" w:eastAsiaTheme="minorHAnsi" w:hAnsi="Arial" w:cs="Arial"/>
          <w:b/>
          <w:bCs/>
          <w:kern w:val="2"/>
          <w:lang w:val="es-ES" w:eastAsia="en-US"/>
          <w14:ligatures w14:val="standardContextual"/>
        </w:rPr>
      </w:pPr>
    </w:p>
    <w:p w14:paraId="65870C8B" w14:textId="77777777" w:rsidR="00304343" w:rsidRDefault="00304343" w:rsidP="00304343">
      <w:pPr>
        <w:spacing w:line="360" w:lineRule="auto"/>
        <w:jc w:val="both"/>
        <w:rPr>
          <w:rFonts w:ascii="Arial" w:eastAsiaTheme="minorHAnsi" w:hAnsi="Arial" w:cs="Arial"/>
          <w:b/>
          <w:bCs/>
          <w:kern w:val="2"/>
          <w:lang w:val="es-ES" w:eastAsia="en-US"/>
          <w14:ligatures w14:val="standardContextual"/>
        </w:rPr>
      </w:pPr>
    </w:p>
    <w:p w14:paraId="58ABED45" w14:textId="77777777" w:rsidR="00304343" w:rsidRDefault="00304343" w:rsidP="00304343">
      <w:pPr>
        <w:spacing w:line="360" w:lineRule="auto"/>
        <w:jc w:val="both"/>
        <w:rPr>
          <w:rFonts w:ascii="Arial" w:eastAsiaTheme="minorHAnsi" w:hAnsi="Arial" w:cs="Arial"/>
          <w:b/>
          <w:bCs/>
          <w:kern w:val="2"/>
          <w:lang w:val="es-ES" w:eastAsia="en-US"/>
          <w14:ligatures w14:val="standardContextual"/>
        </w:rPr>
      </w:pPr>
    </w:p>
    <w:p w14:paraId="45FC8092" w14:textId="77777777" w:rsidR="00304343" w:rsidRDefault="00304343" w:rsidP="00304343">
      <w:pPr>
        <w:spacing w:line="360" w:lineRule="auto"/>
        <w:jc w:val="both"/>
        <w:rPr>
          <w:rFonts w:ascii="Arial" w:eastAsiaTheme="minorHAnsi" w:hAnsi="Arial" w:cs="Arial"/>
          <w:b/>
          <w:bCs/>
          <w:kern w:val="2"/>
          <w:lang w:val="es-ES" w:eastAsia="en-US"/>
          <w14:ligatures w14:val="standardContextual"/>
        </w:rPr>
      </w:pPr>
    </w:p>
    <w:p w14:paraId="5A7B5066" w14:textId="56BA5931" w:rsidR="00304343" w:rsidRPr="00304343" w:rsidRDefault="00304343" w:rsidP="00304343">
      <w:pPr>
        <w:spacing w:line="360" w:lineRule="auto"/>
        <w:jc w:val="both"/>
        <w:rPr>
          <w:rFonts w:ascii="Arial" w:eastAsiaTheme="minorHAnsi" w:hAnsi="Arial" w:cs="Arial"/>
          <w:b/>
          <w:bCs/>
          <w:kern w:val="2"/>
          <w:lang w:val="es-ES" w:eastAsia="en-US"/>
          <w14:ligatures w14:val="standardContextual"/>
        </w:rPr>
      </w:pPr>
      <w:r w:rsidRPr="00304343">
        <w:rPr>
          <w:rFonts w:ascii="Arial" w:eastAsiaTheme="minorHAnsi" w:hAnsi="Arial" w:cs="Arial"/>
          <w:b/>
          <w:bCs/>
          <w:kern w:val="2"/>
          <w:lang w:val="es-ES" w:eastAsia="en-US"/>
          <w14:ligatures w14:val="standardContextual"/>
        </w:rPr>
        <w:lastRenderedPageBreak/>
        <w:t>Limitaciones del estudio</w:t>
      </w:r>
    </w:p>
    <w:p w14:paraId="47C84FE4" w14:textId="77777777" w:rsidR="00304343" w:rsidRPr="00304343" w:rsidRDefault="00304343" w:rsidP="00304343">
      <w:pPr>
        <w:spacing w:line="360" w:lineRule="auto"/>
        <w:jc w:val="both"/>
        <w:rPr>
          <w:rFonts w:ascii="Arial" w:eastAsiaTheme="minorHAnsi" w:hAnsi="Arial" w:cs="Arial"/>
          <w:kern w:val="2"/>
          <w:lang w:val="es-ES" w:eastAsia="en-US"/>
          <w14:ligatures w14:val="standardContextual"/>
        </w:rPr>
      </w:pPr>
      <w:r w:rsidRPr="00304343">
        <w:rPr>
          <w:rFonts w:ascii="Arial" w:eastAsiaTheme="minorHAnsi" w:hAnsi="Arial" w:cs="Arial"/>
          <w:kern w:val="2"/>
          <w:lang w:val="es-ES" w:eastAsia="en-US"/>
          <w14:ligatures w14:val="standardContextual"/>
        </w:rPr>
        <w:t>Se centran en la recolección de datos, puesto que la UBE no maneja una base de datos estandarizada en sus atenciones, por lo que la organización y la depuración fue bastante amplia.</w:t>
      </w:r>
    </w:p>
    <w:p w14:paraId="516583F7" w14:textId="4216A73F" w:rsidR="00071E85" w:rsidRDefault="00071E85" w:rsidP="00C12908">
      <w:pPr>
        <w:keepNext/>
        <w:spacing w:line="360" w:lineRule="auto"/>
        <w:rPr>
          <w:rFonts w:ascii="Arial" w:eastAsiaTheme="minorHAnsi" w:hAnsi="Arial" w:cs="Arial"/>
          <w:lang w:val="es-ES" w:eastAsia="en-US"/>
        </w:rPr>
      </w:pPr>
    </w:p>
    <w:p w14:paraId="16016075" w14:textId="77777777" w:rsidR="00F24AB8" w:rsidRPr="00F24AB8" w:rsidRDefault="00F24AB8" w:rsidP="00F24AB8">
      <w:pPr>
        <w:spacing w:line="360" w:lineRule="auto"/>
        <w:rPr>
          <w:rFonts w:ascii="Arial" w:eastAsiaTheme="minorHAnsi" w:hAnsi="Arial" w:cs="Arial"/>
          <w:b/>
          <w:bCs/>
          <w:kern w:val="2"/>
          <w:lang w:val="es-ES" w:eastAsia="en-US"/>
          <w14:ligatures w14:val="standardContextual"/>
        </w:rPr>
      </w:pPr>
      <w:r w:rsidRPr="00F24AB8">
        <w:rPr>
          <w:rFonts w:ascii="Arial" w:eastAsiaTheme="minorHAnsi" w:hAnsi="Arial" w:cs="Arial"/>
          <w:b/>
          <w:bCs/>
          <w:kern w:val="2"/>
          <w:lang w:val="es-ES" w:eastAsia="en-US"/>
          <w14:ligatures w14:val="standardContextual"/>
        </w:rPr>
        <w:t>Referencias</w:t>
      </w:r>
    </w:p>
    <w:p w14:paraId="4DDE347B"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Abad-Peña, G., López-Franco, M. &amp; Fernández-Rodríguez, K. (2017). El sistema de educación superior ecuatoriano visto desde los principios de pertinencia y calidad. Universidad y Sociedad, 9(5), pp. 46-53, </w:t>
      </w:r>
      <w:hyperlink r:id="rId17" w:history="1">
        <w:r w:rsidRPr="00F24AB8">
          <w:rPr>
            <w:rFonts w:ascii="Arial" w:eastAsiaTheme="minorHAnsi" w:hAnsi="Arial" w:cs="Arial"/>
            <w:color w:val="0000FF"/>
            <w:kern w:val="2"/>
            <w:u w:val="single"/>
            <w:lang w:val="es-EC" w:eastAsia="en-US"/>
            <w14:ligatures w14:val="standardContextual"/>
          </w:rPr>
          <w:t>https://rus.ucf.edu.cu/index.php/rus/article/view/710</w:t>
        </w:r>
      </w:hyperlink>
    </w:p>
    <w:p w14:paraId="60903390"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Acosta, S., </w:t>
      </w:r>
      <w:proofErr w:type="spellStart"/>
      <w:r w:rsidRPr="00F24AB8">
        <w:rPr>
          <w:rFonts w:ascii="Arial" w:eastAsiaTheme="minorHAnsi" w:hAnsi="Arial" w:cs="Arial"/>
          <w:kern w:val="2"/>
          <w:lang w:val="es-EC" w:eastAsia="en-US"/>
          <w14:ligatures w14:val="standardContextual"/>
        </w:rPr>
        <w:t>Laines</w:t>
      </w:r>
      <w:proofErr w:type="spellEnd"/>
      <w:r w:rsidRPr="00F24AB8">
        <w:rPr>
          <w:rFonts w:ascii="Arial" w:eastAsiaTheme="minorHAnsi" w:hAnsi="Arial" w:cs="Arial"/>
          <w:kern w:val="2"/>
          <w:lang w:val="es-EC" w:eastAsia="en-US"/>
          <w14:ligatures w14:val="standardContextual"/>
        </w:rPr>
        <w:t xml:space="preserve">, B. &amp; Piña, G. (2014). Estadística Inferencial, Lima, Universidad Peruana de Ciencias Aplicadas (UPC), </w:t>
      </w:r>
      <w:hyperlink r:id="rId18" w:history="1">
        <w:r w:rsidRPr="00F24AB8">
          <w:rPr>
            <w:rFonts w:ascii="Arial" w:eastAsiaTheme="minorHAnsi" w:hAnsi="Arial" w:cs="Arial"/>
            <w:color w:val="0000FF"/>
            <w:kern w:val="2"/>
            <w:u w:val="single"/>
            <w:lang w:val="es-EC" w:eastAsia="en-US"/>
            <w14:ligatures w14:val="standardContextual"/>
          </w:rPr>
          <w:t>https://repositorioacademico.upc.edu.pe/handle/10757/316022</w:t>
        </w:r>
      </w:hyperlink>
    </w:p>
    <w:p w14:paraId="17171633"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Alor, M. (2020). Calidad de atención y satisfacción del usuario externo en el puesto de salud de </w:t>
      </w:r>
      <w:proofErr w:type="spellStart"/>
      <w:r w:rsidRPr="00F24AB8">
        <w:rPr>
          <w:rFonts w:ascii="Arial" w:eastAsiaTheme="minorHAnsi" w:hAnsi="Arial" w:cs="Arial"/>
          <w:kern w:val="2"/>
          <w:lang w:val="es-EC" w:eastAsia="en-US"/>
          <w14:ligatures w14:val="standardContextual"/>
        </w:rPr>
        <w:t>Raquia</w:t>
      </w:r>
      <w:proofErr w:type="spellEnd"/>
      <w:r w:rsidRPr="00F24AB8">
        <w:rPr>
          <w:rFonts w:ascii="Arial" w:eastAsiaTheme="minorHAnsi" w:hAnsi="Arial" w:cs="Arial"/>
          <w:kern w:val="2"/>
          <w:lang w:val="es-EC" w:eastAsia="en-US"/>
          <w14:ligatures w14:val="standardContextual"/>
        </w:rPr>
        <w:t xml:space="preserve"> – Ancash. Universidad Nacional José Faustino Sánchez Carrión </w:t>
      </w:r>
      <w:hyperlink r:id="rId19" w:history="1">
        <w:r w:rsidRPr="00F24AB8">
          <w:rPr>
            <w:rFonts w:ascii="Arial" w:eastAsiaTheme="minorHAnsi" w:hAnsi="Arial" w:cs="Arial"/>
            <w:color w:val="0000FF"/>
            <w:kern w:val="2"/>
            <w:u w:val="single"/>
            <w:lang w:val="es-EC" w:eastAsia="en-US"/>
            <w14:ligatures w14:val="standardContextual"/>
          </w:rPr>
          <w:t>https://repositorio.unjfsc.edu.pe/bitstream/handle/20.500.14067/3982/Mirella%20Heidi%20Alor%20Llañez.pdf?sequence=1</w:t>
        </w:r>
      </w:hyperlink>
    </w:p>
    <w:p w14:paraId="6BBB51CE"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Alvarado-Lagunas, E., </w:t>
      </w:r>
      <w:proofErr w:type="spellStart"/>
      <w:r w:rsidRPr="00F24AB8">
        <w:rPr>
          <w:rFonts w:ascii="Arial" w:eastAsiaTheme="minorHAnsi" w:hAnsi="Arial" w:cs="Arial"/>
          <w:kern w:val="2"/>
          <w:lang w:val="es-EC" w:eastAsia="en-US"/>
          <w14:ligatures w14:val="standardContextual"/>
        </w:rPr>
        <w:t>Luyando</w:t>
      </w:r>
      <w:proofErr w:type="spellEnd"/>
      <w:r w:rsidRPr="00F24AB8">
        <w:rPr>
          <w:rFonts w:ascii="Arial" w:eastAsiaTheme="minorHAnsi" w:hAnsi="Arial" w:cs="Arial"/>
          <w:kern w:val="2"/>
          <w:lang w:val="es-EC" w:eastAsia="en-US"/>
          <w14:ligatures w14:val="standardContextual"/>
        </w:rPr>
        <w:t xml:space="preserve">-Cuevas, J. &amp; </w:t>
      </w:r>
      <w:proofErr w:type="spellStart"/>
      <w:r w:rsidRPr="00F24AB8">
        <w:rPr>
          <w:rFonts w:ascii="Arial" w:eastAsiaTheme="minorHAnsi" w:hAnsi="Arial" w:cs="Arial"/>
          <w:kern w:val="2"/>
          <w:lang w:val="es-EC" w:eastAsia="en-US"/>
          <w14:ligatures w14:val="standardContextual"/>
        </w:rPr>
        <w:t>Pizazzo</w:t>
      </w:r>
      <w:proofErr w:type="spellEnd"/>
      <w:r w:rsidRPr="00F24AB8">
        <w:rPr>
          <w:rFonts w:ascii="Arial" w:eastAsiaTheme="minorHAnsi" w:hAnsi="Arial" w:cs="Arial"/>
          <w:kern w:val="2"/>
          <w:lang w:val="es-EC" w:eastAsia="en-US"/>
          <w14:ligatures w14:val="standardContextual"/>
        </w:rPr>
        <w:t xml:space="preserve">-Palencia, E. (2015). Percepción de los estudiantes sobre la calidad de las universidades privadas </w:t>
      </w:r>
      <w:r w:rsidRPr="00F24AB8">
        <w:rPr>
          <w:rFonts w:ascii="Arial" w:eastAsiaTheme="minorHAnsi" w:hAnsi="Arial" w:cs="Arial"/>
          <w:kern w:val="2"/>
          <w:lang w:val="es-EC" w:eastAsia="en-US"/>
          <w14:ligatures w14:val="standardContextual"/>
        </w:rPr>
        <w:lastRenderedPageBreak/>
        <w:t xml:space="preserve">de Monterrey. Revista Iberoamericana de Educación Superior, 6(17), pp. 58-76, DOI </w:t>
      </w:r>
      <w:hyperlink r:id="rId20" w:history="1">
        <w:r w:rsidRPr="00F24AB8">
          <w:rPr>
            <w:rFonts w:ascii="Arial" w:eastAsiaTheme="minorHAnsi" w:hAnsi="Arial" w:cs="Arial"/>
            <w:color w:val="0000FF"/>
            <w:kern w:val="2"/>
            <w:u w:val="single"/>
            <w:lang w:val="es-EC" w:eastAsia="en-US"/>
            <w14:ligatures w14:val="standardContextual"/>
          </w:rPr>
          <w:t>https://doi.org/10.22201/iisue.20072872e.2015.17.162</w:t>
        </w:r>
      </w:hyperlink>
    </w:p>
    <w:p w14:paraId="0C3E3D48"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Álvarez, J., Chaparro, E., &amp; Reyes, D. (2015). Estudio de la Satisfacción de los Estudiantes con los Servicios Educativos Brindados por Instituciones de Educación Superior del Valle de Toluca. REICE. Revista Iberoamericana Sobre Calidad, Eficacia Y Cambio En Educación, 13(2). </w:t>
      </w:r>
      <w:hyperlink r:id="rId21" w:history="1">
        <w:r w:rsidRPr="00F24AB8">
          <w:rPr>
            <w:rFonts w:ascii="Arial" w:eastAsiaTheme="minorHAnsi" w:hAnsi="Arial" w:cs="Arial"/>
            <w:color w:val="0000FF"/>
            <w:kern w:val="2"/>
            <w:u w:val="single"/>
            <w:lang w:val="es-EC" w:eastAsia="en-US"/>
            <w14:ligatures w14:val="standardContextual"/>
          </w:rPr>
          <w:t>https://doi.org/10.15366/reice2015.13.2.001</w:t>
        </w:r>
      </w:hyperlink>
    </w:p>
    <w:p w14:paraId="4AC1A6EE"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Cano-Ibarra, S. T., &amp; Vargas-Hernández, J. G. (2016). Diseño de un modelo para la medición de la percepción de la calidad del servicio por parte de los estudiantes del instituto tecnológico de Celaya, México. Revista Electrónica Calidad En La Educación Superior, 7(2), 76–100. </w:t>
      </w:r>
      <w:hyperlink r:id="rId22" w:history="1">
        <w:r w:rsidRPr="00F24AB8">
          <w:rPr>
            <w:rFonts w:ascii="Arial" w:eastAsiaTheme="minorHAnsi" w:hAnsi="Arial" w:cs="Arial"/>
            <w:color w:val="0000FF"/>
            <w:kern w:val="2"/>
            <w:u w:val="single"/>
            <w:lang w:val="es-EC" w:eastAsia="en-US"/>
            <w14:ligatures w14:val="standardContextual"/>
          </w:rPr>
          <w:t>https://doi.org/10.22458/caes.v7i2.1599</w:t>
        </w:r>
      </w:hyperlink>
      <w:r w:rsidRPr="00F24AB8">
        <w:rPr>
          <w:rFonts w:ascii="Arial" w:eastAsiaTheme="minorHAnsi" w:hAnsi="Arial" w:cs="Arial"/>
          <w:kern w:val="2"/>
          <w:lang w:val="es-EC" w:eastAsia="en-US"/>
          <w14:ligatures w14:val="standardContextual"/>
        </w:rPr>
        <w:t xml:space="preserve"> </w:t>
      </w:r>
    </w:p>
    <w:p w14:paraId="022DE603"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CES – Consejo de Educación Superior (2018), Ley Orgánica de Educación Superior, </w:t>
      </w:r>
      <w:hyperlink r:id="rId23" w:history="1">
        <w:r w:rsidRPr="00F24AB8">
          <w:rPr>
            <w:rFonts w:ascii="Arial" w:eastAsiaTheme="minorHAnsi" w:hAnsi="Arial" w:cs="Arial"/>
            <w:color w:val="0000FF"/>
            <w:kern w:val="2"/>
            <w:u w:val="single"/>
            <w:lang w:val="es-EC" w:eastAsia="en-US"/>
            <w14:ligatures w14:val="standardContextual"/>
          </w:rPr>
          <w:t>https://www.ces.gob.ec/</w:t>
        </w:r>
      </w:hyperlink>
    </w:p>
    <w:p w14:paraId="35DDA3A2"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pt-PT" w:eastAsia="en-US"/>
          <w14:ligatures w14:val="standardContextual"/>
        </w:rPr>
        <w:t xml:space="preserve">Cinkir, S., Yildiz, S. &amp; Kurum, G. (2022). </w:t>
      </w:r>
      <w:r w:rsidRPr="00F24AB8">
        <w:rPr>
          <w:rFonts w:ascii="Arial" w:eastAsiaTheme="minorHAnsi" w:hAnsi="Arial" w:cs="Arial"/>
          <w:kern w:val="2"/>
          <w:lang w:val="en-US" w:eastAsia="en-US"/>
          <w14:ligatures w14:val="standardContextual"/>
        </w:rPr>
        <w:t xml:space="preserve">The effect of undergraduate students’ perceived service quality on student commitment. </w:t>
      </w:r>
      <w:r w:rsidRPr="00F24AB8">
        <w:rPr>
          <w:rFonts w:ascii="Arial" w:eastAsiaTheme="minorHAnsi" w:hAnsi="Arial" w:cs="Arial"/>
          <w:kern w:val="2"/>
          <w:lang w:val="es-EC" w:eastAsia="en-US"/>
          <w14:ligatures w14:val="standardContextual"/>
        </w:rPr>
        <w:t xml:space="preserve">Sage Open, 12(2), pp. 1-15, DOI: </w:t>
      </w:r>
      <w:hyperlink r:id="rId24" w:history="1">
        <w:r w:rsidRPr="00F24AB8">
          <w:rPr>
            <w:rFonts w:ascii="Arial" w:eastAsiaTheme="minorHAnsi" w:hAnsi="Arial" w:cs="Arial"/>
            <w:color w:val="0000FF"/>
            <w:kern w:val="2"/>
            <w:u w:val="single"/>
            <w:lang w:val="es-EC" w:eastAsia="en-US"/>
            <w14:ligatures w14:val="standardContextual"/>
          </w:rPr>
          <w:t>https://doi.org/10.1177/21582440221096134</w:t>
        </w:r>
      </w:hyperlink>
    </w:p>
    <w:p w14:paraId="12DB4D95"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Constitución de la República del Ecuador 2008, actualización. (2021). </w:t>
      </w:r>
      <w:hyperlink r:id="rId25" w:history="1">
        <w:r w:rsidRPr="00F24AB8">
          <w:rPr>
            <w:rFonts w:ascii="Arial" w:eastAsiaTheme="minorHAnsi" w:hAnsi="Arial" w:cs="Arial"/>
            <w:color w:val="0000FF"/>
            <w:kern w:val="2"/>
            <w:u w:val="single"/>
            <w:lang w:val="es-EC" w:eastAsia="en-US"/>
            <w14:ligatures w14:val="standardContextual"/>
          </w:rPr>
          <w:t>https://www.oas.org/juridico/pdfs/mesicic4_ecu_const.pdf</w:t>
        </w:r>
      </w:hyperlink>
    </w:p>
    <w:p w14:paraId="023BFB70" w14:textId="77777777" w:rsidR="00F24AB8" w:rsidRPr="00F24AB8" w:rsidRDefault="00F24AB8" w:rsidP="00F24AB8">
      <w:pPr>
        <w:spacing w:line="360" w:lineRule="auto"/>
        <w:ind w:left="709" w:hanging="709"/>
        <w:jc w:val="both"/>
        <w:rPr>
          <w:rFonts w:ascii="Arial" w:eastAsiaTheme="minorHAnsi" w:hAnsi="Arial" w:cs="Arial"/>
          <w:kern w:val="2"/>
          <w:lang w:val="pt-PT" w:eastAsia="en-US"/>
          <w14:ligatures w14:val="standardContextual"/>
        </w:rPr>
      </w:pPr>
      <w:r w:rsidRPr="00F24AB8">
        <w:rPr>
          <w:rFonts w:ascii="Arial" w:eastAsiaTheme="minorHAnsi" w:hAnsi="Arial" w:cs="Arial"/>
          <w:kern w:val="2"/>
          <w:lang w:val="es-EC" w:eastAsia="en-US"/>
          <w14:ligatures w14:val="standardContextual"/>
        </w:rPr>
        <w:lastRenderedPageBreak/>
        <w:t xml:space="preserve">Dávila, F. (2022). Calidad en la prestación de los servicios comerciales al ciudadano en la Empresa EP-EMAPA-A. </w:t>
      </w:r>
      <w:r w:rsidRPr="00F24AB8">
        <w:rPr>
          <w:rFonts w:ascii="Arial" w:eastAsiaTheme="minorHAnsi" w:hAnsi="Arial" w:cs="Arial"/>
          <w:kern w:val="2"/>
          <w:lang w:val="pt-PT" w:eastAsia="en-US"/>
          <w14:ligatures w14:val="standardContextual"/>
        </w:rPr>
        <w:t xml:space="preserve">Universidad Técnica de Ambato, </w:t>
      </w:r>
      <w:hyperlink r:id="rId26" w:history="1">
        <w:r w:rsidRPr="00F24AB8">
          <w:rPr>
            <w:rFonts w:ascii="Arial" w:eastAsiaTheme="minorHAnsi" w:hAnsi="Arial" w:cs="Arial"/>
            <w:color w:val="0000FF"/>
            <w:kern w:val="2"/>
            <w:u w:val="single"/>
            <w:lang w:val="pt-PT" w:eastAsia="en-US"/>
            <w14:ligatures w14:val="standardContextual"/>
          </w:rPr>
          <w:t>https://repositorio.uta.edu.ec/handle/123456789/35610</w:t>
        </w:r>
      </w:hyperlink>
    </w:p>
    <w:p w14:paraId="5229B4E7"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F24AB8">
        <w:rPr>
          <w:rFonts w:ascii="Arial" w:eastAsiaTheme="minorHAnsi" w:hAnsi="Arial" w:cs="Arial"/>
          <w:kern w:val="2"/>
          <w:lang w:val="pt-PT" w:eastAsia="en-US"/>
          <w14:ligatures w14:val="standardContextual"/>
        </w:rPr>
        <w:t xml:space="preserve">De Oliveira-Santini, F., Junior-Ladeira, W., Hoffmann-Sampaio, C. &amp; da Silva-Costa, G. (2017) Student satisfaction in higher education: a meta-analytic study. </w:t>
      </w:r>
      <w:r w:rsidRPr="00F24AB8">
        <w:rPr>
          <w:rFonts w:ascii="Arial" w:eastAsiaTheme="minorHAnsi" w:hAnsi="Arial" w:cs="Arial"/>
          <w:kern w:val="2"/>
          <w:lang w:val="en-US" w:eastAsia="en-US"/>
          <w14:ligatures w14:val="standardContextual"/>
        </w:rPr>
        <w:t xml:space="preserve">Journal of Marketing for Higher Education, 27(1), pp. 1-18, DOI: </w:t>
      </w:r>
      <w:r w:rsidR="009458ED">
        <w:fldChar w:fldCharType="begin"/>
      </w:r>
      <w:r w:rsidR="009458ED" w:rsidRPr="00470139">
        <w:rPr>
          <w:lang w:val="en-US"/>
        </w:rPr>
        <w:instrText xml:space="preserve"> HYPERLINK "https://doi.org/10</w:instrText>
      </w:r>
      <w:r w:rsidR="009458ED" w:rsidRPr="00470139">
        <w:rPr>
          <w:lang w:val="en-US"/>
        </w:rPr>
        <w:instrText xml:space="preserve">.1080/08841241.2017.1311980"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https://doi.org/10.1080/08841241.2017.1311980</w:t>
      </w:r>
      <w:r w:rsidR="009458ED">
        <w:rPr>
          <w:rFonts w:ascii="Arial" w:eastAsiaTheme="minorHAnsi" w:hAnsi="Arial" w:cs="Arial"/>
          <w:color w:val="0000FF"/>
          <w:kern w:val="2"/>
          <w:u w:val="single"/>
          <w:lang w:val="en-US" w:eastAsia="en-US"/>
          <w14:ligatures w14:val="standardContextual"/>
        </w:rPr>
        <w:fldChar w:fldCharType="end"/>
      </w:r>
    </w:p>
    <w:p w14:paraId="250DEB1F"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proofErr w:type="spellStart"/>
      <w:r w:rsidRPr="00F24AB8">
        <w:rPr>
          <w:rFonts w:ascii="Arial" w:eastAsiaTheme="minorHAnsi" w:hAnsi="Arial" w:cs="Arial"/>
          <w:kern w:val="2"/>
          <w:lang w:eastAsia="en-US"/>
          <w14:ligatures w14:val="standardContextual"/>
        </w:rPr>
        <w:t>Dorri</w:t>
      </w:r>
      <w:proofErr w:type="spellEnd"/>
      <w:r w:rsidRPr="00F24AB8">
        <w:rPr>
          <w:rFonts w:ascii="Arial" w:eastAsiaTheme="minorHAnsi" w:hAnsi="Arial" w:cs="Arial"/>
          <w:kern w:val="2"/>
          <w:lang w:eastAsia="en-US"/>
          <w14:ligatures w14:val="standardContextual"/>
        </w:rPr>
        <w:t xml:space="preserve">, M., </w:t>
      </w:r>
      <w:proofErr w:type="spellStart"/>
      <w:r w:rsidRPr="00F24AB8">
        <w:rPr>
          <w:rFonts w:ascii="Arial" w:eastAsiaTheme="minorHAnsi" w:hAnsi="Arial" w:cs="Arial"/>
          <w:kern w:val="2"/>
          <w:lang w:eastAsia="en-US"/>
          <w14:ligatures w14:val="standardContextual"/>
        </w:rPr>
        <w:t>Yarmohammadian</w:t>
      </w:r>
      <w:proofErr w:type="spellEnd"/>
      <w:r w:rsidRPr="00F24AB8">
        <w:rPr>
          <w:rFonts w:ascii="Arial" w:eastAsiaTheme="minorHAnsi" w:hAnsi="Arial" w:cs="Arial"/>
          <w:kern w:val="2"/>
          <w:lang w:eastAsia="en-US"/>
          <w14:ligatures w14:val="standardContextual"/>
        </w:rPr>
        <w:t>, M. &amp; Ali-</w:t>
      </w:r>
      <w:proofErr w:type="spellStart"/>
      <w:r w:rsidRPr="00F24AB8">
        <w:rPr>
          <w:rFonts w:ascii="Arial" w:eastAsiaTheme="minorHAnsi" w:hAnsi="Arial" w:cs="Arial"/>
          <w:kern w:val="2"/>
          <w:lang w:eastAsia="en-US"/>
          <w14:ligatures w14:val="standardContextual"/>
        </w:rPr>
        <w:t>Nadi</w:t>
      </w:r>
      <w:proofErr w:type="spellEnd"/>
      <w:r w:rsidRPr="00F24AB8">
        <w:rPr>
          <w:rFonts w:ascii="Arial" w:eastAsiaTheme="minorHAnsi" w:hAnsi="Arial" w:cs="Arial"/>
          <w:kern w:val="2"/>
          <w:lang w:eastAsia="en-US"/>
          <w14:ligatures w14:val="standardContextual"/>
        </w:rPr>
        <w:t xml:space="preserve">, M. (2012). </w:t>
      </w:r>
      <w:r w:rsidRPr="00F24AB8">
        <w:rPr>
          <w:rFonts w:ascii="Arial" w:eastAsiaTheme="minorHAnsi" w:hAnsi="Arial" w:cs="Arial"/>
          <w:kern w:val="2"/>
          <w:lang w:val="en-US" w:eastAsia="en-US"/>
          <w14:ligatures w14:val="standardContextual"/>
        </w:rPr>
        <w:t xml:space="preserve">A review on Value Chain in Higher Education. Procedia – Social and Behavioral Sciences, 46, pp. 3842-3846, DOI: </w:t>
      </w:r>
      <w:r w:rsidR="009458ED">
        <w:fldChar w:fldCharType="begin"/>
      </w:r>
      <w:r w:rsidR="009458ED" w:rsidRPr="00470139">
        <w:rPr>
          <w:lang w:val="en-US"/>
        </w:rPr>
        <w:instrText xml:space="preserve"> HYPERLINK "h</w:instrText>
      </w:r>
      <w:r w:rsidR="009458ED" w:rsidRPr="00470139">
        <w:rPr>
          <w:lang w:val="en-US"/>
        </w:rPr>
        <w:instrText xml:space="preserve">ttps://doi.org/10.1016/j.sbspro.2012.06.157"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https://doi.org/10.1016/j.sbspro.2012.06.157</w:t>
      </w:r>
      <w:r w:rsidR="009458ED">
        <w:rPr>
          <w:rFonts w:ascii="Arial" w:eastAsiaTheme="minorHAnsi" w:hAnsi="Arial" w:cs="Arial"/>
          <w:color w:val="0000FF"/>
          <w:kern w:val="2"/>
          <w:u w:val="single"/>
          <w:lang w:val="en-US" w:eastAsia="en-US"/>
          <w14:ligatures w14:val="standardContextual"/>
        </w:rPr>
        <w:fldChar w:fldCharType="end"/>
      </w:r>
    </w:p>
    <w:p w14:paraId="2201CFA4"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proofErr w:type="spellStart"/>
      <w:r w:rsidRPr="00F24AB8">
        <w:rPr>
          <w:rFonts w:ascii="Arial" w:eastAsiaTheme="minorHAnsi" w:hAnsi="Arial" w:cs="Arial"/>
          <w:kern w:val="2"/>
          <w:lang w:val="es-EC" w:eastAsia="en-US"/>
          <w14:ligatures w14:val="standardContextual"/>
        </w:rPr>
        <w:t>Fayos</w:t>
      </w:r>
      <w:proofErr w:type="spellEnd"/>
      <w:r w:rsidRPr="00F24AB8">
        <w:rPr>
          <w:rFonts w:ascii="Arial" w:eastAsiaTheme="minorHAnsi" w:hAnsi="Arial" w:cs="Arial"/>
          <w:kern w:val="2"/>
          <w:lang w:val="es-EC" w:eastAsia="en-US"/>
          <w14:ligatures w14:val="standardContextual"/>
        </w:rPr>
        <w:t>, T., Gonzalez-</w:t>
      </w:r>
      <w:proofErr w:type="spellStart"/>
      <w:r w:rsidRPr="00F24AB8">
        <w:rPr>
          <w:rFonts w:ascii="Arial" w:eastAsiaTheme="minorHAnsi" w:hAnsi="Arial" w:cs="Arial"/>
          <w:kern w:val="2"/>
          <w:lang w:val="es-EC" w:eastAsia="en-US"/>
          <w14:ligatures w14:val="standardContextual"/>
        </w:rPr>
        <w:t>Gallarza</w:t>
      </w:r>
      <w:proofErr w:type="spellEnd"/>
      <w:r w:rsidRPr="00F24AB8">
        <w:rPr>
          <w:rFonts w:ascii="Arial" w:eastAsiaTheme="minorHAnsi" w:hAnsi="Arial" w:cs="Arial"/>
          <w:kern w:val="2"/>
          <w:lang w:val="es-EC" w:eastAsia="en-US"/>
          <w14:ligatures w14:val="standardContextual"/>
        </w:rPr>
        <w:t xml:space="preserve">, M., Servera, D &amp; Arteaga, F. (2011). Análisis y evaluación del servicio de formación universitaria: implicaciones para el marketing estratégico de las universidades. Revista de Investigación en Educación, 9(2), pp. 133-152, </w:t>
      </w:r>
      <w:hyperlink r:id="rId27" w:history="1">
        <w:r w:rsidRPr="00F24AB8">
          <w:rPr>
            <w:rFonts w:ascii="Arial" w:eastAsiaTheme="minorHAnsi" w:hAnsi="Arial" w:cs="Arial"/>
            <w:color w:val="0000FF"/>
            <w:kern w:val="2"/>
            <w:u w:val="single"/>
            <w:lang w:val="es-EC" w:eastAsia="en-US"/>
            <w14:ligatures w14:val="standardContextual"/>
          </w:rPr>
          <w:t>https://dialnet.unirioja.es/servlet/articulo?codigo=4731369</w:t>
        </w:r>
      </w:hyperlink>
    </w:p>
    <w:p w14:paraId="3A879614" w14:textId="77777777" w:rsidR="00F24AB8" w:rsidRPr="00F24AB8" w:rsidRDefault="00F24AB8" w:rsidP="00F24AB8">
      <w:pPr>
        <w:spacing w:line="360" w:lineRule="auto"/>
        <w:ind w:left="709" w:hanging="709"/>
        <w:jc w:val="both"/>
        <w:rPr>
          <w:rFonts w:ascii="Arial" w:eastAsiaTheme="minorHAnsi" w:hAnsi="Arial" w:cs="Arial"/>
          <w:kern w:val="2"/>
          <w:lang w:val="pt-PT" w:eastAsia="en-US"/>
          <w14:ligatures w14:val="standardContextual"/>
        </w:rPr>
      </w:pPr>
      <w:r w:rsidRPr="00F24AB8">
        <w:rPr>
          <w:rFonts w:ascii="Arial" w:eastAsiaTheme="minorHAnsi" w:hAnsi="Arial" w:cs="Arial"/>
          <w:kern w:val="2"/>
          <w:lang w:val="es-EC" w:eastAsia="en-US"/>
          <w14:ligatures w14:val="standardContextual"/>
        </w:rPr>
        <w:t xml:space="preserve">Gallardo, I., Sánchez, J &amp; Leiva, M. (2011). Midiendo calidad en educación superior: análisis de confiabilidad y validez de una encuesta de certificación de calidad del pregrado, versiones estudiantes. </w:t>
      </w:r>
      <w:r w:rsidRPr="00F24AB8">
        <w:rPr>
          <w:rFonts w:ascii="Arial" w:eastAsiaTheme="minorHAnsi" w:hAnsi="Arial" w:cs="Arial"/>
          <w:kern w:val="2"/>
          <w:lang w:val="pt-PT" w:eastAsia="en-US"/>
          <w14:ligatures w14:val="standardContextual"/>
        </w:rPr>
        <w:t xml:space="preserve">Estudios pedagógicos, 37(2), pp. 109-121, DOI: </w:t>
      </w:r>
      <w:hyperlink r:id="rId28" w:history="1">
        <w:r w:rsidRPr="00F24AB8">
          <w:rPr>
            <w:rFonts w:ascii="Arial" w:eastAsiaTheme="minorHAnsi" w:hAnsi="Arial" w:cs="Arial"/>
            <w:color w:val="0000FF"/>
            <w:kern w:val="2"/>
            <w:u w:val="single"/>
            <w:lang w:val="pt-PT" w:eastAsia="en-US"/>
            <w14:ligatures w14:val="standardContextual"/>
          </w:rPr>
          <w:t>http://dx.doi.org/10.4067/S0718-07052011000200006</w:t>
        </w:r>
      </w:hyperlink>
    </w:p>
    <w:p w14:paraId="7E954C63" w14:textId="77777777" w:rsidR="00F24AB8" w:rsidRPr="00F24AB8" w:rsidRDefault="00F24AB8" w:rsidP="00F24AB8">
      <w:pPr>
        <w:spacing w:line="360" w:lineRule="auto"/>
        <w:ind w:left="709" w:hanging="709"/>
        <w:jc w:val="both"/>
        <w:rPr>
          <w:rFonts w:ascii="Arial" w:eastAsiaTheme="minorHAnsi" w:hAnsi="Arial" w:cs="Arial"/>
          <w:kern w:val="2"/>
          <w:lang w:val="es-ES" w:eastAsia="en-US"/>
          <w14:ligatures w14:val="standardContextual"/>
        </w:rPr>
      </w:pPr>
      <w:r w:rsidRPr="00F24AB8">
        <w:rPr>
          <w:rFonts w:ascii="Arial" w:eastAsiaTheme="minorHAnsi" w:hAnsi="Arial" w:cs="Arial"/>
          <w:kern w:val="2"/>
          <w:lang w:val="pt-PT" w:eastAsia="en-US"/>
          <w14:ligatures w14:val="standardContextual"/>
        </w:rPr>
        <w:t xml:space="preserve">Garbanzo-Vargas, G. (2016). </w:t>
      </w:r>
      <w:r w:rsidRPr="00F24AB8">
        <w:rPr>
          <w:rFonts w:ascii="Arial" w:eastAsiaTheme="minorHAnsi" w:hAnsi="Arial" w:cs="Arial"/>
          <w:kern w:val="2"/>
          <w:lang w:val="es-ES" w:eastAsia="en-US"/>
          <w14:ligatures w14:val="standardContextual"/>
        </w:rPr>
        <w:t xml:space="preserve">Desarrollo organizacional y los procesos de cambio en las instituciones educativas, un reto de la gestión de la educación. Revista </w:t>
      </w:r>
      <w:r w:rsidRPr="00F24AB8">
        <w:rPr>
          <w:rFonts w:ascii="Arial" w:eastAsiaTheme="minorHAnsi" w:hAnsi="Arial" w:cs="Arial"/>
          <w:kern w:val="2"/>
          <w:lang w:val="es-ES" w:eastAsia="en-US"/>
          <w14:ligatures w14:val="standardContextual"/>
        </w:rPr>
        <w:lastRenderedPageBreak/>
        <w:t xml:space="preserve">Educación, 40(1), pp. 67-87, DOI: </w:t>
      </w:r>
      <w:hyperlink r:id="rId29" w:history="1">
        <w:r w:rsidRPr="00F24AB8">
          <w:rPr>
            <w:rFonts w:ascii="Arial" w:eastAsiaTheme="minorHAnsi" w:hAnsi="Arial" w:cs="Arial"/>
            <w:color w:val="0000FF"/>
            <w:kern w:val="2"/>
            <w:u w:val="single"/>
            <w:lang w:val="es-ES" w:eastAsia="en-US"/>
            <w14:ligatures w14:val="standardContextual"/>
          </w:rPr>
          <w:t>https://doi.org/10.15517/revedu.v40i1.22534</w:t>
        </w:r>
      </w:hyperlink>
    </w:p>
    <w:p w14:paraId="40A06AF9"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García-Fernández, J., Cepeda-Carrión, G. &amp; Ruíz, D. (2012). La satisfacción de clientes y su relación con la percepción de calidad en Centro de Fitness: utilización de la escala CALIDFIT. Revista de Psicología del Deporte, 21(2), pp. 303-319.</w:t>
      </w:r>
    </w:p>
    <w:p w14:paraId="6534B9C8"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González, R., Ochoa, H., Lima, E., Ramos, H., Gómez, R. &amp; Hernández, D. (1996). La Ruta de la Calidad y las Siete Herramientas Básicas. Instituto Tecnológico y de Estudios Superiores de Monterrey.</w:t>
      </w:r>
    </w:p>
    <w:p w14:paraId="32C81A01"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proofErr w:type="spellStart"/>
      <w:r w:rsidRPr="00F24AB8">
        <w:rPr>
          <w:rFonts w:ascii="Arial" w:eastAsiaTheme="minorHAnsi" w:hAnsi="Arial" w:cs="Arial"/>
          <w:kern w:val="2"/>
          <w:lang w:val="es-EC" w:eastAsia="en-US"/>
          <w14:ligatures w14:val="standardContextual"/>
        </w:rPr>
        <w:t>Gutierrez</w:t>
      </w:r>
      <w:proofErr w:type="spellEnd"/>
      <w:r w:rsidRPr="00F24AB8">
        <w:rPr>
          <w:rFonts w:ascii="Arial" w:eastAsiaTheme="minorHAnsi" w:hAnsi="Arial" w:cs="Arial"/>
          <w:kern w:val="2"/>
          <w:lang w:val="es-EC" w:eastAsia="en-US"/>
          <w14:ligatures w14:val="standardContextual"/>
        </w:rPr>
        <w:t xml:space="preserve">-Cifuentes, R., &amp; </w:t>
      </w:r>
      <w:proofErr w:type="spellStart"/>
      <w:r w:rsidRPr="00F24AB8">
        <w:rPr>
          <w:rFonts w:ascii="Arial" w:eastAsiaTheme="minorHAnsi" w:hAnsi="Arial" w:cs="Arial"/>
          <w:kern w:val="2"/>
          <w:lang w:val="es-EC" w:eastAsia="en-US"/>
          <w14:ligatures w14:val="standardContextual"/>
        </w:rPr>
        <w:t>Zuñiga-Bolivar</w:t>
      </w:r>
      <w:proofErr w:type="spellEnd"/>
      <w:r w:rsidRPr="00F24AB8">
        <w:rPr>
          <w:rFonts w:ascii="Arial" w:eastAsiaTheme="minorHAnsi" w:hAnsi="Arial" w:cs="Arial"/>
          <w:kern w:val="2"/>
          <w:lang w:val="es-EC" w:eastAsia="en-US"/>
          <w14:ligatures w14:val="standardContextual"/>
        </w:rPr>
        <w:t xml:space="preserve">, S.-M. (2023). Bienestar Institucional Virtual: una estrategia de Formación Integral para Comunidad Universitaria. Revista Electrónica Calidad En La Educación Superior, 14(2), 229–260. </w:t>
      </w:r>
      <w:hyperlink r:id="rId30" w:history="1">
        <w:r w:rsidRPr="00F24AB8">
          <w:rPr>
            <w:rFonts w:ascii="Arial" w:eastAsiaTheme="minorHAnsi" w:hAnsi="Arial" w:cs="Arial"/>
            <w:color w:val="0000FF"/>
            <w:kern w:val="2"/>
            <w:u w:val="single"/>
            <w:lang w:val="es-EC" w:eastAsia="en-US"/>
            <w14:ligatures w14:val="standardContextual"/>
          </w:rPr>
          <w:t>https://doi.org/10.22458/caes.v14i2.4796</w:t>
        </w:r>
      </w:hyperlink>
      <w:r w:rsidRPr="00F24AB8">
        <w:rPr>
          <w:rFonts w:ascii="Arial" w:eastAsiaTheme="minorHAnsi" w:hAnsi="Arial" w:cs="Arial"/>
          <w:kern w:val="2"/>
          <w:lang w:val="es-EC" w:eastAsia="en-US"/>
          <w14:ligatures w14:val="standardContextual"/>
        </w:rPr>
        <w:t xml:space="preserve"> </w:t>
      </w:r>
    </w:p>
    <w:p w14:paraId="419A64DE"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Guzmán-Puentes, S. &amp; Guevara-Ramírez, R. (2022). Configuración de la acreditación de la calidad como campo de estudio. Una revisión sistemática de la investigación internacional (1998-2016). Revista Iberoamericana de Educación Superior (RIES), 8(36), pp. 160-180, DOI: </w:t>
      </w:r>
      <w:hyperlink r:id="rId31" w:history="1">
        <w:r w:rsidRPr="00F24AB8">
          <w:rPr>
            <w:rFonts w:ascii="Arial" w:eastAsiaTheme="minorHAnsi" w:hAnsi="Arial" w:cs="Arial"/>
            <w:color w:val="0000FF"/>
            <w:kern w:val="2"/>
            <w:u w:val="single"/>
            <w:lang w:val="es-EC" w:eastAsia="en-US"/>
            <w14:ligatures w14:val="standardContextual"/>
          </w:rPr>
          <w:t>https://doi.org/10.22201/iisue.20072872e.2022.36.1189</w:t>
        </w:r>
      </w:hyperlink>
    </w:p>
    <w:p w14:paraId="5B1C5D95"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F24AB8">
        <w:rPr>
          <w:rFonts w:ascii="Arial" w:eastAsiaTheme="minorHAnsi" w:hAnsi="Arial" w:cs="Arial"/>
          <w:kern w:val="2"/>
          <w:lang w:val="en-US" w:eastAsia="en-US"/>
          <w14:ligatures w14:val="standardContextual"/>
        </w:rPr>
        <w:t>He, Z., Staples, G., Ross, M. &amp; Court, I. (1996). Fourteen Japanese quality tools in software process improvement. The TQM Magazine, 8(4), pp. 40-44.</w:t>
      </w:r>
    </w:p>
    <w:p w14:paraId="6A3EFB29"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n-US" w:eastAsia="en-US"/>
          <w14:ligatures w14:val="standardContextual"/>
        </w:rPr>
        <w:lastRenderedPageBreak/>
        <w:t xml:space="preserve">Hernández, R., Fernández, C. &amp; Baptista, P. (2014). </w:t>
      </w:r>
      <w:r w:rsidRPr="00F24AB8">
        <w:rPr>
          <w:rFonts w:ascii="Arial" w:eastAsiaTheme="minorHAnsi" w:hAnsi="Arial" w:cs="Arial"/>
          <w:kern w:val="2"/>
          <w:lang w:val="es-EC" w:eastAsia="en-US"/>
          <w14:ligatures w14:val="standardContextual"/>
        </w:rPr>
        <w:t xml:space="preserve">Metodología de la investigación. México D.F., Mc Graw Hill </w:t>
      </w:r>
      <w:proofErr w:type="spellStart"/>
      <w:r w:rsidRPr="00F24AB8">
        <w:rPr>
          <w:rFonts w:ascii="Arial" w:eastAsiaTheme="minorHAnsi" w:hAnsi="Arial" w:cs="Arial"/>
          <w:kern w:val="2"/>
          <w:lang w:val="es-EC" w:eastAsia="en-US"/>
          <w14:ligatures w14:val="standardContextual"/>
        </w:rPr>
        <w:t>Education</w:t>
      </w:r>
      <w:proofErr w:type="spellEnd"/>
      <w:r w:rsidRPr="00F24AB8">
        <w:rPr>
          <w:rFonts w:ascii="Arial" w:eastAsiaTheme="minorHAnsi" w:hAnsi="Arial" w:cs="Arial"/>
          <w:kern w:val="2"/>
          <w:lang w:val="es-EC" w:eastAsia="en-US"/>
          <w14:ligatures w14:val="standardContextual"/>
        </w:rPr>
        <w:t>.</w:t>
      </w:r>
    </w:p>
    <w:p w14:paraId="0D365287"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pt-PT" w:eastAsia="en-US"/>
          <w14:ligatures w14:val="standardContextual"/>
        </w:rPr>
        <w:t xml:space="preserve">Honda, A., Zanetti, V., Davis, M. &amp; Gerolamo, M. (2016). </w:t>
      </w:r>
      <w:r w:rsidRPr="00F24AB8">
        <w:rPr>
          <w:rFonts w:ascii="Arial" w:eastAsiaTheme="minorHAnsi" w:hAnsi="Arial" w:cs="Arial"/>
          <w:kern w:val="2"/>
          <w:lang w:val="en-US" w:eastAsia="en-US"/>
          <w14:ligatures w14:val="standardContextual"/>
        </w:rPr>
        <w:t xml:space="preserve">Quality tools on service companies: a systematic literature review. </w:t>
      </w:r>
      <w:r w:rsidRPr="00F24AB8">
        <w:rPr>
          <w:rFonts w:ascii="Arial" w:eastAsiaTheme="minorHAnsi" w:hAnsi="Arial" w:cs="Arial"/>
          <w:kern w:val="2"/>
          <w:lang w:val="es-EC" w:eastAsia="en-US"/>
          <w14:ligatures w14:val="standardContextual"/>
        </w:rPr>
        <w:t xml:space="preserve">POMS </w:t>
      </w:r>
      <w:proofErr w:type="spellStart"/>
      <w:r w:rsidRPr="00F24AB8">
        <w:rPr>
          <w:rFonts w:ascii="Arial" w:eastAsiaTheme="minorHAnsi" w:hAnsi="Arial" w:cs="Arial"/>
          <w:kern w:val="2"/>
          <w:lang w:val="es-EC" w:eastAsia="en-US"/>
          <w14:ligatures w14:val="standardContextual"/>
        </w:rPr>
        <w:t>Conference</w:t>
      </w:r>
      <w:proofErr w:type="spellEnd"/>
      <w:r w:rsidRPr="00F24AB8">
        <w:rPr>
          <w:rFonts w:ascii="Arial" w:eastAsiaTheme="minorHAnsi" w:hAnsi="Arial" w:cs="Arial"/>
          <w:kern w:val="2"/>
          <w:lang w:val="es-EC" w:eastAsia="en-US"/>
          <w14:ligatures w14:val="standardContextual"/>
        </w:rPr>
        <w:t>, 27.</w:t>
      </w:r>
    </w:p>
    <w:p w14:paraId="7808B777"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Instituto Internacional de la UNESCO – IESLAC para la Educación Superior en América Latina y el Caribe (2020). La garantía de calidad y los criterios de acreditación en la educación superior. Perspectivas Internacionales, </w:t>
      </w:r>
      <w:hyperlink r:id="rId32" w:history="1">
        <w:r w:rsidRPr="00F24AB8">
          <w:rPr>
            <w:rFonts w:ascii="Arial" w:eastAsiaTheme="minorHAnsi" w:hAnsi="Arial" w:cs="Arial"/>
            <w:color w:val="0000FF"/>
            <w:kern w:val="2"/>
            <w:u w:val="single"/>
            <w:lang w:val="es-EC" w:eastAsia="en-US"/>
            <w14:ligatures w14:val="standardContextual"/>
          </w:rPr>
          <w:t>https://www.iesalc.unesco.org/2020/06/03/iesalc-lanza-estudio-sobre-calidad-y-acreditacion-en-la-educacion-superior/</w:t>
        </w:r>
      </w:hyperlink>
    </w:p>
    <w:p w14:paraId="017359CE"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ISO 9000. (2015). “ISO 9000:2015(es). Sistemas de gestión de la calidad—Fundamentos y vocabulario, </w:t>
      </w:r>
      <w:hyperlink r:id="rId33" w:anchor="iso:std:iso:9000:ed-4:v1:es" w:history="1">
        <w:r w:rsidRPr="00F24AB8">
          <w:rPr>
            <w:rFonts w:ascii="Arial" w:eastAsiaTheme="minorHAnsi" w:hAnsi="Arial" w:cs="Arial"/>
            <w:color w:val="0000FF"/>
            <w:kern w:val="2"/>
            <w:u w:val="single"/>
            <w:lang w:val="es-EC" w:eastAsia="en-US"/>
            <w14:ligatures w14:val="standardContextual"/>
          </w:rPr>
          <w:t>https://www.iso.org/obp/ui/#iso:std:iso:9000:ed-4:v1:es</w:t>
        </w:r>
      </w:hyperlink>
    </w:p>
    <w:p w14:paraId="4148D3D5"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Labraña, J. &amp; Mariñez, C. (2021). ¿En qué confiamos al evaluar la calidad de las universidades? Evolución de los mecanismos externos de aseguramiento de la calidad en Chile. Revista Iberoamericana de Educación Superior (RIES), 12(33), pp. 120-137, DOI: </w:t>
      </w:r>
      <w:hyperlink r:id="rId34" w:history="1">
        <w:r w:rsidRPr="00F24AB8">
          <w:rPr>
            <w:rFonts w:ascii="Arial" w:eastAsiaTheme="minorHAnsi" w:hAnsi="Arial" w:cs="Arial"/>
            <w:color w:val="0000FF"/>
            <w:kern w:val="2"/>
            <w:u w:val="single"/>
            <w:lang w:val="es-EC" w:eastAsia="en-US"/>
            <w14:ligatures w14:val="standardContextual"/>
          </w:rPr>
          <w:t>https://doi.org/10.22201/iisue.20072872e.2021.33.861</w:t>
        </w:r>
      </w:hyperlink>
    </w:p>
    <w:p w14:paraId="21F35B5D" w14:textId="77777777" w:rsidR="00F24AB8" w:rsidRPr="00F24AB8" w:rsidRDefault="00F24AB8" w:rsidP="00F24AB8">
      <w:pPr>
        <w:spacing w:line="360" w:lineRule="auto"/>
        <w:ind w:left="709" w:hanging="709"/>
        <w:rPr>
          <w:rFonts w:ascii="Arial" w:eastAsiaTheme="minorHAnsi" w:hAnsi="Arial" w:cs="Arial"/>
          <w:kern w:val="2"/>
          <w:lang w:val="en-US" w:eastAsia="en-US"/>
          <w14:ligatures w14:val="standardContextual"/>
        </w:rPr>
      </w:pPr>
      <w:r w:rsidRPr="00F24AB8">
        <w:rPr>
          <w:rFonts w:ascii="Arial" w:eastAsiaTheme="minorHAnsi" w:hAnsi="Arial" w:cs="Arial"/>
          <w:kern w:val="2"/>
          <w:lang w:val="en-US" w:eastAsia="en-US"/>
          <w14:ligatures w14:val="standardContextual"/>
        </w:rPr>
        <w:t>Latif, K., Latif, I., Farooq-</w:t>
      </w:r>
      <w:proofErr w:type="spellStart"/>
      <w:r w:rsidRPr="00F24AB8">
        <w:rPr>
          <w:rFonts w:ascii="Arial" w:eastAsiaTheme="minorHAnsi" w:hAnsi="Arial" w:cs="Arial"/>
          <w:kern w:val="2"/>
          <w:lang w:val="en-US" w:eastAsia="en-US"/>
          <w14:ligatures w14:val="standardContextual"/>
        </w:rPr>
        <w:t>Sahibzada</w:t>
      </w:r>
      <w:proofErr w:type="spellEnd"/>
      <w:r w:rsidRPr="00F24AB8">
        <w:rPr>
          <w:rFonts w:ascii="Arial" w:eastAsiaTheme="minorHAnsi" w:hAnsi="Arial" w:cs="Arial"/>
          <w:kern w:val="2"/>
          <w:lang w:val="en-US" w:eastAsia="en-US"/>
          <w14:ligatures w14:val="standardContextual"/>
        </w:rPr>
        <w:t>, U. &amp; Ullah, M. (2017). In search of quality: measuring Higher Education Service Quality (</w:t>
      </w:r>
      <w:proofErr w:type="spellStart"/>
      <w:r w:rsidRPr="00F24AB8">
        <w:rPr>
          <w:rFonts w:ascii="Arial" w:eastAsiaTheme="minorHAnsi" w:hAnsi="Arial" w:cs="Arial"/>
          <w:kern w:val="2"/>
          <w:lang w:val="en-US" w:eastAsia="en-US"/>
          <w14:ligatures w14:val="standardContextual"/>
        </w:rPr>
        <w:t>HiEduQual</w:t>
      </w:r>
      <w:proofErr w:type="spellEnd"/>
      <w:r w:rsidRPr="00F24AB8">
        <w:rPr>
          <w:rFonts w:ascii="Arial" w:eastAsiaTheme="minorHAnsi" w:hAnsi="Arial" w:cs="Arial"/>
          <w:kern w:val="2"/>
          <w:lang w:val="en-US" w:eastAsia="en-US"/>
          <w14:ligatures w14:val="standardContextual"/>
        </w:rPr>
        <w:t xml:space="preserve">). Total Quality Management &amp; Business Excellence, 30(7), pp. 768-791, DOI: </w:t>
      </w:r>
      <w:r w:rsidR="009458ED">
        <w:fldChar w:fldCharType="begin"/>
      </w:r>
      <w:r w:rsidR="009458ED" w:rsidRPr="00470139">
        <w:rPr>
          <w:lang w:val="en-US"/>
        </w:rPr>
        <w:instrText xml:space="preserve"> HYPERLINK "https://doi.org/10.1080/14783363.2017.1338133"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https://doi.org/10.1080/14783363.2017.1338133</w:t>
      </w:r>
      <w:r w:rsidR="009458ED">
        <w:rPr>
          <w:rFonts w:ascii="Arial" w:eastAsiaTheme="minorHAnsi" w:hAnsi="Arial" w:cs="Arial"/>
          <w:color w:val="0000FF"/>
          <w:kern w:val="2"/>
          <w:u w:val="single"/>
          <w:lang w:val="en-US" w:eastAsia="en-US"/>
          <w14:ligatures w14:val="standardContextual"/>
        </w:rPr>
        <w:fldChar w:fldCharType="end"/>
      </w:r>
    </w:p>
    <w:p w14:paraId="1004BA95"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lastRenderedPageBreak/>
        <w:t xml:space="preserve">Matas, A. (2018). Diseño del formato de escalas tipo Likert: un estado de la cuestión. Revista Electrónica de la Investigación Educativa, 20(1), pp. 38-47, DOI: </w:t>
      </w:r>
      <w:hyperlink r:id="rId35" w:history="1">
        <w:r w:rsidRPr="00F24AB8">
          <w:rPr>
            <w:rFonts w:ascii="Arial" w:eastAsiaTheme="minorHAnsi" w:hAnsi="Arial" w:cs="Arial"/>
            <w:color w:val="0000FF"/>
            <w:kern w:val="2"/>
            <w:u w:val="single"/>
            <w:lang w:val="es-EC" w:eastAsia="en-US"/>
            <w14:ligatures w14:val="standardContextual"/>
          </w:rPr>
          <w:t>https://doi.org/10.24320/redie.2018.20.1.1347</w:t>
        </w:r>
      </w:hyperlink>
    </w:p>
    <w:p w14:paraId="207697A9"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proofErr w:type="spellStart"/>
      <w:r w:rsidRPr="00F24AB8">
        <w:rPr>
          <w:rFonts w:ascii="Arial" w:eastAsiaTheme="minorHAnsi" w:hAnsi="Arial" w:cs="Arial"/>
          <w:kern w:val="2"/>
          <w:lang w:val="es-EC" w:eastAsia="en-US"/>
          <w14:ligatures w14:val="standardContextual"/>
        </w:rPr>
        <w:t>Milosavljevic</w:t>
      </w:r>
      <w:proofErr w:type="spellEnd"/>
      <w:r w:rsidRPr="00F24AB8">
        <w:rPr>
          <w:rFonts w:ascii="Arial" w:eastAsiaTheme="minorHAnsi" w:hAnsi="Arial" w:cs="Arial"/>
          <w:kern w:val="2"/>
          <w:lang w:val="es-EC" w:eastAsia="en-US"/>
          <w14:ligatures w14:val="standardContextual"/>
        </w:rPr>
        <w:t xml:space="preserve">, P., </w:t>
      </w:r>
      <w:proofErr w:type="spellStart"/>
      <w:r w:rsidRPr="00F24AB8">
        <w:rPr>
          <w:rFonts w:ascii="Arial" w:eastAsiaTheme="minorHAnsi" w:hAnsi="Arial" w:cs="Arial"/>
          <w:kern w:val="2"/>
          <w:lang w:val="es-EC" w:eastAsia="en-US"/>
          <w14:ligatures w14:val="standardContextual"/>
        </w:rPr>
        <w:t>Pavlovic</w:t>
      </w:r>
      <w:proofErr w:type="spellEnd"/>
      <w:r w:rsidRPr="00F24AB8">
        <w:rPr>
          <w:rFonts w:ascii="Arial" w:eastAsiaTheme="minorHAnsi" w:hAnsi="Arial" w:cs="Arial"/>
          <w:kern w:val="2"/>
          <w:lang w:val="es-EC" w:eastAsia="en-US"/>
          <w14:ligatures w14:val="standardContextual"/>
        </w:rPr>
        <w:t xml:space="preserve">, D., </w:t>
      </w:r>
      <w:proofErr w:type="spellStart"/>
      <w:r w:rsidRPr="00F24AB8">
        <w:rPr>
          <w:rFonts w:ascii="Arial" w:eastAsiaTheme="minorHAnsi" w:hAnsi="Arial" w:cs="Arial"/>
          <w:kern w:val="2"/>
          <w:lang w:val="es-EC" w:eastAsia="en-US"/>
          <w14:ligatures w14:val="standardContextual"/>
        </w:rPr>
        <w:t>Rajic</w:t>
      </w:r>
      <w:proofErr w:type="spellEnd"/>
      <w:r w:rsidRPr="00F24AB8">
        <w:rPr>
          <w:rFonts w:ascii="Arial" w:eastAsiaTheme="minorHAnsi" w:hAnsi="Arial" w:cs="Arial"/>
          <w:kern w:val="2"/>
          <w:lang w:val="es-EC" w:eastAsia="en-US"/>
          <w14:ligatures w14:val="standardContextual"/>
        </w:rPr>
        <w:t xml:space="preserve">, M., </w:t>
      </w:r>
      <w:proofErr w:type="spellStart"/>
      <w:r w:rsidRPr="00F24AB8">
        <w:rPr>
          <w:rFonts w:ascii="Arial" w:eastAsiaTheme="minorHAnsi" w:hAnsi="Arial" w:cs="Arial"/>
          <w:kern w:val="2"/>
          <w:lang w:val="es-EC" w:eastAsia="en-US"/>
          <w14:ligatures w14:val="standardContextual"/>
        </w:rPr>
        <w:t>Pavlovic</w:t>
      </w:r>
      <w:proofErr w:type="spellEnd"/>
      <w:r w:rsidRPr="00F24AB8">
        <w:rPr>
          <w:rFonts w:ascii="Arial" w:eastAsiaTheme="minorHAnsi" w:hAnsi="Arial" w:cs="Arial"/>
          <w:kern w:val="2"/>
          <w:lang w:val="es-EC" w:eastAsia="en-US"/>
          <w14:ligatures w14:val="standardContextual"/>
        </w:rPr>
        <w:t xml:space="preserve">, A. &amp; </w:t>
      </w:r>
      <w:proofErr w:type="spellStart"/>
      <w:r w:rsidRPr="00F24AB8">
        <w:rPr>
          <w:rFonts w:ascii="Arial" w:eastAsiaTheme="minorHAnsi" w:hAnsi="Arial" w:cs="Arial"/>
          <w:kern w:val="2"/>
          <w:lang w:val="es-EC" w:eastAsia="en-US"/>
          <w14:ligatures w14:val="standardContextual"/>
        </w:rPr>
        <w:t>Fragassa</w:t>
      </w:r>
      <w:proofErr w:type="spellEnd"/>
      <w:r w:rsidRPr="00F24AB8">
        <w:rPr>
          <w:rFonts w:ascii="Arial" w:eastAsiaTheme="minorHAnsi" w:hAnsi="Arial" w:cs="Arial"/>
          <w:kern w:val="2"/>
          <w:lang w:val="es-EC" w:eastAsia="en-US"/>
          <w14:ligatures w14:val="standardContextual"/>
        </w:rPr>
        <w:t xml:space="preserve">, C. (2018). </w:t>
      </w:r>
      <w:r w:rsidRPr="00F24AB8">
        <w:rPr>
          <w:rFonts w:ascii="Arial" w:eastAsiaTheme="minorHAnsi" w:hAnsi="Arial" w:cs="Arial"/>
          <w:kern w:val="2"/>
          <w:lang w:val="en-US" w:eastAsia="en-US"/>
          <w14:ligatures w14:val="standardContextual"/>
        </w:rPr>
        <w:t xml:space="preserve">Implementation of quality </w:t>
      </w:r>
      <w:proofErr w:type="spellStart"/>
      <w:r w:rsidRPr="00F24AB8">
        <w:rPr>
          <w:rFonts w:ascii="Arial" w:eastAsiaTheme="minorHAnsi" w:hAnsi="Arial" w:cs="Arial"/>
          <w:kern w:val="2"/>
          <w:lang w:val="en-US" w:eastAsia="en-US"/>
          <w14:ligatures w14:val="standardContextual"/>
        </w:rPr>
        <w:t>tolos</w:t>
      </w:r>
      <w:proofErr w:type="spellEnd"/>
      <w:r w:rsidRPr="00F24AB8">
        <w:rPr>
          <w:rFonts w:ascii="Arial" w:eastAsiaTheme="minorHAnsi" w:hAnsi="Arial" w:cs="Arial"/>
          <w:kern w:val="2"/>
          <w:lang w:val="en-US" w:eastAsia="en-US"/>
          <w14:ligatures w14:val="standardContextual"/>
        </w:rPr>
        <w:t xml:space="preserve"> in higher education process. International Journal of Continuing Engineering Education and Life-Long Learning, 28(1), pp. 24–36, DOI: </w:t>
      </w:r>
      <w:r w:rsidR="009458ED">
        <w:fldChar w:fldCharType="begin"/>
      </w:r>
      <w:r w:rsidR="009458ED" w:rsidRPr="00470139">
        <w:rPr>
          <w:lang w:val="en-US"/>
        </w:rPr>
        <w:instrText xml:space="preserve"> HYPERLINK "http://dx.doi.org/10.1504/IJCEELL.2018.090248" </w:instrText>
      </w:r>
      <w:r w:rsidR="009458ED">
        <w:fldChar w:fldCharType="separate"/>
      </w:r>
      <w:r w:rsidRPr="00F24AB8">
        <w:rPr>
          <w:rFonts w:ascii="Arial" w:eastAsiaTheme="minorHAnsi" w:hAnsi="Arial" w:cs="Arial"/>
          <w:color w:val="0000FF"/>
          <w:kern w:val="2"/>
          <w:u w:val="single"/>
          <w:lang w:val="en-US" w:eastAsia="en-US"/>
          <w14:ligatures w14:val="standardContextual"/>
        </w:rPr>
        <w:t>http://dx.doi.org/10.1504/IJCEELL.2018.090248</w:t>
      </w:r>
      <w:r w:rsidR="009458ED">
        <w:rPr>
          <w:rFonts w:ascii="Arial" w:eastAsiaTheme="minorHAnsi" w:hAnsi="Arial" w:cs="Arial"/>
          <w:color w:val="0000FF"/>
          <w:kern w:val="2"/>
          <w:u w:val="single"/>
          <w:lang w:val="en-US" w:eastAsia="en-US"/>
          <w14:ligatures w14:val="standardContextual"/>
        </w:rPr>
        <w:fldChar w:fldCharType="end"/>
      </w:r>
    </w:p>
    <w:p w14:paraId="00A4E459" w14:textId="77777777" w:rsidR="00F24AB8" w:rsidRPr="00F24AB8" w:rsidRDefault="00F24AB8" w:rsidP="00F24AB8">
      <w:pPr>
        <w:spacing w:line="360" w:lineRule="auto"/>
        <w:ind w:left="709" w:hanging="709"/>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Montesano, J. (2001). Manual del Protocolo de Investigación, México, D.F., AUROCH</w:t>
      </w:r>
    </w:p>
    <w:p w14:paraId="50D8D56A"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Morales-Muñoz, K., González-Burdiles, P., &amp; Cisternas-</w:t>
      </w:r>
      <w:proofErr w:type="spellStart"/>
      <w:r w:rsidRPr="00F24AB8">
        <w:rPr>
          <w:rFonts w:ascii="Arial" w:eastAsiaTheme="minorHAnsi" w:hAnsi="Arial" w:cs="Arial"/>
          <w:kern w:val="2"/>
          <w:lang w:val="es-EC" w:eastAsia="en-US"/>
          <w14:ligatures w14:val="standardContextual"/>
        </w:rPr>
        <w:t>Irarrázabal</w:t>
      </w:r>
      <w:proofErr w:type="spellEnd"/>
      <w:r w:rsidRPr="00F24AB8">
        <w:rPr>
          <w:rFonts w:ascii="Arial" w:eastAsiaTheme="minorHAnsi" w:hAnsi="Arial" w:cs="Arial"/>
          <w:kern w:val="2"/>
          <w:lang w:val="es-EC" w:eastAsia="en-US"/>
          <w14:ligatures w14:val="standardContextual"/>
        </w:rPr>
        <w:t xml:space="preserve">, C. (2022). Diseño de un sistema de gestión de calidad para una institución de educación superior técnica estatal de Chile. Descripción de una experiencia piloto. Revista Electrónica Calidad En La Educación Superior, 13(2), 43–66. </w:t>
      </w:r>
      <w:hyperlink r:id="rId36" w:history="1">
        <w:r w:rsidRPr="00F24AB8">
          <w:rPr>
            <w:rFonts w:ascii="Arial" w:eastAsiaTheme="minorHAnsi" w:hAnsi="Arial" w:cs="Arial"/>
            <w:color w:val="0000FF"/>
            <w:kern w:val="2"/>
            <w:u w:val="single"/>
            <w:lang w:val="es-EC" w:eastAsia="en-US"/>
            <w14:ligatures w14:val="standardContextual"/>
          </w:rPr>
          <w:t>https://doi.org/10.22458/caes.v13i2.4087</w:t>
        </w:r>
      </w:hyperlink>
      <w:r w:rsidRPr="00F24AB8">
        <w:rPr>
          <w:rFonts w:ascii="Arial" w:eastAsiaTheme="minorHAnsi" w:hAnsi="Arial" w:cs="Arial"/>
          <w:kern w:val="2"/>
          <w:lang w:val="es-EC" w:eastAsia="en-US"/>
          <w14:ligatures w14:val="standardContextual"/>
        </w:rPr>
        <w:t xml:space="preserve"> </w:t>
      </w:r>
    </w:p>
    <w:p w14:paraId="29802E5C"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Palominos-Belmar, P., Quezada-Llanca, L., Osorio-Rubio, C., Torres-Ortega, J. &amp; </w:t>
      </w:r>
      <w:proofErr w:type="spellStart"/>
      <w:r w:rsidRPr="00F24AB8">
        <w:rPr>
          <w:rFonts w:ascii="Arial" w:eastAsiaTheme="minorHAnsi" w:hAnsi="Arial" w:cs="Arial"/>
          <w:kern w:val="2"/>
          <w:lang w:val="es-EC" w:eastAsia="en-US"/>
          <w14:ligatures w14:val="standardContextual"/>
        </w:rPr>
        <w:t>Lippi</w:t>
      </w:r>
      <w:proofErr w:type="spellEnd"/>
      <w:r w:rsidRPr="00F24AB8">
        <w:rPr>
          <w:rFonts w:ascii="Arial" w:eastAsiaTheme="minorHAnsi" w:hAnsi="Arial" w:cs="Arial"/>
          <w:kern w:val="2"/>
          <w:lang w:val="es-EC" w:eastAsia="en-US"/>
          <w14:ligatures w14:val="standardContextual"/>
        </w:rPr>
        <w:t xml:space="preserve">-Valenzuela, L. (2016). Calidad de los servicios educativos según los estudiantes de una universidad pública en Chile. Revista Iberoamericana de Educación Superior (RIES), 7(18), pp. 130-142, DOI: </w:t>
      </w:r>
      <w:hyperlink r:id="rId37" w:history="1">
        <w:r w:rsidRPr="00F24AB8">
          <w:rPr>
            <w:rFonts w:ascii="Arial" w:eastAsiaTheme="minorHAnsi" w:hAnsi="Arial" w:cs="Arial"/>
            <w:color w:val="0000FF"/>
            <w:kern w:val="2"/>
            <w:u w:val="single"/>
            <w:lang w:val="es-EC" w:eastAsia="en-US"/>
            <w14:ligatures w14:val="standardContextual"/>
          </w:rPr>
          <w:t>https://doi.org/10.22201/iisue.20072872e.2016.18.180</w:t>
        </w:r>
      </w:hyperlink>
    </w:p>
    <w:p w14:paraId="357F3F1D"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proofErr w:type="spellStart"/>
      <w:r w:rsidRPr="00F24AB8">
        <w:rPr>
          <w:rFonts w:ascii="Arial" w:eastAsiaTheme="minorHAnsi" w:hAnsi="Arial" w:cs="Arial"/>
          <w:kern w:val="2"/>
          <w:lang w:val="es-EC" w:eastAsia="en-US"/>
          <w14:ligatures w14:val="standardContextual"/>
        </w:rPr>
        <w:lastRenderedPageBreak/>
        <w:t>Parajón</w:t>
      </w:r>
      <w:proofErr w:type="spellEnd"/>
      <w:r w:rsidRPr="00F24AB8">
        <w:rPr>
          <w:rFonts w:ascii="Arial" w:eastAsiaTheme="minorHAnsi" w:hAnsi="Arial" w:cs="Arial"/>
          <w:kern w:val="2"/>
          <w:lang w:val="es-EC" w:eastAsia="en-US"/>
          <w14:ligatures w14:val="standardContextual"/>
        </w:rPr>
        <w:t xml:space="preserve">, H. (2022). La definición de problemas en el campo de la administración. Revista Perspectivas de las Ciencias Económicas y Jurídicas, 12(2), DOI: </w:t>
      </w:r>
      <w:hyperlink r:id="rId38" w:history="1">
        <w:r w:rsidRPr="00F24AB8">
          <w:rPr>
            <w:rFonts w:ascii="Arial" w:eastAsiaTheme="minorHAnsi" w:hAnsi="Arial" w:cs="Arial"/>
            <w:color w:val="0000FF"/>
            <w:kern w:val="2"/>
            <w:u w:val="single"/>
            <w:lang w:val="es-EC" w:eastAsia="en-US"/>
            <w14:ligatures w14:val="standardContextual"/>
          </w:rPr>
          <w:t>http://dx.doi.org/10.19137/perspectivas-2022-v12n2a07</w:t>
        </w:r>
      </w:hyperlink>
      <w:r w:rsidRPr="00F24AB8">
        <w:rPr>
          <w:rFonts w:ascii="Arial" w:eastAsiaTheme="minorHAnsi" w:hAnsi="Arial" w:cs="Arial"/>
          <w:kern w:val="2"/>
          <w:lang w:val="es-EC" w:eastAsia="en-US"/>
          <w14:ligatures w14:val="standardContextual"/>
        </w:rPr>
        <w:t xml:space="preserve"> </w:t>
      </w:r>
    </w:p>
    <w:p w14:paraId="6DA4FE25"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F24AB8">
        <w:rPr>
          <w:rFonts w:ascii="Arial" w:eastAsiaTheme="minorHAnsi" w:hAnsi="Arial" w:cs="Arial"/>
          <w:kern w:val="2"/>
          <w:lang w:val="pt-PT" w:eastAsia="en-US"/>
          <w14:ligatures w14:val="standardContextual"/>
        </w:rPr>
        <w:t xml:space="preserve">Parasuraman, A., Zeithaml, V. &amp; Berry, L. (1985). </w:t>
      </w:r>
      <w:r w:rsidRPr="00F24AB8">
        <w:rPr>
          <w:rFonts w:ascii="Arial" w:eastAsiaTheme="minorHAnsi" w:hAnsi="Arial" w:cs="Arial"/>
          <w:kern w:val="2"/>
          <w:lang w:val="en-US" w:eastAsia="en-US"/>
          <w14:ligatures w14:val="standardContextual"/>
        </w:rPr>
        <w:t xml:space="preserve">A conceptual model of service and its implications for future research. Journal of Marketing, 49(4), pp. 41-50, DOI: </w:t>
      </w:r>
      <w:r w:rsidR="009458ED">
        <w:fldChar w:fldCharType="begin"/>
      </w:r>
      <w:r w:rsidR="009458ED" w:rsidRPr="00470139">
        <w:rPr>
          <w:lang w:val="en-US"/>
        </w:rPr>
        <w:instrText xml:space="preserve"> HYPERLINK "https://doi.org/10.1177/002224298504900403"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https://doi.org/10.1177/002224298504900403</w:t>
      </w:r>
      <w:r w:rsidR="009458ED">
        <w:rPr>
          <w:rFonts w:ascii="Arial" w:eastAsiaTheme="minorHAnsi" w:hAnsi="Arial" w:cs="Arial"/>
          <w:color w:val="0000FF"/>
          <w:kern w:val="2"/>
          <w:u w:val="single"/>
          <w:lang w:val="en-US" w:eastAsia="en-US"/>
          <w14:ligatures w14:val="standardContextual"/>
        </w:rPr>
        <w:fldChar w:fldCharType="end"/>
      </w:r>
    </w:p>
    <w:p w14:paraId="6DB6BDA3"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n-US" w:eastAsia="en-US"/>
          <w14:ligatures w14:val="standardContextual"/>
        </w:rPr>
        <w:t xml:space="preserve">Pérez-López, E. (2023). </w:t>
      </w:r>
      <w:r w:rsidRPr="00F24AB8">
        <w:rPr>
          <w:rFonts w:ascii="Arial" w:eastAsiaTheme="minorHAnsi" w:hAnsi="Arial" w:cs="Arial"/>
          <w:kern w:val="2"/>
          <w:lang w:val="es-EC" w:eastAsia="en-US"/>
          <w14:ligatures w14:val="standardContextual"/>
        </w:rPr>
        <w:t xml:space="preserve">Pertinencia, Calidad e Innovación en Educación Superior. </w:t>
      </w:r>
      <w:proofErr w:type="spellStart"/>
      <w:r w:rsidRPr="00F24AB8">
        <w:rPr>
          <w:rFonts w:ascii="Arial" w:eastAsiaTheme="minorHAnsi" w:hAnsi="Arial" w:cs="Arial"/>
          <w:kern w:val="2"/>
          <w:lang w:val="es-EC" w:eastAsia="en-US"/>
          <w14:ligatures w14:val="standardContextual"/>
        </w:rPr>
        <w:t>InterSedes</w:t>
      </w:r>
      <w:proofErr w:type="spellEnd"/>
      <w:r w:rsidRPr="00F24AB8">
        <w:rPr>
          <w:rFonts w:ascii="Arial" w:eastAsiaTheme="minorHAnsi" w:hAnsi="Arial" w:cs="Arial"/>
          <w:kern w:val="2"/>
          <w:lang w:val="es-EC" w:eastAsia="en-US"/>
          <w14:ligatures w14:val="standardContextual"/>
        </w:rPr>
        <w:t xml:space="preserve"> Revista electrónica de las sedes regionales de la Universidad de Costa Rica, 24(49), pp. 255-275, DOI: 10.15517/</w:t>
      </w:r>
      <w:proofErr w:type="spellStart"/>
      <w:r w:rsidRPr="00F24AB8">
        <w:rPr>
          <w:rFonts w:ascii="Arial" w:eastAsiaTheme="minorHAnsi" w:hAnsi="Arial" w:cs="Arial"/>
          <w:kern w:val="2"/>
          <w:lang w:val="es-EC" w:eastAsia="en-US"/>
          <w14:ligatures w14:val="standardContextual"/>
        </w:rPr>
        <w:t>isucr</w:t>
      </w:r>
      <w:proofErr w:type="spellEnd"/>
      <w:r w:rsidRPr="00F24AB8">
        <w:rPr>
          <w:rFonts w:ascii="Arial" w:eastAsiaTheme="minorHAnsi" w:hAnsi="Arial" w:cs="Arial"/>
          <w:kern w:val="2"/>
          <w:lang w:val="es-EC" w:eastAsia="en-US"/>
          <w14:ligatures w14:val="standardContextual"/>
        </w:rPr>
        <w:t>. v24i49.50180</w:t>
      </w:r>
    </w:p>
    <w:p w14:paraId="1695FB25"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Quispe, A., Calla, K., </w:t>
      </w:r>
      <w:proofErr w:type="spellStart"/>
      <w:r w:rsidRPr="00F24AB8">
        <w:rPr>
          <w:rFonts w:ascii="Arial" w:eastAsiaTheme="minorHAnsi" w:hAnsi="Arial" w:cs="Arial"/>
          <w:kern w:val="2"/>
          <w:lang w:val="es-EC" w:eastAsia="en-US"/>
          <w14:ligatures w14:val="standardContextual"/>
        </w:rPr>
        <w:t>Yangali</w:t>
      </w:r>
      <w:proofErr w:type="spellEnd"/>
      <w:r w:rsidRPr="00F24AB8">
        <w:rPr>
          <w:rFonts w:ascii="Arial" w:eastAsiaTheme="minorHAnsi" w:hAnsi="Arial" w:cs="Arial"/>
          <w:kern w:val="2"/>
          <w:lang w:val="es-EC" w:eastAsia="en-US"/>
          <w14:ligatures w14:val="standardContextual"/>
        </w:rPr>
        <w:t xml:space="preserve">, J., Rodríguez, J. &amp; </w:t>
      </w:r>
      <w:proofErr w:type="spellStart"/>
      <w:r w:rsidRPr="00F24AB8">
        <w:rPr>
          <w:rFonts w:ascii="Arial" w:eastAsiaTheme="minorHAnsi" w:hAnsi="Arial" w:cs="Arial"/>
          <w:kern w:val="2"/>
          <w:lang w:val="es-EC" w:eastAsia="en-US"/>
          <w14:ligatures w14:val="standardContextual"/>
        </w:rPr>
        <w:t>Pumacayo</w:t>
      </w:r>
      <w:proofErr w:type="spellEnd"/>
      <w:r w:rsidRPr="00F24AB8">
        <w:rPr>
          <w:rFonts w:ascii="Arial" w:eastAsiaTheme="minorHAnsi" w:hAnsi="Arial" w:cs="Arial"/>
          <w:kern w:val="2"/>
          <w:lang w:val="es-EC" w:eastAsia="en-US"/>
          <w14:ligatures w14:val="standardContextual"/>
        </w:rPr>
        <w:t xml:space="preserve">, I. (2019). Estadística no paramétrica aplicada a la investigación científica con software SPSS, MINITAB Y EXCEL, Colombia, </w:t>
      </w:r>
      <w:proofErr w:type="spellStart"/>
      <w:r w:rsidRPr="00F24AB8">
        <w:rPr>
          <w:rFonts w:ascii="Arial" w:eastAsiaTheme="minorHAnsi" w:hAnsi="Arial" w:cs="Arial"/>
          <w:kern w:val="2"/>
          <w:lang w:val="es-EC" w:eastAsia="en-US"/>
          <w14:ligatures w14:val="standardContextual"/>
        </w:rPr>
        <w:t>Eidec</w:t>
      </w:r>
      <w:proofErr w:type="spellEnd"/>
      <w:r w:rsidRPr="00F24AB8">
        <w:rPr>
          <w:rFonts w:ascii="Arial" w:eastAsiaTheme="minorHAnsi" w:hAnsi="Arial" w:cs="Arial"/>
          <w:kern w:val="2"/>
          <w:lang w:val="es-EC" w:eastAsia="en-US"/>
          <w14:ligatures w14:val="standardContextual"/>
        </w:rPr>
        <w:t>.</w:t>
      </w:r>
    </w:p>
    <w:p w14:paraId="12D087B2"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F24AB8">
        <w:rPr>
          <w:rFonts w:ascii="Arial" w:eastAsiaTheme="minorHAnsi" w:hAnsi="Arial" w:cs="Arial"/>
          <w:kern w:val="2"/>
          <w:lang w:val="en-US" w:eastAsia="en-US"/>
          <w14:ligatures w14:val="standardContextual"/>
        </w:rPr>
        <w:t xml:space="preserve">Quinn, A., Lemay, G., Larsen, P. &amp; Johnson, D. (2009). Service quality in higher education. Total Quality Management &amp; Business Excellence, 20(2), pp. 139-152, DOI: </w:t>
      </w:r>
      <w:r w:rsidR="009458ED">
        <w:fldChar w:fldCharType="begin"/>
      </w:r>
      <w:r w:rsidR="009458ED" w:rsidRPr="00470139">
        <w:rPr>
          <w:lang w:val="en-US"/>
        </w:rPr>
        <w:instrText xml:space="preserve"> HYPERLINK "https://doi.org/10.1080/14783360802622805"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https://doi.org/10.1080/14783360802622805</w:t>
      </w:r>
      <w:r w:rsidR="009458ED">
        <w:rPr>
          <w:rFonts w:ascii="Arial" w:eastAsiaTheme="minorHAnsi" w:hAnsi="Arial" w:cs="Arial"/>
          <w:color w:val="0000FF"/>
          <w:kern w:val="2"/>
          <w:u w:val="single"/>
          <w:lang w:val="en-US" w:eastAsia="en-US"/>
          <w14:ligatures w14:val="standardContextual"/>
        </w:rPr>
        <w:fldChar w:fldCharType="end"/>
      </w:r>
    </w:p>
    <w:p w14:paraId="64F2758E"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proofErr w:type="spellStart"/>
      <w:r w:rsidRPr="00F24AB8">
        <w:rPr>
          <w:rFonts w:ascii="Arial" w:eastAsiaTheme="minorHAnsi" w:hAnsi="Arial" w:cs="Arial"/>
          <w:kern w:val="2"/>
          <w:lang w:eastAsia="en-US"/>
          <w14:ligatures w14:val="standardContextual"/>
        </w:rPr>
        <w:t>Razinkina</w:t>
      </w:r>
      <w:proofErr w:type="spellEnd"/>
      <w:r w:rsidRPr="00F24AB8">
        <w:rPr>
          <w:rFonts w:ascii="Arial" w:eastAsiaTheme="minorHAnsi" w:hAnsi="Arial" w:cs="Arial"/>
          <w:kern w:val="2"/>
          <w:lang w:eastAsia="en-US"/>
          <w14:ligatures w14:val="standardContextual"/>
        </w:rPr>
        <w:t xml:space="preserve">, E., </w:t>
      </w:r>
      <w:proofErr w:type="spellStart"/>
      <w:r w:rsidRPr="00F24AB8">
        <w:rPr>
          <w:rFonts w:ascii="Arial" w:eastAsiaTheme="minorHAnsi" w:hAnsi="Arial" w:cs="Arial"/>
          <w:kern w:val="2"/>
          <w:lang w:eastAsia="en-US"/>
          <w14:ligatures w14:val="standardContextual"/>
        </w:rPr>
        <w:t>Pankova</w:t>
      </w:r>
      <w:proofErr w:type="spellEnd"/>
      <w:r w:rsidRPr="00F24AB8">
        <w:rPr>
          <w:rFonts w:ascii="Arial" w:eastAsiaTheme="minorHAnsi" w:hAnsi="Arial" w:cs="Arial"/>
          <w:kern w:val="2"/>
          <w:lang w:eastAsia="en-US"/>
          <w14:ligatures w14:val="standardContextual"/>
        </w:rPr>
        <w:t xml:space="preserve">, L., </w:t>
      </w:r>
      <w:proofErr w:type="spellStart"/>
      <w:r w:rsidRPr="00F24AB8">
        <w:rPr>
          <w:rFonts w:ascii="Arial" w:eastAsiaTheme="minorHAnsi" w:hAnsi="Arial" w:cs="Arial"/>
          <w:kern w:val="2"/>
          <w:lang w:eastAsia="en-US"/>
          <w14:ligatures w14:val="standardContextual"/>
        </w:rPr>
        <w:t>Trostinskaya</w:t>
      </w:r>
      <w:proofErr w:type="spellEnd"/>
      <w:r w:rsidRPr="00F24AB8">
        <w:rPr>
          <w:rFonts w:ascii="Arial" w:eastAsiaTheme="minorHAnsi" w:hAnsi="Arial" w:cs="Arial"/>
          <w:kern w:val="2"/>
          <w:lang w:eastAsia="en-US"/>
          <w14:ligatures w14:val="standardContextual"/>
        </w:rPr>
        <w:t xml:space="preserve">, I., </w:t>
      </w:r>
      <w:proofErr w:type="spellStart"/>
      <w:r w:rsidRPr="00F24AB8">
        <w:rPr>
          <w:rFonts w:ascii="Arial" w:eastAsiaTheme="minorHAnsi" w:hAnsi="Arial" w:cs="Arial"/>
          <w:kern w:val="2"/>
          <w:lang w:eastAsia="en-US"/>
          <w14:ligatures w14:val="standardContextual"/>
        </w:rPr>
        <w:t>Pozdeeva</w:t>
      </w:r>
      <w:proofErr w:type="spellEnd"/>
      <w:r w:rsidRPr="00F24AB8">
        <w:rPr>
          <w:rFonts w:ascii="Arial" w:eastAsiaTheme="minorHAnsi" w:hAnsi="Arial" w:cs="Arial"/>
          <w:kern w:val="2"/>
          <w:lang w:eastAsia="en-US"/>
          <w14:ligatures w14:val="standardContextual"/>
        </w:rPr>
        <w:t xml:space="preserve">, E., </w:t>
      </w:r>
      <w:proofErr w:type="spellStart"/>
      <w:r w:rsidRPr="00F24AB8">
        <w:rPr>
          <w:rFonts w:ascii="Arial" w:eastAsiaTheme="minorHAnsi" w:hAnsi="Arial" w:cs="Arial"/>
          <w:kern w:val="2"/>
          <w:lang w:eastAsia="en-US"/>
          <w14:ligatures w14:val="standardContextual"/>
        </w:rPr>
        <w:t>Evseeva</w:t>
      </w:r>
      <w:proofErr w:type="spellEnd"/>
      <w:r w:rsidRPr="00F24AB8">
        <w:rPr>
          <w:rFonts w:ascii="Arial" w:eastAsiaTheme="minorHAnsi" w:hAnsi="Arial" w:cs="Arial"/>
          <w:kern w:val="2"/>
          <w:lang w:eastAsia="en-US"/>
          <w14:ligatures w14:val="standardContextual"/>
        </w:rPr>
        <w:t xml:space="preserve">, L. &amp; </w:t>
      </w:r>
      <w:proofErr w:type="spellStart"/>
      <w:r w:rsidRPr="00F24AB8">
        <w:rPr>
          <w:rFonts w:ascii="Arial" w:eastAsiaTheme="minorHAnsi" w:hAnsi="Arial" w:cs="Arial"/>
          <w:kern w:val="2"/>
          <w:lang w:eastAsia="en-US"/>
          <w14:ligatures w14:val="standardContextual"/>
        </w:rPr>
        <w:t>Tanova</w:t>
      </w:r>
      <w:proofErr w:type="spellEnd"/>
      <w:r w:rsidRPr="00F24AB8">
        <w:rPr>
          <w:rFonts w:ascii="Arial" w:eastAsiaTheme="minorHAnsi" w:hAnsi="Arial" w:cs="Arial"/>
          <w:kern w:val="2"/>
          <w:lang w:eastAsia="en-US"/>
          <w14:ligatures w14:val="standardContextual"/>
        </w:rPr>
        <w:t xml:space="preserve">, A. (2018). </w:t>
      </w:r>
      <w:r w:rsidRPr="00F24AB8">
        <w:rPr>
          <w:rFonts w:ascii="Arial" w:eastAsiaTheme="minorHAnsi" w:hAnsi="Arial" w:cs="Arial"/>
          <w:kern w:val="2"/>
          <w:lang w:val="en-US" w:eastAsia="en-US"/>
          <w14:ligatures w14:val="standardContextual"/>
        </w:rPr>
        <w:t xml:space="preserve">Student satisfaction as an element of education quality monitoring in innovative higher education institution, DOI: </w:t>
      </w:r>
      <w:r w:rsidR="009458ED">
        <w:fldChar w:fldCharType="begin"/>
      </w:r>
      <w:r w:rsidR="009458ED" w:rsidRPr="00470139">
        <w:rPr>
          <w:lang w:val="en-US"/>
        </w:rPr>
        <w:instrText xml:space="preserve"> HYPERLINK "https://doi.org/10.1051/e3sconf/20183303043"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https://doi.org/10.1051/e3sconf/20183303043</w:t>
      </w:r>
      <w:r w:rsidR="009458ED">
        <w:rPr>
          <w:rFonts w:ascii="Arial" w:eastAsiaTheme="minorHAnsi" w:hAnsi="Arial" w:cs="Arial"/>
          <w:color w:val="0000FF"/>
          <w:kern w:val="2"/>
          <w:u w:val="single"/>
          <w:lang w:val="en-US" w:eastAsia="en-US"/>
          <w14:ligatures w14:val="standardContextual"/>
        </w:rPr>
        <w:fldChar w:fldCharType="end"/>
      </w:r>
      <w:r w:rsidRPr="00F24AB8">
        <w:rPr>
          <w:rFonts w:ascii="Arial" w:eastAsiaTheme="minorHAnsi" w:hAnsi="Arial" w:cs="Arial"/>
          <w:kern w:val="2"/>
          <w:lang w:val="en-US" w:eastAsia="en-US"/>
          <w14:ligatures w14:val="standardContextual"/>
        </w:rPr>
        <w:t>.</w:t>
      </w:r>
    </w:p>
    <w:p w14:paraId="4494A3C6"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Salazar-Medina, R. (2024). La universidad de investigación de tecnología experimental </w:t>
      </w:r>
      <w:proofErr w:type="spellStart"/>
      <w:r w:rsidRPr="00F24AB8">
        <w:rPr>
          <w:rFonts w:ascii="Arial" w:eastAsiaTheme="minorHAnsi" w:hAnsi="Arial" w:cs="Arial"/>
          <w:kern w:val="2"/>
          <w:lang w:val="es-EC" w:eastAsia="en-US"/>
          <w14:ligatures w14:val="standardContextual"/>
        </w:rPr>
        <w:t>Yachay</w:t>
      </w:r>
      <w:proofErr w:type="spellEnd"/>
      <w:r w:rsidRPr="00F24AB8">
        <w:rPr>
          <w:rFonts w:ascii="Arial" w:eastAsiaTheme="minorHAnsi" w:hAnsi="Arial" w:cs="Arial"/>
          <w:kern w:val="2"/>
          <w:lang w:val="es-EC" w:eastAsia="en-US"/>
          <w14:ligatures w14:val="standardContextual"/>
        </w:rPr>
        <w:t xml:space="preserve">: de la utopía a la distopía. Revista Iberoamericana de </w:t>
      </w:r>
      <w:r w:rsidRPr="00F24AB8">
        <w:rPr>
          <w:rFonts w:ascii="Arial" w:eastAsiaTheme="minorHAnsi" w:hAnsi="Arial" w:cs="Arial"/>
          <w:kern w:val="2"/>
          <w:lang w:val="es-EC" w:eastAsia="en-US"/>
          <w14:ligatures w14:val="standardContextual"/>
        </w:rPr>
        <w:lastRenderedPageBreak/>
        <w:t xml:space="preserve">Educación Superior (RIES), 15(42), pp. 102-116, DOI: </w:t>
      </w:r>
      <w:hyperlink r:id="rId39" w:history="1">
        <w:r w:rsidRPr="00F24AB8">
          <w:rPr>
            <w:rFonts w:ascii="Arial" w:eastAsiaTheme="minorHAnsi" w:hAnsi="Arial" w:cs="Arial"/>
            <w:color w:val="0000FF"/>
            <w:kern w:val="2"/>
            <w:u w:val="single"/>
            <w:lang w:val="es-EC" w:eastAsia="en-US"/>
            <w14:ligatures w14:val="standardContextual"/>
          </w:rPr>
          <w:t>https://doi.org/10.22201/iisue.20072872e.2024.42.1666</w:t>
        </w:r>
      </w:hyperlink>
      <w:r w:rsidRPr="00F24AB8">
        <w:rPr>
          <w:rFonts w:ascii="Arial" w:eastAsiaTheme="minorHAnsi" w:hAnsi="Arial" w:cs="Arial"/>
          <w:kern w:val="2"/>
          <w:lang w:val="es-EC" w:eastAsia="en-US"/>
          <w14:ligatures w14:val="standardContextual"/>
        </w:rPr>
        <w:t>.</w:t>
      </w:r>
    </w:p>
    <w:p w14:paraId="155BBEF2" w14:textId="77777777" w:rsidR="00F24AB8" w:rsidRPr="00F24AB8" w:rsidRDefault="00F24AB8" w:rsidP="00F24AB8">
      <w:pPr>
        <w:spacing w:line="360" w:lineRule="auto"/>
        <w:ind w:left="709" w:hanging="709"/>
        <w:jc w:val="both"/>
        <w:rPr>
          <w:rFonts w:ascii="Arial" w:eastAsiaTheme="minorHAnsi" w:hAnsi="Arial" w:cs="Arial"/>
          <w:kern w:val="2"/>
          <w:lang w:eastAsia="en-US"/>
          <w14:ligatures w14:val="standardContextual"/>
        </w:rPr>
      </w:pPr>
      <w:r w:rsidRPr="00F24AB8">
        <w:rPr>
          <w:rFonts w:ascii="Arial" w:eastAsiaTheme="minorHAnsi" w:hAnsi="Arial" w:cs="Arial"/>
          <w:kern w:val="2"/>
          <w:lang w:val="es-EC" w:eastAsia="en-US"/>
          <w14:ligatures w14:val="standardContextual"/>
        </w:rPr>
        <w:t xml:space="preserve">Salcedo-Muñoz, V., Quezada-Abad, C., Novillo-Maldonado, E., Varela-Veliz, G., Núñez-Guale, L. &amp; Viteri-Escobar, C. (2017). Bienestar estudiantil universitario en Ecuador: Caso unidades de bienestar estudiantil en las universidades de la provincia de El Oro. </w:t>
      </w:r>
      <w:r w:rsidRPr="00F24AB8">
        <w:rPr>
          <w:rFonts w:ascii="Arial" w:eastAsiaTheme="minorHAnsi" w:hAnsi="Arial" w:cs="Arial"/>
          <w:kern w:val="2"/>
          <w:lang w:eastAsia="en-US"/>
          <w14:ligatures w14:val="standardContextual"/>
        </w:rPr>
        <w:t>Revista Espacios, 38(30), pp. 17-36.</w:t>
      </w:r>
    </w:p>
    <w:p w14:paraId="7BB8FF7C"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470139">
        <w:rPr>
          <w:rFonts w:ascii="Arial" w:eastAsiaTheme="minorHAnsi" w:hAnsi="Arial" w:cs="Arial"/>
          <w:kern w:val="2"/>
          <w:lang w:eastAsia="en-US"/>
          <w14:ligatures w14:val="standardContextual"/>
        </w:rPr>
        <w:t xml:space="preserve">Schwabe-Neveu, J., Fuentes-Stuardo, P., &amp; Briede-Westermeyer, J. (2016). </w:t>
      </w:r>
      <w:r w:rsidRPr="00F24AB8">
        <w:rPr>
          <w:rFonts w:ascii="Arial" w:eastAsiaTheme="minorHAnsi" w:hAnsi="Arial" w:cs="Arial"/>
          <w:kern w:val="2"/>
          <w:lang w:val="en-US" w:eastAsia="en-US"/>
          <w14:ligatures w14:val="standardContextual"/>
        </w:rPr>
        <w:t xml:space="preserve">Characterization of product design process of a company that provides design services. Proposal based on a process approach. DYNA, 83(199), pp. 148-156, DOI: </w:t>
      </w:r>
      <w:r w:rsidR="009458ED">
        <w:fldChar w:fldCharType="begin"/>
      </w:r>
      <w:r w:rsidR="009458ED" w:rsidRPr="00470139">
        <w:rPr>
          <w:lang w:val="en-US"/>
        </w:rPr>
        <w:instrText xml:space="preserve"> HYPERLINK "https://doi.org/10.15446/dyna.v83n199.55840"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https://doi.org/10.15446/dyna.v83n199.55840</w:t>
      </w:r>
      <w:r w:rsidR="009458ED">
        <w:rPr>
          <w:rFonts w:ascii="Arial" w:eastAsiaTheme="minorHAnsi" w:hAnsi="Arial" w:cs="Arial"/>
          <w:color w:val="0000FF"/>
          <w:kern w:val="2"/>
          <w:u w:val="single"/>
          <w:lang w:val="en-US" w:eastAsia="en-US"/>
          <w14:ligatures w14:val="standardContextual"/>
        </w:rPr>
        <w:fldChar w:fldCharType="end"/>
      </w:r>
    </w:p>
    <w:p w14:paraId="032E3362"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470139">
        <w:rPr>
          <w:rFonts w:ascii="Arial" w:eastAsiaTheme="minorHAnsi" w:hAnsi="Arial" w:cs="Arial"/>
          <w:kern w:val="2"/>
          <w:lang w:eastAsia="en-US"/>
          <w14:ligatures w14:val="standardContextual"/>
        </w:rPr>
        <w:t xml:space="preserve">Soto-Grant, A. (2024). </w:t>
      </w:r>
      <w:r w:rsidRPr="00F24AB8">
        <w:rPr>
          <w:rFonts w:ascii="Arial" w:eastAsiaTheme="minorHAnsi" w:hAnsi="Arial" w:cs="Arial"/>
          <w:kern w:val="2"/>
          <w:lang w:val="es-EC" w:eastAsia="en-US"/>
          <w14:ligatures w14:val="standardContextual"/>
        </w:rPr>
        <w:t xml:space="preserve">Estudio de las actividades que forman parte de los procesos de autoevaluación de programas de grado del Instituto Tecnológico de Costa Rica. Revista Electrónica Calidad En La Educación Superior, 15(1), 154–191. </w:t>
      </w:r>
      <w:hyperlink r:id="rId40" w:history="1">
        <w:r w:rsidRPr="00F24AB8">
          <w:rPr>
            <w:rFonts w:ascii="Arial" w:eastAsiaTheme="minorHAnsi" w:hAnsi="Arial" w:cs="Arial"/>
            <w:color w:val="0000FF"/>
            <w:kern w:val="2"/>
            <w:u w:val="single"/>
            <w:lang w:val="es-EC" w:eastAsia="en-US"/>
            <w14:ligatures w14:val="standardContextual"/>
          </w:rPr>
          <w:t>https://doi.org/10.22458/caes.v15i1.4711</w:t>
        </w:r>
      </w:hyperlink>
      <w:r w:rsidRPr="00F24AB8">
        <w:rPr>
          <w:rFonts w:ascii="Arial" w:eastAsiaTheme="minorHAnsi" w:hAnsi="Arial" w:cs="Arial"/>
          <w:kern w:val="2"/>
          <w:lang w:val="es-EC" w:eastAsia="en-US"/>
          <w14:ligatures w14:val="standardContextual"/>
        </w:rPr>
        <w:t xml:space="preserve"> </w:t>
      </w:r>
    </w:p>
    <w:p w14:paraId="1E75E97B" w14:textId="77777777" w:rsidR="00F24AB8" w:rsidRPr="00F24AB8" w:rsidRDefault="00F24AB8" w:rsidP="00F24AB8">
      <w:pPr>
        <w:spacing w:line="360" w:lineRule="auto"/>
        <w:ind w:left="709" w:hanging="709"/>
        <w:jc w:val="both"/>
        <w:rPr>
          <w:rFonts w:ascii="Arial" w:eastAsiaTheme="minorHAnsi" w:hAnsi="Arial" w:cs="Arial"/>
          <w:kern w:val="2"/>
          <w:lang w:val="pt-PT" w:eastAsia="en-US"/>
          <w14:ligatures w14:val="standardContextual"/>
        </w:rPr>
      </w:pPr>
      <w:r w:rsidRPr="00F24AB8">
        <w:rPr>
          <w:rFonts w:ascii="Arial" w:eastAsiaTheme="minorHAnsi" w:hAnsi="Arial" w:cs="Arial"/>
          <w:kern w:val="2"/>
          <w:lang w:val="es-EC" w:eastAsia="en-US"/>
          <w14:ligatures w14:val="standardContextual"/>
        </w:rPr>
        <w:t xml:space="preserve">Suárez-Landazábal, N. (2023). Cambio, Isomorfismo, Calidad y Políticas Públicas de Evaluación y Acreditación en La Educación Superior: Un Caso en Colombia. </w:t>
      </w:r>
      <w:r w:rsidRPr="00F24AB8">
        <w:rPr>
          <w:rFonts w:ascii="Arial" w:eastAsiaTheme="minorHAnsi" w:hAnsi="Arial" w:cs="Arial"/>
          <w:kern w:val="2"/>
          <w:lang w:val="pt-PT" w:eastAsia="en-US"/>
          <w14:ligatures w14:val="standardContextual"/>
        </w:rPr>
        <w:t xml:space="preserve">Archivos Analíticos de Políticas Educativas, 31(99), pp. 1-20, DOI: </w:t>
      </w:r>
      <w:hyperlink r:id="rId41" w:history="1">
        <w:r w:rsidRPr="00F24AB8">
          <w:rPr>
            <w:rFonts w:ascii="Arial" w:eastAsiaTheme="minorHAnsi" w:hAnsi="Arial" w:cs="Arial"/>
            <w:color w:val="0000FF"/>
            <w:kern w:val="2"/>
            <w:u w:val="single"/>
            <w:lang w:val="pt-PT" w:eastAsia="en-US"/>
            <w14:ligatures w14:val="standardContextual"/>
          </w:rPr>
          <w:t>https://doi.org/10.14507/epaa.31.7682</w:t>
        </w:r>
      </w:hyperlink>
      <w:r w:rsidRPr="00F24AB8">
        <w:rPr>
          <w:rFonts w:ascii="Arial" w:eastAsiaTheme="minorHAnsi" w:hAnsi="Arial" w:cs="Arial"/>
          <w:kern w:val="2"/>
          <w:lang w:val="pt-PT" w:eastAsia="en-US"/>
          <w14:ligatures w14:val="standardContextual"/>
        </w:rPr>
        <w:t>.</w:t>
      </w:r>
    </w:p>
    <w:p w14:paraId="2C8AD3FA"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pt-PT" w:eastAsia="en-US"/>
          <w14:ligatures w14:val="standardContextual"/>
        </w:rPr>
        <w:t xml:space="preserve">Surdez-Pérez, E., Sandova-Caraveo, M &amp; Lamoyi-Bocanegra, C. (2017). </w:t>
      </w:r>
      <w:r w:rsidRPr="00F24AB8">
        <w:rPr>
          <w:rFonts w:ascii="Arial" w:eastAsiaTheme="minorHAnsi" w:hAnsi="Arial" w:cs="Arial"/>
          <w:kern w:val="2"/>
          <w:lang w:val="es-EC" w:eastAsia="en-US"/>
          <w14:ligatures w14:val="standardContextual"/>
        </w:rPr>
        <w:t>Satisfacción estudiantil en la valoración de la calidad educativa universitaria. Educación y Educadores, 21(1), pp. 9-26, DOI: 10.5294/edu.2018.21.1.1</w:t>
      </w:r>
    </w:p>
    <w:p w14:paraId="64F2E274"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470139">
        <w:rPr>
          <w:rFonts w:ascii="Arial" w:eastAsiaTheme="minorHAnsi" w:hAnsi="Arial" w:cs="Arial"/>
          <w:kern w:val="2"/>
          <w:lang w:eastAsia="en-US"/>
          <w14:ligatures w14:val="standardContextual"/>
        </w:rPr>
        <w:lastRenderedPageBreak/>
        <w:t xml:space="preserve">Ushantha, C. &amp; Kumara, S. (2016). </w:t>
      </w:r>
      <w:r w:rsidRPr="00F24AB8">
        <w:rPr>
          <w:rFonts w:ascii="Arial" w:eastAsiaTheme="minorHAnsi" w:hAnsi="Arial" w:cs="Arial"/>
          <w:kern w:val="2"/>
          <w:lang w:val="en-US" w:eastAsia="en-US"/>
          <w14:ligatures w14:val="standardContextual"/>
        </w:rPr>
        <w:t xml:space="preserve">A quest for service quality in higher education: empirical evidence from Sri Lanka. Services Marketing Quarterly, 37(2), pp. 98-108, DOI: </w:t>
      </w:r>
      <w:r w:rsidR="009458ED">
        <w:fldChar w:fldCharType="begin"/>
      </w:r>
      <w:r w:rsidR="009458ED" w:rsidRPr="00470139">
        <w:rPr>
          <w:lang w:val="en-US"/>
        </w:rPr>
        <w:instrText xml:space="preserve"> HYPERLINK "https://doi.org/10.1080/15332969.2016.1154731" </w:instrText>
      </w:r>
      <w:r w:rsidR="009458ED">
        <w:fldChar w:fldCharType="separate"/>
      </w:r>
      <w:r w:rsidRPr="00F24AB8">
        <w:rPr>
          <w:rFonts w:ascii="Arial" w:eastAsiaTheme="minorHAnsi" w:hAnsi="Arial" w:cs="Arial"/>
          <w:color w:val="0000FF"/>
          <w:kern w:val="2"/>
          <w:u w:val="single"/>
          <w:lang w:val="en-US" w:eastAsia="en-US"/>
          <w14:ligatures w14:val="standardContextual"/>
        </w:rPr>
        <w:t>https://doi.org/10.1080/15332969.2016.1154731</w:t>
      </w:r>
      <w:r w:rsidR="009458ED">
        <w:rPr>
          <w:rFonts w:ascii="Arial" w:eastAsiaTheme="minorHAnsi" w:hAnsi="Arial" w:cs="Arial"/>
          <w:color w:val="0000FF"/>
          <w:kern w:val="2"/>
          <w:u w:val="single"/>
          <w:lang w:val="en-US" w:eastAsia="en-US"/>
          <w14:ligatures w14:val="standardContextual"/>
        </w:rPr>
        <w:fldChar w:fldCharType="end"/>
      </w:r>
    </w:p>
    <w:p w14:paraId="54E664AA" w14:textId="77777777" w:rsidR="00F24AB8" w:rsidRPr="00F24AB8" w:rsidRDefault="00F24AB8" w:rsidP="00F24AB8">
      <w:pPr>
        <w:spacing w:line="360" w:lineRule="auto"/>
        <w:ind w:left="709" w:hanging="709"/>
        <w:jc w:val="both"/>
        <w:rPr>
          <w:rFonts w:ascii="Arial" w:eastAsiaTheme="minorHAnsi" w:hAnsi="Arial" w:cs="Arial"/>
          <w:kern w:val="2"/>
          <w:lang w:val="es-ES" w:eastAsia="en-US"/>
          <w14:ligatures w14:val="standardContextual"/>
        </w:rPr>
      </w:pPr>
      <w:r w:rsidRPr="00F24AB8">
        <w:rPr>
          <w:rFonts w:ascii="Arial" w:eastAsiaTheme="minorHAnsi" w:hAnsi="Arial" w:cs="Arial"/>
          <w:kern w:val="2"/>
          <w:lang w:val="en-US" w:eastAsia="en-US"/>
          <w14:ligatures w14:val="standardContextual"/>
        </w:rPr>
        <w:t xml:space="preserve">Vanegas, L., Moreira, P. &amp; Chávez, D. (2019). </w:t>
      </w:r>
      <w:r w:rsidRPr="00F24AB8">
        <w:rPr>
          <w:rFonts w:ascii="Arial" w:eastAsiaTheme="minorHAnsi" w:hAnsi="Arial" w:cs="Arial"/>
          <w:kern w:val="2"/>
          <w:lang w:val="es-ES" w:eastAsia="en-US"/>
          <w14:ligatures w14:val="standardContextual"/>
        </w:rPr>
        <w:t xml:space="preserve">El rol de la unidad de bienestar estudiantil en la Universidad Estatal del Sur de Manabí. Revista de Sociología de la Educación - RASE, 12(2), pp. 287-300, DOI: </w:t>
      </w:r>
      <w:hyperlink r:id="rId42" w:history="1">
        <w:r w:rsidRPr="00F24AB8">
          <w:rPr>
            <w:rFonts w:ascii="Arial" w:eastAsiaTheme="minorHAnsi" w:hAnsi="Arial" w:cs="Arial"/>
            <w:color w:val="0000FF"/>
            <w:kern w:val="2"/>
            <w:u w:val="single"/>
            <w:lang w:val="es-ES" w:eastAsia="en-US"/>
            <w14:ligatures w14:val="standardContextual"/>
          </w:rPr>
          <w:t>https://doi.org/10.7203/RASE.12.2.13916</w:t>
        </w:r>
      </w:hyperlink>
      <w:r w:rsidRPr="00F24AB8">
        <w:rPr>
          <w:rFonts w:ascii="Arial" w:eastAsiaTheme="minorHAnsi" w:hAnsi="Arial" w:cs="Arial"/>
          <w:kern w:val="2"/>
          <w:lang w:val="es-ES" w:eastAsia="en-US"/>
          <w14:ligatures w14:val="standardContextual"/>
        </w:rPr>
        <w:t>.</w:t>
      </w:r>
    </w:p>
    <w:p w14:paraId="25B0B682"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Véliz-Briones, V. (2018). Calidad en la Educación Superior. Caso Ecuador. Atenas 1(41), pp. 165-180.</w:t>
      </w:r>
    </w:p>
    <w:p w14:paraId="07567086"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s-EC" w:eastAsia="en-US"/>
          <w14:ligatures w14:val="standardContextual"/>
        </w:rPr>
        <w:t xml:space="preserve">Vera, J. &amp; Trujillo, A. (2018). El efecto de la calidad del servicio en la satisfacción del derechohabiente en instituciones públicas de salud en México. Contaduría y Administración, 63(2), pp. 1-22, DOI: </w:t>
      </w:r>
      <w:hyperlink r:id="rId43" w:history="1">
        <w:r w:rsidRPr="00F24AB8">
          <w:rPr>
            <w:rFonts w:ascii="Arial" w:eastAsiaTheme="minorHAnsi" w:hAnsi="Arial" w:cs="Arial"/>
            <w:color w:val="0000FF"/>
            <w:kern w:val="2"/>
            <w:u w:val="single"/>
            <w:lang w:val="es-EC" w:eastAsia="en-US"/>
            <w14:ligatures w14:val="standardContextual"/>
          </w:rPr>
          <w:t>https://doi.org/10.1016/j.cya.2016.07.003</w:t>
        </w:r>
      </w:hyperlink>
      <w:r w:rsidRPr="00F24AB8">
        <w:rPr>
          <w:rFonts w:ascii="Arial" w:eastAsiaTheme="minorHAnsi" w:hAnsi="Arial" w:cs="Arial"/>
          <w:kern w:val="2"/>
          <w:lang w:val="es-EC" w:eastAsia="en-US"/>
          <w14:ligatures w14:val="standardContextual"/>
        </w:rPr>
        <w:t>.</w:t>
      </w:r>
    </w:p>
    <w:p w14:paraId="1A27693F" w14:textId="77777777" w:rsidR="00F24AB8" w:rsidRPr="00F24AB8" w:rsidRDefault="00F24AB8" w:rsidP="00F24AB8">
      <w:pPr>
        <w:spacing w:line="360" w:lineRule="auto"/>
        <w:ind w:left="709" w:hanging="709"/>
        <w:jc w:val="both"/>
        <w:rPr>
          <w:rFonts w:ascii="Arial" w:eastAsiaTheme="minorHAnsi" w:hAnsi="Arial" w:cs="Arial"/>
          <w:kern w:val="2"/>
          <w:lang w:val="en-US" w:eastAsia="en-US"/>
          <w14:ligatures w14:val="standardContextual"/>
        </w:rPr>
      </w:pPr>
      <w:r w:rsidRPr="00F24AB8">
        <w:rPr>
          <w:rFonts w:ascii="Arial" w:eastAsiaTheme="minorHAnsi" w:hAnsi="Arial" w:cs="Arial"/>
          <w:kern w:val="2"/>
          <w:lang w:val="en-US" w:eastAsia="en-US"/>
          <w14:ligatures w14:val="standardContextual"/>
        </w:rPr>
        <w:t>Weerasinghe, S. &amp; Lalitha, F. (2017). Students’ satisfaction in higher education literature review. American Journal of Educational Research, 5(5), pp. 533-539, DOI: 10.12691/educational-5-5-9.</w:t>
      </w:r>
    </w:p>
    <w:p w14:paraId="74FD61F0" w14:textId="77777777" w:rsidR="00F24AB8" w:rsidRPr="00F24AB8" w:rsidRDefault="00F24AB8" w:rsidP="00F24AB8">
      <w:pPr>
        <w:spacing w:line="360" w:lineRule="auto"/>
        <w:ind w:left="709" w:hanging="709"/>
        <w:jc w:val="both"/>
        <w:rPr>
          <w:rFonts w:ascii="Arial" w:eastAsiaTheme="minorHAnsi" w:hAnsi="Arial" w:cs="Arial"/>
          <w:kern w:val="2"/>
          <w:lang w:val="es-EC" w:eastAsia="en-US"/>
          <w14:ligatures w14:val="standardContextual"/>
        </w:rPr>
      </w:pPr>
      <w:r w:rsidRPr="00F24AB8">
        <w:rPr>
          <w:rFonts w:ascii="Arial" w:eastAsiaTheme="minorHAnsi" w:hAnsi="Arial" w:cs="Arial"/>
          <w:kern w:val="2"/>
          <w:lang w:val="en-US" w:eastAsia="en-US"/>
          <w14:ligatures w14:val="standardContextual"/>
        </w:rPr>
        <w:t>Zambrano-</w:t>
      </w:r>
      <w:proofErr w:type="spellStart"/>
      <w:r w:rsidRPr="00F24AB8">
        <w:rPr>
          <w:rFonts w:ascii="Arial" w:eastAsiaTheme="minorHAnsi" w:hAnsi="Arial" w:cs="Arial"/>
          <w:kern w:val="2"/>
          <w:lang w:val="en-US" w:eastAsia="en-US"/>
          <w14:ligatures w14:val="standardContextual"/>
        </w:rPr>
        <w:t>Velásquez</w:t>
      </w:r>
      <w:proofErr w:type="spellEnd"/>
      <w:r w:rsidRPr="00F24AB8">
        <w:rPr>
          <w:rFonts w:ascii="Arial" w:eastAsiaTheme="minorHAnsi" w:hAnsi="Arial" w:cs="Arial"/>
          <w:kern w:val="2"/>
          <w:lang w:val="en-US" w:eastAsia="en-US"/>
          <w14:ligatures w14:val="standardContextual"/>
        </w:rPr>
        <w:t xml:space="preserve">, F. &amp; Andrade-Zambrano, C. (2018). </w:t>
      </w:r>
      <w:r w:rsidRPr="00F24AB8">
        <w:rPr>
          <w:rFonts w:ascii="Arial" w:eastAsiaTheme="minorHAnsi" w:hAnsi="Arial" w:cs="Arial"/>
          <w:kern w:val="2"/>
          <w:lang w:val="es-EC" w:eastAsia="en-US"/>
          <w14:ligatures w14:val="standardContextual"/>
        </w:rPr>
        <w:t>Impacto de procesos de bienestar estudiantil en el mejoramiento de la calidad educativa de universidad Laica Eloy Alfaro de Manabí, extensión Chone. Universidad y Sociedad 10(1), pp. 278-285.</w:t>
      </w:r>
    </w:p>
    <w:p w14:paraId="4B72DDC3" w14:textId="27077A6D" w:rsidR="00071E85" w:rsidRDefault="00071E85" w:rsidP="00C12908">
      <w:pPr>
        <w:keepNext/>
        <w:spacing w:line="360" w:lineRule="auto"/>
        <w:rPr>
          <w:rFonts w:ascii="Arial" w:eastAsiaTheme="minorHAnsi" w:hAnsi="Arial" w:cs="Arial"/>
          <w:lang w:val="es-EC" w:eastAsia="en-US"/>
        </w:rPr>
      </w:pPr>
    </w:p>
    <w:sectPr w:rsidR="00071E85" w:rsidSect="005B646E">
      <w:headerReference w:type="default" r:id="rId44"/>
      <w:footerReference w:type="default" r:id="rId45"/>
      <w:pgSz w:w="12240" w:h="15840"/>
      <w:pgMar w:top="1417" w:right="1750" w:bottom="1411" w:left="1701" w:header="708" w:footer="0" w:gutter="0"/>
      <w:pgNumType w:start="2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D11C9" w14:textId="77777777" w:rsidR="009458ED" w:rsidRDefault="009458ED" w:rsidP="003C3F58">
      <w:r>
        <w:separator/>
      </w:r>
    </w:p>
  </w:endnote>
  <w:endnote w:type="continuationSeparator" w:id="0">
    <w:p w14:paraId="715D1338" w14:textId="77777777" w:rsidR="009458ED" w:rsidRDefault="009458E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7BE0296A" w:rsidR="001B4644" w:rsidRPr="00FE53BE" w:rsidRDefault="001B4644" w:rsidP="00FE53BE">
        <w:pPr>
          <w:pStyle w:val="Sinespaciado"/>
          <w:rPr>
            <w:lang w:val="es-CR"/>
          </w:rPr>
        </w:pPr>
        <w:r w:rsidRPr="002E52DF">
          <w:rPr>
            <w:rFonts w:ascii="Agency FB" w:hAnsi="Agency FB"/>
            <w:b/>
            <w:color w:val="E36C0A"/>
          </w:rPr>
          <w:t>____________________________________________________________________________________________</w:t>
        </w:r>
      </w:p>
      <w:p w14:paraId="6BF636CD" w14:textId="61A1BE0B" w:rsidR="001B4644" w:rsidRDefault="001B4644" w:rsidP="002E52DF">
        <w:pPr>
          <w:pStyle w:val="Sinespaciado"/>
          <w:rPr>
            <w:rFonts w:ascii="Agency FB" w:hAnsi="Agency FB"/>
            <w:b/>
            <w:color w:val="E36C0A"/>
          </w:rPr>
        </w:pPr>
        <w:r w:rsidRPr="000A5624">
          <w:rPr>
            <w:rFonts w:ascii="Agency FB" w:hAnsi="Agency FB"/>
            <w:b/>
            <w:color w:val="E36C0A"/>
          </w:rPr>
          <w:t>Satisfacción estudiantil de un servicio complementario: un estudio de percepción en una Institución de educación superior pública en Ecuador</w:t>
        </w:r>
      </w:p>
      <w:p w14:paraId="2EF245E8" w14:textId="6BA01C9E" w:rsidR="001B4644" w:rsidRPr="00C8696A" w:rsidRDefault="001B4644" w:rsidP="0020679D">
        <w:pPr>
          <w:pStyle w:val="Sinespaciado"/>
          <w:jc w:val="center"/>
          <w:rPr>
            <w:rFonts w:ascii="Agency FB" w:hAnsi="Agency FB"/>
            <w:color w:val="E36C0A"/>
            <w:lang w:val="es-CR"/>
          </w:rPr>
        </w:pPr>
        <w:r w:rsidRPr="00C8696A">
          <w:rPr>
            <w:rFonts w:ascii="Agency FB" w:hAnsi="Agency FB"/>
            <w:color w:val="E36C0A"/>
            <w:lang w:val="es-CR"/>
          </w:rPr>
          <w:t>Luis-Guillermo Vega-Romero y Milton Barragán-Landy</w:t>
        </w:r>
      </w:p>
      <w:p w14:paraId="1F70B1D2" w14:textId="3C8FEF2A" w:rsidR="001B4644" w:rsidRPr="005953BF" w:rsidRDefault="001B4644" w:rsidP="0020679D">
        <w:pPr>
          <w:pStyle w:val="Sinespaciado"/>
          <w:jc w:val="center"/>
          <w:rPr>
            <w:rFonts w:ascii="Agency FB" w:hAnsi="Agency FB"/>
            <w:color w:val="E36C0A"/>
            <w:lang w:val="en-US"/>
          </w:rPr>
        </w:pPr>
        <w:r w:rsidRPr="00C8696A">
          <w:rPr>
            <w:rFonts w:ascii="Agency FB" w:hAnsi="Agency FB"/>
            <w:color w:val="E36C0A"/>
            <w:lang w:val="en-US"/>
          </w:rPr>
          <w:t xml:space="preserve">DOI: </w:t>
        </w:r>
        <w:r w:rsidR="009458ED">
          <w:fldChar w:fldCharType="begin"/>
        </w:r>
        <w:r w:rsidR="009458ED" w:rsidRPr="00470139">
          <w:rPr>
            <w:lang w:val="en-US"/>
          </w:rPr>
          <w:instrText xml:space="preserve"> HYPERLINK "http://dx.doi.org/10.22458/caes.v15i2.5427" </w:instrText>
        </w:r>
        <w:r w:rsidR="009458ED">
          <w:fldChar w:fldCharType="separate"/>
        </w:r>
        <w:r w:rsidRPr="005B072F">
          <w:rPr>
            <w:rStyle w:val="Hipervnculo"/>
            <w:rFonts w:ascii="Agency FB" w:hAnsi="Agency FB"/>
            <w:lang w:val="en-US"/>
          </w:rPr>
          <w:t>http://dx.doi.org/10.22458/caes.v15i2.5427</w:t>
        </w:r>
        <w:r w:rsidR="009458ED">
          <w:rPr>
            <w:rStyle w:val="Hipervnculo"/>
            <w:rFonts w:ascii="Agency FB" w:hAnsi="Agency FB"/>
            <w:lang w:val="en-US"/>
          </w:rPr>
          <w:fldChar w:fldCharType="end"/>
        </w:r>
      </w:p>
      <w:p w14:paraId="416290C8" w14:textId="17170D1B" w:rsidR="001B4644" w:rsidRPr="0066186F" w:rsidRDefault="001B4644"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1B4644" w:rsidRPr="0066186F" w:rsidRDefault="001B4644"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3F5133F0" w14:textId="6E2159C7" w:rsidR="001B4644" w:rsidRDefault="001B4644">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1B4644" w:rsidRPr="0020679D" w:rsidRDefault="001B4644">
    <w:pPr>
      <w:pStyle w:val="Piedepgina"/>
      <w:rPr>
        <w:lang w:val="es-ES_tradnl"/>
      </w:rPr>
    </w:pPr>
  </w:p>
  <w:p w14:paraId="0AF217DA" w14:textId="77777777" w:rsidR="001B4644" w:rsidRDefault="001B4644"/>
  <w:p w14:paraId="00EBA497" w14:textId="77777777" w:rsidR="001B4644" w:rsidRDefault="001B4644"/>
  <w:p w14:paraId="632D3C7A" w14:textId="77777777" w:rsidR="001B4644" w:rsidRDefault="001B4644"/>
  <w:p w14:paraId="09A3FC6A" w14:textId="77777777" w:rsidR="001B4644" w:rsidRDefault="001B4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3DE96" w14:textId="77777777" w:rsidR="009458ED" w:rsidRDefault="009458ED" w:rsidP="003C3F58">
      <w:r>
        <w:separator/>
      </w:r>
    </w:p>
  </w:footnote>
  <w:footnote w:type="continuationSeparator" w:id="0">
    <w:p w14:paraId="46A8C40B" w14:textId="77777777" w:rsidR="009458ED" w:rsidRDefault="009458ED" w:rsidP="003C3F58">
      <w:r>
        <w:continuationSeparator/>
      </w:r>
    </w:p>
  </w:footnote>
  <w:footnote w:id="1">
    <w:p w14:paraId="7F83BD30" w14:textId="51A68101" w:rsidR="001B4644" w:rsidRPr="00E536F3" w:rsidRDefault="001B4644" w:rsidP="00A82B98">
      <w:pPr>
        <w:rPr>
          <w:rFonts w:ascii="Arial" w:hAnsi="Arial" w:cs="Arial"/>
          <w:sz w:val="20"/>
          <w:szCs w:val="20"/>
          <w:lang w:val="es-EC" w:eastAsia="es-CR"/>
        </w:rPr>
      </w:pPr>
      <w:r w:rsidRPr="00E536F3">
        <w:rPr>
          <w:rStyle w:val="Refdenotaalpie"/>
          <w:rFonts w:ascii="Arial" w:eastAsia="Arial" w:hAnsi="Arial" w:cs="Arial"/>
          <w:sz w:val="20"/>
          <w:szCs w:val="20"/>
        </w:rPr>
        <w:footnoteRef/>
      </w:r>
      <w:r w:rsidRPr="00E536F3">
        <w:rPr>
          <w:rFonts w:ascii="Arial" w:hAnsi="Arial" w:cs="Arial"/>
          <w:sz w:val="20"/>
          <w:szCs w:val="20"/>
        </w:rPr>
        <w:t xml:space="preserve"> Ingeniero industrial, Universidad de Cuenca,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E536F3">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E536F3">
        <w:rPr>
          <w:rFonts w:ascii="Arial" w:hAnsi="Arial" w:cs="Arial"/>
          <w:sz w:val="20"/>
          <w:szCs w:val="20"/>
          <w:lang w:eastAsia="es-CR"/>
        </w:rPr>
        <w:t xml:space="preserve"> </w:t>
      </w:r>
      <w:hyperlink r:id="rId2" w:history="1">
        <w:r w:rsidRPr="00E536F3">
          <w:rPr>
            <w:rStyle w:val="Hipervnculo"/>
            <w:rFonts w:ascii="Arial" w:hAnsi="Arial" w:cs="Arial"/>
            <w:color w:val="auto"/>
            <w:sz w:val="20"/>
            <w:szCs w:val="20"/>
            <w:u w:val="none"/>
            <w:lang w:val="es-EC" w:eastAsia="es-CR"/>
          </w:rPr>
          <w:t>https://orcid.org/0000-0002-9743-6737</w:t>
        </w:r>
      </w:hyperlink>
    </w:p>
  </w:footnote>
  <w:footnote w:id="2">
    <w:p w14:paraId="55D06AB4" w14:textId="507DEDC4" w:rsidR="001B4644" w:rsidRPr="0040354F" w:rsidRDefault="001B4644" w:rsidP="009504E6">
      <w:pPr>
        <w:rPr>
          <w:rFonts w:ascii="Arial" w:hAnsi="Arial" w:cs="Arial"/>
          <w:bCs/>
          <w:color w:val="000000" w:themeColor="text1"/>
          <w:sz w:val="18"/>
          <w:szCs w:val="18"/>
          <w:lang w:val="en-US"/>
        </w:rPr>
      </w:pPr>
      <w:r w:rsidRPr="00E536F3">
        <w:rPr>
          <w:rStyle w:val="Refdenotaalpie"/>
          <w:rFonts w:ascii="Arial" w:eastAsia="Arial" w:hAnsi="Arial" w:cs="Arial"/>
          <w:sz w:val="20"/>
          <w:szCs w:val="20"/>
        </w:rPr>
        <w:footnoteRef/>
      </w:r>
      <w:r w:rsidRPr="00E536F3">
        <w:rPr>
          <w:rFonts w:ascii="Arial" w:hAnsi="Arial" w:cs="Arial"/>
          <w:sz w:val="20"/>
          <w:szCs w:val="20"/>
          <w:lang w:val="en-US"/>
        </w:rPr>
        <w:t xml:space="preserve"> PhD in Industrial and Systems Engineering, </w:t>
      </w:r>
      <w:r w:rsidRPr="00E536F3">
        <w:rPr>
          <w:rFonts w:ascii="Arial" w:hAnsi="Arial" w:cs="Arial"/>
          <w:noProof/>
          <w:sz w:val="20"/>
          <w:szCs w:val="20"/>
          <w:lang w:eastAsia="es-CR"/>
        </w:rPr>
        <w:drawing>
          <wp:inline distT="0" distB="0" distL="0" distR="0" wp14:anchorId="7543CF45" wp14:editId="457378F6">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36F3">
        <w:rPr>
          <w:rFonts w:ascii="Arial" w:hAnsi="Arial" w:cs="Arial"/>
          <w:sz w:val="20"/>
          <w:szCs w:val="20"/>
          <w:lang w:val="en-US"/>
        </w:rPr>
        <w:t xml:space="preserve"> </w:t>
      </w:r>
      <w:r w:rsidR="009458ED">
        <w:fldChar w:fldCharType="begin"/>
      </w:r>
      <w:r w:rsidR="009458ED" w:rsidRPr="00470139">
        <w:rPr>
          <w:lang w:val="en-US"/>
        </w:rPr>
        <w:instrText xml:space="preserve"> HYPERLINK "https://orcid.org/0000-0003-4623-6150" </w:instrText>
      </w:r>
      <w:r w:rsidR="009458ED">
        <w:fldChar w:fldCharType="separate"/>
      </w:r>
      <w:r w:rsidRPr="00E536F3">
        <w:rPr>
          <w:rStyle w:val="Hipervnculo"/>
          <w:rFonts w:ascii="Arial" w:hAnsi="Arial" w:cs="Arial"/>
          <w:bCs/>
          <w:color w:val="auto"/>
          <w:sz w:val="20"/>
          <w:szCs w:val="20"/>
          <w:u w:val="none"/>
          <w:lang w:val="en-US"/>
        </w:rPr>
        <w:t>https://orcid.org/0000-0003-4623-6150</w:t>
      </w:r>
      <w:r w:rsidR="009458ED">
        <w:rPr>
          <w:rStyle w:val="Hipervnculo"/>
          <w:rFonts w:ascii="Arial" w:hAnsi="Arial" w:cs="Arial"/>
          <w:bCs/>
          <w:color w:val="auto"/>
          <w:sz w:val="20"/>
          <w:szCs w:val="20"/>
          <w:u w:val="none"/>
          <w:lang w:val="en-U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76F3E59" w:rsidR="001B4644" w:rsidRPr="008A1766" w:rsidRDefault="001B4644" w:rsidP="008A1766">
    <w:pPr>
      <w:pStyle w:val="Sinespaciado"/>
      <w:jc w:val="center"/>
      <w:rPr>
        <w:rFonts w:ascii="Agency FB" w:hAnsi="Agency FB"/>
        <w:color w:val="E36C0A"/>
        <w:sz w:val="22"/>
        <w:szCs w:val="22"/>
      </w:rPr>
    </w:pPr>
    <w:bookmarkStart w:id="13"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JUNIO-NOVIEMBRE,2024</w:t>
    </w:r>
    <w:r w:rsidRPr="00052F90">
      <w:rPr>
        <w:rFonts w:ascii="Agency FB" w:hAnsi="Agency FB"/>
        <w:color w:val="E36C0A"/>
        <w:sz w:val="22"/>
        <w:szCs w:val="22"/>
      </w:rPr>
      <w:t>: 232-</w:t>
    </w:r>
    <w:r w:rsidR="00052F90" w:rsidRPr="00052F90">
      <w:rPr>
        <w:rFonts w:ascii="Agency FB" w:hAnsi="Agency FB"/>
        <w:color w:val="E36C0A"/>
        <w:sz w:val="22"/>
        <w:szCs w:val="22"/>
      </w:rPr>
      <w:t>280</w:t>
    </w:r>
  </w:p>
  <w:p w14:paraId="505074AE" w14:textId="4D68327B" w:rsidR="001B4644" w:rsidRPr="00FE0969" w:rsidRDefault="001B4644"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1B4644" w:rsidRPr="0081623B" w:rsidRDefault="009458ED" w:rsidP="00A82B98">
    <w:pPr>
      <w:pStyle w:val="Sinespaciado"/>
      <w:jc w:val="center"/>
      <w:rPr>
        <w:rFonts w:ascii="Agency FB" w:hAnsi="Agency FB"/>
        <w:color w:val="E36C0A"/>
      </w:rPr>
    </w:pPr>
    <w:hyperlink r:id="rId2" w:history="1">
      <w:r w:rsidR="001B4644" w:rsidRPr="0081623B">
        <w:rPr>
          <w:color w:val="E36C0A"/>
        </w:rPr>
        <w:t>http://revistas.uned.ac.cr./index.php/revistacalidad</w:t>
      </w:r>
    </w:hyperlink>
  </w:p>
  <w:p w14:paraId="3F557B39" w14:textId="77777777" w:rsidR="001B4644" w:rsidRPr="0081623B" w:rsidRDefault="001B4644"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1B4644" w:rsidRDefault="001B4644"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65D9EF25" w14:textId="77777777" w:rsidR="001B4644" w:rsidRDefault="001B46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6EC"/>
    <w:multiLevelType w:val="hybridMultilevel"/>
    <w:tmpl w:val="6D8E7466"/>
    <w:lvl w:ilvl="0" w:tplc="9620AF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1"/>
  </w:num>
  <w:num w:numId="4">
    <w:abstractNumId w:val="25"/>
  </w:num>
  <w:num w:numId="5">
    <w:abstractNumId w:val="3"/>
  </w:num>
  <w:num w:numId="6">
    <w:abstractNumId w:val="24"/>
  </w:num>
  <w:num w:numId="7">
    <w:abstractNumId w:val="40"/>
  </w:num>
  <w:num w:numId="8">
    <w:abstractNumId w:val="15"/>
  </w:num>
  <w:num w:numId="9">
    <w:abstractNumId w:val="31"/>
  </w:num>
  <w:num w:numId="10">
    <w:abstractNumId w:val="22"/>
  </w:num>
  <w:num w:numId="11">
    <w:abstractNumId w:val="1"/>
  </w:num>
  <w:num w:numId="12">
    <w:abstractNumId w:val="39"/>
  </w:num>
  <w:num w:numId="13">
    <w:abstractNumId w:val="28"/>
  </w:num>
  <w:num w:numId="14">
    <w:abstractNumId w:val="5"/>
  </w:num>
  <w:num w:numId="15">
    <w:abstractNumId w:val="14"/>
  </w:num>
  <w:num w:numId="16">
    <w:abstractNumId w:val="8"/>
  </w:num>
  <w:num w:numId="17">
    <w:abstractNumId w:val="10"/>
  </w:num>
  <w:num w:numId="18">
    <w:abstractNumId w:val="32"/>
  </w:num>
  <w:num w:numId="19">
    <w:abstractNumId w:val="9"/>
  </w:num>
  <w:num w:numId="20">
    <w:abstractNumId w:val="30"/>
  </w:num>
  <w:num w:numId="21">
    <w:abstractNumId w:val="2"/>
  </w:num>
  <w:num w:numId="22">
    <w:abstractNumId w:val="7"/>
  </w:num>
  <w:num w:numId="23">
    <w:abstractNumId w:val="4"/>
  </w:num>
  <w:num w:numId="24">
    <w:abstractNumId w:val="13"/>
  </w:num>
  <w:num w:numId="25">
    <w:abstractNumId w:val="42"/>
  </w:num>
  <w:num w:numId="26">
    <w:abstractNumId w:val="38"/>
  </w:num>
  <w:num w:numId="27">
    <w:abstractNumId w:val="12"/>
  </w:num>
  <w:num w:numId="28">
    <w:abstractNumId w:val="17"/>
  </w:num>
  <w:num w:numId="29">
    <w:abstractNumId w:val="29"/>
  </w:num>
  <w:num w:numId="30">
    <w:abstractNumId w:val="19"/>
  </w:num>
  <w:num w:numId="31">
    <w:abstractNumId w:val="11"/>
  </w:num>
  <w:num w:numId="32">
    <w:abstractNumId w:val="41"/>
  </w:num>
  <w:num w:numId="33">
    <w:abstractNumId w:val="26"/>
  </w:num>
  <w:num w:numId="34">
    <w:abstractNumId w:val="18"/>
  </w:num>
  <w:num w:numId="35">
    <w:abstractNumId w:val="35"/>
  </w:num>
  <w:num w:numId="36">
    <w:abstractNumId w:val="23"/>
  </w:num>
  <w:num w:numId="37">
    <w:abstractNumId w:val="6"/>
  </w:num>
  <w:num w:numId="38">
    <w:abstractNumId w:val="20"/>
  </w:num>
  <w:num w:numId="39">
    <w:abstractNumId w:val="34"/>
  </w:num>
  <w:num w:numId="40">
    <w:abstractNumId w:val="27"/>
  </w:num>
  <w:num w:numId="41">
    <w:abstractNumId w:val="36"/>
  </w:num>
  <w:num w:numId="42">
    <w:abstractNumId w:val="37"/>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0FF0"/>
    <w:rsid w:val="00001E80"/>
    <w:rsid w:val="000032FD"/>
    <w:rsid w:val="00006F80"/>
    <w:rsid w:val="000079D2"/>
    <w:rsid w:val="0001120A"/>
    <w:rsid w:val="00014278"/>
    <w:rsid w:val="00015D9E"/>
    <w:rsid w:val="00016045"/>
    <w:rsid w:val="0001748B"/>
    <w:rsid w:val="0001780B"/>
    <w:rsid w:val="00017E6D"/>
    <w:rsid w:val="00021F05"/>
    <w:rsid w:val="00021FBC"/>
    <w:rsid w:val="0002238C"/>
    <w:rsid w:val="00024251"/>
    <w:rsid w:val="00025A7E"/>
    <w:rsid w:val="00026707"/>
    <w:rsid w:val="0003520A"/>
    <w:rsid w:val="00036860"/>
    <w:rsid w:val="00041B5C"/>
    <w:rsid w:val="00041F99"/>
    <w:rsid w:val="00046D6E"/>
    <w:rsid w:val="00050CBC"/>
    <w:rsid w:val="00051755"/>
    <w:rsid w:val="00051E67"/>
    <w:rsid w:val="00052F90"/>
    <w:rsid w:val="000534BC"/>
    <w:rsid w:val="0005594E"/>
    <w:rsid w:val="00057376"/>
    <w:rsid w:val="00057A12"/>
    <w:rsid w:val="00061C1E"/>
    <w:rsid w:val="000660C6"/>
    <w:rsid w:val="0007083E"/>
    <w:rsid w:val="00071E85"/>
    <w:rsid w:val="00073695"/>
    <w:rsid w:val="000749E7"/>
    <w:rsid w:val="00075680"/>
    <w:rsid w:val="00076624"/>
    <w:rsid w:val="00081189"/>
    <w:rsid w:val="00081EA1"/>
    <w:rsid w:val="00084C26"/>
    <w:rsid w:val="00091331"/>
    <w:rsid w:val="00091D68"/>
    <w:rsid w:val="00092706"/>
    <w:rsid w:val="00095A07"/>
    <w:rsid w:val="00097C08"/>
    <w:rsid w:val="00097DE7"/>
    <w:rsid w:val="000A1290"/>
    <w:rsid w:val="000A227F"/>
    <w:rsid w:val="000A22F3"/>
    <w:rsid w:val="000A2A2E"/>
    <w:rsid w:val="000A5624"/>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014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37C75"/>
    <w:rsid w:val="00142E05"/>
    <w:rsid w:val="001438E3"/>
    <w:rsid w:val="00143C3B"/>
    <w:rsid w:val="00144A93"/>
    <w:rsid w:val="001463B8"/>
    <w:rsid w:val="00147093"/>
    <w:rsid w:val="00150640"/>
    <w:rsid w:val="00152545"/>
    <w:rsid w:val="001561AF"/>
    <w:rsid w:val="00156C8F"/>
    <w:rsid w:val="00156FED"/>
    <w:rsid w:val="00160030"/>
    <w:rsid w:val="001624E8"/>
    <w:rsid w:val="001650EE"/>
    <w:rsid w:val="00170F16"/>
    <w:rsid w:val="00171522"/>
    <w:rsid w:val="00172D95"/>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4217"/>
    <w:rsid w:val="001951A4"/>
    <w:rsid w:val="001A0561"/>
    <w:rsid w:val="001A43CA"/>
    <w:rsid w:val="001A5BBC"/>
    <w:rsid w:val="001A5FB1"/>
    <w:rsid w:val="001A6A7E"/>
    <w:rsid w:val="001B0B43"/>
    <w:rsid w:val="001B1F0E"/>
    <w:rsid w:val="001B2F02"/>
    <w:rsid w:val="001B33FD"/>
    <w:rsid w:val="001B38E2"/>
    <w:rsid w:val="001B4644"/>
    <w:rsid w:val="001B49A7"/>
    <w:rsid w:val="001B52E9"/>
    <w:rsid w:val="001C017C"/>
    <w:rsid w:val="001C0FDB"/>
    <w:rsid w:val="001C395C"/>
    <w:rsid w:val="001C77F9"/>
    <w:rsid w:val="001D06ED"/>
    <w:rsid w:val="001D2A22"/>
    <w:rsid w:val="001D437A"/>
    <w:rsid w:val="001D4D18"/>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387C"/>
    <w:rsid w:val="00236788"/>
    <w:rsid w:val="00240604"/>
    <w:rsid w:val="00240D80"/>
    <w:rsid w:val="00241400"/>
    <w:rsid w:val="00243C76"/>
    <w:rsid w:val="00247C59"/>
    <w:rsid w:val="00250302"/>
    <w:rsid w:val="002539E8"/>
    <w:rsid w:val="00253E0B"/>
    <w:rsid w:val="0025487F"/>
    <w:rsid w:val="0025499F"/>
    <w:rsid w:val="00255248"/>
    <w:rsid w:val="0026094D"/>
    <w:rsid w:val="002639FE"/>
    <w:rsid w:val="002657AB"/>
    <w:rsid w:val="00270225"/>
    <w:rsid w:val="00270F16"/>
    <w:rsid w:val="002719BB"/>
    <w:rsid w:val="00273001"/>
    <w:rsid w:val="00273226"/>
    <w:rsid w:val="002742B4"/>
    <w:rsid w:val="00274740"/>
    <w:rsid w:val="00274C76"/>
    <w:rsid w:val="00275FC3"/>
    <w:rsid w:val="00280261"/>
    <w:rsid w:val="0028058F"/>
    <w:rsid w:val="00282AEC"/>
    <w:rsid w:val="00282C90"/>
    <w:rsid w:val="00284D6F"/>
    <w:rsid w:val="00285DA3"/>
    <w:rsid w:val="002863C4"/>
    <w:rsid w:val="00286EF8"/>
    <w:rsid w:val="00291424"/>
    <w:rsid w:val="002923A7"/>
    <w:rsid w:val="002977E3"/>
    <w:rsid w:val="002A060D"/>
    <w:rsid w:val="002A467A"/>
    <w:rsid w:val="002A4803"/>
    <w:rsid w:val="002A546A"/>
    <w:rsid w:val="002A5516"/>
    <w:rsid w:val="002A7A61"/>
    <w:rsid w:val="002B0032"/>
    <w:rsid w:val="002B21BA"/>
    <w:rsid w:val="002B24C1"/>
    <w:rsid w:val="002B26BE"/>
    <w:rsid w:val="002B3DFB"/>
    <w:rsid w:val="002B5501"/>
    <w:rsid w:val="002B6304"/>
    <w:rsid w:val="002C1C84"/>
    <w:rsid w:val="002C3F42"/>
    <w:rsid w:val="002D0B75"/>
    <w:rsid w:val="002D21CD"/>
    <w:rsid w:val="002D30E6"/>
    <w:rsid w:val="002D63B3"/>
    <w:rsid w:val="002D7B15"/>
    <w:rsid w:val="002D7BA5"/>
    <w:rsid w:val="002D7FA0"/>
    <w:rsid w:val="002E0F85"/>
    <w:rsid w:val="002E447F"/>
    <w:rsid w:val="002E5006"/>
    <w:rsid w:val="002E52DF"/>
    <w:rsid w:val="002F069B"/>
    <w:rsid w:val="002F0E1A"/>
    <w:rsid w:val="002F4536"/>
    <w:rsid w:val="002F51CC"/>
    <w:rsid w:val="002F541D"/>
    <w:rsid w:val="00300366"/>
    <w:rsid w:val="00301975"/>
    <w:rsid w:val="00302FF9"/>
    <w:rsid w:val="00304107"/>
    <w:rsid w:val="00304343"/>
    <w:rsid w:val="0030625A"/>
    <w:rsid w:val="003072E5"/>
    <w:rsid w:val="003111A0"/>
    <w:rsid w:val="003130A8"/>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AF8"/>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6797C"/>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602"/>
    <w:rsid w:val="003E0A0B"/>
    <w:rsid w:val="003E0BC8"/>
    <w:rsid w:val="003E1C5F"/>
    <w:rsid w:val="003E4CB5"/>
    <w:rsid w:val="003F0481"/>
    <w:rsid w:val="003F44F5"/>
    <w:rsid w:val="003F4747"/>
    <w:rsid w:val="003F57EF"/>
    <w:rsid w:val="00400EA4"/>
    <w:rsid w:val="00403008"/>
    <w:rsid w:val="0040354F"/>
    <w:rsid w:val="00403E7A"/>
    <w:rsid w:val="00404991"/>
    <w:rsid w:val="00410140"/>
    <w:rsid w:val="004105FE"/>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0139"/>
    <w:rsid w:val="00472848"/>
    <w:rsid w:val="00475446"/>
    <w:rsid w:val="00477B8F"/>
    <w:rsid w:val="0048057E"/>
    <w:rsid w:val="00481BCA"/>
    <w:rsid w:val="0048384E"/>
    <w:rsid w:val="00485B80"/>
    <w:rsid w:val="004860FC"/>
    <w:rsid w:val="00491411"/>
    <w:rsid w:val="004969B8"/>
    <w:rsid w:val="00497788"/>
    <w:rsid w:val="004A5542"/>
    <w:rsid w:val="004A60DF"/>
    <w:rsid w:val="004B5ADB"/>
    <w:rsid w:val="004B7156"/>
    <w:rsid w:val="004B722B"/>
    <w:rsid w:val="004B7852"/>
    <w:rsid w:val="004B7B50"/>
    <w:rsid w:val="004C0B85"/>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47FE"/>
    <w:rsid w:val="00515D08"/>
    <w:rsid w:val="00515DC7"/>
    <w:rsid w:val="005213B5"/>
    <w:rsid w:val="005249ED"/>
    <w:rsid w:val="00525FB4"/>
    <w:rsid w:val="00526A25"/>
    <w:rsid w:val="00527687"/>
    <w:rsid w:val="00527ABE"/>
    <w:rsid w:val="00527BEC"/>
    <w:rsid w:val="005300FD"/>
    <w:rsid w:val="0053097E"/>
    <w:rsid w:val="00530CFF"/>
    <w:rsid w:val="0053263A"/>
    <w:rsid w:val="00534225"/>
    <w:rsid w:val="0053666D"/>
    <w:rsid w:val="00541167"/>
    <w:rsid w:val="0054286F"/>
    <w:rsid w:val="005442E2"/>
    <w:rsid w:val="00546E2D"/>
    <w:rsid w:val="00547768"/>
    <w:rsid w:val="0055071D"/>
    <w:rsid w:val="00552769"/>
    <w:rsid w:val="00553DF9"/>
    <w:rsid w:val="00556450"/>
    <w:rsid w:val="00560910"/>
    <w:rsid w:val="00561806"/>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4BE9"/>
    <w:rsid w:val="005B5BEA"/>
    <w:rsid w:val="005B646E"/>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A82"/>
    <w:rsid w:val="00610B37"/>
    <w:rsid w:val="006129EB"/>
    <w:rsid w:val="006133CB"/>
    <w:rsid w:val="00614ADE"/>
    <w:rsid w:val="006158E1"/>
    <w:rsid w:val="00616400"/>
    <w:rsid w:val="00617408"/>
    <w:rsid w:val="0062395B"/>
    <w:rsid w:val="0062566E"/>
    <w:rsid w:val="0062570F"/>
    <w:rsid w:val="006309AF"/>
    <w:rsid w:val="00633A51"/>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1508"/>
    <w:rsid w:val="00672C12"/>
    <w:rsid w:val="00674530"/>
    <w:rsid w:val="0067488E"/>
    <w:rsid w:val="00674942"/>
    <w:rsid w:val="006754BB"/>
    <w:rsid w:val="006775AC"/>
    <w:rsid w:val="00680113"/>
    <w:rsid w:val="0068071A"/>
    <w:rsid w:val="00680985"/>
    <w:rsid w:val="00680F98"/>
    <w:rsid w:val="00683F1B"/>
    <w:rsid w:val="00685627"/>
    <w:rsid w:val="00685A6B"/>
    <w:rsid w:val="00685C02"/>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56EC"/>
    <w:rsid w:val="006A6322"/>
    <w:rsid w:val="006B126A"/>
    <w:rsid w:val="006B47F4"/>
    <w:rsid w:val="006B5776"/>
    <w:rsid w:val="006C170C"/>
    <w:rsid w:val="006C2D94"/>
    <w:rsid w:val="006C3E13"/>
    <w:rsid w:val="006C4E91"/>
    <w:rsid w:val="006C638B"/>
    <w:rsid w:val="006D1379"/>
    <w:rsid w:val="006D1AFF"/>
    <w:rsid w:val="006D40C4"/>
    <w:rsid w:val="006D4368"/>
    <w:rsid w:val="006E1B50"/>
    <w:rsid w:val="006E2B35"/>
    <w:rsid w:val="006E472E"/>
    <w:rsid w:val="006E5984"/>
    <w:rsid w:val="006E6CCD"/>
    <w:rsid w:val="006F55E9"/>
    <w:rsid w:val="007012CF"/>
    <w:rsid w:val="007013D8"/>
    <w:rsid w:val="007053EE"/>
    <w:rsid w:val="007077DC"/>
    <w:rsid w:val="00711661"/>
    <w:rsid w:val="0071178D"/>
    <w:rsid w:val="007118C9"/>
    <w:rsid w:val="0071551E"/>
    <w:rsid w:val="0072045D"/>
    <w:rsid w:val="00720A83"/>
    <w:rsid w:val="00721CD0"/>
    <w:rsid w:val="007220F0"/>
    <w:rsid w:val="0072344A"/>
    <w:rsid w:val="00723D31"/>
    <w:rsid w:val="00723FEB"/>
    <w:rsid w:val="00727ABF"/>
    <w:rsid w:val="007321F5"/>
    <w:rsid w:val="00733199"/>
    <w:rsid w:val="00734975"/>
    <w:rsid w:val="0073623C"/>
    <w:rsid w:val="0073740C"/>
    <w:rsid w:val="007430BA"/>
    <w:rsid w:val="00744BFD"/>
    <w:rsid w:val="00745B70"/>
    <w:rsid w:val="007502E9"/>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2D46"/>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2C03"/>
    <w:rsid w:val="00807AD4"/>
    <w:rsid w:val="00807BCD"/>
    <w:rsid w:val="00814594"/>
    <w:rsid w:val="00822508"/>
    <w:rsid w:val="008325B7"/>
    <w:rsid w:val="00832BEC"/>
    <w:rsid w:val="00832D4D"/>
    <w:rsid w:val="008377E1"/>
    <w:rsid w:val="00842ADC"/>
    <w:rsid w:val="0084340D"/>
    <w:rsid w:val="00843913"/>
    <w:rsid w:val="00843D05"/>
    <w:rsid w:val="008464C6"/>
    <w:rsid w:val="008514C1"/>
    <w:rsid w:val="00851BB2"/>
    <w:rsid w:val="00852F2A"/>
    <w:rsid w:val="00853AAF"/>
    <w:rsid w:val="00854DB2"/>
    <w:rsid w:val="0085549C"/>
    <w:rsid w:val="0085755A"/>
    <w:rsid w:val="00861876"/>
    <w:rsid w:val="008649AB"/>
    <w:rsid w:val="00864B6F"/>
    <w:rsid w:val="00865600"/>
    <w:rsid w:val="00870F4D"/>
    <w:rsid w:val="008736C2"/>
    <w:rsid w:val="00873DD9"/>
    <w:rsid w:val="00875E4B"/>
    <w:rsid w:val="008765EE"/>
    <w:rsid w:val="00876939"/>
    <w:rsid w:val="00880477"/>
    <w:rsid w:val="008804CE"/>
    <w:rsid w:val="00882E05"/>
    <w:rsid w:val="00883D29"/>
    <w:rsid w:val="0088562A"/>
    <w:rsid w:val="00887A7B"/>
    <w:rsid w:val="00896C63"/>
    <w:rsid w:val="00896CBC"/>
    <w:rsid w:val="00897031"/>
    <w:rsid w:val="00897072"/>
    <w:rsid w:val="008972B9"/>
    <w:rsid w:val="008A1766"/>
    <w:rsid w:val="008A3B1E"/>
    <w:rsid w:val="008A7B7E"/>
    <w:rsid w:val="008B0429"/>
    <w:rsid w:val="008B26CA"/>
    <w:rsid w:val="008B354C"/>
    <w:rsid w:val="008B78CD"/>
    <w:rsid w:val="008C08FC"/>
    <w:rsid w:val="008C38EA"/>
    <w:rsid w:val="008C3C7A"/>
    <w:rsid w:val="008C40C9"/>
    <w:rsid w:val="008C7F3C"/>
    <w:rsid w:val="008D6912"/>
    <w:rsid w:val="008D6BF4"/>
    <w:rsid w:val="008D792C"/>
    <w:rsid w:val="008E1E64"/>
    <w:rsid w:val="008E251D"/>
    <w:rsid w:val="008E53D0"/>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58ED"/>
    <w:rsid w:val="009463C5"/>
    <w:rsid w:val="009504E6"/>
    <w:rsid w:val="00951F9C"/>
    <w:rsid w:val="009537BC"/>
    <w:rsid w:val="00953E41"/>
    <w:rsid w:val="00953FDA"/>
    <w:rsid w:val="00954B63"/>
    <w:rsid w:val="00955AE3"/>
    <w:rsid w:val="00957B57"/>
    <w:rsid w:val="009645A3"/>
    <w:rsid w:val="00966C65"/>
    <w:rsid w:val="00967CEE"/>
    <w:rsid w:val="00970866"/>
    <w:rsid w:val="0097396C"/>
    <w:rsid w:val="00974080"/>
    <w:rsid w:val="00976851"/>
    <w:rsid w:val="00980572"/>
    <w:rsid w:val="00981B3A"/>
    <w:rsid w:val="0098224F"/>
    <w:rsid w:val="00983099"/>
    <w:rsid w:val="00986E21"/>
    <w:rsid w:val="00991097"/>
    <w:rsid w:val="00991623"/>
    <w:rsid w:val="0099203B"/>
    <w:rsid w:val="009947C9"/>
    <w:rsid w:val="00994CD1"/>
    <w:rsid w:val="00995263"/>
    <w:rsid w:val="0099684D"/>
    <w:rsid w:val="009A0B29"/>
    <w:rsid w:val="009A24C0"/>
    <w:rsid w:val="009A24D0"/>
    <w:rsid w:val="009A3F86"/>
    <w:rsid w:val="009A5D77"/>
    <w:rsid w:val="009A602B"/>
    <w:rsid w:val="009A72CA"/>
    <w:rsid w:val="009B07EC"/>
    <w:rsid w:val="009B0C9D"/>
    <w:rsid w:val="009B0E60"/>
    <w:rsid w:val="009B32D6"/>
    <w:rsid w:val="009B3DBF"/>
    <w:rsid w:val="009B5613"/>
    <w:rsid w:val="009C2A48"/>
    <w:rsid w:val="009C623F"/>
    <w:rsid w:val="009C72E1"/>
    <w:rsid w:val="009D0F40"/>
    <w:rsid w:val="009D2091"/>
    <w:rsid w:val="009D6880"/>
    <w:rsid w:val="009D6CB0"/>
    <w:rsid w:val="009D7EB4"/>
    <w:rsid w:val="009E0339"/>
    <w:rsid w:val="009E0A47"/>
    <w:rsid w:val="009E17B4"/>
    <w:rsid w:val="009E1C9E"/>
    <w:rsid w:val="009E26F8"/>
    <w:rsid w:val="009E28AA"/>
    <w:rsid w:val="009E301E"/>
    <w:rsid w:val="009E6C6B"/>
    <w:rsid w:val="009E7EBB"/>
    <w:rsid w:val="009F0D19"/>
    <w:rsid w:val="009F10DB"/>
    <w:rsid w:val="009F20EE"/>
    <w:rsid w:val="009F3590"/>
    <w:rsid w:val="009F76D8"/>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0E13"/>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AF7A12"/>
    <w:rsid w:val="00B0281E"/>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53C7"/>
    <w:rsid w:val="00BB66F0"/>
    <w:rsid w:val="00BC0725"/>
    <w:rsid w:val="00BC0A56"/>
    <w:rsid w:val="00BC3BCD"/>
    <w:rsid w:val="00BC4115"/>
    <w:rsid w:val="00BC4D54"/>
    <w:rsid w:val="00BC5D54"/>
    <w:rsid w:val="00BC634D"/>
    <w:rsid w:val="00BD0279"/>
    <w:rsid w:val="00BD07D3"/>
    <w:rsid w:val="00BD1FF2"/>
    <w:rsid w:val="00BD25E2"/>
    <w:rsid w:val="00BD2D5A"/>
    <w:rsid w:val="00BD4163"/>
    <w:rsid w:val="00BD6531"/>
    <w:rsid w:val="00BD6DA1"/>
    <w:rsid w:val="00BE1276"/>
    <w:rsid w:val="00BE1C79"/>
    <w:rsid w:val="00BE4457"/>
    <w:rsid w:val="00BE4806"/>
    <w:rsid w:val="00BE58F6"/>
    <w:rsid w:val="00BE698A"/>
    <w:rsid w:val="00BE77DF"/>
    <w:rsid w:val="00BE7F12"/>
    <w:rsid w:val="00BF0C07"/>
    <w:rsid w:val="00BF1831"/>
    <w:rsid w:val="00BF36FD"/>
    <w:rsid w:val="00BF722D"/>
    <w:rsid w:val="00C011E5"/>
    <w:rsid w:val="00C03587"/>
    <w:rsid w:val="00C04057"/>
    <w:rsid w:val="00C12908"/>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1820"/>
    <w:rsid w:val="00C74527"/>
    <w:rsid w:val="00C74F96"/>
    <w:rsid w:val="00C75E59"/>
    <w:rsid w:val="00C77132"/>
    <w:rsid w:val="00C7717E"/>
    <w:rsid w:val="00C777C5"/>
    <w:rsid w:val="00C822B9"/>
    <w:rsid w:val="00C861A3"/>
    <w:rsid w:val="00C8696A"/>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D7EF9"/>
    <w:rsid w:val="00CE118A"/>
    <w:rsid w:val="00CE7EBD"/>
    <w:rsid w:val="00CF0A7F"/>
    <w:rsid w:val="00CF3F10"/>
    <w:rsid w:val="00CF6195"/>
    <w:rsid w:val="00CF747F"/>
    <w:rsid w:val="00D01C41"/>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55CB"/>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2D9B"/>
    <w:rsid w:val="00DC3156"/>
    <w:rsid w:val="00DC355F"/>
    <w:rsid w:val="00DC3685"/>
    <w:rsid w:val="00DC3E1C"/>
    <w:rsid w:val="00DC47A1"/>
    <w:rsid w:val="00DC6B15"/>
    <w:rsid w:val="00DD01D0"/>
    <w:rsid w:val="00DD0678"/>
    <w:rsid w:val="00DD72DD"/>
    <w:rsid w:val="00DE2B10"/>
    <w:rsid w:val="00DE43FB"/>
    <w:rsid w:val="00DE4737"/>
    <w:rsid w:val="00DE61E0"/>
    <w:rsid w:val="00DF1513"/>
    <w:rsid w:val="00DF2728"/>
    <w:rsid w:val="00E039F7"/>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33D9D"/>
    <w:rsid w:val="00E40710"/>
    <w:rsid w:val="00E40CC5"/>
    <w:rsid w:val="00E40F1E"/>
    <w:rsid w:val="00E4260B"/>
    <w:rsid w:val="00E426AC"/>
    <w:rsid w:val="00E44732"/>
    <w:rsid w:val="00E4522A"/>
    <w:rsid w:val="00E471D0"/>
    <w:rsid w:val="00E47287"/>
    <w:rsid w:val="00E4795D"/>
    <w:rsid w:val="00E50194"/>
    <w:rsid w:val="00E50FAA"/>
    <w:rsid w:val="00E52C0C"/>
    <w:rsid w:val="00E536F3"/>
    <w:rsid w:val="00E54154"/>
    <w:rsid w:val="00E54D9A"/>
    <w:rsid w:val="00E54EE4"/>
    <w:rsid w:val="00E558A1"/>
    <w:rsid w:val="00E562D0"/>
    <w:rsid w:val="00E5693D"/>
    <w:rsid w:val="00E5773F"/>
    <w:rsid w:val="00E57DAE"/>
    <w:rsid w:val="00E60030"/>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01F4"/>
    <w:rsid w:val="00ED3C72"/>
    <w:rsid w:val="00ED4847"/>
    <w:rsid w:val="00EE1709"/>
    <w:rsid w:val="00EE3DF6"/>
    <w:rsid w:val="00EF0AE0"/>
    <w:rsid w:val="00EF2A33"/>
    <w:rsid w:val="00EF2EE0"/>
    <w:rsid w:val="00EF3268"/>
    <w:rsid w:val="00EF3B7F"/>
    <w:rsid w:val="00EF475D"/>
    <w:rsid w:val="00EF6528"/>
    <w:rsid w:val="00EF7504"/>
    <w:rsid w:val="00F01CDD"/>
    <w:rsid w:val="00F031C2"/>
    <w:rsid w:val="00F03615"/>
    <w:rsid w:val="00F04141"/>
    <w:rsid w:val="00F05A8C"/>
    <w:rsid w:val="00F10336"/>
    <w:rsid w:val="00F20DFF"/>
    <w:rsid w:val="00F22026"/>
    <w:rsid w:val="00F24AB8"/>
    <w:rsid w:val="00F258ED"/>
    <w:rsid w:val="00F260DC"/>
    <w:rsid w:val="00F270D0"/>
    <w:rsid w:val="00F33CBE"/>
    <w:rsid w:val="00F34400"/>
    <w:rsid w:val="00F35CCD"/>
    <w:rsid w:val="00F3745C"/>
    <w:rsid w:val="00F37D47"/>
    <w:rsid w:val="00F37D74"/>
    <w:rsid w:val="00F41D31"/>
    <w:rsid w:val="00F423EC"/>
    <w:rsid w:val="00F42B1E"/>
    <w:rsid w:val="00F44955"/>
    <w:rsid w:val="00F44BB9"/>
    <w:rsid w:val="00F45938"/>
    <w:rsid w:val="00F50667"/>
    <w:rsid w:val="00F51894"/>
    <w:rsid w:val="00F53375"/>
    <w:rsid w:val="00F54108"/>
    <w:rsid w:val="00F5739F"/>
    <w:rsid w:val="00F6074D"/>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7255"/>
    <w:rsid w:val="00FC1EF0"/>
    <w:rsid w:val="00FC1F4B"/>
    <w:rsid w:val="00FC5670"/>
    <w:rsid w:val="00FC5B4F"/>
    <w:rsid w:val="00FC6D45"/>
    <w:rsid w:val="00FC7F41"/>
    <w:rsid w:val="00FC7F4E"/>
    <w:rsid w:val="00FD16F0"/>
    <w:rsid w:val="00FD3AFC"/>
    <w:rsid w:val="00FD6359"/>
    <w:rsid w:val="00FE0969"/>
    <w:rsid w:val="00FE3251"/>
    <w:rsid w:val="00FE3841"/>
    <w:rsid w:val="00FE53BE"/>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styleId="Tablanormal4">
    <w:name w:val="Plain Table 4"/>
    <w:basedOn w:val="Tablanormal"/>
    <w:uiPriority w:val="44"/>
    <w:rsid w:val="00CD7EF9"/>
    <w:rPr>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
    <w:name w:val="Tabla normal 41"/>
    <w:basedOn w:val="Tablanormal"/>
    <w:next w:val="Tablanormal4"/>
    <w:uiPriority w:val="44"/>
    <w:rsid w:val="00E039F7"/>
    <w:rPr>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2">
    <w:name w:val="Tabla normal 42"/>
    <w:basedOn w:val="Tablanormal"/>
    <w:next w:val="Tablanormal4"/>
    <w:uiPriority w:val="44"/>
    <w:rsid w:val="00021F05"/>
    <w:rPr>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9F3590"/>
    <w:pPr>
      <w:spacing w:beforeAutospacing="1" w:after="200" w:afterAutospacing="1"/>
      <w:jc w:val="both"/>
    </w:pPr>
    <w:rPr>
      <w:rFonts w:ascii="Arial" w:hAnsi="Arial" w:cs="Arial"/>
      <w:i/>
      <w:iCs/>
      <w:color w:val="44546A" w:themeColor="text2"/>
      <w:sz w:val="18"/>
      <w:szCs w:val="18"/>
      <w:lang w:val="es-EC" w:eastAsia="es-EC"/>
    </w:rPr>
  </w:style>
  <w:style w:type="table" w:customStyle="1" w:styleId="Tablanormal43">
    <w:name w:val="Tabla normal 43"/>
    <w:basedOn w:val="Tablanormal"/>
    <w:next w:val="Tablanormal4"/>
    <w:uiPriority w:val="44"/>
    <w:rsid w:val="00633A51"/>
    <w:rPr>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4">
    <w:name w:val="Tabla normal 44"/>
    <w:basedOn w:val="Tablanormal"/>
    <w:next w:val="Tablanormal4"/>
    <w:uiPriority w:val="44"/>
    <w:rsid w:val="00071E85"/>
    <w:rPr>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s://repositorioacademico.upc.edu.pe/handle/10757/316022" TargetMode="External"/><Relationship Id="rId26" Type="http://schemas.openxmlformats.org/officeDocument/2006/relationships/hyperlink" Target="https://repositorio.uta.edu.ec/handle/123456789/35610" TargetMode="External"/><Relationship Id="rId39" Type="http://schemas.openxmlformats.org/officeDocument/2006/relationships/hyperlink" Target="https://doi.org/10.22201/iisue.20072872e.2024.42.1666" TargetMode="External"/><Relationship Id="rId21" Type="http://schemas.openxmlformats.org/officeDocument/2006/relationships/hyperlink" Target="https://doi.org/10.15366/reice2015.13.2.001" TargetMode="External"/><Relationship Id="rId34" Type="http://schemas.openxmlformats.org/officeDocument/2006/relationships/hyperlink" Target="https://doi.org/10.22201/iisue.20072872e.2021.33.861" TargetMode="External"/><Relationship Id="rId42" Type="http://schemas.openxmlformats.org/officeDocument/2006/relationships/hyperlink" Target="https://doi.org/10.7203/RASE.12.2.13916"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doi.org/10.15517/revedu.v40i1.225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doi.org/10.1177/21582440221096134" TargetMode="External"/><Relationship Id="rId32" Type="http://schemas.openxmlformats.org/officeDocument/2006/relationships/hyperlink" Target="https://www.iesalc.unesco.org/2020/06/03/iesalc-lanza-estudio-sobre-calidad-y-acreditacion-en-la-educacion-superior/" TargetMode="External"/><Relationship Id="rId37" Type="http://schemas.openxmlformats.org/officeDocument/2006/relationships/hyperlink" Target="https://doi.org/10.22201/iisue.20072872e.2016.18.180" TargetMode="External"/><Relationship Id="rId40" Type="http://schemas.openxmlformats.org/officeDocument/2006/relationships/hyperlink" Target="https://doi.org/10.22458/caes.v15i1.4711"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yperlink" Target="https://www.ces.gob.ec/" TargetMode="External"/><Relationship Id="rId28" Type="http://schemas.openxmlformats.org/officeDocument/2006/relationships/hyperlink" Target="http://dx.doi.org/10.4067/S0718-07052011000200006" TargetMode="External"/><Relationship Id="rId36" Type="http://schemas.openxmlformats.org/officeDocument/2006/relationships/hyperlink" Target="https://doi.org/10.22458/caes.v13i2.4087" TargetMode="External"/><Relationship Id="rId10" Type="http://schemas.openxmlformats.org/officeDocument/2006/relationships/endnotes" Target="endnotes.xml"/><Relationship Id="rId19" Type="http://schemas.openxmlformats.org/officeDocument/2006/relationships/hyperlink" Target="https://repositorio.unjfsc.edu.pe/bitstream/handle/20.500.14067/3982/Mirella%20Heidi%20Alor%20Lla&#241;ez.pdf?sequence=1" TargetMode="External"/><Relationship Id="rId31" Type="http://schemas.openxmlformats.org/officeDocument/2006/relationships/hyperlink" Target="https://doi.org/10.22201/iisue.20072872e.2022.36.1189"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hyperlink" Target="https://doi.org/10.22458/caes.v7i2.1599" TargetMode="External"/><Relationship Id="rId27" Type="http://schemas.openxmlformats.org/officeDocument/2006/relationships/hyperlink" Target="https://dialnet.unirioja.es/servlet/articulo?codigo=4731369" TargetMode="External"/><Relationship Id="rId30" Type="http://schemas.openxmlformats.org/officeDocument/2006/relationships/hyperlink" Target="https://doi.org/10.22458/caes.v14i2.4796" TargetMode="External"/><Relationship Id="rId35" Type="http://schemas.openxmlformats.org/officeDocument/2006/relationships/hyperlink" Target="https://doi.org/10.24320/redie.2018.20.1.1347" TargetMode="External"/><Relationship Id="rId43" Type="http://schemas.openxmlformats.org/officeDocument/2006/relationships/hyperlink" Target="https://doi.org/10.1016/j.cya.2016.07.003"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rus.ucf.edu.cu/index.php/rus/article/view/710" TargetMode="External"/><Relationship Id="rId25" Type="http://schemas.openxmlformats.org/officeDocument/2006/relationships/hyperlink" Target="https://www.oas.org/juridico/pdfs/mesicic4_ecu_const.pdf" TargetMode="External"/><Relationship Id="rId33" Type="http://schemas.openxmlformats.org/officeDocument/2006/relationships/hyperlink" Target="https://www.iso.org/obp/ui/" TargetMode="External"/><Relationship Id="rId38" Type="http://schemas.openxmlformats.org/officeDocument/2006/relationships/hyperlink" Target="http://dx.doi.org/10.19137/perspectivas-2022-v12n2a07" TargetMode="External"/><Relationship Id="rId46" Type="http://schemas.openxmlformats.org/officeDocument/2006/relationships/fontTable" Target="fontTable.xml"/><Relationship Id="rId20" Type="http://schemas.openxmlformats.org/officeDocument/2006/relationships/hyperlink" Target="https://doi.org/10.22201/iisue.20072872e.2015.17.162" TargetMode="External"/><Relationship Id="rId41" Type="http://schemas.openxmlformats.org/officeDocument/2006/relationships/hyperlink" Target="https://doi.org/10.14507/epaa.31.768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9743-6737"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81FE5E-6706-4E35-BF02-09F882E5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8836</Words>
  <Characters>48598</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2024-11-21T01:02:00Z</dcterms:created>
  <dcterms:modified xsi:type="dcterms:W3CDTF">2024-11-25T23:21:00Z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