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B8377" w14:textId="731055CB" w:rsidR="00A64FD8" w:rsidRDefault="00A64FD8"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98820249"/>
      <w:bookmarkStart w:id="1" w:name="_Hlk145952311"/>
      <w:r w:rsidRPr="00A64FD8">
        <w:rPr>
          <w:rFonts w:ascii="Arial" w:hAnsi="Arial" w:cs="Arial"/>
          <w:b/>
          <w:bCs/>
          <w:color w:val="C45911" w:themeColor="accent2" w:themeShade="BF"/>
        </w:rPr>
        <w:t>Pantalla o pizarra: análisis comparativo del rendimiento académico y la satisfacción en el aprendizaje del inglés para fines específicos (ESP) en el área de la salud</w:t>
      </w:r>
    </w:p>
    <w:bookmarkEnd w:id="0"/>
    <w:p w14:paraId="54B84860" w14:textId="3CBD7FFD" w:rsidR="00A64FD8" w:rsidRDefault="00A64FD8" w:rsidP="00A82B98">
      <w:pPr>
        <w:pStyle w:val="NormalWeb"/>
        <w:spacing w:before="0" w:beforeAutospacing="0" w:after="0" w:afterAutospacing="0" w:line="360" w:lineRule="auto"/>
        <w:jc w:val="center"/>
        <w:rPr>
          <w:rFonts w:ascii="Arial" w:hAnsi="Arial" w:cs="Arial"/>
          <w:b/>
          <w:bCs/>
          <w:color w:val="C45911" w:themeColor="accent2" w:themeShade="BF"/>
        </w:rPr>
      </w:pPr>
    </w:p>
    <w:p w14:paraId="4CE3E314" w14:textId="3401A7A2" w:rsidR="00A64FD8" w:rsidRPr="00A64FD8" w:rsidRDefault="00A64FD8" w:rsidP="00A82B98">
      <w:pPr>
        <w:pStyle w:val="NormalWeb"/>
        <w:spacing w:before="0" w:beforeAutospacing="0" w:after="0" w:afterAutospacing="0" w:line="360" w:lineRule="auto"/>
        <w:jc w:val="center"/>
        <w:rPr>
          <w:rFonts w:ascii="Arial" w:hAnsi="Arial" w:cs="Arial"/>
          <w:b/>
          <w:bCs/>
          <w:color w:val="C45911" w:themeColor="accent2" w:themeShade="BF"/>
          <w:lang w:val="en-US"/>
        </w:rPr>
      </w:pPr>
      <w:r w:rsidRPr="00A64FD8">
        <w:rPr>
          <w:rFonts w:ascii="Arial" w:hAnsi="Arial" w:cs="Arial"/>
          <w:b/>
          <w:bCs/>
          <w:color w:val="C45911" w:themeColor="accent2" w:themeShade="BF"/>
          <w:lang w:val="en-US"/>
        </w:rPr>
        <w:t>Screen or whiteboard: comparative analysis of academic performance and satisfaction in learning English for Specific Purposes (ESP) in the health area</w:t>
      </w:r>
    </w:p>
    <w:bookmarkEnd w:id="1"/>
    <w:p w14:paraId="0C40EE4B" w14:textId="77777777" w:rsidR="00415D4A" w:rsidRPr="00A8037A" w:rsidRDefault="00415D4A" w:rsidP="00A82B98">
      <w:pPr>
        <w:pStyle w:val="NormalWeb"/>
        <w:spacing w:before="0" w:beforeAutospacing="0" w:after="0" w:afterAutospacing="0" w:line="276" w:lineRule="auto"/>
        <w:jc w:val="right"/>
        <w:rPr>
          <w:rFonts w:ascii="Arial" w:hAnsi="Arial" w:cs="Arial"/>
          <w:lang w:val="en-US"/>
        </w:rPr>
      </w:pPr>
    </w:p>
    <w:p w14:paraId="15395EE9" w14:textId="24E55029" w:rsidR="00A82B98" w:rsidRPr="00B55452" w:rsidRDefault="00C57C4D" w:rsidP="00A82B98">
      <w:pPr>
        <w:pStyle w:val="NormalWeb"/>
        <w:spacing w:before="0" w:beforeAutospacing="0" w:after="0" w:afterAutospacing="0" w:line="276" w:lineRule="auto"/>
        <w:jc w:val="right"/>
        <w:rPr>
          <w:rFonts w:ascii="Arial" w:hAnsi="Arial" w:cs="Arial"/>
        </w:rPr>
      </w:pPr>
      <w:r w:rsidRPr="00C57C4D">
        <w:rPr>
          <w:rFonts w:ascii="Arial" w:hAnsi="Arial" w:cs="Arial"/>
        </w:rPr>
        <w:t>Hazel Alfaro</w:t>
      </w:r>
      <w:r>
        <w:rPr>
          <w:rFonts w:ascii="Arial" w:hAnsi="Arial" w:cs="Arial"/>
        </w:rPr>
        <w:t>-</w:t>
      </w:r>
      <w:r w:rsidRPr="00C57C4D">
        <w:rPr>
          <w:rFonts w:ascii="Arial" w:hAnsi="Arial" w:cs="Arial"/>
        </w:rPr>
        <w:t>Salas</w:t>
      </w:r>
      <w:r w:rsidR="00A82B98" w:rsidRPr="00B55452">
        <w:rPr>
          <w:rStyle w:val="Refdenotaalpie"/>
          <w:rFonts w:ascii="Arial" w:eastAsia="Arial" w:hAnsi="Arial" w:cs="Arial"/>
        </w:rPr>
        <w:footnoteReference w:id="1"/>
      </w:r>
    </w:p>
    <w:p w14:paraId="54FACEFC" w14:textId="70CFCB7C"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sidR="004F6716">
        <w:rPr>
          <w:rFonts w:ascii="Arial" w:hAnsi="Arial" w:cs="Arial"/>
        </w:rPr>
        <w:t>de Costa Rica</w:t>
      </w:r>
    </w:p>
    <w:p w14:paraId="34E3782F" w14:textId="755365CC" w:rsidR="00A82B98" w:rsidRPr="00B55452" w:rsidRDefault="004F6716"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Costa Rica</w:t>
      </w:r>
    </w:p>
    <w:p w14:paraId="1586665D" w14:textId="5266A6CE" w:rsidR="00A82B98" w:rsidRPr="000D7954" w:rsidRDefault="000D2E50" w:rsidP="00215374">
      <w:pPr>
        <w:spacing w:line="240" w:lineRule="atLeast"/>
        <w:jc w:val="right"/>
        <w:rPr>
          <w:rFonts w:ascii="Arial" w:hAnsi="Arial" w:cs="Arial"/>
          <w:color w:val="002060"/>
          <w:lang w:val="es-MX" w:eastAsia="es-PE"/>
        </w:rPr>
      </w:pPr>
      <w:hyperlink r:id="rId11" w:history="1">
        <w:r w:rsidR="00215374" w:rsidRPr="000D7954">
          <w:rPr>
            <w:rStyle w:val="Hipervnculo"/>
            <w:rFonts w:ascii="Arial" w:hAnsi="Arial" w:cs="Arial"/>
            <w:color w:val="002060"/>
            <w:lang w:val="es-MX"/>
          </w:rPr>
          <w:t>hazel.alfaro.salas@ucr.ac.cr</w:t>
        </w:r>
      </w:hyperlink>
      <w:r w:rsidR="00A82B98" w:rsidRPr="000D7954">
        <w:rPr>
          <w:rStyle w:val="Hipervnculo"/>
          <w:rFonts w:ascii="Arial" w:hAnsi="Arial" w:cs="Arial"/>
          <w:color w:val="002060"/>
        </w:rPr>
        <w:t xml:space="preserve"> </w:t>
      </w:r>
    </w:p>
    <w:p w14:paraId="6011B59B" w14:textId="77777777" w:rsidR="00A82B98" w:rsidRPr="000D7954" w:rsidRDefault="00A82B98" w:rsidP="00A82B98">
      <w:pPr>
        <w:pStyle w:val="NormalWeb"/>
        <w:spacing w:before="0" w:beforeAutospacing="0" w:after="0" w:afterAutospacing="0" w:line="276" w:lineRule="auto"/>
        <w:rPr>
          <w:rFonts w:ascii="Arial" w:hAnsi="Arial" w:cs="Arial"/>
          <w:color w:val="002060"/>
        </w:rPr>
      </w:pPr>
      <w:r w:rsidRPr="000D7954">
        <w:rPr>
          <w:rFonts w:ascii="Arial" w:hAnsi="Arial" w:cs="Arial"/>
          <w:color w:val="002060"/>
        </w:rPr>
        <w:t xml:space="preserve">  </w:t>
      </w:r>
    </w:p>
    <w:p w14:paraId="319F6C9B" w14:textId="77777777" w:rsidR="00A82B98" w:rsidRPr="000D7954"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56FD5CBB" w:rsidR="00A82B98" w:rsidRPr="000D7954" w:rsidRDefault="00A82B98" w:rsidP="00A82B98">
      <w:pPr>
        <w:tabs>
          <w:tab w:val="left" w:pos="5865"/>
        </w:tabs>
        <w:jc w:val="center"/>
        <w:rPr>
          <w:rFonts w:ascii="Arial" w:hAnsi="Arial" w:cs="Arial"/>
          <w:bCs/>
          <w:color w:val="002060"/>
          <w:u w:val="single"/>
          <w:lang w:val="en-US"/>
        </w:rPr>
      </w:pPr>
      <w:r w:rsidRPr="000D7954">
        <w:rPr>
          <w:rFonts w:ascii="Arial" w:hAnsi="Arial" w:cs="Arial"/>
          <w:bCs/>
          <w:color w:val="002060"/>
          <w:u w:val="single"/>
          <w:lang w:val="en-US"/>
        </w:rPr>
        <w:t>DOI: http://dx.doi.org/10.22458/caes.v1</w:t>
      </w:r>
      <w:r w:rsidR="00B344FA" w:rsidRPr="000D7954">
        <w:rPr>
          <w:rFonts w:ascii="Arial" w:hAnsi="Arial" w:cs="Arial"/>
          <w:bCs/>
          <w:color w:val="002060"/>
          <w:u w:val="single"/>
          <w:lang w:val="en-US"/>
        </w:rPr>
        <w:t>6</w:t>
      </w:r>
      <w:r w:rsidRPr="000D7954">
        <w:rPr>
          <w:rFonts w:ascii="Arial" w:hAnsi="Arial" w:cs="Arial"/>
          <w:bCs/>
          <w:color w:val="002060"/>
          <w:u w:val="single"/>
          <w:lang w:val="en-US"/>
        </w:rPr>
        <w:t>i</w:t>
      </w:r>
      <w:r w:rsidR="009B093A" w:rsidRPr="000D7954">
        <w:rPr>
          <w:rFonts w:ascii="Arial" w:hAnsi="Arial" w:cs="Arial"/>
          <w:bCs/>
          <w:color w:val="002060"/>
          <w:u w:val="single"/>
          <w:lang w:val="en-US"/>
        </w:rPr>
        <w:t>1</w:t>
      </w:r>
      <w:r w:rsidRPr="000D7954">
        <w:rPr>
          <w:rFonts w:ascii="Arial" w:hAnsi="Arial" w:cs="Arial"/>
          <w:bCs/>
          <w:color w:val="002060"/>
          <w:u w:val="single"/>
          <w:lang w:val="en-US"/>
        </w:rPr>
        <w:t>.</w:t>
      </w:r>
      <w:r w:rsidR="001D0E42" w:rsidRPr="000D7954">
        <w:rPr>
          <w:rFonts w:ascii="Arial" w:hAnsi="Arial" w:cs="Arial"/>
          <w:bCs/>
          <w:color w:val="002060"/>
          <w:u w:val="single"/>
          <w:lang w:val="en-US"/>
        </w:rPr>
        <w:t>5446</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2333FD02"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1D0E42" w:rsidRPr="001D0E42">
        <w:rPr>
          <w:rFonts w:ascii="Arial" w:hAnsi="Arial" w:cs="Arial"/>
          <w:bCs/>
        </w:rPr>
        <w:t>01</w:t>
      </w:r>
      <w:r w:rsidRPr="001D0E42">
        <w:rPr>
          <w:rFonts w:ascii="Arial" w:hAnsi="Arial" w:cs="Arial"/>
          <w:bCs/>
        </w:rPr>
        <w:t>-</w:t>
      </w:r>
      <w:r w:rsidR="00ED7554">
        <w:rPr>
          <w:rFonts w:ascii="Arial" w:hAnsi="Arial" w:cs="Arial"/>
          <w:bCs/>
        </w:rPr>
        <w:t>49</w:t>
      </w:r>
    </w:p>
    <w:p w14:paraId="2C811F73" w14:textId="77777777" w:rsidR="00063B82" w:rsidRDefault="00063B82" w:rsidP="0020679D">
      <w:pPr>
        <w:tabs>
          <w:tab w:val="left" w:pos="5865"/>
        </w:tabs>
        <w:spacing w:line="276" w:lineRule="auto"/>
        <w:rPr>
          <w:rFonts w:ascii="Arial" w:hAnsi="Arial" w:cs="Arial"/>
          <w:bCs/>
        </w:rPr>
      </w:pPr>
      <w:bookmarkStart w:id="10" w:name="_Hlk182838172"/>
    </w:p>
    <w:p w14:paraId="4F01FEC6" w14:textId="77777777" w:rsidR="00063B82" w:rsidRDefault="00063B82" w:rsidP="0020679D">
      <w:pPr>
        <w:tabs>
          <w:tab w:val="left" w:pos="5865"/>
        </w:tabs>
        <w:spacing w:line="276" w:lineRule="auto"/>
        <w:rPr>
          <w:rFonts w:ascii="Arial" w:hAnsi="Arial" w:cs="Arial"/>
          <w:bCs/>
        </w:rPr>
      </w:pPr>
    </w:p>
    <w:p w14:paraId="1591C2AD" w14:textId="70A0419C"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Recibido: 2</w:t>
      </w:r>
      <w:r w:rsidR="00A10142" w:rsidRPr="004246B0">
        <w:rPr>
          <w:rFonts w:ascii="Arial" w:hAnsi="Arial" w:cs="Arial"/>
          <w:bCs/>
        </w:rPr>
        <w:t>4</w:t>
      </w:r>
      <w:r w:rsidRPr="004246B0">
        <w:rPr>
          <w:rFonts w:ascii="Arial" w:hAnsi="Arial" w:cs="Arial"/>
          <w:bCs/>
        </w:rPr>
        <w:t xml:space="preserve"> de </w:t>
      </w:r>
      <w:r w:rsidR="00A10142" w:rsidRPr="004246B0">
        <w:rPr>
          <w:rFonts w:ascii="Arial" w:hAnsi="Arial" w:cs="Arial"/>
          <w:bCs/>
        </w:rPr>
        <w:t>agosto</w:t>
      </w:r>
      <w:r w:rsidRPr="004246B0">
        <w:rPr>
          <w:rFonts w:ascii="Arial" w:hAnsi="Arial" w:cs="Arial"/>
          <w:bCs/>
        </w:rPr>
        <w:t xml:space="preserve"> de 202</w:t>
      </w:r>
      <w:r w:rsidR="00A10142" w:rsidRPr="004246B0">
        <w:rPr>
          <w:rFonts w:ascii="Arial" w:hAnsi="Arial" w:cs="Arial"/>
          <w:bCs/>
        </w:rPr>
        <w:t>4</w:t>
      </w:r>
    </w:p>
    <w:p w14:paraId="13E62770" w14:textId="01D102E8"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10</w:t>
      </w:r>
      <w:r w:rsidRPr="004246B0">
        <w:rPr>
          <w:rFonts w:ascii="Arial" w:hAnsi="Arial" w:cs="Arial"/>
          <w:bCs/>
        </w:rPr>
        <w:t xml:space="preserve"> de </w:t>
      </w:r>
      <w:r w:rsidR="004246B0" w:rsidRPr="004246B0">
        <w:rPr>
          <w:rFonts w:ascii="Arial" w:hAnsi="Arial" w:cs="Arial"/>
          <w:bCs/>
        </w:rPr>
        <w:t>mayo</w:t>
      </w:r>
      <w:r w:rsidRPr="004246B0">
        <w:rPr>
          <w:rFonts w:ascii="Arial" w:hAnsi="Arial" w:cs="Arial"/>
          <w:bCs/>
        </w:rPr>
        <w:t xml:space="preserve"> de 202</w:t>
      </w:r>
      <w:r w:rsidR="004246B0" w:rsidRPr="004246B0">
        <w:rPr>
          <w:rFonts w:ascii="Arial" w:hAnsi="Arial" w:cs="Arial"/>
          <w:bCs/>
        </w:rPr>
        <w:t>5</w:t>
      </w:r>
    </w:p>
    <w:bookmarkEnd w:id="10"/>
    <w:p w14:paraId="5633CCDA" w14:textId="4468F02F" w:rsidR="00770D8B" w:rsidRPr="00770D8B" w:rsidRDefault="00770D8B" w:rsidP="00592E4E">
      <w:pPr>
        <w:keepNext/>
        <w:keepLines/>
        <w:spacing w:before="100" w:beforeAutospacing="1" w:after="100" w:afterAutospacing="1" w:line="360" w:lineRule="auto"/>
        <w:jc w:val="both"/>
        <w:outlineLvl w:val="0"/>
        <w:rPr>
          <w:rFonts w:ascii="Arial" w:eastAsiaTheme="minorHAnsi" w:hAnsi="Arial" w:cs="Arial"/>
          <w:szCs w:val="22"/>
          <w:lang w:val="es-MX" w:eastAsia="es-PE"/>
        </w:rPr>
      </w:pPr>
      <w:r w:rsidRPr="00770D8B">
        <w:rPr>
          <w:rFonts w:ascii="Arial" w:eastAsiaTheme="majorEastAsia" w:hAnsi="Arial" w:cs="Arial"/>
          <w:b/>
          <w:lang w:val="es-MX" w:eastAsia="es-PE"/>
        </w:rPr>
        <w:lastRenderedPageBreak/>
        <w:t>Resumen</w:t>
      </w:r>
      <w:r w:rsidR="001B740D">
        <w:rPr>
          <w:rFonts w:ascii="Arial" w:eastAsiaTheme="majorEastAsia" w:hAnsi="Arial" w:cs="Arial"/>
          <w:b/>
          <w:lang w:val="es-MX" w:eastAsia="es-PE"/>
        </w:rPr>
        <w:t xml:space="preserve">: </w:t>
      </w:r>
      <w:r w:rsidRPr="00770D8B">
        <w:rPr>
          <w:rFonts w:ascii="Arial" w:eastAsiaTheme="minorHAnsi" w:hAnsi="Arial" w:cs="Arial"/>
          <w:szCs w:val="22"/>
          <w:lang w:val="es-MX" w:eastAsia="es-PE"/>
        </w:rPr>
        <w:t>Este estudio comparó el impacto de las modalidades virtual y presencial en el rendimiento académico y la satisfacción de 29 estudiantes de ESP en salud en una universidad de Costa Rica. Utilizando un diseño cuantitativo no experimental, se recolectó información mediante cuestionarios y registros de calificaciones, condición académica y ausencias. Los resultados muestran que la modalidad presencial ofrece mayor estabilidad y consistencia en las calificaciones y menos retiros, mientras que la modalidad virtual presenta mayor dispersión en las calificaciones y desafíos como la falta de participación activa y aislamiento. La modalidad presencial brinda una experiencia más enriquecedora por la interacción directa, mientras que la virtual destaca por su flexibilidad y acceso a recursos educativos. Combinar ambos enfoques podría optimizar la experiencia educativa.</w:t>
      </w:r>
    </w:p>
    <w:p w14:paraId="1C46A8D4" w14:textId="08D31EA8" w:rsidR="00770D8B" w:rsidRPr="00770D8B" w:rsidRDefault="00770D8B" w:rsidP="00592E4E">
      <w:pPr>
        <w:spacing w:before="100" w:beforeAutospacing="1" w:after="100" w:afterAutospacing="1" w:line="360" w:lineRule="auto"/>
        <w:jc w:val="both"/>
        <w:rPr>
          <w:rFonts w:ascii="Arial" w:eastAsiaTheme="minorHAnsi" w:hAnsi="Arial" w:cs="Arial"/>
          <w:szCs w:val="22"/>
          <w:lang w:val="es-MX" w:eastAsia="es-PE"/>
        </w:rPr>
      </w:pPr>
      <w:r w:rsidRPr="00770D8B">
        <w:rPr>
          <w:rFonts w:ascii="Arial" w:eastAsiaTheme="minorHAnsi" w:hAnsi="Arial" w:cs="Arial"/>
          <w:b/>
          <w:szCs w:val="22"/>
          <w:lang w:val="es-MX" w:eastAsia="es-PE"/>
        </w:rPr>
        <w:t>Palabras clave</w:t>
      </w:r>
      <w:r w:rsidRPr="00770D8B">
        <w:rPr>
          <w:rFonts w:ascii="Arial" w:eastAsiaTheme="minorHAnsi" w:hAnsi="Arial" w:cs="Arial"/>
          <w:szCs w:val="22"/>
          <w:lang w:val="es-MX" w:eastAsia="es-PE"/>
        </w:rPr>
        <w:t>: clases virtuales, clases presenciales, rendimiento académico, satisfacción.</w:t>
      </w:r>
    </w:p>
    <w:p w14:paraId="548CDBF8" w14:textId="2BE4EE60" w:rsidR="007B6284" w:rsidRPr="00592E4E" w:rsidRDefault="00770D8B" w:rsidP="00592E4E">
      <w:pPr>
        <w:spacing w:before="100" w:beforeAutospacing="1" w:after="100" w:afterAutospacing="1" w:line="360" w:lineRule="auto"/>
        <w:jc w:val="both"/>
        <w:rPr>
          <w:rFonts w:ascii="Arial" w:eastAsiaTheme="minorHAnsi" w:hAnsi="Arial" w:cs="Arial"/>
          <w:szCs w:val="22"/>
          <w:lang w:val="en-US" w:eastAsia="es-PE"/>
        </w:rPr>
      </w:pPr>
      <w:r w:rsidRPr="00770D8B">
        <w:rPr>
          <w:rFonts w:ascii="Arial" w:eastAsiaTheme="minorHAnsi" w:hAnsi="Arial" w:cs="Arial"/>
          <w:b/>
          <w:szCs w:val="22"/>
          <w:lang w:val="en-US" w:eastAsia="es-PE"/>
        </w:rPr>
        <w:t>Abstract</w:t>
      </w:r>
      <w:r w:rsidR="001B740D">
        <w:rPr>
          <w:rFonts w:ascii="Arial" w:eastAsiaTheme="minorHAnsi" w:hAnsi="Arial" w:cs="Arial"/>
          <w:b/>
          <w:szCs w:val="22"/>
          <w:lang w:val="en-US" w:eastAsia="es-PE"/>
        </w:rPr>
        <w:t xml:space="preserve">: </w:t>
      </w:r>
      <w:r w:rsidRPr="00770D8B">
        <w:rPr>
          <w:rFonts w:ascii="Arial" w:eastAsiaTheme="minorHAnsi" w:hAnsi="Arial" w:cs="Arial"/>
          <w:szCs w:val="22"/>
          <w:lang w:val="en-US" w:eastAsia="es-PE"/>
        </w:rPr>
        <w:t xml:space="preserve">This study compared the impact of virtual and in-person modalities on the academic performance and satisfaction of 29 ESP health students at a university in Costa Rica. Using a non-experimental quantitative design, information was collected through questionnaires and records of grades, academic status, and absences. The results show that the in-person modality offers greater stability and consistency in grades and fewer withdrawals, while the virtual modality presents greater dispersion in grades and challenges such as lack of active participation and isolation. The in-person modality provides a more enriching experience due to direct interaction, </w:t>
      </w:r>
      <w:r w:rsidRPr="00770D8B">
        <w:rPr>
          <w:rFonts w:ascii="Arial" w:eastAsiaTheme="minorHAnsi" w:hAnsi="Arial" w:cs="Arial"/>
          <w:szCs w:val="22"/>
          <w:lang w:val="en-US" w:eastAsia="es-PE"/>
        </w:rPr>
        <w:lastRenderedPageBreak/>
        <w:t>while the virtual modality stands out for its flexibility and access to educational resources. Combining both approaches could optimize the educational experience.</w:t>
      </w:r>
    </w:p>
    <w:p w14:paraId="0EC8FDDE" w14:textId="1B13756F" w:rsidR="00770D8B" w:rsidRPr="00770D8B" w:rsidRDefault="00770D8B" w:rsidP="00592E4E">
      <w:pPr>
        <w:spacing w:before="100" w:beforeAutospacing="1" w:after="100" w:afterAutospacing="1" w:line="360" w:lineRule="auto"/>
        <w:jc w:val="both"/>
        <w:rPr>
          <w:rFonts w:ascii="Arial" w:eastAsiaTheme="minorHAnsi" w:hAnsi="Arial" w:cs="Arial"/>
          <w:szCs w:val="22"/>
          <w:lang w:val="en-US" w:eastAsia="es-PE"/>
        </w:rPr>
      </w:pPr>
      <w:r w:rsidRPr="00770D8B">
        <w:rPr>
          <w:rFonts w:ascii="Arial" w:eastAsiaTheme="minorHAnsi" w:hAnsi="Arial" w:cs="Arial"/>
          <w:b/>
          <w:szCs w:val="22"/>
          <w:lang w:val="en-US" w:eastAsia="es-PE"/>
        </w:rPr>
        <w:t>Keywords</w:t>
      </w:r>
      <w:r w:rsidRPr="00770D8B">
        <w:rPr>
          <w:rFonts w:ascii="Arial" w:eastAsiaTheme="minorHAnsi" w:hAnsi="Arial" w:cs="Arial"/>
          <w:szCs w:val="22"/>
          <w:lang w:val="en-US" w:eastAsia="es-PE"/>
        </w:rPr>
        <w:t>: virtual classes, in-person classes, academic performance, satisfaction.</w:t>
      </w:r>
    </w:p>
    <w:p w14:paraId="4FBFE46C" w14:textId="05836791" w:rsidR="00770D8B" w:rsidRPr="00770D8B" w:rsidRDefault="00770D8B" w:rsidP="00592E4E">
      <w:pPr>
        <w:keepNext/>
        <w:keepLines/>
        <w:spacing w:before="100" w:beforeAutospacing="1" w:after="100" w:afterAutospacing="1" w:line="360" w:lineRule="auto"/>
        <w:jc w:val="both"/>
        <w:outlineLvl w:val="0"/>
        <w:rPr>
          <w:rFonts w:ascii="Arial" w:eastAsiaTheme="majorEastAsia" w:hAnsi="Arial" w:cs="Arial"/>
          <w:b/>
          <w:lang w:val="es-MX" w:eastAsia="es-PE"/>
        </w:rPr>
      </w:pPr>
      <w:r w:rsidRPr="00770D8B">
        <w:rPr>
          <w:rFonts w:ascii="Arial" w:eastAsiaTheme="majorEastAsia" w:hAnsi="Arial" w:cs="Arial"/>
          <w:b/>
          <w:lang w:val="es-MX" w:eastAsia="es-PE"/>
        </w:rPr>
        <w:t>I</w:t>
      </w:r>
      <w:r w:rsidR="007B6284">
        <w:rPr>
          <w:rFonts w:ascii="Arial" w:eastAsiaTheme="majorEastAsia" w:hAnsi="Arial" w:cs="Arial"/>
          <w:b/>
          <w:lang w:val="es-MX" w:eastAsia="es-PE"/>
        </w:rPr>
        <w:t>NTRODUCCIÓN</w:t>
      </w:r>
    </w:p>
    <w:p w14:paraId="0FAAD49C" w14:textId="77777777" w:rsidR="00770D8B" w:rsidRPr="00770D8B" w:rsidRDefault="00770D8B" w:rsidP="001A69C6">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En el ámbito educativo actual, la proliferación de la enseñanza virtual ha generado un debate significativo sobre la efectividad de las modalidades de aprendizaje. Este fenómeno se vio intensificado por la pandemia de Covid-19, que obligó a muchas instituciones a trasladar sus programas académicos al entorno digital. La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{"citationItems":[{"id":"ITEM-1","itemData":{"author":[{"dropping-particle":"","family":"Organización para la Cooperación y el Desarrollo Económico [OCDE]","given":"","non-dropping-particle":"","parse-names":false,"suffix":""}],"id":"ITEM-1","issued":{"date-parts":[["2017"]]},"title":"La educación a distancia en la educación superior en América Latina","type":"article"},"uris":["http://www.mendeley.com/documents/?uuid=13031ffb-36c6-40a0-b205-befd384d8183"]}],"mendeley":{"formattedCitation":"(Organización para la Cooperación y el Desarrollo Económico [OCDE], 2017)","manualFormatting":"Organización para la Cooperación y el Desarrollo Económico [OCDE] (2017)","plainTextFormattedCitation":"(Organización para la Cooperación y el Desarrollo Económico [OCDE], 2017)","previouslyFormattedCitation":"(Organización para la Cooperación y el Desarrollo Económico [OCDE], 2017)"},"properties":{"noteIndex":0},"schema":"https://github.com/citation-style-language/schema/raw/master/csl-citation.json"}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Organización para la Cooperación y el Desarrollo Económico (OCDE, 2017)</w:t>
      </w:r>
      <w:r w:rsidRPr="00770D8B">
        <w:rPr>
          <w:rFonts w:ascii="Arial" w:hAnsi="Arial" w:cs="Arial"/>
          <w:lang w:val="es-VE" w:eastAsia="es-VE"/>
        </w:rPr>
        <w:fldChar w:fldCharType="end"/>
      </w:r>
      <w:r w:rsidRPr="00770D8B">
        <w:rPr>
          <w:rFonts w:ascii="Arial" w:hAnsi="Arial" w:cs="Arial"/>
          <w:lang w:val="es-VE" w:eastAsia="es-VE"/>
        </w:rPr>
        <w:t xml:space="preserve"> señala al respecto que la educación virtual ha crecido considerablemente en los últimos años, mostrando un gran potencial para afrontar los desafíos de la educación superior en América Latina, como la ampliación del acceso, mejoras en la calidad y la conexión con el mercado laboral. Además, ofrece mayor flexibilidad, acceso a la información, rentabilidad y personalización. </w:t>
      </w:r>
    </w:p>
    <w:p w14:paraId="27AB2231" w14:textId="77777777" w:rsidR="00770D8B" w:rsidRPr="00770D8B" w:rsidRDefault="00770D8B" w:rsidP="001A69C6">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La pandemia convirtió la educación a distancia en la única opción para continuar el servicio educativo, aunque muchos países e instituciones no contaban con los recursos necesarios para garantizar su calidad, lo que llevó a calificarla como </w:t>
      </w:r>
      <w:r w:rsidRPr="00770D8B">
        <w:rPr>
          <w:rFonts w:ascii="Arial" w:hAnsi="Arial" w:cs="Arial"/>
          <w:i/>
          <w:lang w:val="es-VE" w:eastAsia="es-VE"/>
        </w:rPr>
        <w:t>educación remota de emergencia</w:t>
      </w:r>
      <w:r w:rsidRPr="00770D8B">
        <w:rPr>
          <w:rFonts w:ascii="Arial" w:hAnsi="Arial" w:cs="Arial"/>
          <w:lang w:val="es-VE" w:eastAsia="es-VE"/>
        </w:rPr>
        <w:t xml:space="preserve">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ISSN":"1390-3306","author":[{"dropping-particle":"","family":"Gonzales","given":"Eduardo","non-dropping-particle":"","parse-names":false,"suffix":""},{"dropping-particle":"","family":"Evaristo","given":"Inés","non-dropping-particle":"","parse-names":false,"suffix":""}],"container-title":"RIED. Revista Iberoamericana de Educación a Distancia","id":"ITEM-1","issue":"2","issued":{"date-parts":[["2021"]]},"page":"189-202","publisher":"Asociación Iberoamericana de Educación Superior a Distancia","title":"Rendimiento académico y deserción de estudiantes universitarios de un curso en modalidad virtual y presencial","type":"article-journal","volume":"24"},"uris":["http://www.mendeley.com/documents/?uuid=1e4fbf1a-e96e-4b5e-bbfe-50e68b05d69f"]}],"mendeley":{"formattedCitation":"(Gonzales &amp; Evaristo, 2021)","plainTextFormattedCitation":"(Gonzales &amp; Evaristo, 2021)","previouslyFormattedCitation":"(Gonzales &amp; Evaristo, 2021)"},"properties":{"noteIndex":0},"schema":"https://github.com/citation-style-language/schema/raw/master/csl-citation.json"}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(Gonzales &amp; Evaristo, 2021)</w:t>
      </w:r>
      <w:r w:rsidRPr="00770D8B">
        <w:rPr>
          <w:rFonts w:ascii="Arial" w:hAnsi="Arial" w:cs="Arial"/>
          <w:lang w:val="es-VE" w:eastAsia="es-VE"/>
        </w:rPr>
        <w:fldChar w:fldCharType="end"/>
      </w:r>
      <w:r w:rsidRPr="00770D8B">
        <w:rPr>
          <w:rFonts w:ascii="Arial" w:hAnsi="Arial" w:cs="Arial"/>
          <w:lang w:val="es-VE" w:eastAsia="es-VE"/>
        </w:rPr>
        <w:t xml:space="preserve">. Después de la crisis sanitaria, la virtualidad se ha consolidado como una modalidad complementaria o </w:t>
      </w:r>
      <w:r w:rsidRPr="00770D8B">
        <w:rPr>
          <w:rFonts w:ascii="Arial" w:hAnsi="Arial" w:cs="Arial"/>
          <w:lang w:val="es-VE" w:eastAsia="es-VE"/>
        </w:rPr>
        <w:lastRenderedPageBreak/>
        <w:t xml:space="preserve">principal en algunos sistemas educativos; esta modalidad ha ganado aceptación por su flexibilidad y accesibilidad, pero también ha puesto en evidencia desigualdades en acceso a tecnología y calidad de la educación. </w:t>
      </w:r>
    </w:p>
    <w:p w14:paraId="6B4B6A25" w14:textId="4D011318" w:rsidR="00770D8B" w:rsidRPr="00770D8B" w:rsidRDefault="00770D8B" w:rsidP="00770D8B">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Ahora bien, según cifras presentadas por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{"citationItems":[{"id":"ITEM-1","itemData":{"author":[{"dropping-particle":"","family":"Statista","given":"","non-dropping-particle":"","parse-names":false,"suffix":""}],"id":"ITEM-1","issued":{"date-parts":[["2020"]]},"title":"¿La educación del futuro será online?","type":"article"},"uris":["http://www.mendeley.com/documents/?uuid=ce91a5fb-8e68-4246-8a2c-08cf769a99fa"]}],"mendeley":{"formattedCitation":"(Statista, 2020)","manualFormatting":"Statista (2020)","plainTextFormattedCitation":"(Statista, 2020)","previouslyFormattedCitation":"(Statista, 2020)"},"properties":{"noteIndex":0},"schema":"https://github.com/citation-style-language/schema/raw/master/csl-citation.json"}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Statista (2020)</w:t>
      </w:r>
      <w:r w:rsidRPr="00770D8B">
        <w:rPr>
          <w:rFonts w:ascii="Arial" w:hAnsi="Arial" w:cs="Arial"/>
          <w:lang w:val="es-VE" w:eastAsia="es-VE"/>
        </w:rPr>
        <w:fldChar w:fldCharType="end"/>
      </w:r>
      <w:r w:rsidRPr="00770D8B">
        <w:rPr>
          <w:rFonts w:ascii="Arial" w:hAnsi="Arial" w:cs="Arial"/>
          <w:lang w:val="es-VE" w:eastAsia="es-VE"/>
        </w:rPr>
        <w:t xml:space="preserve"> en relación a las modalidades educativas virtual y presencial, en una encuesta aplicada en 29 países diferentes, se evidenció que más del 40% de participantes, en la mayoría de los países, considera que en 5 años la educación superior será tanto online como presencial: 64% en Chile, 63% en México, 60% en Perú, 57% en Brasil, 54% en Argentina. Mientras que Arabia Saudí 45% considera que será mayormente o completamente online, al igual que el 27% en Italia, 25% en Brasil, 25% en Alemania, 24% en Reino Unido, 24% en Estados Unidos, 23% en Francia. </w:t>
      </w:r>
    </w:p>
    <w:p w14:paraId="4733FE0F" w14:textId="77777777" w:rsidR="00770D8B" w:rsidRPr="00770D8B" w:rsidRDefault="00770D8B" w:rsidP="00770D8B">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Los resultados indican una tendencia global hacia la integración de las modalidades virtual y presencial en la educación superior, lo que sugiere que muchas instituciones están en proceso de adaptación para ofrecer opciones educativas más flexibles e invertir en tecnología, así como desarrollar políticas que regulen y promuevan la calidad de la educación híbrida. Además, se consideran otros factores como accesibilidad, y sistemas de evaluación y acreditación para reflejar esta nueva realidad. </w:t>
      </w:r>
    </w:p>
    <w:p w14:paraId="30A65F97" w14:textId="77777777" w:rsidR="00770D8B" w:rsidRPr="00770D8B" w:rsidRDefault="00770D8B" w:rsidP="00BC3494">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En Costa Rica, la pandemia obligó a las universidades a trasladar sus cursos a plataformas virtuales en un corto período de tiempo, lo que presentó desafíos </w:t>
      </w:r>
      <w:r w:rsidRPr="00770D8B">
        <w:rPr>
          <w:rFonts w:ascii="Arial" w:hAnsi="Arial" w:cs="Arial"/>
          <w:lang w:val="es-VE" w:eastAsia="es-VE"/>
        </w:rPr>
        <w:lastRenderedPageBreak/>
        <w:t xml:space="preserve">tecnológicos, pedagógicos y sociales. Estos incluyeron la inexperiencia en enseñanza y aprendizaje virtual, problemas de acceso a Internet y falta de interacción entre estudiantes y docentes. Para abordar estos retos, se implementaron estrategias como la transmisión sincrónica de clases y la adaptación de materiales para el entorno digital. En el período posterior a la pandemia, la Universidad de Costa Rica sigue ofreciendo cursos presenciales y virtuales en diferentes áreas, los primeros disponen de un contenido que suele ser más estructurado, mientras que los segundos cuentan con una mayor diversidad de recursos para apoyar su diseño instruccional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{"citationItems":[{"id":"ITEM-1","itemData":{"DOI":"10.15517/isucr.v24i50.54007","abstract":"La pandemia del COVID-19 propició que las instituciones de educación superior movieran sus cursos impartidos y diseñados para una modalidad presencial a una plataforma virtual en poco tiempo. Sin embargo, estas instituciones, así como sus docentes, no contaban con experiencia en educación virtual. Lo cual hizo que cada institución respondiera de distintas formas a la adaptación de este nuevo contexto de aprendizaje. No obstante, muchas de las estrategias implementadas durante el proceso de adaptación, así como las experiencias de los estudiantes en el desarrollo de los cursos, no han sido documentadas. Con el fin de contribuir en la documentación de experiencias por parte de los estudiantes, este artículo presenta el proceso de sistematización seguido para migrar dos cursos, del área de programación, de una modalidad 100% presencial a una modalidad 100% virtual, mediante el uso de la plataforma de Mediación Virtual de la Universidad de Costa Rica. Un total de 104 estudiantes de educación superior participaron en el estudio. Con el fin de conocer la percepción de los estudiantes sobre el diseño instruccional utilizado, los participantes contestaron un cuestionario de 18 preguntas. Los resultados, obtenidos de 53 personas muestran que, el estudiantado tiene una percepción positiva del diseño instruccional utilizado y consideran que les ayudó a: organizar y planificar las actividades a realizar en cada semana, tomar conciencia sobre los conocimientos a adquirir y a valorar la importancia de cada recurso académico utilizado. Se espera que esta sistematización sirva de guía para docentes que deseen hacer una migración planificada de un curso presencial a un curso virtual.","author":[{"dropping-particle":"","family":"Chavarría","given":"Cindy","non-dropping-particle":"","parse-names":false,"suffix":""},{"dropping-particle":"","family":"Pérez","given":"Ronald","non-dropping-particle":"","parse-names":false,"suffix":""},{"dropping-particle":"","family":"Muñoz","given":"Mónica","non-dropping-particle":"","parse-names":false,"suffix":""}],"container-title":"InterSedes","id":"ITEM-1","issue":"50 SE - Simposio Informática Empresarial (sección arbitrada)","issued":{"date-parts":[["2023","6","30"]]},"page":"312-336","title":"Diseño instruccional en educación virtual: migración de cursos de un contexto de aprendizaje presencial a un contexto virtual.","type":"article-journal","volume":"24"},"uris":["http://www.mendeley.com/documents/?uuid=dc294253-53eb-4bf0-be63-a92f0d59f003"]}],"mendeley":{"formattedCitation":"(Chavarría et al., 2023)","plainTextFormattedCitation":"(Chavarría et al., 2023)","previouslyFormattedCitation":"(Chavarría et al., 2023)"},"properties":{"noteIndex":0},"schema":"https://github.com/citation-style-language/schema/raw/master/csl-citation.json"}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(Chavarría et al., 2023)</w:t>
      </w:r>
      <w:r w:rsidRPr="00770D8B">
        <w:rPr>
          <w:rFonts w:ascii="Arial" w:hAnsi="Arial" w:cs="Arial"/>
          <w:lang w:val="es-VE" w:eastAsia="es-VE"/>
        </w:rPr>
        <w:fldChar w:fldCharType="end"/>
      </w:r>
      <w:r w:rsidRPr="00770D8B">
        <w:rPr>
          <w:rFonts w:ascii="Arial" w:hAnsi="Arial" w:cs="Arial"/>
          <w:lang w:val="es-VE" w:eastAsia="es-VE"/>
        </w:rPr>
        <w:t xml:space="preserve">. </w:t>
      </w:r>
    </w:p>
    <w:p w14:paraId="79ADEB09" w14:textId="77777777" w:rsidR="00770D8B" w:rsidRPr="00770D8B" w:rsidRDefault="00770D8B" w:rsidP="00BC3494">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Uno de los cursos de mayor relevancia está representado por el </w:t>
      </w:r>
      <w:proofErr w:type="gramStart"/>
      <w:r w:rsidRPr="00770D8B">
        <w:rPr>
          <w:rFonts w:ascii="Arial" w:hAnsi="Arial" w:cs="Arial"/>
          <w:lang w:val="es-VE" w:eastAsia="es-VE"/>
        </w:rPr>
        <w:t>Inglés</w:t>
      </w:r>
      <w:proofErr w:type="gramEnd"/>
      <w:r w:rsidRPr="00770D8B">
        <w:rPr>
          <w:rFonts w:ascii="Arial" w:hAnsi="Arial" w:cs="Arial"/>
          <w:lang w:val="es-VE" w:eastAsia="es-VE"/>
        </w:rPr>
        <w:t xml:space="preserve"> para fines específicos (ESP, por sus siglas en inglés), concebido como un enfoque educativo dirigido a desarrollar habilidades comunicativas en inglés que se ajusten a contextos y necesidades profesionales, académicas o científicas específicas. Se centran en el uso del lenguaje adecuado para funciones específicas dentro de una disciplina, profesión o área laboral. ESP no se limita a un campo particular, también se define por la especificidad de sus objetivos. </w:t>
      </w:r>
    </w:p>
    <w:p w14:paraId="201EA78A" w14:textId="77777777" w:rsidR="00770D8B" w:rsidRPr="00770D8B" w:rsidRDefault="00770D8B" w:rsidP="00BC3494">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Los cursos se diseñan basándose en el análisis de necesidades, considerando factores sociológicos, lingüísticos, psicológicos, pedagógicos y didácticos. El enfoque busca enseñar vocabulario técnico, a su vez, desarrollar competencias comunicativas y culturales para un desempeño efectivo en contextos profesionales globalizados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ISSN":"2664-3111","author":[{"dropping-particle":"","family":"Garbey","given":"Eduardo","non-dropping-particle":"","parse-names":false,"suffix":""},{"dropping-particle":"","family":"Enriquez","given":"Isora","non-dropping-particle":"","parse-names":false,"suffix":""}],"container-title":"Revista Científica Cultura, Comunicación y Desarrollo","id":"ITEM-1","issue":"2","issued":{"date-parts":[["2023"]]},"page":"59-66","title":"Tendencias actuales en la enseñanza de inglés con fines específicos","type":"article-journal","volume":"8"},"uris":["http://www.mendeley.com/documents/?uuid=5127fce1-ca52-4291-b658-8517e687abda"]}],"mendeley":{"formattedCitation":"(Garbey &amp; Enriquez, 2023)","plainTextFormattedCitation":"(Garbey &amp; Enriquez, 2023)","previouslyFormattedCitation":"(Garbey &amp; Enriquez, 2023)"},"properties":{"noteIndex":0},"schema":"https://github.com/citation-style-language/schema/raw/master/csl-citation.json"}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(Garbey &amp; Enriquez, 2023)</w:t>
      </w:r>
      <w:r w:rsidRPr="00770D8B">
        <w:rPr>
          <w:rFonts w:ascii="Arial" w:hAnsi="Arial" w:cs="Arial"/>
          <w:lang w:val="es-VE" w:eastAsia="es-VE"/>
        </w:rPr>
        <w:fldChar w:fldCharType="end"/>
      </w:r>
      <w:r w:rsidRPr="00770D8B">
        <w:rPr>
          <w:rFonts w:ascii="Arial" w:hAnsi="Arial" w:cs="Arial"/>
          <w:lang w:val="es-VE" w:eastAsia="es-VE"/>
        </w:rPr>
        <w:t>.</w:t>
      </w:r>
    </w:p>
    <w:p w14:paraId="530E28EE" w14:textId="77777777" w:rsidR="00770D8B" w:rsidRPr="00770D8B" w:rsidRDefault="00770D8B" w:rsidP="00BC3494">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lastRenderedPageBreak/>
        <w:t>En el marco de las ciencias para la salud, el dominio del ESP es fundamental para que futuros profesionales puedan comunicarse de manera efectiva en un entorno internacional, comprender la terminología técnica, y aplicar con precisión los conceptos médicos y científicos. Dada la complejidad e importancia del contenido, es vital entender el impacto de diferentes modalidades de enseñanza en el proceso de aprendizaje de este campo. En la Universidad de Costa Rica se ofrecen estos cursos ESP, en sus diferentes niveles, tanto en la modalidad virtual como la presencial, a la comunidad universitaria en general pero, con mayor frecuencia, a estudiantes de diversas disciplinas, entre ellas las que corresponden a las ciencias para la salud.</w:t>
      </w:r>
    </w:p>
    <w:p w14:paraId="61451D75" w14:textId="77777777" w:rsidR="00770D8B" w:rsidRPr="00770D8B" w:rsidRDefault="00770D8B" w:rsidP="00BC3494">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En atención a lo anterior, surge la inquietud acerca de la forma en que estos cursos presenciales y virtuales de ESP contribuyen a la consecución de los objetivos de aprendizaje. Para construir un conocimiento sólido y útil acerca de esta realidad, es preciso abordar aspectos académicos tales como el rendimiento y la satisfacción de participantes. El rendimiento académico asumido como el nivel de logro de los objetivos de aprendizaje, medido a través de evaluaciones y desempeño en tareas, mientras que la satisfacción se relaciona con el grado de conformidad y bienestar que experimentan las personas estudiantes en relación con su experiencia educativa. </w:t>
      </w:r>
    </w:p>
    <w:p w14:paraId="3387FA08" w14:textId="77777777" w:rsidR="00770D8B" w:rsidRPr="00770D8B" w:rsidRDefault="00770D8B" w:rsidP="00BC3494">
      <w:pPr>
        <w:spacing w:before="100" w:beforeAutospacing="1" w:after="100" w:afterAutospacing="1" w:line="360" w:lineRule="auto"/>
        <w:jc w:val="both"/>
        <w:rPr>
          <w:rFonts w:ascii="Arial" w:eastAsiaTheme="minorHAnsi" w:hAnsi="Arial" w:cs="Arial"/>
          <w:szCs w:val="22"/>
          <w:lang w:val="es-MX" w:eastAsia="es-PE"/>
        </w:rPr>
      </w:pPr>
      <w:r w:rsidRPr="00770D8B">
        <w:rPr>
          <w:rFonts w:ascii="Arial" w:eastAsiaTheme="minorHAnsi" w:hAnsi="Arial" w:cs="Arial"/>
          <w:szCs w:val="22"/>
          <w:lang w:val="es-PE" w:eastAsia="es-PE"/>
        </w:rPr>
        <w:t xml:space="preserve">El propósito de este estudio es, por consiguiente, comparar el impacto de las modalidades virtual y presencial en la satisfacción y el rendimiento académico de </w:t>
      </w:r>
      <w:r w:rsidRPr="00770D8B">
        <w:rPr>
          <w:rFonts w:ascii="Arial" w:eastAsiaTheme="minorHAnsi" w:hAnsi="Arial" w:cs="Arial"/>
          <w:szCs w:val="22"/>
          <w:lang w:val="es-PE" w:eastAsia="es-PE"/>
        </w:rPr>
        <w:lastRenderedPageBreak/>
        <w:t xml:space="preserve">las personas estudiantes que cursan ESP en el área de la salud. Es necesario determinar si la enseñanza virtual puede equipararse a la enseñanza presencial en términos de efectividad educativa. Esta comparación involucra el tema de las calificaciones, la condición académica y las ausencias; de igual forma, aspectos como el nivel de satisfacción, interacción con docentes y compañeros, acceso de recursos educativos, gestión del tiempo, participación, </w:t>
      </w:r>
      <w:r w:rsidRPr="00770D8B">
        <w:rPr>
          <w:rFonts w:ascii="Arial" w:eastAsiaTheme="minorHAnsi" w:hAnsi="Arial" w:cs="Arial"/>
          <w:szCs w:val="22"/>
          <w:lang w:val="es-MX" w:eastAsia="es-PE"/>
        </w:rPr>
        <w:t>contenidos, evaluaciones, retroalimentación, beneficios, desafíos, combinación de modalidades y su efecto en el bienestar.</w:t>
      </w:r>
    </w:p>
    <w:p w14:paraId="4D290DEE" w14:textId="3B083C7A" w:rsidR="00BC3494" w:rsidRPr="00770D8B" w:rsidRDefault="00770D8B" w:rsidP="00BC3494">
      <w:pPr>
        <w:keepNext/>
        <w:keepLines/>
        <w:spacing w:before="100" w:beforeAutospacing="1" w:after="100" w:afterAutospacing="1" w:line="360" w:lineRule="auto"/>
        <w:jc w:val="both"/>
        <w:outlineLvl w:val="0"/>
        <w:rPr>
          <w:rFonts w:ascii="Arial" w:eastAsiaTheme="majorEastAsia" w:hAnsi="Arial" w:cs="Arial"/>
          <w:b/>
          <w:lang w:val="es-MX" w:eastAsia="es-PE"/>
        </w:rPr>
      </w:pPr>
      <w:r w:rsidRPr="00770D8B">
        <w:rPr>
          <w:rFonts w:ascii="Arial" w:eastAsiaTheme="majorEastAsia" w:hAnsi="Arial" w:cs="Arial"/>
          <w:b/>
          <w:lang w:val="es-MX" w:eastAsia="es-PE"/>
        </w:rPr>
        <w:t>F</w:t>
      </w:r>
      <w:r w:rsidR="00BC3494">
        <w:rPr>
          <w:rFonts w:ascii="Arial" w:eastAsiaTheme="majorEastAsia" w:hAnsi="Arial" w:cs="Arial"/>
          <w:b/>
          <w:lang w:val="es-MX" w:eastAsia="es-PE"/>
        </w:rPr>
        <w:t>UNDAMENTACIÓN REFERENCIAL, CONCEPTUAL Y TEÓRICA</w:t>
      </w:r>
    </w:p>
    <w:p w14:paraId="60DD5F89" w14:textId="77777777" w:rsidR="00770D8B" w:rsidRPr="00770D8B" w:rsidRDefault="00770D8B" w:rsidP="00BC3494">
      <w:pPr>
        <w:spacing w:before="100" w:beforeAutospacing="1" w:after="100" w:afterAutospacing="1"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Los estudios que contrastan las modalidades educativas virtual y presencial abordan aspectos clave como el rendimiento académico, la calidad de la interacción y comunicación, el acceso a recursos, la adaptación y flexibilidad del aprendizaje, y la satisfacción y motivación del estudiantado. En el contexto del aprendizaje del inglés, estos estudios también examinan cómo cada modalidad afecta la adquisición de habilidades lingüísticas, la interactividad en la práctica del idioma, el acceso a materiales educativos, y la motivación para el aprendizaje. Además, se enfocan en los desafíos técnicos y pedagógicos específicos, como problemas de conectividad y disponibilidad de recursos, y cómo estos factores influyen en el proceso de aprendizaje del inglés. En este orden, algunos de los antecedentes significativos para este estudio son:</w:t>
      </w:r>
    </w:p>
    <w:p w14:paraId="27A6FC11" w14:textId="77777777" w:rsidR="00770D8B" w:rsidRPr="00770D8B" w:rsidRDefault="00770D8B" w:rsidP="0023030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lastRenderedPageBreak/>
        <w:t xml:space="preserve">En Ecuador,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author":[{"dropping-particle":"","family":"Silva","given":"Francisco","non-dropping-particle":"","parse-names":false,"suffix":""},{"dropping-particle":"","family":"Esteves","given":"Zila","non-dropping-particle":"","parse-names":false,"suffix":""},{"dropping-particle":"","family":"Melgar","given":"Kevin","non-dropping-particle":"","parse-names":false,"suffix":""}],"container-title":"Revista Arbitrada Interdisciplinaria Koinonía","id":"ITEM-1","issued":{"date-parts":[["2023"]]},"page":"172-191","publisher":"scielon","title":"Formación Integral del Estudiante: Análisis comparativo en modalidad presencial y virtual","type":"article","volume":"8"},"uris":["http://www.mendeley.com/documents/?uuid=131f39e1-e694-4f3c-99b4-1b5a88154754"]}],"mendeley":{"formattedCitation":"(Silva et al., 2023)","manualFormatting":"Silva et al. (2023)","plainTextFormattedCitation":"(Silva et al., 2023)","previouslyFormattedCitation":"(Silva et al., 2023)"},"properties":{"noteIndex":0},"schema":"https://github.com/citation-style-language/schema/raw/master/csl-citation.json"}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Silva et al. (2023)</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xml:space="preserve"> publicaron los resultados de un estudio sobre la formación integral de las personas estudiantes, en un análisis comparativo entre la modalidad virtual y la presencial; concluyen que, aunque la educación virtual se ha fortalecido con herramientas como Moodle y ha permitido cierta flexibilidad, las personas estudiantes rindieron mejor en la modalidad presencial. Esto sugiere la necesidad de una mejor integración de las TIC en el entorno virtual para potenciar el aprendizaje. A pesar de las diferencias en rendimiento, los pilares educativos de Jacques Delors siguen siendo fundamentales y deben integrarse en cualquier contexto educativo. Se recomienda combinar metodologías como PACIE y aula invertida para superar las limitaciones de la enseñanza presencial.</w:t>
      </w:r>
    </w:p>
    <w:p w14:paraId="4C20D4DE" w14:textId="77777777" w:rsidR="00770D8B" w:rsidRPr="00770D8B" w:rsidRDefault="00770D8B" w:rsidP="0023030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En México,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author":[{"dropping-particle":"","family":"Ruiz","given":"Edgardo","non-dropping-particle":"","parse-names":false,"suffix":""},{"dropping-particle":"","family":"Cruz","given":"José","non-dropping-particle":"","parse-names":false,"suffix":""},{"dropping-particle":"","family":"Gómez","given":"Cristina","non-dropping-particle":"","parse-names":false,"suffix":""},{"dropping-particle":"","family":"García","given":"Valeria","non-dropping-particle":"","parse-names":false,"suffix":""},{"dropping-particle":"","family":"Lemus","given":"Elsy","non-dropping-particle":"","parse-names":false,"suffix":""}],"container-title":"Revista mexicana de investigación educativa","id":"ITEM-1","issue":"93","issued":{"date-parts":[["2022"]]},"page":"369-386","title":"Comparación de la motivación en alumnos(as) universitarios(as) de modalidad virtual/virtual versus presencial/virtual desde el MSLQ","type":"article-journal","volume":"27"},"uris":["http://www.mendeley.com/documents/?uuid=0855500c-bb5a-4709-88db-09a7438993c2"]}],"mendeley":{"formattedCitation":"(Ruiz et al., 2022)","manualFormatting":"Ruiz et al. (2022)","plainTextFormattedCitation":"(Ruiz et al., 2022)","previouslyFormattedCitation":"(Ruiz et al., 2022)"},"properties":{"noteIndex":0},"schema":"https://github.com/citation-style-language/schema/raw/master/csl-citation.json"}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Ruiz et al. (2022)</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xml:space="preserve"> realizaron un estudio centrado en el análisis y contrastación de la motivación estudiantil a nivel universitario, entre clases virtuales (antes y durante la pandemia de COVID-19) y entre las modalidades presencial y virtual. De esta forma, lograron evidenciar que las personas estudiantes de modalidad completamente virtual valoraron más la autonomía y el aprendizaje intrínseco, mientras que las de modalidad mixta (presencial/virtual) dependían más de la motivación extrínseca y experimentaron mayor ansiedad. La transición abrupta a clases virtuales sin preparación previa afectó negativamente la autoeficacia y aumentó la ansiedad en el estudiantado, acostumbrado a la presencialidad. Se concluye que un modelo híbrido de aprendizaje, con una transición gradual y la integración de tecnologías, podría mejorar la adaptación y reducir la ansiedad. </w:t>
      </w:r>
    </w:p>
    <w:p w14:paraId="2293276F" w14:textId="77777777" w:rsidR="00770D8B" w:rsidRPr="00770D8B" w:rsidRDefault="00770D8B" w:rsidP="00184CA0">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lastRenderedPageBreak/>
        <w:t xml:space="preserve">En el Perú,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ISSN":"1390-3306","author":[{"dropping-particle":"","family":"Gonzales","given":"Eduardo","non-dropping-particle":"","parse-names":false,"suffix":""},{"dropping-particle":"","family":"Evaristo","given":"Inés","non-dropping-particle":"","parse-names":false,"suffix":""}],"container-title":"RIED. Revista Iberoamericana de Educación a Distancia","id":"ITEM-1","issue":"2","issued":{"date-parts":[["2021"]]},"page":"189-202","publisher":"Asociación Iberoamericana de Educación Superior a Distancia","title":"Rendimiento académico y deserción de estudiantes universitarios de un curso en modalidad virtual y presencial","type":"article-journal","volume":"24"},"uris":["http://www.mendeley.com/documents/?uuid=1e4fbf1a-e96e-4b5e-bbfe-50e68b05d69f"]}],"mendeley":{"formattedCitation":"(Gonzales &amp; Evaristo, 2021)","manualFormatting":"Gonzales &amp; Evaristo (2021)","plainTextFormattedCitation":"(Gonzales &amp; Evaristo, 2021)","previouslyFormattedCitation":"(Gonzales &amp; Evaristo, 2021)"},"properties":{"noteIndex":0},"schema":"https://github.com/citation-style-language/schema/raw/master/csl-citation.json"}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Gonzales &amp; Evaristo (2021)</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xml:space="preserve"> contrastaron las modalidades presencial y virtual, en cuanto a rendimiento académico y deserción, encontraron que existen diferencias en el rendimiento de las personas estudiantes en algunas evaluaciones, pero el promedio final es similar, indicando aprendizajes homogéneos. Las calificaciones fueron diversas en ambos grupos, con mayor variabilidad en el experimental (modalidad virtual). Algunos estudiantes con notas bajas tuvieron problemas de asistencia y conectividad, lo que pudo influir en su rendimiento. </w:t>
      </w:r>
    </w:p>
    <w:p w14:paraId="025C9E8D" w14:textId="77777777" w:rsidR="00770D8B" w:rsidRPr="00770D8B" w:rsidRDefault="00770D8B" w:rsidP="00184CA0">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En la primera evaluación, el grupo experimental obtuvo mejores resultados, se atribuye a la novedad del formato virtual, empero sus calificaciones disminuyeron en las siguientes evaluaciones. El grupo control tuvo mejor desempeño en el trabajo final, posiblemente por la falta de asesoría sincrónica en el grupo experimental debido a la carga de trabajo del docente en la modalidad virtual. Se sospecha que el plagio pudo haber afectado los resultados del grupo experimental. A pesar de las limitaciones, se concluye que el rendimiento depende más del diseño y las estrategias usadas que de la modalidad. La deserción fue ligeramente mayor en el grupo experimental por motivos como la falta de recursos tecnológicos y factores no pedagógicos, sino económicos y laborales. </w:t>
      </w:r>
    </w:p>
    <w:p w14:paraId="363B36CE" w14:textId="77777777" w:rsidR="00770D8B" w:rsidRPr="00770D8B" w:rsidRDefault="00770D8B" w:rsidP="00184CA0">
      <w:pPr>
        <w:tabs>
          <w:tab w:val="left" w:pos="720"/>
          <w:tab w:val="left" w:pos="1276"/>
        </w:tabs>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Finalmente, una investigación comparativa realizada por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{"citationItems":[{"id":"ITEM-1","itemData":{"ISBN":"1729-519X UL - http://scielo.sld.cu/scielo.php?script=sci_arttext&amp;pid=S1729-519X2021000600014&amp;nrm=iso","author":[{"dropping-particle":"","family":"Ventura","given":"José","non-dropping-particle":"","parse-names":false,"suffix":""},{"dropping-particle":"","family":"Caycho","given":"Tomás","non-dropping-particle":"","parse-names":false,"suffix":""},{"dropping-particle":"","family":"Talledo","given":"Karim","non-dropping-particle":"","parse-names":false,"suffix":""}],"container-title":"Revista Habanera de Ciencias Médicas","id":"ITEM-1","issued":{"date-parts":[["2021"]]},"publisher":"scielocu","title":"Satisfacción Académica en estudiantes de Ciencias de la Salud antes y durante la pandemia COVID-19","type":"article","volume":"20"},"uris":["http://www.mendeley.com/documents/?uuid=3316c20e-b4dd-4c2b-a44b-7895959aafd4"]}],"mendeley":{"formattedCitation":"(Ventura et al., 2021)","manualFormatting":"Ventura et al. (2021)","plainTextFormattedCitation":"(Ventura et al., 2021)","previouslyFormattedCitation":"(Ventura et al., 2021)"},"properties":{"noteIndex":0},"schema":"https://github.com/citation-style-language/schema/raw/master/csl-citation.json"}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Ventura et al. (2021)</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xml:space="preserve"> en Perú, con el fin de evaluar la satisfacción académica de estudiantes de ciencias de la salud antes y durante la pandemia, estableció que durante la pandemia por Covid-19 (modalidad virtual), disminuyó la satisfacción académica del alumnado, </w:t>
      </w:r>
      <w:r w:rsidRPr="00770D8B">
        <w:rPr>
          <w:rFonts w:ascii="Arial" w:eastAsiaTheme="minorHAnsi" w:hAnsi="Arial" w:cs="Arial"/>
          <w:szCs w:val="22"/>
          <w:lang w:val="es-MX" w:eastAsia="es-PE"/>
        </w:rPr>
        <w:lastRenderedPageBreak/>
        <w:t xml:space="preserve">en contraste con el periodo previo (presencial). Las personas estudiantes que se autoevaluaron con un alto rendimiento académico fueron las más afectadas debido a la presión y al temor de bajar sus calificaciones en un entorno virtual. Además, la mala conectividad a internet se identificó como un factor clave que afectó negativamente la satisfacción académica, sobre todo en estudiantes de niveles socioeconómicos más bajos. Estas variables, tanto personales como externas, deben considerarse al diseñar estrategias educativas que mejoren la satisfacción académica. </w:t>
      </w:r>
    </w:p>
    <w:p w14:paraId="18B23D6E" w14:textId="673CB4EA" w:rsidR="00770D8B" w:rsidRPr="00770D8B" w:rsidRDefault="00770D8B" w:rsidP="00770D8B">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En lo que concierne a la fundamentación teórica conceptual, la educación se concibe como un proceso complejo y dialéctico orientado a la formación integral del ser humano en el contexto de la escuela, la familia y la sociedad. En su definición más restrictiva, este proceso abarca la instrucción y el desarrollo social, influenciados por los principios, conceptos y métodos pedagógicos. Existen diversas modalidades de educación, cada una adaptada a diferentes contextos y necesidades: presencial, semipresencial y virtual. La educación virtual, en particular, ha surgido como una modalidad que se ajusta plenamente a este concepto integral de educación, permitiendo alcanzar los mismos objetivos de formación, instrucción y desarrollo, pero con la flexibilidad y accesibilidad que ofrece la tecnología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{"citationItems":[{"id":"ITEM-1","itemData":{"ISBN":"1990-8644 UL - http://scielo.sld.cu/scielo.php?script=sci_arttext&amp;pid=S1990-86442023000100429&amp;nrm=iso","author":[{"dropping-particle":"","family":"Murillo","given":"Narcisa","non-dropping-particle":"","parse-names":false,"suffix":""},{"dropping-particle":"","family":"Vintimilla","given":"Napoleón","non-dropping-particle":"","parse-names":false,"suffix":""},{"dropping-particle":"","family":"Murillo","given":"Idalia","non-dropping-particle":"","parse-names":false,"suffix":""}],"container-title":"Conrado","id":"ITEM-1","issued":{"date-parts":[["2023"]]},"page":"429-438","publisher":"scielocu","title":"La educación virtual e híbrida. Consideraciones desde la Universidad de Guayaquil","type":"article","volume":"19"},"uris":["http://www.mendeley.com/documents/?uuid=882aa33b-fab1-44c4-b9d0-0f82d91d48b7"]}],"mendeley":{"formattedCitation":"(Murillo et al., 2023)","plainTextFormattedCitation":"(Murillo et al., 2023)","previouslyFormattedCitation":"(Murillo et al., 2023)"},"properties":{"noteIndex":0},"schema":"https://github.com/citation-style-language/schema/raw/master/csl-citation.json"}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(Murillo et al., 2023)</w:t>
      </w:r>
      <w:r w:rsidRPr="00770D8B">
        <w:rPr>
          <w:rFonts w:ascii="Arial" w:hAnsi="Arial" w:cs="Arial"/>
          <w:lang w:val="es-VE" w:eastAsia="es-VE"/>
        </w:rPr>
        <w:fldChar w:fldCharType="end"/>
      </w:r>
      <w:r w:rsidRPr="00770D8B">
        <w:rPr>
          <w:rFonts w:ascii="Arial" w:hAnsi="Arial" w:cs="Arial"/>
          <w:lang w:val="es-VE" w:eastAsia="es-VE"/>
        </w:rPr>
        <w:t>.</w:t>
      </w:r>
    </w:p>
    <w:p w14:paraId="08EB5F1C" w14:textId="77777777" w:rsidR="00770D8B" w:rsidRPr="00770D8B" w:rsidRDefault="00770D8B" w:rsidP="00184CA0">
      <w:pPr>
        <w:spacing w:before="100" w:beforeAutospacing="1" w:after="100" w:afterAutospacing="1" w:line="360" w:lineRule="auto"/>
        <w:jc w:val="both"/>
        <w:rPr>
          <w:rFonts w:ascii="Arial" w:eastAsia="Arial" w:hAnsi="Arial" w:cs="Arial"/>
          <w:lang w:val="es-VE" w:eastAsia="es-VE"/>
        </w:rPr>
      </w:pPr>
      <w:r w:rsidRPr="00770D8B">
        <w:rPr>
          <w:rFonts w:ascii="Arial" w:eastAsia="Arial" w:hAnsi="Arial" w:cs="Arial"/>
          <w:lang w:val="es-VE" w:eastAsia="es-VE"/>
        </w:rPr>
        <w:t xml:space="preserve">Profundizando en el tema, la educación virtual emerge y se consolida en las últimas décadas como un proceso de inserción de las tecnologías modernas en los </w:t>
      </w:r>
      <w:r w:rsidRPr="00770D8B">
        <w:rPr>
          <w:rFonts w:ascii="Arial" w:eastAsia="Arial" w:hAnsi="Arial" w:cs="Arial"/>
          <w:lang w:val="es-VE" w:eastAsia="es-VE"/>
        </w:rPr>
        <w:lastRenderedPageBreak/>
        <w:t xml:space="preserve">procesos de enseñanza, adquiriendo alta relevancia en el contexto actual debido a su flexibilidad y alcance. Esta modalidad posibilita el desarrollo del aprendizaje a distancia, en la medida en que se aprovechan los servicios y potencialidades de tecnologías de información y comunicación (TIC), las cuales facilitan el acceso al conocimiento sin barreras de tiempo o espacio. </w:t>
      </w:r>
    </w:p>
    <w:p w14:paraId="48AC66D9" w14:textId="77777777" w:rsidR="00770D8B" w:rsidRPr="00770D8B" w:rsidRDefault="00770D8B" w:rsidP="00184CA0">
      <w:pPr>
        <w:spacing w:before="100" w:beforeAutospacing="1" w:after="100" w:afterAutospacing="1" w:line="360" w:lineRule="auto"/>
        <w:jc w:val="both"/>
        <w:rPr>
          <w:rFonts w:ascii="Arial" w:eastAsia="Arial" w:hAnsi="Arial" w:cs="Arial"/>
          <w:lang w:val="es-VE" w:eastAsia="es-VE"/>
        </w:rPr>
      </w:pPr>
      <w:r w:rsidRPr="00770D8B">
        <w:rPr>
          <w:rFonts w:ascii="Arial" w:eastAsia="Arial" w:hAnsi="Arial" w:cs="Arial"/>
          <w:lang w:val="es-VE" w:eastAsia="es-VE"/>
        </w:rPr>
        <w:t xml:space="preserve">De este modo, puede concebirse la educación virtual como una modalidad de formación, abierta y guiada, en la que la persona docente ejerce funciones de facilitación del aprendizaje, enfocándose en promover la interacción y el intercambio de ideas, orientar la selección de herramientas y recursos, así como acompañar la búsqueda de información. Mientras que, al estudiante le corresponde asumir un rol activo, gestionando su propio ritmo de aprendizaje y potenciando sus habilidades de forma autónoma. En los entornos de educación virtual, se emplea diversidad de herramientas de comunicación sincrónicas (videollamadas, chats) y asincrónicas (correos electrónicos, foros), lo que procura la construcción de un ambiente colaborativo, basado en la resolución de problemas y creación de significados (Mota et al., 2020). </w:t>
      </w:r>
    </w:p>
    <w:p w14:paraId="18F27D15" w14:textId="77777777" w:rsidR="00770D8B" w:rsidRPr="00770D8B" w:rsidRDefault="00770D8B" w:rsidP="00184CA0">
      <w:pPr>
        <w:spacing w:before="100" w:beforeAutospacing="1" w:after="100" w:afterAutospacing="1" w:line="360" w:lineRule="auto"/>
        <w:jc w:val="both"/>
        <w:rPr>
          <w:rFonts w:ascii="Arial" w:eastAsia="Arial" w:hAnsi="Arial" w:cs="Arial"/>
          <w:lang w:val="es-VE" w:eastAsia="es-VE"/>
        </w:rPr>
      </w:pPr>
      <w:r w:rsidRPr="00770D8B">
        <w:rPr>
          <w:rFonts w:ascii="Arial" w:eastAsia="Arial" w:hAnsi="Arial" w:cs="Arial"/>
          <w:lang w:val="es-VE" w:eastAsia="es-VE"/>
        </w:rPr>
        <w:t xml:space="preserve">La educación virtual se apoya en el uso de las plataformas digitales que son un conjunto de entornos en línea que facilitan el acceso a variadas herramientas y recursos interactivos con la finalidad de aprender, comunicarse, colaborar, por medio de internet. Algunas de las plataformas más utilizadas, además de Moodle, son </w:t>
      </w:r>
      <w:proofErr w:type="spellStart"/>
      <w:r w:rsidRPr="00770D8B">
        <w:rPr>
          <w:rFonts w:ascii="Arial" w:eastAsia="Arial" w:hAnsi="Arial" w:cs="Arial"/>
          <w:lang w:val="es-VE" w:eastAsia="es-VE"/>
        </w:rPr>
        <w:t>Canvas</w:t>
      </w:r>
      <w:proofErr w:type="spellEnd"/>
      <w:r w:rsidRPr="00770D8B">
        <w:rPr>
          <w:rFonts w:ascii="Arial" w:eastAsia="Arial" w:hAnsi="Arial" w:cs="Arial"/>
          <w:lang w:val="es-VE" w:eastAsia="es-VE"/>
        </w:rPr>
        <w:t xml:space="preserve">, Google </w:t>
      </w:r>
      <w:proofErr w:type="spellStart"/>
      <w:r w:rsidRPr="00770D8B">
        <w:rPr>
          <w:rFonts w:ascii="Arial" w:eastAsia="Arial" w:hAnsi="Arial" w:cs="Arial"/>
          <w:lang w:val="es-VE" w:eastAsia="es-VE"/>
        </w:rPr>
        <w:t>Classroom</w:t>
      </w:r>
      <w:proofErr w:type="spellEnd"/>
      <w:r w:rsidRPr="00770D8B">
        <w:rPr>
          <w:rFonts w:ascii="Arial" w:eastAsia="Arial" w:hAnsi="Arial" w:cs="Arial"/>
          <w:lang w:val="es-VE" w:eastAsia="es-VE"/>
        </w:rPr>
        <w:t xml:space="preserve">, Schoology, Edmodo, Microsoft </w:t>
      </w:r>
      <w:proofErr w:type="spellStart"/>
      <w:r w:rsidRPr="00770D8B">
        <w:rPr>
          <w:rFonts w:ascii="Arial" w:eastAsia="Arial" w:hAnsi="Arial" w:cs="Arial"/>
          <w:lang w:val="es-VE" w:eastAsia="es-VE"/>
        </w:rPr>
        <w:t>Teams</w:t>
      </w:r>
      <w:proofErr w:type="spellEnd"/>
      <w:r w:rsidRPr="00770D8B">
        <w:rPr>
          <w:rFonts w:ascii="Arial" w:eastAsia="Arial" w:hAnsi="Arial" w:cs="Arial"/>
          <w:lang w:val="es-VE" w:eastAsia="es-VE"/>
        </w:rPr>
        <w:t xml:space="preserve"> para </w:t>
      </w:r>
      <w:r w:rsidRPr="00770D8B">
        <w:rPr>
          <w:rFonts w:ascii="Arial" w:eastAsia="Arial" w:hAnsi="Arial" w:cs="Arial"/>
          <w:lang w:val="es-VE" w:eastAsia="es-VE"/>
        </w:rPr>
        <w:lastRenderedPageBreak/>
        <w:t>Educación, y demás. Estas herramientas enriquecen el proceso educativo, facilitando la interacción y la evaluación continua.</w:t>
      </w:r>
    </w:p>
    <w:p w14:paraId="29B557D6" w14:textId="1EF55811" w:rsidR="00770D8B" w:rsidRPr="00770D8B" w:rsidRDefault="00770D8B" w:rsidP="00770D8B">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La educación superior ha experimentado diversas transformaciones en sus currículos y métodos de enseñanza, pero uno de los debates más persistentes es sobre cuál escenario, presencial o virtual, es más efectivo para alcanzar los objetivos de aprendizaje. Mientras que el modelo presencial ha sido tradicionalmente dominante y considerado exitoso, las Tecnologías de la Información y la Comunicación (TIC) han impulsado cambios significativos en la práctica pedagógica, resignificando los modelos educativos tradicionales (Bohórquez, 2018). </w:t>
      </w:r>
    </w:p>
    <w:p w14:paraId="2CF771FA" w14:textId="77777777"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La educación virtual, aunque distinta en su enfoque, permite la coexistencia de diversas orientaciones pedagógicas, al igual que en la presencialidad, siempre que sean coherentes con los objetivos educativos. La coexistencia y el contraste entre estos modelos se reflejan en la necesidad de adaptar los escenarios educativos a las nuevas demandas, donde la virtualidad ofrece accesibilidad y flexibilidad, pero el modelo presencial sigue siendo preferido por muchos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ISSN":"2550-682X","author":[{"dropping-particle":"","family":"Santillán","given":"Juan","non-dropping-particle":"","parse-names":false,"suffix":""},{"dropping-particle":"","family":"Santos","given":"Ramiro","non-dropping-particle":"","parse-names":false,"suffix":""}],"container-title":"Polo del Conocimiento: Revista científico-profesional","id":"ITEM-1","issue":"8","issued":{"date-parts":[["2021"]]},"page":"841-857","publisher":"Imprenta y Casa Editora\" Coni\"","title":"De la virtualidad a la presencialidad","type":"article-journal","volume":"6"},"uris":["http://www.mendeley.com/documents/?uuid=9861a0eb-89fc-4edb-9393-328869f73ecb"]}],"mendeley":{"formattedCitation":"(Santillán &amp; Santos, 2021)","plainTextFormattedCitation":"(Santillán &amp; Santos, 2021)","previouslyFormattedCitation":"(Santillán &amp; Santos, 2021)"},"properties":{"noteIndex":0},"schema":"https://github.com/citation-style-language/schema/raw/master/csl-citation.json"}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(Santillán &amp; Santos, 2021)</w:t>
      </w:r>
      <w:r w:rsidRPr="00770D8B">
        <w:rPr>
          <w:rFonts w:ascii="Arial" w:hAnsi="Arial" w:cs="Arial"/>
          <w:lang w:val="es-VE" w:eastAsia="es-VE"/>
        </w:rPr>
        <w:fldChar w:fldCharType="end"/>
      </w:r>
      <w:r w:rsidRPr="00770D8B">
        <w:rPr>
          <w:rFonts w:ascii="Arial" w:hAnsi="Arial" w:cs="Arial"/>
          <w:lang w:val="es-VE" w:eastAsia="es-VE"/>
        </w:rPr>
        <w:t>.</w:t>
      </w:r>
    </w:p>
    <w:p w14:paraId="2BDC575E" w14:textId="77777777"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Por otro lado, la literatura académica ha explorado la relación entre el rendimiento educativo y las modalidades de aprendizaje virtual y presencial. Algunos estudios analizan cómo la combinación de tecnologías de la información con la enseñanza presencial puede mejorar el rendimiento académico; mientras que otros examinan </w:t>
      </w:r>
      <w:r w:rsidRPr="00770D8B">
        <w:rPr>
          <w:rFonts w:ascii="Arial" w:hAnsi="Arial" w:cs="Arial"/>
          <w:lang w:val="es-VE" w:eastAsia="es-VE"/>
        </w:rPr>
        <w:lastRenderedPageBreak/>
        <w:t xml:space="preserve">la efectividad de los entornos completamente virtuales, resaltando la importancia de la percepción y la satisfacción del estudiante. </w:t>
      </w:r>
    </w:p>
    <w:p w14:paraId="3F1078EE" w14:textId="77777777"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Además, se destaca que la incorporación de la virtualidad en el proceso de aprendizaje no solo mejora el manejo de tecnologías, sino que también actúa como un apoyo esencial para la educación presencial. Una parte significativa de las investigaciones se centran en la educación superior, subrayando la complementariedad entre ambas modalidades para lograr un aprendizaje efectivo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{"citationItems":[{"id":"ITEM-1","itemData":{"author":[{"dropping-particle":"","family":"Torres","given":"Ludwing","non-dropping-particle":"","parse-names":false,"suffix":""}],"container-title":"La Paz: Universidad Mayor de San","id":"ITEM-1","issued":{"date-parts":[["2020"]]},"publisher":"Centro Psicopedagogico de Investigaci ´ on en Educaci ´ on Superior de la Universidad Mayor de San Andres","title":"¿ Educación presencial o virtual","type":"article"},"uris":["http://www.mendeley.com/documents/?uuid=1db145f7-8117-4368-bedd-c03cdb315cc6"]}],"mendeley":{"formattedCitation":"(Torres, 2020)","plainTextFormattedCitation":"(Torres, 2020)","previouslyFormattedCitation":"(Torres, 2020)"},"properties":{"noteIndex":0},"schema":"https://github.com/citation-style-language/schema/raw/master/csl-citation.json"}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(Torres, 2020)</w:t>
      </w:r>
      <w:r w:rsidRPr="00770D8B">
        <w:rPr>
          <w:rFonts w:ascii="Arial" w:hAnsi="Arial" w:cs="Arial"/>
          <w:lang w:val="es-VE" w:eastAsia="es-VE"/>
        </w:rPr>
        <w:fldChar w:fldCharType="end"/>
      </w:r>
      <w:r w:rsidRPr="00770D8B">
        <w:rPr>
          <w:rFonts w:ascii="Arial" w:hAnsi="Arial" w:cs="Arial"/>
          <w:lang w:val="es-VE" w:eastAsia="es-VE"/>
        </w:rPr>
        <w:t xml:space="preserve">. No obstante, el aprendizaje significativo del alumnado se expresa en un buen nivel de rendimiento académico: calificaciones, asistencia, condición académica; a la vez, comprende otros aspectos psicológicos y sociales vinculados a la experiencia educativa, entre ellos, la satisfacción que sienten </w:t>
      </w:r>
      <w:r w:rsidRPr="00770D8B">
        <w:rPr>
          <w:rFonts w:ascii="Arial" w:hAnsi="Arial" w:cs="Arial"/>
          <w:lang w:val="es-MX" w:eastAsia="es-VE"/>
        </w:rPr>
        <w:t xml:space="preserve">las personas </w:t>
      </w:r>
      <w:r w:rsidRPr="00770D8B">
        <w:rPr>
          <w:rFonts w:ascii="Arial" w:hAnsi="Arial" w:cs="Arial"/>
          <w:lang w:val="es-VE" w:eastAsia="es-VE"/>
        </w:rPr>
        <w:t>estudiantes respecto al proceso de enseñanza aprendizaje.</w:t>
      </w:r>
    </w:p>
    <w:p w14:paraId="75FC1CBF" w14:textId="77777777"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Concretamente, el rendimiento académico se refiere a la habilidad del estudiantado para cumplir con los objetivos establecidos en un programa educativo, según los diferentes niveles del sistema educativo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ISSN":"2318-6674","author":[{"dropping-particle":"","family":"Ramírez","given":"Raquel","non-dropping-particle":"","parse-names":false,"suffix":""},{"dropping-particle":"","family":"Escobar","given":"Isabel","non-dropping-particle":"","parse-names":false,"suffix":""},{"dropping-particle":"","family":"Beléndez","given":"Augusto","non-dropping-particle":"","parse-names":false,"suffix":""},{"dropping-particle":"","family":"Arribas","given":"Enrique","non-dropping-particle":"","parse-names":false,"suffix":""}],"container-title":"Revista REAMEC","id":"ITEM-1","issue":"3","issued":{"date-parts":[["2020"]]},"publisher":"Universidade Federal de Mato Grosso","title":"Factores que afectan el rendimiento académico","type":"article-journal","volume":"8"},"uris":["http://www.mendeley.com/documents/?uuid=2fcd4358-fae3-48c5-a66c-c4d653257b02"]}],"mendeley":{"formattedCitation":"(Ramírez et al., 2020)","plainTextFormattedCitation":"(Ramírez et al., 2020)","previouslyFormattedCitation":"(Ramírez et al., 2020)"},"properties":{"noteIndex":0},"schema":"https://github.com/citation-style-language/schema/raw/master/csl-citation.json"}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(Ramírez et al., 2020)</w:t>
      </w:r>
      <w:r w:rsidRPr="00770D8B">
        <w:rPr>
          <w:rFonts w:ascii="Arial" w:hAnsi="Arial" w:cs="Arial"/>
          <w:lang w:val="es-VE" w:eastAsia="es-VE"/>
        </w:rPr>
        <w:fldChar w:fldCharType="end"/>
      </w:r>
      <w:r w:rsidRPr="00770D8B">
        <w:rPr>
          <w:rFonts w:ascii="Arial" w:hAnsi="Arial" w:cs="Arial"/>
          <w:lang w:val="es-VE" w:eastAsia="es-VE"/>
        </w:rPr>
        <w:t xml:space="preserve">; suele medirse mediante el promedio de calificaciones, un indicador clave que refleja el conocimiento adquirido en los diversos campos de estudio. La evaluación del rendimiento académico incluye tanto una nota cuantitativa como una calificación cualitativa, y una evaluación consistente y válida de estos aspectos indica el grado de aprendizaje y logro respecto a los objetivos educativos planteados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{"citationItems":[{"id":"ITEM-1","itemData":{"author":[{"dropping-particle":"","family":"Soza","given":"Sofía","non-dropping-particle":"","parse-names":false,"suffix":""}],"container-title":"Revista Científica Estelí","id":"ITEM-1","issue":"38","issued":{"date-parts":[["2021"]]},"page":"100-115","title":"Factores sociodemográficos asociados a la calidad del rendimiento académico, estudiantes de tercero y quinto año de Medicina, Universidad Nacional Autónoma de Nicaragua, UNAN-Managua","type":"article-journal"},"uris":["http://www.mendeley.com/documents/?uuid=67a5f239-4e0d-47b3-b096-d8cc51427b20"]}],"mendeley":{"formattedCitation":"(Soza, 2021)","plainTextFormattedCitation":"(Soza, 2021)","previouslyFormattedCitation":"(Soza, 2021)"},"properties":{"noteIndex":0},"schema":"https://github.com/citation-style-language/schema/raw/master/csl-citation.json"}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(Soza, 2021)</w:t>
      </w:r>
      <w:r w:rsidRPr="00770D8B">
        <w:rPr>
          <w:rFonts w:ascii="Arial" w:hAnsi="Arial" w:cs="Arial"/>
          <w:lang w:val="es-VE" w:eastAsia="es-VE"/>
        </w:rPr>
        <w:fldChar w:fldCharType="end"/>
      </w:r>
      <w:r w:rsidRPr="00770D8B">
        <w:rPr>
          <w:rFonts w:ascii="Arial" w:hAnsi="Arial" w:cs="Arial"/>
          <w:lang w:val="es-VE" w:eastAsia="es-VE"/>
        </w:rPr>
        <w:t>.</w:t>
      </w:r>
    </w:p>
    <w:p w14:paraId="63E7C6DE" w14:textId="77777777"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lastRenderedPageBreak/>
        <w:t xml:space="preserve">Mientras que, por otro lado, la satisfacción del estudiante en un entorno educativo se refiere a la percepción general del alumno sobre su experiencia de aprendizaje. En el contexto educativo, la satisfacción puede estar influenciada por factores como la calidad de la enseñanza, la interacción con docentes y compañeros, y el acceso a recursos educativos adecuados, entre otras variables. De acuerdo con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{"citationItems":[{"id":"ITEM-1","itemData":{"DOI":"10.6018/rie.546251","abstract":"Las percepciones del alumnado sobre la práctica docente influyen en su proceso de aprendizaje. En este sentido, las percepciones del estudiantado sobre el apoyo a la autonomía afectan a diversas variables, entre ellas su satisfacción académica. El propósito de este estudio ha sido predecir la satisfacción académica del alumnado universitario según sus percepciones sobre el apoyo a la autonomía, mediadas por su motivación y su compromiso académico. En el estudio han participado 637 estudiantes de la Universidad de Cádiz y de la Universidad de Extremadura que cursan los Grados en Educación Primaria y Educación Infantil. Para la recogida de datos, se han administrado la Escala de Apoyo a la Autonomía, la Escala de Motivación Estado, la Escala de Compromiso en el Aula y la Escala de Satisfacción Académica. Para el análisis de los datos se ha aplicado un modelo de ecuaciones estructurales de mínimos cuadrados parciales (PLS-SEM). Los hallazgos señalan efectos positivos del apoyo a la autonomía sobre la motivación, el compromiso y la satisfacción académica; de la motivación sobre el compromiso y la satisfacción académica y del compromiso sobre la satisfacción académica del alumnado universitario. Asimismo, la motivación y el compromiso académico tienen efectos mediadores complementarios con el resto de variables objeto de estudio. Finalmente, por medio de la validez predictiva del modelo, se determina que éste presenta un poder predictivo bajo fuera de la muestra. Se derivan recomendaciones para incorporar estrategias en la formación docente que promuevan la autonomía del alumnado universitario, enriqueciendo así su proceso de aprendizaje.","author":[{"dropping-particle":"","family":"Froment","given":"Facundo","non-dropping-particle":"","parse-names":false,"suffix":""},{"dropping-particle":"","family":"De-Besa","given":"Manuel","non-dropping-particle":"","parse-names":false,"suffix":""},{"dropping-particle":"","family":"Gil","given":"Javier","non-dropping-particle":"","parse-names":false,"suffix":""}],"container-title":"Revista de Investigación Educativa","id":"ITEM-1","issue":"2 SE - Artículos","issued":{"date-parts":[["2023","7","7"]]},"page":"479-499","title":"Efecto del apoyo a la autonomía sobre la satisfacción académica: La motivación y el compromiso académico como variables mediadoras","type":"article-journal","volume":"41"},"uris":["http://www.mendeley.com/documents/?uuid=9e9368e2-a2e3-41f9-bc9a-dbbd004baf51"]}],"mendeley":{"formattedCitation":"(Froment et al., 2023)","manualFormatting":"Froment et al. (2023)","plainTextFormattedCitation":"(Froment et al., 2023)","previouslyFormattedCitation":"(Froment et al., 2023)"},"properties":{"noteIndex":0},"schema":"https://github.com/citation-style-language/schema/raw/master/csl-citation.json"}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Froment et al. (2023)</w:t>
      </w:r>
      <w:r w:rsidRPr="00770D8B">
        <w:rPr>
          <w:rFonts w:ascii="Arial" w:hAnsi="Arial" w:cs="Arial"/>
          <w:lang w:val="es-VE" w:eastAsia="es-VE"/>
        </w:rPr>
        <w:fldChar w:fldCharType="end"/>
      </w:r>
      <w:r w:rsidRPr="00770D8B">
        <w:rPr>
          <w:rFonts w:ascii="Arial" w:hAnsi="Arial" w:cs="Arial"/>
          <w:lang w:val="es-VE" w:eastAsia="es-VE"/>
        </w:rPr>
        <w:t xml:space="preserve">, la satisfacción académica es la autoevaluación que realizan </w:t>
      </w:r>
      <w:r w:rsidRPr="00770D8B">
        <w:rPr>
          <w:rFonts w:ascii="Arial" w:hAnsi="Arial" w:cs="Arial"/>
          <w:lang w:val="es-MX" w:eastAsia="es-VE"/>
        </w:rPr>
        <w:t xml:space="preserve">las personas </w:t>
      </w:r>
      <w:r w:rsidRPr="00770D8B">
        <w:rPr>
          <w:rFonts w:ascii="Arial" w:hAnsi="Arial" w:cs="Arial"/>
          <w:lang w:val="es-VE" w:eastAsia="es-VE"/>
        </w:rPr>
        <w:t>estudiantes respecto a sus experiencias académicas, considerando sus aspiraciones y logros. Es una variable clave en el contexto universitario, ya que se asocia con la adaptación, permanencia, bienestar y éxito académico del estudiantado. Esta satisfacción también está determinada por el comportamiento del profesorado en clase, especialmente en cuanto al apoyo a la autonomía del alumnado, lo cual tiene una relación positiva con la satisfacción académica.</w:t>
      </w:r>
    </w:p>
    <w:p w14:paraId="5516D6C7" w14:textId="77777777" w:rsidR="00184CA0"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Según el enfoque del aprendizaje significativo de Ausubel, el aprendizaje ocurre de manera más efectiva cuando la nueva información se vincula de forma significativa con los conocimientos previos de la persona estudiante, es decir, para que el aprendizaje sea profundo y duradero, es esencial que el contenido se conecte con lo que el alumnado ya sabe. </w:t>
      </w:r>
    </w:p>
    <w:p w14:paraId="1D76D253" w14:textId="4C618ACE"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ISSN":"2448-3583","author":[{"dropping-particle":"","family":"Huaman","given":"Javier","non-dropping-particle":"","parse-names":false,"suffix":""},{"dropping-particle":"","family":"Ibarguen","given":"Francis","non-dropping-particle":"","parse-names":false,"suffix":""},{"dropping-particle":"","family":"Menacho","given":"Isabel","non-dropping-particle":"","parse-names":false,"suffix":""}],"container-title":"Educação &amp; Formação","id":"ITEM-1","issue":"3","issued":{"date-parts":[["2020"]]},"page":"16","publisher":"Universidade Estadual do Ceará (UECE)","title":"Trabajo cooperativo y aprendizaje significativo en matemática en estudiantes universitarios de Lima","type":"article-journal","volume":"5"},"uris":["http://www.mendeley.com/documents/?uuid=b65c50d6-170c-47d0-a124-5b36bb7ca1d8"]}],"mendeley":{"formattedCitation":"(Huaman et al., 2020)","manualFormatting":"Huaman et al. (2020)","plainTextFormattedCitation":"(Huaman et al., 2020)","previouslyFormattedCitation":"(Huaman et al., 2020)"},"properties":{"noteIndex":0},"schema":"https://github.com/citation-style-language/schema/raw/master/csl-citation.json"}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Huaman et al. (2020)</w:t>
      </w:r>
      <w:r w:rsidRPr="00770D8B">
        <w:rPr>
          <w:rFonts w:ascii="Arial" w:hAnsi="Arial" w:cs="Arial"/>
          <w:lang w:val="es-VE" w:eastAsia="es-VE"/>
        </w:rPr>
        <w:fldChar w:fldCharType="end"/>
      </w:r>
      <w:r w:rsidRPr="00770D8B">
        <w:rPr>
          <w:rFonts w:ascii="Arial" w:hAnsi="Arial" w:cs="Arial"/>
          <w:lang w:val="es-VE" w:eastAsia="es-VE"/>
        </w:rPr>
        <w:t xml:space="preserve"> exponen al respecto que el aprendizaje significativo implica que el cerebro utilice conocimientos previos adquiridos a través de experiencias para resolver problemas. Este tipo de aprendizaje ocurre cuando educadores presentan contenido que interactúa con las ideas ya existentes en la estructura </w:t>
      </w:r>
      <w:r w:rsidRPr="00770D8B">
        <w:rPr>
          <w:rFonts w:ascii="Arial" w:hAnsi="Arial" w:cs="Arial"/>
          <w:lang w:val="es-VE" w:eastAsia="es-VE"/>
        </w:rPr>
        <w:lastRenderedPageBreak/>
        <w:t xml:space="preserve">cognitiva del estudiantado, facilitando la aplicación a nuevas situaciones. Para que el aprendizaje significativo sea efectivo, se requiere un entorno saludable y motivador, donde </w:t>
      </w:r>
      <w:r w:rsidRPr="00770D8B">
        <w:rPr>
          <w:rFonts w:ascii="Arial" w:hAnsi="Arial" w:cs="Arial"/>
          <w:lang w:val="es-MX" w:eastAsia="es-VE"/>
        </w:rPr>
        <w:t xml:space="preserve">las personas </w:t>
      </w:r>
      <w:r w:rsidRPr="00770D8B">
        <w:rPr>
          <w:rFonts w:ascii="Arial" w:hAnsi="Arial" w:cs="Arial"/>
          <w:lang w:val="es-VE" w:eastAsia="es-VE"/>
        </w:rPr>
        <w:t>estudiantes estén conscientes y con disposición a aprender. Los tres componentes clave son: conocimientos previos que se conecten con la nueva información, motivación para aprender, y material significativo que sea lógico, estructurado y relevante para el alumno.</w:t>
      </w:r>
    </w:p>
    <w:p w14:paraId="726F70C6" w14:textId="77777777"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Desde esta visión, tanto en la educación presencial como en la virtual, el rendimiento académico y la satisfacción estudiantil se asocian con la efectiva conexión entre los nuevos contenidos y los conocimientos previos. Un entorno educativo motivador y bien estructurado es esencial en ambas modalidades para fomentar un aprendizaje significativo. En la educación presencial, esta conexión se facilita a través de la interacción directa con el profesor y el grupo, mientras que, en la modalidad virtual, se requiere un diseño instruccional de calidad y el uso adecuado de herramientas tecnológicas. </w:t>
      </w:r>
    </w:p>
    <w:p w14:paraId="384645BB" w14:textId="77777777" w:rsidR="00770D8B" w:rsidRPr="00770D8B" w:rsidRDefault="00770D8B" w:rsidP="00184CA0">
      <w:pPr>
        <w:spacing w:before="100" w:beforeAutospacing="1" w:after="100" w:afterAutospacing="1" w:line="360" w:lineRule="auto"/>
        <w:jc w:val="both"/>
        <w:rPr>
          <w:rFonts w:ascii="Arial" w:hAnsi="Arial" w:cs="Arial"/>
          <w:lang w:val="es-VE" w:eastAsia="es-VE"/>
        </w:rPr>
      </w:pPr>
      <w:r w:rsidRPr="00770D8B">
        <w:rPr>
          <w:rFonts w:ascii="Arial" w:hAnsi="Arial" w:cs="Arial"/>
          <w:bCs/>
          <w:lang w:val="es-VE" w:eastAsia="es-VE"/>
        </w:rPr>
        <w:t xml:space="preserve">De forma complementaria, la teoría del aprendizaje autónomo desarrollada por Malcolm Knowles, </w:t>
      </w:r>
      <w:r w:rsidRPr="00770D8B">
        <w:rPr>
          <w:rFonts w:ascii="Arial" w:hAnsi="Arial" w:cs="Arial"/>
          <w:lang w:val="es-VE" w:eastAsia="es-VE"/>
        </w:rPr>
        <w:t xml:space="preserve">destaca que las personas aprenden de manera más efectiva cuando tienen control sobre su proceso de aprendizaje. Knowles sugiere que la motivación y la eficacia del aprendizaje aumentan cuando </w:t>
      </w:r>
      <w:r w:rsidRPr="00770D8B">
        <w:rPr>
          <w:rFonts w:ascii="Arial" w:hAnsi="Arial" w:cs="Arial"/>
          <w:lang w:val="es-MX" w:eastAsia="es-VE"/>
        </w:rPr>
        <w:t xml:space="preserve">las personas </w:t>
      </w:r>
      <w:r w:rsidRPr="00770D8B">
        <w:rPr>
          <w:rFonts w:ascii="Arial" w:hAnsi="Arial" w:cs="Arial"/>
          <w:lang w:val="es-VE" w:eastAsia="es-VE"/>
        </w:rPr>
        <w:t xml:space="preserve">estudiantes pueden gestionar su propio aprendizaje, y si el contenido es relevante para sus intereses y necesidades. El aprendizaje autónomo se caracteriza por el uso de estrategias para adquirir conocimiento, permitiendo al estudiante desarrollar </w:t>
      </w:r>
      <w:r w:rsidRPr="00770D8B">
        <w:rPr>
          <w:rFonts w:ascii="Arial" w:hAnsi="Arial" w:cs="Arial"/>
          <w:lang w:val="es-VE" w:eastAsia="es-VE"/>
        </w:rPr>
        <w:lastRenderedPageBreak/>
        <w:t xml:space="preserve">habilidades críticas, reflexivas y analíticas. Este enfoque fomenta la participación activa y la expresión de ideas, facilitando la formulación de objetivos y estrategias de aprendizaje tanto individuales como colaborativas. El estudiantado analiza las tareas, elige las estrategias adecuadas, ajusta el entorno y las herramientas necesarias para alcanzar sus metas de aprendizaje </w:t>
      </w:r>
      <w:r w:rsidRPr="00770D8B">
        <w:rPr>
          <w:rFonts w:ascii="Arial" w:hAnsi="Arial" w:cs="Arial"/>
          <w:lang w:val="es-VE" w:eastAsia="es-VE"/>
        </w:rPr>
        <w:fldChar w:fldCharType="begin" w:fldLock="1"/>
      </w:r>
      <w:r w:rsidRPr="00770D8B">
        <w:rPr>
          <w:rFonts w:ascii="Arial" w:hAnsi="Arial" w:cs="Arial"/>
          <w:lang w:val="es-VE" w:eastAsia="es-VE"/>
        </w:rPr>
        <w:instrText>ADDIN CSL_CITATION {"citationItems":[{"id":"ITEM-1","itemData":{"ISSN":"2661-6661","author":[{"dropping-particle":"","family":"Melgarejo","given":"Marllury","non-dropping-particle":"","parse-names":false,"suffix":""},{"dropping-particle":"","family":"Ninamango","given":"Ninoska","non-dropping-particle":"","parse-names":false,"suffix":""},{"dropping-particle":"","family":"Ramos","given":"Jessica","non-dropping-particle":"","parse-names":false,"suffix":""}],"container-title":"Sinergias educativas","id":"ITEM-1","issue":"Junio","issued":{"date-parts":[["2022"]]},"title":"Aprendizaje autónomo y recursos educativos digitales en estudiantes Universitarios","type":"article-journal"},"uris":["http://www.mendeley.com/documents/?uuid=3a6389d6-188d-4b66-b84c-b4daf1da2eaf"]}],"mendeley":{"formattedCitation":"(Melgarejo et al., 2022)","plainTextFormattedCitation":"(Melgarejo et al., 2022)","previouslyFormattedCitation":"(Melgarejo et al., 2022)"},"properties":{"noteIndex":0},"schema":"https://github.com/citation-style-language/schema/raw/master/csl-citation.json"}</w:instrText>
      </w:r>
      <w:r w:rsidRPr="00770D8B">
        <w:rPr>
          <w:rFonts w:ascii="Arial" w:hAnsi="Arial" w:cs="Arial"/>
          <w:lang w:val="es-VE" w:eastAsia="es-VE"/>
        </w:rPr>
        <w:fldChar w:fldCharType="separate"/>
      </w:r>
      <w:r w:rsidRPr="00770D8B">
        <w:rPr>
          <w:rFonts w:ascii="Arial" w:hAnsi="Arial" w:cs="Arial"/>
          <w:noProof/>
          <w:lang w:val="es-VE" w:eastAsia="es-VE"/>
        </w:rPr>
        <w:t>(Melgarejo et al., 2022)</w:t>
      </w:r>
      <w:r w:rsidRPr="00770D8B">
        <w:rPr>
          <w:rFonts w:ascii="Arial" w:hAnsi="Arial" w:cs="Arial"/>
          <w:lang w:val="es-VE" w:eastAsia="es-VE"/>
        </w:rPr>
        <w:fldChar w:fldCharType="end"/>
      </w:r>
      <w:r w:rsidRPr="00770D8B">
        <w:rPr>
          <w:rFonts w:ascii="Arial" w:hAnsi="Arial" w:cs="Arial"/>
          <w:lang w:val="es-VE" w:eastAsia="es-VE"/>
        </w:rPr>
        <w:t>.</w:t>
      </w:r>
    </w:p>
    <w:p w14:paraId="7AEDDCB0" w14:textId="77777777" w:rsidR="00770D8B" w:rsidRPr="00770D8B" w:rsidRDefault="00770D8B" w:rsidP="003B2D18">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 xml:space="preserve">En correspondencia con este planteamiento, tanto en entornos educativos presenciales como en los virtuales, el rendimiento académico y la satisfacción estudiantil se vinculan significativamente con el aprendizaje autónomo, cuando </w:t>
      </w:r>
      <w:r w:rsidRPr="00770D8B">
        <w:rPr>
          <w:rFonts w:ascii="Arial" w:hAnsi="Arial" w:cs="Arial"/>
          <w:lang w:val="es-MX" w:eastAsia="es-VE"/>
        </w:rPr>
        <w:t xml:space="preserve">las personas </w:t>
      </w:r>
      <w:r w:rsidRPr="00770D8B">
        <w:rPr>
          <w:rFonts w:ascii="Arial" w:hAnsi="Arial" w:cs="Arial"/>
          <w:lang w:val="es-VE" w:eastAsia="es-VE"/>
        </w:rPr>
        <w:t xml:space="preserve">estudiantes tienen control sobre su proceso de aprendizaje, pueden gestionar mejor sus estrategias, adaptando el contenido a sus inquietudes y demandas, lo que aumenta la motivación y eficacia. </w:t>
      </w:r>
    </w:p>
    <w:p w14:paraId="12385044" w14:textId="380A8068" w:rsidR="00770D8B" w:rsidRPr="00770D8B" w:rsidRDefault="00770D8B" w:rsidP="003B2D18">
      <w:pPr>
        <w:keepNext/>
        <w:keepLines/>
        <w:spacing w:before="100" w:beforeAutospacing="1" w:after="100" w:afterAutospacing="1" w:line="360" w:lineRule="auto"/>
        <w:jc w:val="both"/>
        <w:outlineLvl w:val="0"/>
        <w:rPr>
          <w:rFonts w:ascii="Arial" w:eastAsiaTheme="majorEastAsia" w:hAnsi="Arial" w:cs="Arial"/>
          <w:b/>
          <w:lang w:val="es-MX" w:eastAsia="es-PE"/>
        </w:rPr>
      </w:pPr>
      <w:r w:rsidRPr="00770D8B">
        <w:rPr>
          <w:rFonts w:ascii="Arial" w:eastAsiaTheme="majorEastAsia" w:hAnsi="Arial" w:cs="Arial"/>
          <w:b/>
          <w:lang w:val="es-MX" w:eastAsia="es-PE"/>
        </w:rPr>
        <w:t>P</w:t>
      </w:r>
      <w:r w:rsidR="003B2D18">
        <w:rPr>
          <w:rFonts w:ascii="Arial" w:eastAsiaTheme="majorEastAsia" w:hAnsi="Arial" w:cs="Arial"/>
          <w:b/>
          <w:lang w:val="es-MX" w:eastAsia="es-PE"/>
        </w:rPr>
        <w:t>ROCEDIMIENTOS METODOLÓGICOS</w:t>
      </w:r>
    </w:p>
    <w:p w14:paraId="156BEBCA" w14:textId="77777777" w:rsidR="00770D8B" w:rsidRPr="00770D8B" w:rsidRDefault="00770D8B" w:rsidP="00E65F33">
      <w:pPr>
        <w:spacing w:before="100" w:beforeAutospacing="1" w:after="100" w:afterAutospacing="1"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Esta investigación adopta un enfoque cuantitativo, entendido como un proceso sistemático y objetivo que utiliza la cuantificación numérica y el análisis estadístico de variables para describir, analizar o explicar su comportamiento. A través de instrumentos y técnicas específicas, se busca verificar hipótesis y obtener conclusiones sobre el fenómeno estudiado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author":[{"dropping-particle":"","family":"Hernández","given":"Roberto","non-dropping-particle":"","parse-names":false,"suffix":""},{"dropping-particle":"","family":"Mendoza","given":"Christian","non-dropping-particle":"","parse-names":false,"suffix":""}],"editor":[{"dropping-particle":"","family":"Hill","given":"Mc Graw","non-dropping-particle":"","parse-names":false,"suffix":""}],"id":"ITEM-1","issued":{"date-parts":[["2018"]]},"publisher-place":"México","title":"Metodología de la investigación: Las rutas cuantitativa, cualitativa y mixta","type":"book"},"uris":["http://www.mendeley.com/documents/?uuid=567fb288-0e8f-441d-8e6b-a1df5b42a1d3"]}],"mendeley":{"formattedCitation":"(Hernández &amp; Mendoza, 2018)","plainTextFormattedCitation":"(Hernández &amp; Mendoza, 2018)","previouslyFormattedCitation":"(Hernández &amp; Mendoza, 2018)"},"properties":{"noteIndex":0},"schema":"https://github.com/citation-style-language/schema/raw/master/csl-citation.json"}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(Hernández &amp; Mendoza, 2018)</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xml:space="preserve">. El empleo de este enfoque se centra, concretamente, en recopilar y analizar datos numéricos precisos sobre el modo en que las modalidades educativas virtual y presencial impactan en el rendimiento académico y la satisfacción de estudiantes </w:t>
      </w:r>
      <w:r w:rsidRPr="00770D8B">
        <w:rPr>
          <w:rFonts w:ascii="Arial" w:eastAsiaTheme="minorHAnsi" w:hAnsi="Arial" w:cs="Arial"/>
          <w:szCs w:val="22"/>
          <w:lang w:val="es-MX" w:eastAsia="es-PE"/>
        </w:rPr>
        <w:lastRenderedPageBreak/>
        <w:t>universitarios en el campo del inglés para ciencias de la salud, e interpretarlos a partir de las teorías y marcos conceptuales existentes.</w:t>
      </w:r>
    </w:p>
    <w:p w14:paraId="684168DD" w14:textId="77777777" w:rsidR="00770D8B" w:rsidRPr="00770D8B" w:rsidRDefault="00770D8B" w:rsidP="00704B8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Así mismo, este estudio se realiza conforme a un diseño no experimental, en el que las variables no se manipulan ni se exponen a condiciones experimentales. Los sujetos se evalúan en su entorno natural sin alterar ninguna situación; en este caso, el abordaje del objetivo y las variables se realizan en estudiantes, dentro de su contexto de estudios, al participar en cursos virtuales y presenciales de </w:t>
      </w:r>
      <w:proofErr w:type="gramStart"/>
      <w:r w:rsidRPr="00770D8B">
        <w:rPr>
          <w:rFonts w:ascii="Arial" w:eastAsiaTheme="minorHAnsi" w:hAnsi="Arial" w:cs="Arial"/>
          <w:szCs w:val="22"/>
          <w:lang w:val="es-MX" w:eastAsia="es-PE"/>
        </w:rPr>
        <w:t>Inglés</w:t>
      </w:r>
      <w:proofErr w:type="gramEnd"/>
      <w:r w:rsidRPr="00770D8B">
        <w:rPr>
          <w:rFonts w:ascii="Arial" w:eastAsiaTheme="minorHAnsi" w:hAnsi="Arial" w:cs="Arial"/>
          <w:szCs w:val="22"/>
          <w:lang w:val="es-MX" w:eastAsia="es-PE"/>
        </w:rPr>
        <w:t xml:space="preserve"> para fines específicos. Además se trata de un diseño transversal, por cuanto se recolectan datos en un solo momento para analizar y describir las variables en un punto específico en el tiempo, sin examinar cambios o evoluciones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author":[{"dropping-particle":"","family":"Hernández","given":"Roberto","non-dropping-particle":"","parse-names":false,"suffix":""},{"dropping-particle":"","family":"Mendoza","given":"Christian","non-dropping-particle":"","parse-names":false,"suffix":""}],"editor":[{"dropping-particle":"","family":"Hill","given":"Mc Graw","non-dropping-particle":"","parse-names":false,"suffix":""}],"id":"ITEM-1","issued":{"date-parts":[["2018"]]},"publisher-place":"México","title":"Metodología de la investigación: Las rutas cuantitativa, cualitativa y mixta","type":"book"},"uris":["http://www.mendeley.com/documents/?uuid=567fb288-0e8f-441d-8e6b-a1df5b42a1d3"]}],"mendeley":{"formattedCitation":"(Hernández &amp; Mendoza, 2018)","plainTextFormattedCitation":"(Hernández &amp; Mendoza, 2018)","previouslyFormattedCitation":"(Hernández &amp; Mendoza, 2018)"},"properties":{"noteIndex":0},"schema":"https://github.com/citation-style-language/schema/raw/master/csl-citation.json"}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(Hernández &amp; Mendoza, 2018)</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w:t>
      </w:r>
    </w:p>
    <w:p w14:paraId="3060E73D" w14:textId="77777777" w:rsidR="00770D8B" w:rsidRPr="00770D8B" w:rsidRDefault="00770D8B" w:rsidP="00704B8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El diseño de este estudio también se caracteriza como comparativo, puesto que se analizan y comparan dos o más grupos, variables o condiciones para identificar similitudes o diferencias entre ellos. No se manipulan variables; en su lugar, se observan y comparan las características de los grupos en su contexto natural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author":[{"dropping-particle":"","family":"Hernández","given":"Roberto","non-dropping-particle":"","parse-names":false,"suffix":""},{"dropping-particle":"","family":"Mendoza","given":"Christian","non-dropping-particle":"","parse-names":false,"suffix":""}],"editor":[{"dropping-particle":"","family":"Hill","given":"Mc Graw","non-dropping-particle":"","parse-names":false,"suffix":""}],"id":"ITEM-1","issued":{"date-parts":[["2018"]]},"publisher-place":"México","title":"Metodología de la investigación: Las rutas cuantitativa, cualitativa y mixta","type":"book"},"uris":["http://www.mendeley.com/documents/?uuid=567fb288-0e8f-441d-8e6b-a1df5b42a1d3"]}],"mendeley":{"formattedCitation":"(Hernández &amp; Mendoza, 2018)","plainTextFormattedCitation":"(Hernández &amp; Mendoza, 2018)","previouslyFormattedCitation":"(Hernández &amp; Mendoza, 2018)"},"properties":{"noteIndex":0},"schema":"https://github.com/citation-style-language/schema/raw/master/csl-citation.json"}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(Hernández &amp; Mendoza, 2018)</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xml:space="preserve">. Este diseño es útil para examinar asociaciones y establecer comparaciones entre diferentes situaciones o características, ayudando a entender mejor el fenómeno en estudio sin intervenir directamente en él. La investigación se propone comparar las modalidades educativas virtual y presencial de la formación en inglés en una institución universitaria, en ciencias de la salud. </w:t>
      </w:r>
    </w:p>
    <w:p w14:paraId="1093D9CB" w14:textId="77777777" w:rsidR="00770D8B" w:rsidRPr="00770D8B" w:rsidRDefault="00770D8B" w:rsidP="00704B8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lastRenderedPageBreak/>
        <w:t xml:space="preserve">Esta investigación se centró en una población de 29 estudiantes de Ciencias de la Salud, quienes cursaban </w:t>
      </w:r>
      <w:proofErr w:type="gramStart"/>
      <w:r w:rsidRPr="00770D8B">
        <w:rPr>
          <w:rFonts w:ascii="Arial" w:eastAsiaTheme="minorHAnsi" w:hAnsi="Arial" w:cs="Arial"/>
          <w:szCs w:val="22"/>
          <w:lang w:val="es-MX" w:eastAsia="es-PE"/>
        </w:rPr>
        <w:t>Inglés</w:t>
      </w:r>
      <w:proofErr w:type="gramEnd"/>
      <w:r w:rsidRPr="00770D8B">
        <w:rPr>
          <w:rFonts w:ascii="Arial" w:eastAsiaTheme="minorHAnsi" w:hAnsi="Arial" w:cs="Arial"/>
          <w:szCs w:val="22"/>
          <w:lang w:val="es-MX" w:eastAsia="es-PE"/>
        </w:rPr>
        <w:t xml:space="preserve"> con fines específicos en una universidad de Costa Rica. Se optó por un muestreo censal, lo que implicó seleccionar a la totalidad de estudiantes que se han inscrito en ese nivel y materia dentro de la institución, asegurando que cada individuo en la población fuera incluido en el estudio. </w:t>
      </w:r>
    </w:p>
    <w:p w14:paraId="1316F0EE" w14:textId="77777777" w:rsidR="00770D8B" w:rsidRPr="00770D8B" w:rsidRDefault="00770D8B" w:rsidP="00704B8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La recolección de datos se basa en el uso de la encuesta como técnica, la cual es descrita como un procedimiento que consiste en aplicar una serie de preguntas relacionadas con las variables, dimensiones e indicadores del estudio, con el fin de obtener la información necesaria para comprender el fenómeno investigado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author":[{"dropping-particle":"","family":"López","given":"Pedro","non-dropping-particle":"","parse-names":false,"suffix":""},{"dropping-particle":"","family":"Fachelli","given":"Sandra","non-dropping-particle":"","parse-names":false,"suffix":""}],"editor":[{"dropping-particle":"","family":"Universitat Autònoma de Barcelona","given":"","non-dropping-particle":"","parse-names":false,"suffix":""}],"id":"ITEM-1","issued":{"date-parts":[["2015"]]},"title":"Metodología de la investigación social cuantitativa","type":"book"},"uris":["http://www.mendeley.com/documents/?uuid=f1bf7b54-38ba-44fb-a2ec-71d997decc0d"]}],"mendeley":{"formattedCitation":"(López &amp; Fachelli, 2015)","plainTextFormattedCitation":"(López &amp; Fachelli, 2015)","previouslyFormattedCitation":"(López &amp; Fachelli, 2015)"},"properties":{"noteIndex":0},"schema":"https://github.com/citation-style-language/schema/raw/master/csl-citation.json"}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(López &amp; Fachelli, 2015)</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xml:space="preserve">. En este estudio, las encuestas servirán para recolectar información sobre la satisfacción de estudiantes en sus respectivos cursos de inglés para fines específicos, tanto para la modalidad virtual como la presencial. </w:t>
      </w:r>
    </w:p>
    <w:p w14:paraId="72258611" w14:textId="77777777" w:rsidR="00770D8B" w:rsidRPr="00770D8B" w:rsidRDefault="00770D8B" w:rsidP="00704B8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Esta técnica se apoya en el cuestionario como herramienta de recolección de datos, entendido como un formato que organiza las preguntas dirigidas a participantes de la muestra, ya sea a través de una entrevista o de forma autoadministrada, generalmente de manera anónima </w:t>
      </w:r>
      <w:r w:rsidRPr="00770D8B">
        <w:rPr>
          <w:rFonts w:ascii="Arial" w:eastAsiaTheme="minorHAnsi" w:hAnsi="Arial" w:cs="Arial"/>
          <w:szCs w:val="22"/>
          <w:lang w:val="es-MX" w:eastAsia="es-PE"/>
        </w:rPr>
        <w:fldChar w:fldCharType="begin" w:fldLock="1"/>
      </w:r>
      <w:r w:rsidRPr="00770D8B">
        <w:rPr>
          <w:rFonts w:ascii="Arial" w:eastAsiaTheme="minorHAnsi" w:hAnsi="Arial" w:cs="Arial"/>
          <w:szCs w:val="22"/>
          <w:lang w:val="es-MX" w:eastAsia="es-PE"/>
        </w:rPr>
        <w:instrText>ADDIN CSL_CITATION {"citationItems":[{"id":"ITEM-1","itemData":{"author":[{"dropping-particle":"","family":"Arias","given":"J.","non-dropping-particle":"","parse-names":false,"suffix":""}],"id":"ITEM-1","issued":{"date-parts":[["2020"]]},"publisher":"JLAG","title":"Proyecto de tesis. Guía para la elaboración","type":"book"},"uris":["http://www.mendeley.com/documents/?uuid=0e1dd71e-0e11-4927-99ae-2f3bbafc8763"]}],"mendeley":{"formattedCitation":"(Arias, 2020)","plainTextFormattedCitation":"(Arias, 2020)","previouslyFormattedCitation":"(Arias, 2020)"},"properties":{"noteIndex":0},"schema":"https://github.com/citation-style-language/schema/raw/master/csl-citation.json"}</w:instrText>
      </w:r>
      <w:r w:rsidRPr="00770D8B">
        <w:rPr>
          <w:rFonts w:ascii="Arial" w:eastAsiaTheme="minorHAnsi" w:hAnsi="Arial" w:cs="Arial"/>
          <w:szCs w:val="22"/>
          <w:lang w:val="es-MX" w:eastAsia="es-PE"/>
        </w:rPr>
        <w:fldChar w:fldCharType="separate"/>
      </w:r>
      <w:r w:rsidRPr="00770D8B">
        <w:rPr>
          <w:rFonts w:ascii="Arial" w:eastAsiaTheme="minorHAnsi" w:hAnsi="Arial" w:cs="Arial"/>
          <w:noProof/>
          <w:szCs w:val="22"/>
          <w:lang w:val="es-MX" w:eastAsia="es-PE"/>
        </w:rPr>
        <w:t>(Arias, 2020)</w:t>
      </w:r>
      <w:r w:rsidRPr="00770D8B">
        <w:rPr>
          <w:rFonts w:ascii="Arial" w:eastAsiaTheme="minorHAnsi" w:hAnsi="Arial" w:cs="Arial"/>
          <w:szCs w:val="22"/>
          <w:lang w:val="es-MX" w:eastAsia="es-PE"/>
        </w:rPr>
        <w:fldChar w:fldCharType="end"/>
      </w:r>
      <w:r w:rsidRPr="00770D8B">
        <w:rPr>
          <w:rFonts w:ascii="Arial" w:eastAsiaTheme="minorHAnsi" w:hAnsi="Arial" w:cs="Arial"/>
          <w:szCs w:val="22"/>
          <w:lang w:val="es-MX" w:eastAsia="es-PE"/>
        </w:rPr>
        <w:t>. En esta investigación, se utiliza un cuestionario centrado en analizar la variable satisfacción de las personas estudiantes, con un total de 27 ítems asociados con nivel de satisfacción, interacción con docentes y compañeros, recursos educativos, contenidos, evaluaciones, retroalimentación, gestión del tiempo, beneficios, desafíos, combinación de modalidades y su efecto en el bienestar.</w:t>
      </w:r>
    </w:p>
    <w:p w14:paraId="24952F71" w14:textId="77777777" w:rsidR="00770D8B" w:rsidRPr="00770D8B" w:rsidRDefault="00770D8B" w:rsidP="00704B8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lastRenderedPageBreak/>
        <w:t xml:space="preserve">Por otro lado, se emplea la técnica de análisis documental, que se define como un proceso de revisión que permite extraer datos del contenido de documentos considerados de alta relevancia para el investigador. De acuerdo con Arias y </w:t>
      </w:r>
      <w:proofErr w:type="spellStart"/>
      <w:r w:rsidRPr="00770D8B">
        <w:rPr>
          <w:rFonts w:ascii="Arial" w:eastAsiaTheme="minorHAnsi" w:hAnsi="Arial" w:cs="Arial"/>
          <w:szCs w:val="22"/>
          <w:lang w:val="es-MX" w:eastAsia="es-PE"/>
        </w:rPr>
        <w:t>Covinos</w:t>
      </w:r>
      <w:proofErr w:type="spellEnd"/>
      <w:r w:rsidRPr="00770D8B">
        <w:rPr>
          <w:rFonts w:ascii="Arial" w:eastAsiaTheme="minorHAnsi" w:hAnsi="Arial" w:cs="Arial"/>
          <w:szCs w:val="22"/>
          <w:lang w:val="es-MX" w:eastAsia="es-PE"/>
        </w:rPr>
        <w:t xml:space="preserve"> (2021), esta técnica implica examinar el contenido de dichos documentos con el fin de obtener la información más significativa que luego será organizada, clasificada y analizada conforme a las necesidades del investigador. Es una estrategia para estructurar y agrupar la información clave sobre el rendimiento académico, considerando aspectos como calificaciones obtenidas, asistencias y continuidad académica en participantes de los cursos de inglés para fines específicos, en sus modalidades virtual y presencial. </w:t>
      </w:r>
    </w:p>
    <w:p w14:paraId="0A49BFDF" w14:textId="0D77390A" w:rsidR="00770D8B" w:rsidRDefault="00770D8B" w:rsidP="00704B8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Para procesar los datos recopilados mediante el cuestionario y el registro de calificaciones, se empleó la versión 26 del Paquete Estadístico para las Ciencias Sociales (SPSS). Se construyeron tablas de frecuencia para cada variable, lo que facilitó una visualización clara de la distribución de los datos. Posteriormente, se realizó un análisis detallado utilizando técnicas de estadística descriptiva, lo que permitió examinar y comprender en profundidad las variables y dimensiones incluidas en el estudio, proporcionando una base sólida para la interpretación y discusión de los resultados. </w:t>
      </w:r>
    </w:p>
    <w:p w14:paraId="31D3F872" w14:textId="2BEEEFA7" w:rsidR="00B24ACD" w:rsidRDefault="00B24ACD" w:rsidP="00704B89">
      <w:pPr>
        <w:spacing w:after="160" w:line="360" w:lineRule="auto"/>
        <w:jc w:val="both"/>
        <w:rPr>
          <w:rFonts w:ascii="Arial" w:eastAsiaTheme="minorHAnsi" w:hAnsi="Arial" w:cs="Arial"/>
          <w:szCs w:val="22"/>
          <w:lang w:val="es-MX" w:eastAsia="es-PE"/>
        </w:rPr>
      </w:pPr>
    </w:p>
    <w:p w14:paraId="086CA307" w14:textId="77777777" w:rsidR="00B24ACD" w:rsidRPr="00770D8B" w:rsidRDefault="00B24ACD" w:rsidP="00704B89">
      <w:pPr>
        <w:spacing w:after="160" w:line="360" w:lineRule="auto"/>
        <w:jc w:val="both"/>
        <w:rPr>
          <w:rFonts w:ascii="Arial" w:eastAsiaTheme="minorHAnsi" w:hAnsi="Arial" w:cs="Arial"/>
          <w:szCs w:val="22"/>
          <w:lang w:val="es-MX" w:eastAsia="es-PE"/>
        </w:rPr>
      </w:pPr>
    </w:p>
    <w:p w14:paraId="4A527BDE" w14:textId="7C56152C" w:rsidR="00770D8B" w:rsidRPr="00770D8B" w:rsidRDefault="00B24ACD" w:rsidP="00C56B06">
      <w:pPr>
        <w:keepNext/>
        <w:keepLines/>
        <w:spacing w:before="100" w:beforeAutospacing="1" w:after="100" w:afterAutospacing="1" w:line="360" w:lineRule="auto"/>
        <w:jc w:val="both"/>
        <w:outlineLvl w:val="0"/>
        <w:rPr>
          <w:rFonts w:ascii="Arial" w:eastAsiaTheme="majorEastAsia" w:hAnsi="Arial" w:cs="Arial"/>
          <w:b/>
          <w:lang w:val="es-MX" w:eastAsia="es-PE"/>
        </w:rPr>
      </w:pPr>
      <w:r w:rsidRPr="00770D8B">
        <w:rPr>
          <w:rFonts w:ascii="Arial" w:eastAsiaTheme="majorEastAsia" w:hAnsi="Arial" w:cs="Arial"/>
          <w:b/>
          <w:lang w:val="es-MX" w:eastAsia="es-PE"/>
        </w:rPr>
        <w:lastRenderedPageBreak/>
        <w:t>ANÁLISIS Y DISCUSIÓN DE LOS RESULTADOS</w:t>
      </w:r>
    </w:p>
    <w:p w14:paraId="5966D3C8" w14:textId="77777777" w:rsidR="00770D8B" w:rsidRPr="00770D8B" w:rsidRDefault="00770D8B" w:rsidP="00C56B06">
      <w:pPr>
        <w:spacing w:before="100" w:beforeAutospacing="1" w:after="100" w:afterAutospacing="1" w:line="360" w:lineRule="auto"/>
        <w:jc w:val="both"/>
        <w:rPr>
          <w:rFonts w:ascii="Arial" w:eastAsiaTheme="minorHAnsi" w:hAnsi="Arial" w:cs="Arial"/>
          <w:b/>
          <w:szCs w:val="22"/>
          <w:lang w:val="es-MX" w:eastAsia="es-PE"/>
        </w:rPr>
      </w:pPr>
      <w:r w:rsidRPr="00770D8B">
        <w:rPr>
          <w:rFonts w:ascii="Arial" w:eastAsiaTheme="minorHAnsi" w:hAnsi="Arial" w:cs="Arial"/>
          <w:b/>
          <w:szCs w:val="22"/>
          <w:lang w:val="es-MX" w:eastAsia="es-PE"/>
        </w:rPr>
        <w:t>Rendimiento académico en cursos presenciales de ESP</w:t>
      </w:r>
    </w:p>
    <w:p w14:paraId="58D77B38" w14:textId="77777777" w:rsidR="00770D8B" w:rsidRPr="00770D8B" w:rsidRDefault="00770D8B" w:rsidP="00C77E10">
      <w:pPr>
        <w:spacing w:before="100" w:beforeAutospacing="1" w:after="100" w:afterAutospacing="1" w:line="360" w:lineRule="auto"/>
        <w:jc w:val="both"/>
        <w:rPr>
          <w:rFonts w:ascii="Arial" w:hAnsi="Arial" w:cs="Arial"/>
          <w:lang w:val="es-VE" w:eastAsia="es-VE"/>
        </w:rPr>
      </w:pPr>
      <w:r w:rsidRPr="00770D8B">
        <w:rPr>
          <w:rFonts w:ascii="Arial" w:hAnsi="Arial" w:cs="Arial"/>
          <w:lang w:val="es-VE" w:eastAsia="es-VE"/>
        </w:rPr>
        <w:t>A través del análisis documental se obtuvieron datos detallados sobre calificaciones, asistencia y continuidad académica de participantes en los cursos presenciales ESP, que provienen el área de la salud. Estos resultados proporcionan una visión integral del rendimiento académico en esta modalidad presencial, y sirven como base para comparaciones respecto a la modalidad virtual.</w:t>
      </w:r>
    </w:p>
    <w:p w14:paraId="5D9EEBD5" w14:textId="544D86C7" w:rsidR="00770D8B" w:rsidRDefault="00770D8B" w:rsidP="00C77E10">
      <w:pPr>
        <w:spacing w:before="100" w:beforeAutospacing="1" w:after="100" w:afterAutospacing="1" w:line="360" w:lineRule="auto"/>
        <w:jc w:val="center"/>
        <w:rPr>
          <w:rFonts w:ascii="Arial" w:eastAsiaTheme="minorHAnsi" w:hAnsi="Arial" w:cs="Arial"/>
          <w:b/>
          <w:iCs/>
          <w:sz w:val="20"/>
          <w:szCs w:val="20"/>
          <w:lang w:val="es-PE" w:eastAsia="es-PE"/>
        </w:rPr>
      </w:pPr>
      <w:r w:rsidRPr="00550549">
        <w:rPr>
          <w:rFonts w:ascii="Arial" w:eastAsiaTheme="minorHAnsi" w:hAnsi="Arial" w:cs="Arial"/>
          <w:b/>
          <w:iCs/>
          <w:sz w:val="20"/>
          <w:szCs w:val="20"/>
          <w:lang w:val="es-PE" w:eastAsia="es-PE"/>
        </w:rPr>
        <w:t xml:space="preserve">Tabla </w:t>
      </w:r>
      <w:r w:rsidRPr="00550549">
        <w:rPr>
          <w:rFonts w:ascii="Arial" w:eastAsiaTheme="minorHAnsi" w:hAnsi="Arial" w:cs="Arial"/>
          <w:b/>
          <w:iCs/>
          <w:sz w:val="20"/>
          <w:szCs w:val="20"/>
          <w:lang w:val="es-PE" w:eastAsia="es-PE"/>
        </w:rPr>
        <w:fldChar w:fldCharType="begin"/>
      </w:r>
      <w:r w:rsidRPr="00550549">
        <w:rPr>
          <w:rFonts w:ascii="Arial" w:eastAsiaTheme="minorHAnsi" w:hAnsi="Arial" w:cs="Arial"/>
          <w:b/>
          <w:iCs/>
          <w:sz w:val="20"/>
          <w:szCs w:val="20"/>
          <w:lang w:val="es-PE" w:eastAsia="es-PE"/>
        </w:rPr>
        <w:instrText xml:space="preserve"> SEQ Tabla \* ARABIC </w:instrText>
      </w:r>
      <w:r w:rsidRPr="00550549">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w:t>
      </w:r>
      <w:r w:rsidRPr="00550549">
        <w:rPr>
          <w:rFonts w:ascii="Arial" w:eastAsiaTheme="minorHAnsi" w:hAnsi="Arial" w:cs="Arial"/>
          <w:b/>
          <w:iCs/>
          <w:sz w:val="20"/>
          <w:szCs w:val="20"/>
          <w:lang w:val="es-PE" w:eastAsia="es-PE"/>
        </w:rPr>
        <w:fldChar w:fldCharType="end"/>
      </w:r>
      <w:r w:rsidR="00550549">
        <w:rPr>
          <w:rFonts w:ascii="Arial" w:eastAsiaTheme="minorHAnsi" w:hAnsi="Arial" w:cs="Arial"/>
          <w:b/>
          <w:iCs/>
          <w:sz w:val="20"/>
          <w:szCs w:val="20"/>
          <w:lang w:val="es-PE" w:eastAsia="es-PE"/>
        </w:rPr>
        <w:t xml:space="preserve">. </w:t>
      </w:r>
      <w:r w:rsidRPr="00550549">
        <w:rPr>
          <w:rFonts w:ascii="Arial" w:eastAsiaTheme="minorHAnsi" w:hAnsi="Arial" w:cs="Arial"/>
          <w:b/>
          <w:iCs/>
          <w:sz w:val="20"/>
          <w:szCs w:val="20"/>
          <w:lang w:val="es-PE" w:eastAsia="es-PE"/>
        </w:rPr>
        <w:t>Condición del estudiante en el curso presencial de ESP</w:t>
      </w:r>
    </w:p>
    <w:tbl>
      <w:tblPr>
        <w:tblStyle w:val="Tablanormal2"/>
        <w:tblW w:w="5241" w:type="pct"/>
        <w:jc w:val="center"/>
        <w:tblLayout w:type="fixed"/>
        <w:tblLook w:val="0620" w:firstRow="1" w:lastRow="0" w:firstColumn="0" w:lastColumn="0" w:noHBand="1" w:noVBand="1"/>
      </w:tblPr>
      <w:tblGrid>
        <w:gridCol w:w="2302"/>
        <w:gridCol w:w="2307"/>
        <w:gridCol w:w="2303"/>
        <w:gridCol w:w="2301"/>
      </w:tblGrid>
      <w:tr w:rsidR="00770D8B" w:rsidRPr="00E001C3" w14:paraId="2E92B66E" w14:textId="77777777" w:rsidTr="00D90840">
        <w:trPr>
          <w:cnfStyle w:val="100000000000" w:firstRow="1" w:lastRow="0" w:firstColumn="0" w:lastColumn="0" w:oddVBand="0" w:evenVBand="0" w:oddHBand="0" w:evenHBand="0" w:firstRowFirstColumn="0" w:firstRowLastColumn="0" w:lastRowFirstColumn="0" w:lastRowLastColumn="0"/>
          <w:trHeight w:val="223"/>
          <w:jc w:val="center"/>
        </w:trPr>
        <w:tc>
          <w:tcPr>
            <w:tcW w:w="2501" w:type="pct"/>
            <w:gridSpan w:val="2"/>
            <w:vAlign w:val="center"/>
          </w:tcPr>
          <w:p w14:paraId="34CA3813"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1250" w:type="pct"/>
            <w:vAlign w:val="center"/>
          </w:tcPr>
          <w:p w14:paraId="4CD607BE"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Frecuencia</w:t>
            </w:r>
          </w:p>
        </w:tc>
        <w:tc>
          <w:tcPr>
            <w:tcW w:w="1249" w:type="pct"/>
            <w:vAlign w:val="center"/>
          </w:tcPr>
          <w:p w14:paraId="49F3F1DE"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Porcentaje</w:t>
            </w:r>
          </w:p>
        </w:tc>
      </w:tr>
      <w:tr w:rsidR="00770D8B" w:rsidRPr="00E001C3" w14:paraId="47626BCF" w14:textId="77777777" w:rsidTr="00D90840">
        <w:trPr>
          <w:trHeight w:val="223"/>
          <w:jc w:val="center"/>
        </w:trPr>
        <w:tc>
          <w:tcPr>
            <w:tcW w:w="1249" w:type="pct"/>
            <w:vMerge w:val="restart"/>
            <w:vAlign w:val="center"/>
          </w:tcPr>
          <w:p w14:paraId="4D6D5933"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1252" w:type="pct"/>
            <w:vAlign w:val="center"/>
          </w:tcPr>
          <w:p w14:paraId="7703DF0D" w14:textId="77777777" w:rsidR="00770D8B" w:rsidRPr="00E001C3" w:rsidRDefault="00770D8B" w:rsidP="00A16AD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Aprobado</w:t>
            </w:r>
          </w:p>
        </w:tc>
        <w:tc>
          <w:tcPr>
            <w:tcW w:w="1250" w:type="pct"/>
            <w:vAlign w:val="center"/>
          </w:tcPr>
          <w:p w14:paraId="6A90FAA5"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14</w:t>
            </w:r>
          </w:p>
        </w:tc>
        <w:tc>
          <w:tcPr>
            <w:tcW w:w="1249" w:type="pct"/>
            <w:vAlign w:val="center"/>
          </w:tcPr>
          <w:p w14:paraId="56EC6EC5"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73,7</w:t>
            </w:r>
          </w:p>
        </w:tc>
      </w:tr>
      <w:tr w:rsidR="00770D8B" w:rsidRPr="00E001C3" w14:paraId="2E3D8B50" w14:textId="77777777" w:rsidTr="00D90840">
        <w:trPr>
          <w:trHeight w:val="109"/>
          <w:jc w:val="center"/>
        </w:trPr>
        <w:tc>
          <w:tcPr>
            <w:tcW w:w="1249" w:type="pct"/>
            <w:vMerge/>
            <w:vAlign w:val="center"/>
          </w:tcPr>
          <w:p w14:paraId="25CEC1C9" w14:textId="77777777" w:rsidR="00770D8B" w:rsidRPr="00E001C3"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1252" w:type="pct"/>
            <w:vAlign w:val="center"/>
          </w:tcPr>
          <w:p w14:paraId="07ED10D8" w14:textId="4D27F318" w:rsidR="00770D8B" w:rsidRPr="00E001C3" w:rsidRDefault="00770D8B" w:rsidP="00A16AD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Retiro</w:t>
            </w:r>
            <w:r w:rsidR="00212AFB" w:rsidRPr="00E001C3">
              <w:rPr>
                <w:rFonts w:ascii="Arial" w:eastAsiaTheme="minorHAnsi" w:hAnsi="Arial" w:cs="Arial"/>
                <w:color w:val="000000"/>
                <w:sz w:val="20"/>
                <w:szCs w:val="20"/>
                <w:lang w:val="es-VE" w:eastAsia="es-PE"/>
              </w:rPr>
              <w:t xml:space="preserve"> </w:t>
            </w:r>
            <w:r w:rsidRPr="00E001C3">
              <w:rPr>
                <w:rFonts w:ascii="Arial" w:eastAsiaTheme="minorHAnsi" w:hAnsi="Arial" w:cs="Arial"/>
                <w:color w:val="000000"/>
                <w:sz w:val="20"/>
                <w:szCs w:val="20"/>
                <w:lang w:val="es-VE" w:eastAsia="es-PE"/>
              </w:rPr>
              <w:t>injustificado</w:t>
            </w:r>
          </w:p>
        </w:tc>
        <w:tc>
          <w:tcPr>
            <w:tcW w:w="1250" w:type="pct"/>
            <w:vAlign w:val="center"/>
          </w:tcPr>
          <w:p w14:paraId="2CABD343"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5</w:t>
            </w:r>
          </w:p>
        </w:tc>
        <w:tc>
          <w:tcPr>
            <w:tcW w:w="1249" w:type="pct"/>
            <w:vAlign w:val="center"/>
          </w:tcPr>
          <w:p w14:paraId="56D46BEF"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26,3</w:t>
            </w:r>
          </w:p>
        </w:tc>
      </w:tr>
      <w:tr w:rsidR="00770D8B" w:rsidRPr="00E001C3" w14:paraId="51C2FF54" w14:textId="77777777" w:rsidTr="00D90840">
        <w:trPr>
          <w:trHeight w:val="109"/>
          <w:jc w:val="center"/>
        </w:trPr>
        <w:tc>
          <w:tcPr>
            <w:tcW w:w="1249" w:type="pct"/>
            <w:vMerge/>
            <w:vAlign w:val="center"/>
          </w:tcPr>
          <w:p w14:paraId="0A164D97" w14:textId="77777777" w:rsidR="00770D8B" w:rsidRPr="00E001C3"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1252" w:type="pct"/>
            <w:vAlign w:val="center"/>
          </w:tcPr>
          <w:p w14:paraId="14AB3EF3" w14:textId="77777777" w:rsidR="00770D8B" w:rsidRPr="00E001C3" w:rsidRDefault="00770D8B" w:rsidP="00A16AD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Total</w:t>
            </w:r>
          </w:p>
        </w:tc>
        <w:tc>
          <w:tcPr>
            <w:tcW w:w="1250" w:type="pct"/>
            <w:vAlign w:val="center"/>
          </w:tcPr>
          <w:p w14:paraId="089AA063"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19</w:t>
            </w:r>
          </w:p>
        </w:tc>
        <w:tc>
          <w:tcPr>
            <w:tcW w:w="1249" w:type="pct"/>
            <w:vAlign w:val="center"/>
          </w:tcPr>
          <w:p w14:paraId="2F079A9B"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100,0</w:t>
            </w:r>
          </w:p>
        </w:tc>
      </w:tr>
    </w:tbl>
    <w:p w14:paraId="40CA1D3F" w14:textId="77777777" w:rsidR="00770D8B" w:rsidRPr="00770D8B" w:rsidRDefault="00770D8B" w:rsidP="00590820">
      <w:pPr>
        <w:autoSpaceDE w:val="0"/>
        <w:autoSpaceDN w:val="0"/>
        <w:adjustRightInd w:val="0"/>
        <w:spacing w:before="100" w:beforeAutospacing="1" w:after="100" w:afterAutospacing="1" w:line="360" w:lineRule="auto"/>
        <w:rPr>
          <w:rFonts w:ascii="Arial" w:eastAsiaTheme="minorHAnsi" w:hAnsi="Arial" w:cs="Arial"/>
          <w:sz w:val="20"/>
          <w:lang w:val="es-VE" w:eastAsia="es-PE"/>
        </w:rPr>
      </w:pPr>
      <w:r w:rsidRPr="00770D8B">
        <w:rPr>
          <w:rFonts w:ascii="Arial" w:eastAsiaTheme="minorHAnsi" w:hAnsi="Arial" w:cs="Arial"/>
          <w:sz w:val="20"/>
          <w:lang w:val="es-VE" w:eastAsia="es-PE"/>
        </w:rPr>
        <w:t>Nota. procesamiento de datos en SPSS.</w:t>
      </w:r>
    </w:p>
    <w:p w14:paraId="78FB87E3" w14:textId="77777777" w:rsidR="00770D8B" w:rsidRPr="00770D8B" w:rsidRDefault="00770D8B" w:rsidP="00590820">
      <w:pPr>
        <w:spacing w:before="100" w:beforeAutospacing="1" w:after="100" w:afterAutospacing="1" w:line="360" w:lineRule="auto"/>
        <w:jc w:val="both"/>
        <w:rPr>
          <w:rFonts w:ascii="Arial" w:eastAsiaTheme="minorHAnsi" w:hAnsi="Arial" w:cs="Arial"/>
          <w:szCs w:val="22"/>
          <w:lang w:val="es-ES" w:eastAsia="es-PE"/>
        </w:rPr>
      </w:pPr>
      <w:r w:rsidRPr="00770D8B">
        <w:rPr>
          <w:rFonts w:ascii="Arial" w:eastAsiaTheme="minorHAnsi" w:hAnsi="Arial" w:cs="Arial"/>
          <w:szCs w:val="22"/>
          <w:lang w:val="es-ES" w:eastAsia="es-PE"/>
        </w:rPr>
        <w:t xml:space="preserve">En lo que respecta a la condición de </w:t>
      </w:r>
      <w:r w:rsidRPr="00770D8B">
        <w:rPr>
          <w:rFonts w:ascii="Arial" w:eastAsiaTheme="minorHAnsi" w:hAnsi="Arial" w:cs="Arial"/>
          <w:szCs w:val="22"/>
          <w:lang w:val="es-MX" w:eastAsia="es-PE"/>
        </w:rPr>
        <w:t xml:space="preserve">las personas </w:t>
      </w:r>
      <w:r w:rsidRPr="00770D8B">
        <w:rPr>
          <w:rFonts w:ascii="Arial" w:eastAsiaTheme="minorHAnsi" w:hAnsi="Arial" w:cs="Arial"/>
          <w:szCs w:val="22"/>
          <w:lang w:val="es-ES" w:eastAsia="es-PE"/>
        </w:rPr>
        <w:t xml:space="preserve">estudiantes en el curso presencial de ESP, los resultados muestran que 14 de 19 participantes, lo que equivale al 73,7%, lograron aprobar el curso, esto es, la mayoría de participantes completaron el curso con éxito, indicando una buena efectividad en la modalidad presencial. Por otro lado, 5 estudiantes que representan el 26,3% de la muestra se retiraron del curso de forma injustificada, indicando que, a pesar de esfuerzos de </w:t>
      </w:r>
      <w:r w:rsidRPr="00770D8B">
        <w:rPr>
          <w:rFonts w:ascii="Arial" w:eastAsiaTheme="minorHAnsi" w:hAnsi="Arial" w:cs="Arial"/>
          <w:szCs w:val="22"/>
          <w:lang w:val="es-MX" w:eastAsia="es-PE"/>
        </w:rPr>
        <w:t xml:space="preserve">las personas </w:t>
      </w:r>
      <w:r w:rsidRPr="00770D8B">
        <w:rPr>
          <w:rFonts w:ascii="Arial" w:eastAsiaTheme="minorHAnsi" w:hAnsi="Arial" w:cs="Arial"/>
          <w:szCs w:val="22"/>
          <w:lang w:val="es-ES" w:eastAsia="es-PE"/>
        </w:rPr>
        <w:lastRenderedPageBreak/>
        <w:t>estudiantes, un cuarto de la población no pudo finalizar el curso debido a circunstancias externas o personales. De esta forma, aunque resalta el éxito general del curso, también debe enfatizarse en la necesidad de investigar a profundidad las causas de los retiros para mejorar la experiencia educativa y proporcionar apoyo necesario a quienes enfrentan dificultades.</w:t>
      </w:r>
    </w:p>
    <w:p w14:paraId="4CC8D2C1" w14:textId="53A8F459" w:rsidR="00DB049D" w:rsidRPr="00C77E10" w:rsidRDefault="00770D8B" w:rsidP="00C77E10">
      <w:pPr>
        <w:spacing w:before="100" w:beforeAutospacing="1" w:after="100" w:afterAutospacing="1" w:line="360" w:lineRule="auto"/>
        <w:jc w:val="center"/>
        <w:rPr>
          <w:rFonts w:ascii="Arial" w:eastAsiaTheme="minorHAnsi" w:hAnsi="Arial" w:cs="Arial"/>
          <w:b/>
          <w:iCs/>
          <w:sz w:val="20"/>
          <w:szCs w:val="20"/>
          <w:lang w:val="es-PE" w:eastAsia="es-PE"/>
        </w:rPr>
      </w:pPr>
      <w:r w:rsidRPr="00152C27">
        <w:rPr>
          <w:rFonts w:ascii="Arial" w:eastAsiaTheme="minorHAnsi" w:hAnsi="Arial" w:cs="Arial"/>
          <w:b/>
          <w:iCs/>
          <w:sz w:val="20"/>
          <w:szCs w:val="20"/>
          <w:lang w:val="es-PE" w:eastAsia="es-PE"/>
        </w:rPr>
        <w:t xml:space="preserve">Tabla </w:t>
      </w:r>
      <w:r w:rsidRPr="00152C27">
        <w:rPr>
          <w:rFonts w:ascii="Arial" w:eastAsiaTheme="minorHAnsi" w:hAnsi="Arial" w:cs="Arial"/>
          <w:b/>
          <w:iCs/>
          <w:sz w:val="20"/>
          <w:szCs w:val="20"/>
          <w:lang w:val="es-PE" w:eastAsia="es-PE"/>
        </w:rPr>
        <w:fldChar w:fldCharType="begin"/>
      </w:r>
      <w:r w:rsidRPr="00152C27">
        <w:rPr>
          <w:rFonts w:ascii="Arial" w:eastAsiaTheme="minorHAnsi" w:hAnsi="Arial" w:cs="Arial"/>
          <w:b/>
          <w:iCs/>
          <w:sz w:val="20"/>
          <w:szCs w:val="20"/>
          <w:lang w:val="es-PE" w:eastAsia="es-PE"/>
        </w:rPr>
        <w:instrText xml:space="preserve"> SEQ Tabla \* ARABIC </w:instrText>
      </w:r>
      <w:r w:rsidRPr="00152C27">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2</w:t>
      </w:r>
      <w:r w:rsidRPr="00152C27">
        <w:rPr>
          <w:rFonts w:ascii="Arial" w:eastAsiaTheme="minorHAnsi" w:hAnsi="Arial" w:cs="Arial"/>
          <w:b/>
          <w:iCs/>
          <w:sz w:val="20"/>
          <w:szCs w:val="20"/>
          <w:lang w:val="es-PE" w:eastAsia="es-PE"/>
        </w:rPr>
        <w:fldChar w:fldCharType="end"/>
      </w:r>
      <w:r w:rsidR="00152C27">
        <w:rPr>
          <w:rFonts w:ascii="Arial" w:eastAsiaTheme="minorHAnsi" w:hAnsi="Arial" w:cs="Arial"/>
          <w:b/>
          <w:iCs/>
          <w:sz w:val="20"/>
          <w:szCs w:val="20"/>
          <w:lang w:val="es-PE" w:eastAsia="es-PE"/>
        </w:rPr>
        <w:t xml:space="preserve">. </w:t>
      </w:r>
      <w:r w:rsidRPr="00152C27">
        <w:rPr>
          <w:rFonts w:ascii="Arial" w:eastAsiaTheme="minorHAnsi" w:hAnsi="Arial" w:cs="Arial"/>
          <w:b/>
          <w:iCs/>
          <w:sz w:val="20"/>
          <w:szCs w:val="20"/>
          <w:lang w:val="es-PE" w:eastAsia="es-PE"/>
        </w:rPr>
        <w:t>Notas obtenidas por las personas estudiantes en el curso presencial de ESP</w:t>
      </w:r>
    </w:p>
    <w:tbl>
      <w:tblPr>
        <w:tblStyle w:val="Tablanormal2"/>
        <w:tblW w:w="5686" w:type="pct"/>
        <w:jc w:val="center"/>
        <w:tblLook w:val="0620" w:firstRow="1" w:lastRow="0" w:firstColumn="0" w:lastColumn="0" w:noHBand="1" w:noVBand="1"/>
      </w:tblPr>
      <w:tblGrid>
        <w:gridCol w:w="1544"/>
        <w:gridCol w:w="1320"/>
        <w:gridCol w:w="1854"/>
        <w:gridCol w:w="1903"/>
        <w:gridCol w:w="1705"/>
        <w:gridCol w:w="1669"/>
      </w:tblGrid>
      <w:tr w:rsidR="00770D8B" w:rsidRPr="00D24D92" w14:paraId="016960EC" w14:textId="77777777" w:rsidTr="003305D5">
        <w:trPr>
          <w:cnfStyle w:val="100000000000" w:firstRow="1" w:lastRow="0" w:firstColumn="0" w:lastColumn="0" w:oddVBand="0" w:evenVBand="0" w:oddHBand="0" w:evenHBand="0" w:firstRowFirstColumn="0" w:firstRowLastColumn="0" w:lastRowFirstColumn="0" w:lastRowLastColumn="0"/>
          <w:trHeight w:val="426"/>
          <w:jc w:val="center"/>
        </w:trPr>
        <w:tc>
          <w:tcPr>
            <w:tcW w:w="772" w:type="pct"/>
          </w:tcPr>
          <w:p w14:paraId="5EE6C5B2" w14:textId="77777777" w:rsidR="00770D8B" w:rsidRPr="00D24D92"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660" w:type="pct"/>
            <w:vAlign w:val="center"/>
          </w:tcPr>
          <w:p w14:paraId="563B33E6"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N</w:t>
            </w:r>
          </w:p>
        </w:tc>
        <w:tc>
          <w:tcPr>
            <w:tcW w:w="927" w:type="pct"/>
            <w:vAlign w:val="center"/>
          </w:tcPr>
          <w:p w14:paraId="3842F085"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Mínimo</w:t>
            </w:r>
          </w:p>
        </w:tc>
        <w:tc>
          <w:tcPr>
            <w:tcW w:w="952" w:type="pct"/>
            <w:vAlign w:val="center"/>
          </w:tcPr>
          <w:p w14:paraId="7B1202B8"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Máximo</w:t>
            </w:r>
          </w:p>
        </w:tc>
        <w:tc>
          <w:tcPr>
            <w:tcW w:w="853" w:type="pct"/>
            <w:vAlign w:val="center"/>
          </w:tcPr>
          <w:p w14:paraId="7CFF35F7"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Media</w:t>
            </w:r>
          </w:p>
        </w:tc>
        <w:tc>
          <w:tcPr>
            <w:tcW w:w="835" w:type="pct"/>
            <w:vAlign w:val="center"/>
          </w:tcPr>
          <w:p w14:paraId="65C63EF0" w14:textId="2115E9FA" w:rsidR="00770D8B" w:rsidRPr="00D24D92" w:rsidRDefault="003305D5" w:rsidP="003305D5">
            <w:pPr>
              <w:autoSpaceDE w:val="0"/>
              <w:autoSpaceDN w:val="0"/>
              <w:adjustRightInd w:val="0"/>
              <w:spacing w:line="276" w:lineRule="auto"/>
              <w:ind w:left="60" w:right="60" w:firstLine="0"/>
              <w:jc w:val="left"/>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 xml:space="preserve">     </w:t>
            </w:r>
            <w:proofErr w:type="spellStart"/>
            <w:r w:rsidR="00770D8B" w:rsidRPr="00D24D92">
              <w:rPr>
                <w:rFonts w:ascii="Arial" w:eastAsiaTheme="minorHAnsi" w:hAnsi="Arial" w:cs="Arial"/>
                <w:color w:val="000000"/>
                <w:sz w:val="20"/>
                <w:szCs w:val="20"/>
                <w:lang w:val="es-VE" w:eastAsia="es-PE"/>
              </w:rPr>
              <w:t>Desv</w:t>
            </w:r>
            <w:proofErr w:type="spellEnd"/>
            <w:r w:rsidR="00770D8B" w:rsidRPr="00D24D92">
              <w:rPr>
                <w:rFonts w:ascii="Arial" w:eastAsiaTheme="minorHAnsi" w:hAnsi="Arial" w:cs="Arial"/>
                <w:color w:val="000000"/>
                <w:sz w:val="20"/>
                <w:szCs w:val="20"/>
                <w:lang w:val="es-VE" w:eastAsia="es-PE"/>
              </w:rPr>
              <w:t xml:space="preserve">. </w:t>
            </w:r>
            <w:proofErr w:type="spellStart"/>
            <w:r w:rsidR="00770D8B" w:rsidRPr="00D24D92">
              <w:rPr>
                <w:rFonts w:ascii="Arial" w:eastAsiaTheme="minorHAnsi" w:hAnsi="Arial" w:cs="Arial"/>
                <w:color w:val="000000"/>
                <w:sz w:val="20"/>
                <w:szCs w:val="20"/>
                <w:lang w:val="es-VE" w:eastAsia="es-PE"/>
              </w:rPr>
              <w:t>típ</w:t>
            </w:r>
            <w:proofErr w:type="spellEnd"/>
            <w:r w:rsidR="00770D8B" w:rsidRPr="00D24D92">
              <w:rPr>
                <w:rFonts w:ascii="Arial" w:eastAsiaTheme="minorHAnsi" w:hAnsi="Arial" w:cs="Arial"/>
                <w:color w:val="000000"/>
                <w:sz w:val="20"/>
                <w:szCs w:val="20"/>
                <w:lang w:val="es-VE" w:eastAsia="es-PE"/>
              </w:rPr>
              <w:t>.</w:t>
            </w:r>
          </w:p>
        </w:tc>
      </w:tr>
      <w:tr w:rsidR="00770D8B" w:rsidRPr="00D24D92" w14:paraId="46255B49" w14:textId="77777777" w:rsidTr="003305D5">
        <w:trPr>
          <w:trHeight w:val="1723"/>
          <w:jc w:val="center"/>
        </w:trPr>
        <w:tc>
          <w:tcPr>
            <w:tcW w:w="772" w:type="pct"/>
          </w:tcPr>
          <w:p w14:paraId="42B7E825" w14:textId="77777777" w:rsidR="00770D8B" w:rsidRPr="00D24D92" w:rsidRDefault="00770D8B" w:rsidP="004E31E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Nota del estudiante en curso presencial (totalidad de inscritos).</w:t>
            </w:r>
          </w:p>
        </w:tc>
        <w:tc>
          <w:tcPr>
            <w:tcW w:w="660" w:type="pct"/>
            <w:vAlign w:val="center"/>
          </w:tcPr>
          <w:p w14:paraId="2451A5F1"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19</w:t>
            </w:r>
          </w:p>
        </w:tc>
        <w:tc>
          <w:tcPr>
            <w:tcW w:w="927" w:type="pct"/>
            <w:vAlign w:val="center"/>
          </w:tcPr>
          <w:p w14:paraId="6B57CCF7"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0</w:t>
            </w:r>
          </w:p>
        </w:tc>
        <w:tc>
          <w:tcPr>
            <w:tcW w:w="952" w:type="pct"/>
            <w:vAlign w:val="center"/>
          </w:tcPr>
          <w:p w14:paraId="225F0556"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10</w:t>
            </w:r>
          </w:p>
        </w:tc>
        <w:tc>
          <w:tcPr>
            <w:tcW w:w="853" w:type="pct"/>
            <w:vAlign w:val="center"/>
          </w:tcPr>
          <w:p w14:paraId="325C7368"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6,13</w:t>
            </w:r>
          </w:p>
        </w:tc>
        <w:tc>
          <w:tcPr>
            <w:tcW w:w="835" w:type="pct"/>
            <w:vAlign w:val="center"/>
          </w:tcPr>
          <w:p w14:paraId="1FC43B58" w14:textId="13EC37A5" w:rsidR="00770D8B" w:rsidRPr="00D24D92" w:rsidRDefault="003305D5" w:rsidP="003305D5">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 xml:space="preserve">         </w:t>
            </w:r>
            <w:r w:rsidR="00770D8B" w:rsidRPr="00D24D92">
              <w:rPr>
                <w:rFonts w:ascii="Arial" w:eastAsiaTheme="minorHAnsi" w:hAnsi="Arial" w:cs="Arial"/>
                <w:color w:val="000000"/>
                <w:sz w:val="20"/>
                <w:szCs w:val="20"/>
                <w:lang w:val="es-VE" w:eastAsia="es-PE"/>
              </w:rPr>
              <w:t>3,804</w:t>
            </w:r>
          </w:p>
        </w:tc>
      </w:tr>
      <w:tr w:rsidR="00770D8B" w:rsidRPr="00D24D92" w14:paraId="33AAD3AF" w14:textId="77777777" w:rsidTr="003305D5">
        <w:trPr>
          <w:trHeight w:val="2363"/>
          <w:jc w:val="center"/>
        </w:trPr>
        <w:tc>
          <w:tcPr>
            <w:tcW w:w="772" w:type="pct"/>
          </w:tcPr>
          <w:p w14:paraId="222BE1D4" w14:textId="77777777" w:rsidR="00770D8B" w:rsidRPr="00D24D92" w:rsidRDefault="00770D8B" w:rsidP="004E31E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Nota del estudiante en el curso presencial (sólo los que culminaron el curso).</w:t>
            </w:r>
          </w:p>
        </w:tc>
        <w:tc>
          <w:tcPr>
            <w:tcW w:w="660" w:type="pct"/>
            <w:vAlign w:val="center"/>
          </w:tcPr>
          <w:p w14:paraId="0883417C"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14</w:t>
            </w:r>
          </w:p>
        </w:tc>
        <w:tc>
          <w:tcPr>
            <w:tcW w:w="927" w:type="pct"/>
            <w:vAlign w:val="center"/>
          </w:tcPr>
          <w:p w14:paraId="2E73DFC1"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8</w:t>
            </w:r>
          </w:p>
        </w:tc>
        <w:tc>
          <w:tcPr>
            <w:tcW w:w="952" w:type="pct"/>
            <w:vAlign w:val="center"/>
          </w:tcPr>
          <w:p w14:paraId="2E5BC150"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10</w:t>
            </w:r>
          </w:p>
        </w:tc>
        <w:tc>
          <w:tcPr>
            <w:tcW w:w="853" w:type="pct"/>
            <w:vAlign w:val="center"/>
          </w:tcPr>
          <w:p w14:paraId="1113D782" w14:textId="77777777" w:rsidR="00770D8B" w:rsidRPr="00D24D92"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8,32</w:t>
            </w:r>
          </w:p>
        </w:tc>
        <w:tc>
          <w:tcPr>
            <w:tcW w:w="835" w:type="pct"/>
            <w:vAlign w:val="center"/>
          </w:tcPr>
          <w:p w14:paraId="413F479B" w14:textId="1D6B8884" w:rsidR="00770D8B" w:rsidRPr="00D24D92" w:rsidRDefault="003305D5" w:rsidP="003305D5">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sidRPr="00D24D92">
              <w:rPr>
                <w:rFonts w:ascii="Arial" w:eastAsiaTheme="minorHAnsi" w:hAnsi="Arial" w:cs="Arial"/>
                <w:color w:val="000000"/>
                <w:sz w:val="20"/>
                <w:szCs w:val="20"/>
                <w:lang w:val="es-VE" w:eastAsia="es-PE"/>
              </w:rPr>
              <w:t xml:space="preserve">           </w:t>
            </w:r>
            <w:r w:rsidR="00770D8B" w:rsidRPr="00D24D92">
              <w:rPr>
                <w:rFonts w:ascii="Arial" w:eastAsiaTheme="minorHAnsi" w:hAnsi="Arial" w:cs="Arial"/>
                <w:color w:val="000000"/>
                <w:sz w:val="20"/>
                <w:szCs w:val="20"/>
                <w:lang w:val="es-VE" w:eastAsia="es-PE"/>
              </w:rPr>
              <w:t>0,639</w:t>
            </w:r>
          </w:p>
        </w:tc>
      </w:tr>
    </w:tbl>
    <w:p w14:paraId="61018670" w14:textId="77777777" w:rsidR="00770D8B" w:rsidRPr="00770D8B" w:rsidRDefault="00770D8B" w:rsidP="00C001A4">
      <w:pPr>
        <w:autoSpaceDE w:val="0"/>
        <w:autoSpaceDN w:val="0"/>
        <w:adjustRightInd w:val="0"/>
        <w:spacing w:before="100" w:beforeAutospacing="1" w:after="100" w:afterAutospacing="1" w:line="360" w:lineRule="auto"/>
        <w:jc w:val="both"/>
        <w:rPr>
          <w:rFonts w:ascii="Arial" w:eastAsiaTheme="minorHAnsi" w:hAnsi="Arial" w:cs="Arial"/>
          <w:szCs w:val="22"/>
          <w:lang w:val="es-ES" w:eastAsia="es-PE"/>
        </w:rPr>
      </w:pPr>
      <w:r w:rsidRPr="00770D8B">
        <w:rPr>
          <w:rFonts w:ascii="Arial" w:eastAsiaTheme="minorHAnsi" w:hAnsi="Arial" w:cs="Arial"/>
          <w:szCs w:val="22"/>
          <w:lang w:val="es-ES" w:eastAsia="es-PE"/>
        </w:rPr>
        <w:t xml:space="preserve">Ahora bien, las calificaciones obtenidas por el estudiantado en este curso oscilaron entre 0 y 10, con una media de 6,13, lo que indica un promedio de aprobado. La desviación estándar de 3,804 refleja una considerable dispersión en los resultados, </w:t>
      </w:r>
      <w:r w:rsidRPr="00770D8B">
        <w:rPr>
          <w:rFonts w:ascii="Arial" w:eastAsiaTheme="minorHAnsi" w:hAnsi="Arial" w:cs="Arial"/>
          <w:szCs w:val="22"/>
          <w:lang w:val="es-ES" w:eastAsia="es-PE"/>
        </w:rPr>
        <w:lastRenderedPageBreak/>
        <w:t>sugiriendo diferencias significativas en el desempeño académico. No obstante, si se exceptúan los casos retirados, a quienes se otorga una calificación de “0”, el promedio obtenido por participantes fue de 8,32, con una desviación típica de 0,639, en una total de 14 estudiantes que llegaron al final del curso.</w:t>
      </w:r>
    </w:p>
    <w:p w14:paraId="128F5852" w14:textId="123653E4" w:rsidR="00770D8B" w:rsidRDefault="00770D8B" w:rsidP="00C001A4">
      <w:pPr>
        <w:spacing w:before="100" w:beforeAutospacing="1" w:after="100" w:afterAutospacing="1" w:line="360" w:lineRule="auto"/>
        <w:jc w:val="center"/>
        <w:rPr>
          <w:rFonts w:ascii="Arial" w:eastAsiaTheme="minorHAnsi" w:hAnsi="Arial" w:cs="Arial"/>
          <w:b/>
          <w:iCs/>
          <w:sz w:val="20"/>
          <w:szCs w:val="20"/>
          <w:lang w:val="es-PE" w:eastAsia="es-PE"/>
        </w:rPr>
      </w:pPr>
      <w:r w:rsidRPr="008618C7">
        <w:rPr>
          <w:rFonts w:ascii="Arial" w:eastAsiaTheme="minorHAnsi" w:hAnsi="Arial" w:cs="Arial"/>
          <w:b/>
          <w:iCs/>
          <w:sz w:val="20"/>
          <w:szCs w:val="20"/>
          <w:lang w:val="es-PE" w:eastAsia="es-PE"/>
        </w:rPr>
        <w:t xml:space="preserve">Tabla </w:t>
      </w:r>
      <w:r w:rsidRPr="008618C7">
        <w:rPr>
          <w:rFonts w:ascii="Arial" w:eastAsiaTheme="minorHAnsi" w:hAnsi="Arial" w:cs="Arial"/>
          <w:b/>
          <w:iCs/>
          <w:sz w:val="20"/>
          <w:szCs w:val="20"/>
          <w:lang w:val="es-PE" w:eastAsia="es-PE"/>
        </w:rPr>
        <w:fldChar w:fldCharType="begin"/>
      </w:r>
      <w:r w:rsidRPr="008618C7">
        <w:rPr>
          <w:rFonts w:ascii="Arial" w:eastAsiaTheme="minorHAnsi" w:hAnsi="Arial" w:cs="Arial"/>
          <w:b/>
          <w:iCs/>
          <w:sz w:val="20"/>
          <w:szCs w:val="20"/>
          <w:lang w:val="es-PE" w:eastAsia="es-PE"/>
        </w:rPr>
        <w:instrText xml:space="preserve"> SEQ Tabla \* ARABIC </w:instrText>
      </w:r>
      <w:r w:rsidRPr="008618C7">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3</w:t>
      </w:r>
      <w:r w:rsidRPr="008618C7">
        <w:rPr>
          <w:rFonts w:ascii="Arial" w:eastAsiaTheme="minorHAnsi" w:hAnsi="Arial" w:cs="Arial"/>
          <w:b/>
          <w:iCs/>
          <w:sz w:val="20"/>
          <w:szCs w:val="20"/>
          <w:lang w:val="es-PE" w:eastAsia="es-PE"/>
        </w:rPr>
        <w:fldChar w:fldCharType="end"/>
      </w:r>
      <w:r w:rsidR="008618C7">
        <w:rPr>
          <w:rFonts w:ascii="Arial" w:eastAsiaTheme="minorHAnsi" w:hAnsi="Arial" w:cs="Arial"/>
          <w:b/>
          <w:iCs/>
          <w:sz w:val="20"/>
          <w:szCs w:val="20"/>
          <w:lang w:val="es-PE" w:eastAsia="es-PE"/>
        </w:rPr>
        <w:t xml:space="preserve">. </w:t>
      </w:r>
      <w:r w:rsidRPr="008618C7">
        <w:rPr>
          <w:rFonts w:ascii="Arial" w:eastAsiaTheme="minorHAnsi" w:hAnsi="Arial" w:cs="Arial"/>
          <w:b/>
          <w:iCs/>
          <w:sz w:val="20"/>
          <w:szCs w:val="20"/>
          <w:lang w:val="es-PE" w:eastAsia="es-PE"/>
        </w:rPr>
        <w:t>Ausencias de las personas estudiantes en el curso presencial de ESP</w:t>
      </w:r>
    </w:p>
    <w:tbl>
      <w:tblPr>
        <w:tblStyle w:val="Tablanormal2"/>
        <w:tblW w:w="5559" w:type="pct"/>
        <w:tblLook w:val="0620" w:firstRow="1" w:lastRow="0" w:firstColumn="0" w:lastColumn="0" w:noHBand="1" w:noVBand="1"/>
      </w:tblPr>
      <w:tblGrid>
        <w:gridCol w:w="1994"/>
        <w:gridCol w:w="1289"/>
        <w:gridCol w:w="1769"/>
        <w:gridCol w:w="1814"/>
        <w:gridCol w:w="1470"/>
        <w:gridCol w:w="1436"/>
      </w:tblGrid>
      <w:tr w:rsidR="00770D8B" w:rsidRPr="00E001C3" w14:paraId="7A69B17B" w14:textId="77777777" w:rsidTr="0067470E">
        <w:trPr>
          <w:cnfStyle w:val="100000000000" w:firstRow="1" w:lastRow="0" w:firstColumn="0" w:lastColumn="0" w:oddVBand="0" w:evenVBand="0" w:oddHBand="0" w:evenHBand="0" w:firstRowFirstColumn="0" w:firstRowLastColumn="0" w:lastRowFirstColumn="0" w:lastRowLastColumn="0"/>
          <w:trHeight w:val="292"/>
        </w:trPr>
        <w:tc>
          <w:tcPr>
            <w:tcW w:w="1020" w:type="pct"/>
          </w:tcPr>
          <w:p w14:paraId="203C0F44" w14:textId="77777777" w:rsidR="00770D8B" w:rsidRPr="00E001C3"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659" w:type="pct"/>
          </w:tcPr>
          <w:p w14:paraId="3B227680"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N</w:t>
            </w:r>
          </w:p>
        </w:tc>
        <w:tc>
          <w:tcPr>
            <w:tcW w:w="905" w:type="pct"/>
          </w:tcPr>
          <w:p w14:paraId="3428DB53"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Mínimo</w:t>
            </w:r>
          </w:p>
        </w:tc>
        <w:tc>
          <w:tcPr>
            <w:tcW w:w="928" w:type="pct"/>
          </w:tcPr>
          <w:p w14:paraId="1E72DC4A"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Máximo</w:t>
            </w:r>
          </w:p>
        </w:tc>
        <w:tc>
          <w:tcPr>
            <w:tcW w:w="752" w:type="pct"/>
          </w:tcPr>
          <w:p w14:paraId="3779D441" w14:textId="7AD56ABC" w:rsidR="00770D8B" w:rsidRPr="00E001C3" w:rsidRDefault="00E30481" w:rsidP="00E30481">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 xml:space="preserve">     </w:t>
            </w:r>
            <w:r w:rsidR="00770D8B" w:rsidRPr="00E001C3">
              <w:rPr>
                <w:rFonts w:ascii="Arial" w:eastAsiaTheme="minorHAnsi" w:hAnsi="Arial" w:cs="Arial"/>
                <w:color w:val="000000"/>
                <w:sz w:val="20"/>
                <w:szCs w:val="20"/>
                <w:lang w:val="es-VE" w:eastAsia="es-PE"/>
              </w:rPr>
              <w:t>Media</w:t>
            </w:r>
          </w:p>
        </w:tc>
        <w:tc>
          <w:tcPr>
            <w:tcW w:w="735" w:type="pct"/>
          </w:tcPr>
          <w:p w14:paraId="57D0A57E" w14:textId="77777777" w:rsidR="00770D8B" w:rsidRPr="00E001C3" w:rsidRDefault="00770D8B" w:rsidP="00E30481">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proofErr w:type="spellStart"/>
            <w:r w:rsidRPr="00E001C3">
              <w:rPr>
                <w:rFonts w:ascii="Arial" w:eastAsiaTheme="minorHAnsi" w:hAnsi="Arial" w:cs="Arial"/>
                <w:color w:val="000000"/>
                <w:sz w:val="20"/>
                <w:szCs w:val="20"/>
                <w:lang w:val="es-VE" w:eastAsia="es-PE"/>
              </w:rPr>
              <w:t>Desv</w:t>
            </w:r>
            <w:proofErr w:type="spellEnd"/>
            <w:r w:rsidRPr="00E001C3">
              <w:rPr>
                <w:rFonts w:ascii="Arial" w:eastAsiaTheme="minorHAnsi" w:hAnsi="Arial" w:cs="Arial"/>
                <w:color w:val="000000"/>
                <w:sz w:val="20"/>
                <w:szCs w:val="20"/>
                <w:lang w:val="es-VE" w:eastAsia="es-PE"/>
              </w:rPr>
              <w:t xml:space="preserve">. </w:t>
            </w:r>
            <w:proofErr w:type="spellStart"/>
            <w:r w:rsidRPr="00E001C3">
              <w:rPr>
                <w:rFonts w:ascii="Arial" w:eastAsiaTheme="minorHAnsi" w:hAnsi="Arial" w:cs="Arial"/>
                <w:color w:val="000000"/>
                <w:sz w:val="20"/>
                <w:szCs w:val="20"/>
                <w:lang w:val="es-VE" w:eastAsia="es-PE"/>
              </w:rPr>
              <w:t>típ</w:t>
            </w:r>
            <w:proofErr w:type="spellEnd"/>
            <w:r w:rsidRPr="00E001C3">
              <w:rPr>
                <w:rFonts w:ascii="Arial" w:eastAsiaTheme="minorHAnsi" w:hAnsi="Arial" w:cs="Arial"/>
                <w:color w:val="000000"/>
                <w:sz w:val="20"/>
                <w:szCs w:val="20"/>
                <w:lang w:val="es-VE" w:eastAsia="es-PE"/>
              </w:rPr>
              <w:t>.</w:t>
            </w:r>
          </w:p>
        </w:tc>
      </w:tr>
      <w:tr w:rsidR="00770D8B" w:rsidRPr="00E001C3" w14:paraId="4BC0F431" w14:textId="77777777" w:rsidTr="0067470E">
        <w:trPr>
          <w:trHeight w:val="739"/>
        </w:trPr>
        <w:tc>
          <w:tcPr>
            <w:tcW w:w="1020" w:type="pct"/>
          </w:tcPr>
          <w:p w14:paraId="43CAAC4D" w14:textId="77777777" w:rsidR="00770D8B" w:rsidRPr="00E001C3" w:rsidRDefault="00770D8B" w:rsidP="00434A64">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Ausencias del estudiante en curso presencial</w:t>
            </w:r>
          </w:p>
        </w:tc>
        <w:tc>
          <w:tcPr>
            <w:tcW w:w="659" w:type="pct"/>
            <w:vAlign w:val="center"/>
          </w:tcPr>
          <w:p w14:paraId="5140E01C"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19</w:t>
            </w:r>
          </w:p>
        </w:tc>
        <w:tc>
          <w:tcPr>
            <w:tcW w:w="905" w:type="pct"/>
            <w:vAlign w:val="center"/>
          </w:tcPr>
          <w:p w14:paraId="40E27FB8"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0</w:t>
            </w:r>
          </w:p>
        </w:tc>
        <w:tc>
          <w:tcPr>
            <w:tcW w:w="928" w:type="pct"/>
            <w:vAlign w:val="center"/>
          </w:tcPr>
          <w:p w14:paraId="4C4A7EC0"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6</w:t>
            </w:r>
          </w:p>
        </w:tc>
        <w:tc>
          <w:tcPr>
            <w:tcW w:w="752" w:type="pct"/>
            <w:vAlign w:val="center"/>
          </w:tcPr>
          <w:p w14:paraId="60ED5B79" w14:textId="31396519" w:rsidR="00770D8B" w:rsidRPr="00E001C3" w:rsidRDefault="00E30481" w:rsidP="00E30481">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 xml:space="preserve">       </w:t>
            </w:r>
            <w:r w:rsidR="00770D8B" w:rsidRPr="00E001C3">
              <w:rPr>
                <w:rFonts w:ascii="Arial" w:eastAsiaTheme="minorHAnsi" w:hAnsi="Arial" w:cs="Arial"/>
                <w:color w:val="000000"/>
                <w:sz w:val="20"/>
                <w:szCs w:val="20"/>
                <w:lang w:val="es-VE" w:eastAsia="es-PE"/>
              </w:rPr>
              <w:t>1,74</w:t>
            </w:r>
          </w:p>
        </w:tc>
        <w:tc>
          <w:tcPr>
            <w:tcW w:w="735" w:type="pct"/>
            <w:vAlign w:val="center"/>
          </w:tcPr>
          <w:p w14:paraId="0CDB14FD" w14:textId="2C844E85" w:rsidR="00770D8B" w:rsidRPr="00E001C3" w:rsidRDefault="00E30481" w:rsidP="00434A64">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 xml:space="preserve">   </w:t>
            </w:r>
            <w:r w:rsidR="00770D8B" w:rsidRPr="00E001C3">
              <w:rPr>
                <w:rFonts w:ascii="Arial" w:eastAsiaTheme="minorHAnsi" w:hAnsi="Arial" w:cs="Arial"/>
                <w:color w:val="000000"/>
                <w:sz w:val="20"/>
                <w:szCs w:val="20"/>
                <w:lang w:val="es-VE" w:eastAsia="es-PE"/>
              </w:rPr>
              <w:t>1,939</w:t>
            </w:r>
          </w:p>
        </w:tc>
      </w:tr>
      <w:tr w:rsidR="00770D8B" w:rsidRPr="00E001C3" w14:paraId="3E7B1381" w14:textId="77777777" w:rsidTr="0067470E">
        <w:trPr>
          <w:trHeight w:val="446"/>
        </w:trPr>
        <w:tc>
          <w:tcPr>
            <w:tcW w:w="1020" w:type="pct"/>
          </w:tcPr>
          <w:p w14:paraId="4464E42D" w14:textId="77777777" w:rsidR="00770D8B" w:rsidRPr="00E001C3" w:rsidRDefault="00770D8B" w:rsidP="00434A64">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N válido (según lista)</w:t>
            </w:r>
          </w:p>
        </w:tc>
        <w:tc>
          <w:tcPr>
            <w:tcW w:w="659" w:type="pct"/>
            <w:vAlign w:val="center"/>
          </w:tcPr>
          <w:p w14:paraId="6D926D29" w14:textId="77777777" w:rsidR="00770D8B" w:rsidRPr="00E001C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01C3">
              <w:rPr>
                <w:rFonts w:ascii="Arial" w:eastAsiaTheme="minorHAnsi" w:hAnsi="Arial" w:cs="Arial"/>
                <w:color w:val="000000"/>
                <w:sz w:val="20"/>
                <w:szCs w:val="20"/>
                <w:lang w:val="es-VE" w:eastAsia="es-PE"/>
              </w:rPr>
              <w:t>19</w:t>
            </w:r>
          </w:p>
        </w:tc>
        <w:tc>
          <w:tcPr>
            <w:tcW w:w="905" w:type="pct"/>
            <w:vAlign w:val="center"/>
          </w:tcPr>
          <w:p w14:paraId="25729D6E" w14:textId="77777777" w:rsidR="00770D8B" w:rsidRPr="00E001C3"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c>
          <w:tcPr>
            <w:tcW w:w="928" w:type="pct"/>
            <w:vAlign w:val="center"/>
          </w:tcPr>
          <w:p w14:paraId="390E4F37" w14:textId="77777777" w:rsidR="00770D8B" w:rsidRPr="00E001C3"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c>
          <w:tcPr>
            <w:tcW w:w="752" w:type="pct"/>
            <w:vAlign w:val="center"/>
          </w:tcPr>
          <w:p w14:paraId="7501CB0B" w14:textId="77777777" w:rsidR="00770D8B" w:rsidRPr="00E001C3"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c>
          <w:tcPr>
            <w:tcW w:w="735" w:type="pct"/>
            <w:vAlign w:val="center"/>
          </w:tcPr>
          <w:p w14:paraId="60D74B92" w14:textId="77777777" w:rsidR="00770D8B" w:rsidRPr="00E001C3"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r>
    </w:tbl>
    <w:p w14:paraId="12A8122F"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54CE5224" w14:textId="77777777" w:rsidR="00770D8B" w:rsidRPr="00770D8B" w:rsidRDefault="00770D8B" w:rsidP="002533F2">
      <w:pPr>
        <w:spacing w:after="160" w:line="360" w:lineRule="auto"/>
        <w:jc w:val="both"/>
        <w:rPr>
          <w:rFonts w:ascii="Arial" w:eastAsiaTheme="minorHAnsi" w:hAnsi="Arial" w:cs="Arial"/>
          <w:szCs w:val="22"/>
          <w:lang w:val="es-MX" w:eastAsia="es-PE"/>
        </w:rPr>
      </w:pPr>
      <w:r w:rsidRPr="00770D8B">
        <w:rPr>
          <w:rFonts w:ascii="Arial" w:eastAsiaTheme="minorHAnsi" w:hAnsi="Arial" w:cs="Arial"/>
          <w:lang w:val="es-VE" w:eastAsia="es-PE"/>
        </w:rPr>
        <w:t xml:space="preserve">En cuanto a las ausencias de </w:t>
      </w:r>
      <w:r w:rsidRPr="00770D8B">
        <w:rPr>
          <w:rFonts w:ascii="Arial" w:eastAsiaTheme="minorHAnsi" w:hAnsi="Arial" w:cs="Arial"/>
          <w:szCs w:val="22"/>
          <w:lang w:val="es-MX" w:eastAsia="es-PE"/>
        </w:rPr>
        <w:t>las personas</w:t>
      </w:r>
      <w:r w:rsidRPr="00770D8B">
        <w:rPr>
          <w:rFonts w:ascii="Arial" w:eastAsiaTheme="minorHAnsi" w:hAnsi="Arial" w:cs="Arial"/>
          <w:lang w:val="es-VE" w:eastAsia="es-PE"/>
        </w:rPr>
        <w:t xml:space="preserve"> estudiantes en el curso presencial de ESP, los datos revelan que el número de ausencias varió entre 0 y 6, con una media de 1,74 y una desviación estándar de 1,939. La media de 1,74 sugiere que, en promedio, el alumnado tuvo menos de dos ausencias a lo largo del curso, lo que indica una asistencia relativamente alta. Sin embargo, la desviación estándar de 1,939 refleja una notable variabilidad, con algunas personas estudiantes que no faltaron en absoluto y otras que se ausentaron hasta seis veces. Esta dispersión en las ausencias podría influir en el rendimiento académico, ya que la regularidad en la asistencia suele estar relacionada con el éxito en el aprendizaje. </w:t>
      </w:r>
    </w:p>
    <w:p w14:paraId="0A320A58" w14:textId="77777777" w:rsidR="00770D8B" w:rsidRPr="00770D8B" w:rsidRDefault="00770D8B" w:rsidP="00083198">
      <w:pPr>
        <w:spacing w:after="160" w:line="360" w:lineRule="auto"/>
        <w:jc w:val="both"/>
        <w:rPr>
          <w:rFonts w:ascii="Arial" w:eastAsiaTheme="minorHAnsi" w:hAnsi="Arial" w:cs="Arial"/>
          <w:lang w:val="es-VE" w:eastAsia="es-PE"/>
        </w:rPr>
      </w:pPr>
      <w:r w:rsidRPr="00770D8B">
        <w:rPr>
          <w:rFonts w:ascii="Arial" w:eastAsiaTheme="minorHAnsi" w:hAnsi="Arial" w:cs="Arial"/>
          <w:szCs w:val="22"/>
          <w:lang w:val="es-MX" w:eastAsia="es-PE"/>
        </w:rPr>
        <w:lastRenderedPageBreak/>
        <w:t xml:space="preserve">En términos generales, el rendimiento académico en el curso presencial de ESP muestra un panorama predominantemente positivo, donde la mayoría de estudiantes logró cumplir con los objetivos del curso. Sin embargo, también se identificaron diferencias en el desempeño individual y algunos casos de deserción, lo que sugiere la necesidad de continuar fortaleciendo las estrategias educativas y el apoyo a las personas estudiantes. </w:t>
      </w:r>
    </w:p>
    <w:p w14:paraId="3CC38E96" w14:textId="77777777" w:rsidR="00770D8B" w:rsidRPr="00770D8B" w:rsidRDefault="00770D8B" w:rsidP="00770D8B">
      <w:pPr>
        <w:spacing w:after="160" w:line="360" w:lineRule="auto"/>
        <w:jc w:val="both"/>
        <w:rPr>
          <w:rFonts w:ascii="Arial" w:eastAsiaTheme="minorHAnsi" w:hAnsi="Arial" w:cs="Arial"/>
          <w:b/>
          <w:szCs w:val="22"/>
          <w:lang w:val="es-MX" w:eastAsia="es-PE"/>
        </w:rPr>
      </w:pPr>
      <w:r w:rsidRPr="00770D8B">
        <w:rPr>
          <w:rFonts w:ascii="Arial" w:eastAsiaTheme="minorHAnsi" w:hAnsi="Arial" w:cs="Arial"/>
          <w:b/>
          <w:szCs w:val="22"/>
          <w:lang w:val="es-MX" w:eastAsia="es-PE"/>
        </w:rPr>
        <w:t>Rendimiento académico en cursos virtuales de ESP</w:t>
      </w:r>
    </w:p>
    <w:p w14:paraId="3541E84F" w14:textId="77777777" w:rsidR="00770D8B" w:rsidRPr="00770D8B" w:rsidRDefault="00770D8B" w:rsidP="00083198">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Antes de introducir el análisis acerca del rendimiento académico en los cursos virtuales de ESP, es relevante presentar una descripción del proceso mediante el cual se lleva a cabo esta modalidad educativa dentro de la Universidad de Costa Rica. Concretamente, los cursos ESP se desarrollan como un modelo de enseñanza híbrido que combina estrategias sincrónicas y asincrónicas, utilizando la plataforma Moodle de la universidad como principal herramienta de apoyo. Esta plataforma funciona no solo como un espacio de gestión académica, sino también como un repositorio dinámico y accesible que permite a los estudiantes complementar su aprendizaje con materiales clave, como presentaciones, explicaciones adicionales y ejercicios de refuerzo.</w:t>
      </w:r>
    </w:p>
    <w:p w14:paraId="3C79F40B" w14:textId="77777777" w:rsidR="00770D8B" w:rsidRPr="00770D8B" w:rsidRDefault="00770D8B" w:rsidP="00083198">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Durante las clases sincrónicas, que se realizan por Zoom con una duración aproximada de dos (02) horas, el enfoque principal está en la práctica de habilidades orales y en la explicación de aspectos gramaticales importantes. Se emplean diversas estrategias pedagógicas para fomentar la interacción activa, </w:t>
      </w:r>
      <w:r w:rsidRPr="00770D8B">
        <w:rPr>
          <w:rFonts w:ascii="Arial" w:eastAsiaTheme="minorHAnsi" w:hAnsi="Arial" w:cs="Arial"/>
          <w:szCs w:val="22"/>
          <w:lang w:val="es-MX" w:eastAsia="es-PE"/>
        </w:rPr>
        <w:lastRenderedPageBreak/>
        <w:t>debates en grupos pequeños, simulaciones, entre otras actividades. Estas sesiones también sirven para resolver dudas y repasar los temas estudiados, procurando un buen nivel de comprensión de los contenidos.</w:t>
      </w:r>
    </w:p>
    <w:p w14:paraId="2D941F91" w14:textId="77777777" w:rsidR="00770D8B" w:rsidRPr="00770D8B" w:rsidRDefault="00770D8B" w:rsidP="00083198">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Por otro lado, las actividades asincrónicas permiten a las personas estudiantes reforzar sus habilidades de manera autónoma. A través de la plataforma se asignan tareas relacionadas con el desarrollo de vocabulario especializado, comprensión auditiva, lecturas y ejercicios gramaticales, entre otros. Estas actividades contribuyen al aprendizaje autodirigido y brindan flexibilidad, posibilitan que el estudiantado gestione su propio ritmo de estudio. Además, el uso de herramientas interactivas como cuestionarios y foros en línea promueve la participación activa fuera del aula virtual.</w:t>
      </w:r>
    </w:p>
    <w:p w14:paraId="268BC1CA" w14:textId="77777777" w:rsidR="00770D8B" w:rsidRPr="00770D8B" w:rsidRDefault="00770D8B" w:rsidP="00083198">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Ahora bien, a través de un análisis detallado del historial académico en el curso virtual ESP, se obtiene una visión comprensiva del desempeño académico en la modalidad virtual, permitiendo comparar este rendimiento con el de los cursos presenciales y evaluar la efectividad de la enseñanza a distancia. Los resultados reflejan las dinámicas y desafíos del aprendizaje virtual, destacando tanto las fortalezas como las áreas que requieren mayor atención para mejorar la experiencia educativa en línea.</w:t>
      </w:r>
    </w:p>
    <w:p w14:paraId="5A24287A" w14:textId="77777777" w:rsidR="00083198" w:rsidRDefault="00083198" w:rsidP="00770D8B">
      <w:pPr>
        <w:spacing w:line="360" w:lineRule="auto"/>
        <w:rPr>
          <w:rFonts w:ascii="Arial" w:eastAsiaTheme="minorHAnsi" w:hAnsi="Arial" w:cs="Arial"/>
          <w:b/>
          <w:iCs/>
          <w:sz w:val="22"/>
          <w:szCs w:val="18"/>
          <w:lang w:val="es-PE" w:eastAsia="es-PE"/>
        </w:rPr>
      </w:pPr>
    </w:p>
    <w:p w14:paraId="682DEC77" w14:textId="77777777" w:rsidR="00083198" w:rsidRDefault="00083198" w:rsidP="00770D8B">
      <w:pPr>
        <w:spacing w:line="360" w:lineRule="auto"/>
        <w:rPr>
          <w:rFonts w:ascii="Arial" w:eastAsiaTheme="minorHAnsi" w:hAnsi="Arial" w:cs="Arial"/>
          <w:b/>
          <w:iCs/>
          <w:sz w:val="22"/>
          <w:szCs w:val="18"/>
          <w:lang w:val="es-PE" w:eastAsia="es-PE"/>
        </w:rPr>
      </w:pPr>
    </w:p>
    <w:p w14:paraId="2D221D52" w14:textId="77777777" w:rsidR="00083198" w:rsidRDefault="00083198" w:rsidP="00083198">
      <w:pPr>
        <w:spacing w:line="360" w:lineRule="auto"/>
        <w:jc w:val="center"/>
        <w:rPr>
          <w:rFonts w:ascii="Arial" w:eastAsiaTheme="minorHAnsi" w:hAnsi="Arial" w:cs="Arial"/>
          <w:iCs/>
          <w:sz w:val="20"/>
          <w:szCs w:val="20"/>
          <w:lang w:val="es-PE" w:eastAsia="es-PE"/>
        </w:rPr>
      </w:pPr>
    </w:p>
    <w:p w14:paraId="5A961A21" w14:textId="1B4947C9" w:rsidR="00770D8B" w:rsidRPr="00083198" w:rsidRDefault="00770D8B" w:rsidP="00083198">
      <w:pPr>
        <w:spacing w:before="100" w:beforeAutospacing="1" w:after="100" w:afterAutospacing="1" w:line="360" w:lineRule="auto"/>
        <w:jc w:val="center"/>
        <w:rPr>
          <w:rFonts w:ascii="Arial" w:eastAsiaTheme="minorHAnsi" w:hAnsi="Arial" w:cs="Arial"/>
          <w:b/>
          <w:iCs/>
          <w:sz w:val="20"/>
          <w:szCs w:val="20"/>
          <w:lang w:val="es-PE" w:eastAsia="es-PE"/>
        </w:rPr>
      </w:pPr>
      <w:r w:rsidRPr="00083198">
        <w:rPr>
          <w:rFonts w:ascii="Arial" w:eastAsiaTheme="minorHAnsi" w:hAnsi="Arial" w:cs="Arial"/>
          <w:b/>
          <w:iCs/>
          <w:sz w:val="20"/>
          <w:szCs w:val="20"/>
          <w:lang w:val="es-PE" w:eastAsia="es-PE"/>
        </w:rPr>
        <w:lastRenderedPageBreak/>
        <w:t xml:space="preserve">Tabla </w:t>
      </w:r>
      <w:r w:rsidRPr="00083198">
        <w:rPr>
          <w:rFonts w:ascii="Arial" w:eastAsiaTheme="minorHAnsi" w:hAnsi="Arial" w:cs="Arial"/>
          <w:b/>
          <w:iCs/>
          <w:sz w:val="20"/>
          <w:szCs w:val="20"/>
          <w:lang w:val="es-PE" w:eastAsia="es-PE"/>
        </w:rPr>
        <w:fldChar w:fldCharType="begin"/>
      </w:r>
      <w:r w:rsidRPr="00083198">
        <w:rPr>
          <w:rFonts w:ascii="Arial" w:eastAsiaTheme="minorHAnsi" w:hAnsi="Arial" w:cs="Arial"/>
          <w:b/>
          <w:iCs/>
          <w:sz w:val="20"/>
          <w:szCs w:val="20"/>
          <w:lang w:val="es-PE" w:eastAsia="es-PE"/>
        </w:rPr>
        <w:instrText xml:space="preserve"> SEQ Tabla \* ARABIC </w:instrText>
      </w:r>
      <w:r w:rsidRPr="00083198">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4</w:t>
      </w:r>
      <w:r w:rsidRPr="00083198">
        <w:rPr>
          <w:rFonts w:ascii="Arial" w:eastAsiaTheme="minorHAnsi" w:hAnsi="Arial" w:cs="Arial"/>
          <w:b/>
          <w:iCs/>
          <w:sz w:val="20"/>
          <w:szCs w:val="20"/>
          <w:lang w:val="es-PE" w:eastAsia="es-PE"/>
        </w:rPr>
        <w:fldChar w:fldCharType="end"/>
      </w:r>
      <w:r w:rsidR="00083198" w:rsidRPr="00083198">
        <w:rPr>
          <w:rFonts w:ascii="Arial" w:eastAsiaTheme="minorHAnsi" w:hAnsi="Arial" w:cs="Arial"/>
          <w:b/>
          <w:iCs/>
          <w:sz w:val="20"/>
          <w:szCs w:val="20"/>
          <w:lang w:val="es-PE" w:eastAsia="es-PE"/>
        </w:rPr>
        <w:t xml:space="preserve">. </w:t>
      </w:r>
      <w:r w:rsidRPr="00083198">
        <w:rPr>
          <w:rFonts w:ascii="Arial" w:eastAsiaTheme="minorHAnsi" w:hAnsi="Arial" w:cs="Arial"/>
          <w:b/>
          <w:iCs/>
          <w:sz w:val="20"/>
          <w:szCs w:val="20"/>
          <w:lang w:val="es-PE" w:eastAsia="es-PE"/>
        </w:rPr>
        <w:t>Condición del estudiante en el curso virtual de ESP</w:t>
      </w:r>
    </w:p>
    <w:tbl>
      <w:tblPr>
        <w:tblStyle w:val="Tablanormal2"/>
        <w:tblW w:w="8465" w:type="dxa"/>
        <w:jc w:val="center"/>
        <w:tblLayout w:type="fixed"/>
        <w:tblLook w:val="0620" w:firstRow="1" w:lastRow="0" w:firstColumn="0" w:lastColumn="0" w:noHBand="1" w:noVBand="1"/>
      </w:tblPr>
      <w:tblGrid>
        <w:gridCol w:w="2116"/>
        <w:gridCol w:w="2117"/>
        <w:gridCol w:w="2116"/>
        <w:gridCol w:w="2116"/>
      </w:tblGrid>
      <w:tr w:rsidR="00770D8B" w:rsidRPr="00083198" w14:paraId="3AF79F6A" w14:textId="77777777" w:rsidTr="00662C16">
        <w:trPr>
          <w:cnfStyle w:val="100000000000" w:firstRow="1" w:lastRow="0" w:firstColumn="0" w:lastColumn="0" w:oddVBand="0" w:evenVBand="0" w:oddHBand="0" w:evenHBand="0" w:firstRowFirstColumn="0" w:firstRowLastColumn="0" w:lastRowFirstColumn="0" w:lastRowLastColumn="0"/>
          <w:trHeight w:val="275"/>
          <w:jc w:val="center"/>
        </w:trPr>
        <w:tc>
          <w:tcPr>
            <w:tcW w:w="4233" w:type="dxa"/>
            <w:gridSpan w:val="2"/>
          </w:tcPr>
          <w:p w14:paraId="4B754339" w14:textId="77777777" w:rsidR="00770D8B" w:rsidRPr="00083198"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116" w:type="dxa"/>
          </w:tcPr>
          <w:p w14:paraId="6CA0B660"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Frecuencia</w:t>
            </w:r>
          </w:p>
        </w:tc>
        <w:tc>
          <w:tcPr>
            <w:tcW w:w="2116" w:type="dxa"/>
          </w:tcPr>
          <w:p w14:paraId="6C816474"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Porcentaje</w:t>
            </w:r>
          </w:p>
        </w:tc>
      </w:tr>
      <w:tr w:rsidR="00770D8B" w:rsidRPr="00083198" w14:paraId="22D0226B" w14:textId="77777777" w:rsidTr="00662C16">
        <w:trPr>
          <w:trHeight w:val="275"/>
          <w:jc w:val="center"/>
        </w:trPr>
        <w:tc>
          <w:tcPr>
            <w:tcW w:w="2116" w:type="dxa"/>
            <w:vMerge w:val="restart"/>
          </w:tcPr>
          <w:p w14:paraId="48AB874A"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117" w:type="dxa"/>
          </w:tcPr>
          <w:p w14:paraId="7771FD4B" w14:textId="77777777" w:rsidR="00770D8B" w:rsidRPr="00083198" w:rsidRDefault="00770D8B" w:rsidP="00083198">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Aprobado</w:t>
            </w:r>
          </w:p>
        </w:tc>
        <w:tc>
          <w:tcPr>
            <w:tcW w:w="2116" w:type="dxa"/>
            <w:vAlign w:val="center"/>
          </w:tcPr>
          <w:p w14:paraId="6B0F1729"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16</w:t>
            </w:r>
          </w:p>
        </w:tc>
        <w:tc>
          <w:tcPr>
            <w:tcW w:w="2116" w:type="dxa"/>
            <w:vAlign w:val="center"/>
          </w:tcPr>
          <w:p w14:paraId="3CF875E8"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66,7</w:t>
            </w:r>
          </w:p>
        </w:tc>
      </w:tr>
      <w:tr w:rsidR="00770D8B" w:rsidRPr="00083198" w14:paraId="66890896" w14:textId="77777777" w:rsidTr="00662C16">
        <w:trPr>
          <w:trHeight w:val="413"/>
          <w:jc w:val="center"/>
        </w:trPr>
        <w:tc>
          <w:tcPr>
            <w:tcW w:w="2116" w:type="dxa"/>
            <w:vMerge/>
          </w:tcPr>
          <w:p w14:paraId="25C5343F" w14:textId="77777777" w:rsidR="00770D8B" w:rsidRPr="00083198"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117" w:type="dxa"/>
          </w:tcPr>
          <w:p w14:paraId="19721268" w14:textId="77777777" w:rsidR="00770D8B" w:rsidRPr="00083198" w:rsidRDefault="00770D8B" w:rsidP="00083198">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Retiro injustificado</w:t>
            </w:r>
          </w:p>
        </w:tc>
        <w:tc>
          <w:tcPr>
            <w:tcW w:w="2116" w:type="dxa"/>
            <w:vAlign w:val="center"/>
          </w:tcPr>
          <w:p w14:paraId="4838D821"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3</w:t>
            </w:r>
          </w:p>
        </w:tc>
        <w:tc>
          <w:tcPr>
            <w:tcW w:w="2116" w:type="dxa"/>
            <w:vAlign w:val="center"/>
          </w:tcPr>
          <w:p w14:paraId="47C8343E"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12,5</w:t>
            </w:r>
          </w:p>
        </w:tc>
      </w:tr>
      <w:tr w:rsidR="00770D8B" w:rsidRPr="00083198" w14:paraId="11C5C7D3" w14:textId="77777777" w:rsidTr="00662C16">
        <w:trPr>
          <w:trHeight w:val="282"/>
          <w:jc w:val="center"/>
        </w:trPr>
        <w:tc>
          <w:tcPr>
            <w:tcW w:w="2116" w:type="dxa"/>
            <w:vMerge/>
          </w:tcPr>
          <w:p w14:paraId="321B4912" w14:textId="77777777" w:rsidR="00770D8B" w:rsidRPr="00083198"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117" w:type="dxa"/>
          </w:tcPr>
          <w:p w14:paraId="5BCF0490" w14:textId="77777777" w:rsidR="00770D8B" w:rsidRPr="00083198" w:rsidRDefault="00770D8B" w:rsidP="00083198">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Retiro justificado</w:t>
            </w:r>
          </w:p>
        </w:tc>
        <w:tc>
          <w:tcPr>
            <w:tcW w:w="2116" w:type="dxa"/>
            <w:vAlign w:val="center"/>
          </w:tcPr>
          <w:p w14:paraId="2FEEFE07"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3</w:t>
            </w:r>
          </w:p>
        </w:tc>
        <w:tc>
          <w:tcPr>
            <w:tcW w:w="2116" w:type="dxa"/>
            <w:vAlign w:val="center"/>
          </w:tcPr>
          <w:p w14:paraId="7E9413BA"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12,5</w:t>
            </w:r>
          </w:p>
        </w:tc>
      </w:tr>
      <w:tr w:rsidR="00770D8B" w:rsidRPr="00083198" w14:paraId="6C3AEDE8" w14:textId="77777777" w:rsidTr="00662C16">
        <w:trPr>
          <w:trHeight w:val="275"/>
          <w:jc w:val="center"/>
        </w:trPr>
        <w:tc>
          <w:tcPr>
            <w:tcW w:w="2116" w:type="dxa"/>
            <w:vMerge/>
          </w:tcPr>
          <w:p w14:paraId="6B8FA9DD" w14:textId="77777777" w:rsidR="00770D8B" w:rsidRPr="00083198"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117" w:type="dxa"/>
          </w:tcPr>
          <w:p w14:paraId="017476AE" w14:textId="77777777" w:rsidR="00770D8B" w:rsidRPr="00083198" w:rsidRDefault="00770D8B" w:rsidP="00083198">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Reprobado</w:t>
            </w:r>
          </w:p>
        </w:tc>
        <w:tc>
          <w:tcPr>
            <w:tcW w:w="2116" w:type="dxa"/>
            <w:vAlign w:val="center"/>
          </w:tcPr>
          <w:p w14:paraId="6BF99A32"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2</w:t>
            </w:r>
          </w:p>
        </w:tc>
        <w:tc>
          <w:tcPr>
            <w:tcW w:w="2116" w:type="dxa"/>
            <w:vAlign w:val="center"/>
          </w:tcPr>
          <w:p w14:paraId="619D57B7"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8,3</w:t>
            </w:r>
          </w:p>
        </w:tc>
      </w:tr>
      <w:tr w:rsidR="00770D8B" w:rsidRPr="00083198" w14:paraId="4EC74E9B" w14:textId="77777777" w:rsidTr="00662C16">
        <w:trPr>
          <w:trHeight w:val="275"/>
          <w:jc w:val="center"/>
        </w:trPr>
        <w:tc>
          <w:tcPr>
            <w:tcW w:w="2116" w:type="dxa"/>
            <w:vMerge/>
          </w:tcPr>
          <w:p w14:paraId="2BC5C2BC" w14:textId="77777777" w:rsidR="00770D8B" w:rsidRPr="00083198"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117" w:type="dxa"/>
          </w:tcPr>
          <w:p w14:paraId="5CCC7E09" w14:textId="77777777" w:rsidR="00770D8B" w:rsidRPr="00083198" w:rsidRDefault="00770D8B" w:rsidP="00083198">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Total</w:t>
            </w:r>
          </w:p>
        </w:tc>
        <w:tc>
          <w:tcPr>
            <w:tcW w:w="2116" w:type="dxa"/>
            <w:vAlign w:val="center"/>
          </w:tcPr>
          <w:p w14:paraId="2C0C1402"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24</w:t>
            </w:r>
          </w:p>
        </w:tc>
        <w:tc>
          <w:tcPr>
            <w:tcW w:w="2116" w:type="dxa"/>
            <w:vAlign w:val="center"/>
          </w:tcPr>
          <w:p w14:paraId="66686A6A" w14:textId="77777777" w:rsidR="00770D8B" w:rsidRPr="00083198"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83198">
              <w:rPr>
                <w:rFonts w:ascii="Arial" w:eastAsiaTheme="minorHAnsi" w:hAnsi="Arial" w:cs="Arial"/>
                <w:color w:val="000000"/>
                <w:sz w:val="20"/>
                <w:szCs w:val="20"/>
                <w:lang w:val="es-VE" w:eastAsia="es-PE"/>
              </w:rPr>
              <w:t>100,0</w:t>
            </w:r>
          </w:p>
        </w:tc>
      </w:tr>
    </w:tbl>
    <w:p w14:paraId="41DE338A" w14:textId="77777777" w:rsidR="00A8037A" w:rsidRDefault="00A8037A" w:rsidP="00A8037A">
      <w:pPr>
        <w:spacing w:line="360" w:lineRule="auto"/>
        <w:jc w:val="both"/>
        <w:rPr>
          <w:rFonts w:ascii="Arial" w:eastAsiaTheme="minorHAnsi" w:hAnsi="Arial" w:cs="Arial"/>
          <w:szCs w:val="22"/>
          <w:lang w:val="es-MX" w:eastAsia="es-PE"/>
        </w:rPr>
      </w:pPr>
    </w:p>
    <w:p w14:paraId="0462F808" w14:textId="3D38A9FD" w:rsidR="00770D8B" w:rsidRPr="00770D8B" w:rsidRDefault="00770D8B" w:rsidP="00A8037A">
      <w:pPr>
        <w:spacing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De la totalidad de 29 estudiantes que integran la muestra, 24 participaron en el curso virtual ESP; a partir de estos datos relativos a su condición dentro del curso, se aprecia que la mayoría (66,7%) logró aprobar, lo que indica un buen desempeño general en la modalidad virtual. Sin embargo, un segmento notable, compuesto por aproximadamente un cuarto de participantes, se retiró del curso, ya sea de manera justificada o injustificada, por probables desafíos externos o personales que afectaron su continuidad. Además, una minoría reprobó el curso, es decir, aunque la mayoría alcanzó el éxito, existieron dificultades significativas para algunas personas estudiantes en adaptarse o mantenerse al nivel requerido en un entorno de aprendizaje virtual.</w:t>
      </w:r>
    </w:p>
    <w:p w14:paraId="08951684" w14:textId="143933C5" w:rsidR="0042346F" w:rsidRDefault="0042346F" w:rsidP="00770D8B">
      <w:pPr>
        <w:spacing w:line="360" w:lineRule="auto"/>
        <w:rPr>
          <w:rFonts w:ascii="Arial" w:eastAsiaTheme="minorHAnsi" w:hAnsi="Arial" w:cs="Arial"/>
          <w:b/>
          <w:iCs/>
          <w:sz w:val="20"/>
          <w:szCs w:val="20"/>
          <w:lang w:val="es-PE" w:eastAsia="es-PE"/>
        </w:rPr>
      </w:pPr>
    </w:p>
    <w:p w14:paraId="7183CE6D" w14:textId="68931ED6" w:rsidR="008579AF" w:rsidRDefault="008579AF" w:rsidP="00770D8B">
      <w:pPr>
        <w:spacing w:line="360" w:lineRule="auto"/>
        <w:rPr>
          <w:rFonts w:ascii="Arial" w:eastAsiaTheme="minorHAnsi" w:hAnsi="Arial" w:cs="Arial"/>
          <w:b/>
          <w:iCs/>
          <w:sz w:val="20"/>
          <w:szCs w:val="20"/>
          <w:lang w:val="es-PE" w:eastAsia="es-PE"/>
        </w:rPr>
      </w:pPr>
    </w:p>
    <w:p w14:paraId="6F12DFAA" w14:textId="421B7A7D" w:rsidR="008579AF" w:rsidRDefault="008579AF" w:rsidP="00770D8B">
      <w:pPr>
        <w:spacing w:line="360" w:lineRule="auto"/>
        <w:rPr>
          <w:rFonts w:ascii="Arial" w:eastAsiaTheme="minorHAnsi" w:hAnsi="Arial" w:cs="Arial"/>
          <w:b/>
          <w:iCs/>
          <w:sz w:val="20"/>
          <w:szCs w:val="20"/>
          <w:lang w:val="es-PE" w:eastAsia="es-PE"/>
        </w:rPr>
      </w:pPr>
    </w:p>
    <w:p w14:paraId="3336DF75" w14:textId="77777777" w:rsidR="008579AF" w:rsidRDefault="008579AF" w:rsidP="00770D8B">
      <w:pPr>
        <w:spacing w:line="360" w:lineRule="auto"/>
        <w:rPr>
          <w:rFonts w:ascii="Arial" w:eastAsiaTheme="minorHAnsi" w:hAnsi="Arial" w:cs="Arial"/>
          <w:b/>
          <w:iCs/>
          <w:sz w:val="20"/>
          <w:szCs w:val="20"/>
          <w:lang w:val="es-PE" w:eastAsia="es-PE"/>
        </w:rPr>
      </w:pPr>
    </w:p>
    <w:p w14:paraId="63D1F756" w14:textId="01BED00B" w:rsidR="00770D8B" w:rsidRPr="0042346F" w:rsidRDefault="00770D8B" w:rsidP="0042346F">
      <w:pPr>
        <w:spacing w:before="100" w:beforeAutospacing="1" w:after="100" w:afterAutospacing="1" w:line="360" w:lineRule="auto"/>
        <w:jc w:val="center"/>
        <w:rPr>
          <w:rFonts w:ascii="Arial" w:eastAsiaTheme="minorHAnsi" w:hAnsi="Arial" w:cs="Arial"/>
          <w:b/>
          <w:iCs/>
          <w:sz w:val="20"/>
          <w:szCs w:val="20"/>
          <w:lang w:val="es-PE" w:eastAsia="es-PE"/>
        </w:rPr>
      </w:pPr>
      <w:r w:rsidRPr="0042346F">
        <w:rPr>
          <w:rFonts w:ascii="Arial" w:eastAsiaTheme="minorHAnsi" w:hAnsi="Arial" w:cs="Arial"/>
          <w:b/>
          <w:iCs/>
          <w:sz w:val="20"/>
          <w:szCs w:val="20"/>
          <w:lang w:val="es-PE" w:eastAsia="es-PE"/>
        </w:rPr>
        <w:lastRenderedPageBreak/>
        <w:t xml:space="preserve">Tabla </w:t>
      </w:r>
      <w:r w:rsidRPr="0042346F">
        <w:rPr>
          <w:rFonts w:ascii="Arial" w:eastAsiaTheme="minorHAnsi" w:hAnsi="Arial" w:cs="Arial"/>
          <w:b/>
          <w:iCs/>
          <w:sz w:val="20"/>
          <w:szCs w:val="20"/>
          <w:lang w:val="es-PE" w:eastAsia="es-PE"/>
        </w:rPr>
        <w:fldChar w:fldCharType="begin"/>
      </w:r>
      <w:r w:rsidRPr="0042346F">
        <w:rPr>
          <w:rFonts w:ascii="Arial" w:eastAsiaTheme="minorHAnsi" w:hAnsi="Arial" w:cs="Arial"/>
          <w:b/>
          <w:iCs/>
          <w:sz w:val="20"/>
          <w:szCs w:val="20"/>
          <w:lang w:val="es-PE" w:eastAsia="es-PE"/>
        </w:rPr>
        <w:instrText xml:space="preserve"> SEQ Tabla \* ARABIC </w:instrText>
      </w:r>
      <w:r w:rsidRPr="0042346F">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5</w:t>
      </w:r>
      <w:r w:rsidRPr="0042346F">
        <w:rPr>
          <w:rFonts w:ascii="Arial" w:eastAsiaTheme="minorHAnsi" w:hAnsi="Arial" w:cs="Arial"/>
          <w:b/>
          <w:iCs/>
          <w:sz w:val="20"/>
          <w:szCs w:val="20"/>
          <w:lang w:val="es-PE" w:eastAsia="es-PE"/>
        </w:rPr>
        <w:fldChar w:fldCharType="end"/>
      </w:r>
      <w:r w:rsidR="0042346F">
        <w:rPr>
          <w:rFonts w:ascii="Arial" w:eastAsiaTheme="minorHAnsi" w:hAnsi="Arial" w:cs="Arial"/>
          <w:b/>
          <w:iCs/>
          <w:sz w:val="20"/>
          <w:szCs w:val="20"/>
          <w:lang w:val="es-PE" w:eastAsia="es-PE"/>
        </w:rPr>
        <w:t xml:space="preserve">. </w:t>
      </w:r>
      <w:r w:rsidRPr="0042346F">
        <w:rPr>
          <w:rFonts w:ascii="Arial" w:eastAsiaTheme="minorHAnsi" w:hAnsi="Arial" w:cs="Arial"/>
          <w:b/>
          <w:iCs/>
          <w:sz w:val="20"/>
          <w:szCs w:val="20"/>
          <w:lang w:val="es-PE" w:eastAsia="es-PE"/>
        </w:rPr>
        <w:t>Notas obtenidas por las personas estudiantes en el curso virtual de ESP</w:t>
      </w:r>
    </w:p>
    <w:tbl>
      <w:tblPr>
        <w:tblStyle w:val="Tablanormal2"/>
        <w:tblW w:w="5440" w:type="pct"/>
        <w:jc w:val="center"/>
        <w:tblLook w:val="0620" w:firstRow="1" w:lastRow="0" w:firstColumn="0" w:lastColumn="0" w:noHBand="1" w:noVBand="1"/>
      </w:tblPr>
      <w:tblGrid>
        <w:gridCol w:w="1485"/>
        <w:gridCol w:w="1287"/>
        <w:gridCol w:w="1761"/>
        <w:gridCol w:w="1805"/>
        <w:gridCol w:w="1629"/>
        <w:gridCol w:w="1595"/>
      </w:tblGrid>
      <w:tr w:rsidR="00770D8B" w:rsidRPr="008067A0" w14:paraId="31816B14" w14:textId="77777777" w:rsidTr="00176139">
        <w:trPr>
          <w:cnfStyle w:val="100000000000" w:firstRow="1" w:lastRow="0" w:firstColumn="0" w:lastColumn="0" w:oddVBand="0" w:evenVBand="0" w:oddHBand="0" w:evenHBand="0" w:firstRowFirstColumn="0" w:firstRowLastColumn="0" w:lastRowFirstColumn="0" w:lastRowLastColumn="0"/>
          <w:trHeight w:val="391"/>
          <w:jc w:val="center"/>
        </w:trPr>
        <w:tc>
          <w:tcPr>
            <w:tcW w:w="776" w:type="pct"/>
          </w:tcPr>
          <w:p w14:paraId="090A936F" w14:textId="77777777" w:rsidR="00770D8B" w:rsidRPr="008067A0"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673" w:type="pct"/>
          </w:tcPr>
          <w:p w14:paraId="75C6C018"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N</w:t>
            </w:r>
          </w:p>
        </w:tc>
        <w:tc>
          <w:tcPr>
            <w:tcW w:w="921" w:type="pct"/>
          </w:tcPr>
          <w:p w14:paraId="64C45074"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Mínimo</w:t>
            </w:r>
          </w:p>
        </w:tc>
        <w:tc>
          <w:tcPr>
            <w:tcW w:w="944" w:type="pct"/>
          </w:tcPr>
          <w:p w14:paraId="5A4F562B"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Máximo</w:t>
            </w:r>
          </w:p>
        </w:tc>
        <w:tc>
          <w:tcPr>
            <w:tcW w:w="852" w:type="pct"/>
          </w:tcPr>
          <w:p w14:paraId="30A99C45"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Media</w:t>
            </w:r>
          </w:p>
        </w:tc>
        <w:tc>
          <w:tcPr>
            <w:tcW w:w="834" w:type="pct"/>
          </w:tcPr>
          <w:p w14:paraId="75DCC513" w14:textId="115D4F5B" w:rsidR="00770D8B" w:rsidRPr="008067A0" w:rsidRDefault="00176139" w:rsidP="00176139">
            <w:pPr>
              <w:autoSpaceDE w:val="0"/>
              <w:autoSpaceDN w:val="0"/>
              <w:adjustRightInd w:val="0"/>
              <w:spacing w:line="276" w:lineRule="auto"/>
              <w:ind w:left="60" w:right="60" w:firstLine="0"/>
              <w:jc w:val="lef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proofErr w:type="spellStart"/>
            <w:r w:rsidR="00770D8B" w:rsidRPr="008067A0">
              <w:rPr>
                <w:rFonts w:ascii="Arial" w:eastAsiaTheme="minorHAnsi" w:hAnsi="Arial" w:cs="Arial"/>
                <w:color w:val="000000"/>
                <w:sz w:val="20"/>
                <w:szCs w:val="20"/>
                <w:lang w:val="es-VE" w:eastAsia="es-PE"/>
              </w:rPr>
              <w:t>Desv</w:t>
            </w:r>
            <w:proofErr w:type="spellEnd"/>
            <w:r w:rsidR="00770D8B" w:rsidRPr="008067A0">
              <w:rPr>
                <w:rFonts w:ascii="Arial" w:eastAsiaTheme="minorHAnsi" w:hAnsi="Arial" w:cs="Arial"/>
                <w:color w:val="000000"/>
                <w:sz w:val="20"/>
                <w:szCs w:val="20"/>
                <w:lang w:val="es-VE" w:eastAsia="es-PE"/>
              </w:rPr>
              <w:t xml:space="preserve">. </w:t>
            </w:r>
            <w:proofErr w:type="spellStart"/>
            <w:r w:rsidR="00770D8B" w:rsidRPr="008067A0">
              <w:rPr>
                <w:rFonts w:ascii="Arial" w:eastAsiaTheme="minorHAnsi" w:hAnsi="Arial" w:cs="Arial"/>
                <w:color w:val="000000"/>
                <w:sz w:val="20"/>
                <w:szCs w:val="20"/>
                <w:lang w:val="es-VE" w:eastAsia="es-PE"/>
              </w:rPr>
              <w:t>típ</w:t>
            </w:r>
            <w:proofErr w:type="spellEnd"/>
            <w:r w:rsidR="00770D8B" w:rsidRPr="008067A0">
              <w:rPr>
                <w:rFonts w:ascii="Arial" w:eastAsiaTheme="minorHAnsi" w:hAnsi="Arial" w:cs="Arial"/>
                <w:color w:val="000000"/>
                <w:sz w:val="20"/>
                <w:szCs w:val="20"/>
                <w:lang w:val="es-VE" w:eastAsia="es-PE"/>
              </w:rPr>
              <w:t>.</w:t>
            </w:r>
          </w:p>
        </w:tc>
      </w:tr>
      <w:tr w:rsidR="00770D8B" w:rsidRPr="008067A0" w14:paraId="0997FEA0" w14:textId="77777777" w:rsidTr="00176139">
        <w:trPr>
          <w:trHeight w:val="1573"/>
          <w:jc w:val="center"/>
        </w:trPr>
        <w:tc>
          <w:tcPr>
            <w:tcW w:w="776" w:type="pct"/>
          </w:tcPr>
          <w:p w14:paraId="4CF5BDCC" w14:textId="77777777" w:rsidR="00770D8B" w:rsidRPr="008067A0" w:rsidRDefault="00770D8B" w:rsidP="0017613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Nota del estudiante en curso virtual (totalidad de inscritos)</w:t>
            </w:r>
          </w:p>
        </w:tc>
        <w:tc>
          <w:tcPr>
            <w:tcW w:w="673" w:type="pct"/>
            <w:vAlign w:val="center"/>
          </w:tcPr>
          <w:p w14:paraId="0A7F2BA8"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24</w:t>
            </w:r>
          </w:p>
        </w:tc>
        <w:tc>
          <w:tcPr>
            <w:tcW w:w="921" w:type="pct"/>
            <w:vAlign w:val="center"/>
          </w:tcPr>
          <w:p w14:paraId="4BBA78C3"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0</w:t>
            </w:r>
          </w:p>
        </w:tc>
        <w:tc>
          <w:tcPr>
            <w:tcW w:w="944" w:type="pct"/>
            <w:vAlign w:val="center"/>
          </w:tcPr>
          <w:p w14:paraId="4BB7BB8A"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10</w:t>
            </w:r>
          </w:p>
        </w:tc>
        <w:tc>
          <w:tcPr>
            <w:tcW w:w="852" w:type="pct"/>
            <w:vAlign w:val="center"/>
          </w:tcPr>
          <w:p w14:paraId="62A269C8"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6,00</w:t>
            </w:r>
          </w:p>
        </w:tc>
        <w:tc>
          <w:tcPr>
            <w:tcW w:w="834" w:type="pct"/>
            <w:vAlign w:val="center"/>
          </w:tcPr>
          <w:p w14:paraId="0BC116E5" w14:textId="402E92AA" w:rsidR="00770D8B" w:rsidRPr="008067A0" w:rsidRDefault="00176139" w:rsidP="00176139">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8067A0">
              <w:rPr>
                <w:rFonts w:ascii="Arial" w:eastAsiaTheme="minorHAnsi" w:hAnsi="Arial" w:cs="Arial"/>
                <w:color w:val="000000"/>
                <w:sz w:val="20"/>
                <w:szCs w:val="20"/>
                <w:lang w:val="es-VE" w:eastAsia="es-PE"/>
              </w:rPr>
              <w:t>3,873</w:t>
            </w:r>
          </w:p>
        </w:tc>
      </w:tr>
      <w:tr w:rsidR="00770D8B" w:rsidRPr="008067A0" w14:paraId="6F6CB095" w14:textId="77777777" w:rsidTr="00176139">
        <w:trPr>
          <w:trHeight w:val="1573"/>
          <w:jc w:val="center"/>
        </w:trPr>
        <w:tc>
          <w:tcPr>
            <w:tcW w:w="776" w:type="pct"/>
          </w:tcPr>
          <w:p w14:paraId="270FF2C7" w14:textId="2AF2F686" w:rsidR="00770D8B" w:rsidRPr="008067A0" w:rsidRDefault="00770D8B" w:rsidP="0017613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Nota del</w:t>
            </w:r>
            <w:r w:rsidR="00176139">
              <w:rPr>
                <w:rFonts w:ascii="Arial" w:eastAsiaTheme="minorHAnsi" w:hAnsi="Arial" w:cs="Arial"/>
                <w:color w:val="000000"/>
                <w:sz w:val="20"/>
                <w:szCs w:val="20"/>
                <w:lang w:val="es-VE" w:eastAsia="es-PE"/>
              </w:rPr>
              <w:t xml:space="preserve"> </w:t>
            </w:r>
            <w:r w:rsidRPr="008067A0">
              <w:rPr>
                <w:rFonts w:ascii="Arial" w:eastAsiaTheme="minorHAnsi" w:hAnsi="Arial" w:cs="Arial"/>
                <w:color w:val="000000"/>
                <w:sz w:val="20"/>
                <w:szCs w:val="20"/>
                <w:lang w:val="es-VE" w:eastAsia="es-PE"/>
              </w:rPr>
              <w:t>estudiante (sólo quienes que culminaron el curso)</w:t>
            </w:r>
          </w:p>
        </w:tc>
        <w:tc>
          <w:tcPr>
            <w:tcW w:w="673" w:type="pct"/>
            <w:vAlign w:val="center"/>
          </w:tcPr>
          <w:p w14:paraId="29E18E0B"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18</w:t>
            </w:r>
          </w:p>
        </w:tc>
        <w:tc>
          <w:tcPr>
            <w:tcW w:w="921" w:type="pct"/>
            <w:vAlign w:val="center"/>
          </w:tcPr>
          <w:p w14:paraId="4D12F5FD"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3</w:t>
            </w:r>
          </w:p>
        </w:tc>
        <w:tc>
          <w:tcPr>
            <w:tcW w:w="944" w:type="pct"/>
            <w:vAlign w:val="center"/>
          </w:tcPr>
          <w:p w14:paraId="6B73DB60"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10</w:t>
            </w:r>
          </w:p>
        </w:tc>
        <w:tc>
          <w:tcPr>
            <w:tcW w:w="852" w:type="pct"/>
            <w:vAlign w:val="center"/>
          </w:tcPr>
          <w:p w14:paraId="56B3E45D" w14:textId="77777777" w:rsidR="00770D8B" w:rsidRPr="008067A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8067A0">
              <w:rPr>
                <w:rFonts w:ascii="Arial" w:eastAsiaTheme="minorHAnsi" w:hAnsi="Arial" w:cs="Arial"/>
                <w:color w:val="000000"/>
                <w:sz w:val="20"/>
                <w:szCs w:val="20"/>
                <w:lang w:val="es-VE" w:eastAsia="es-PE"/>
              </w:rPr>
              <w:t>8,00</w:t>
            </w:r>
          </w:p>
        </w:tc>
        <w:tc>
          <w:tcPr>
            <w:tcW w:w="834" w:type="pct"/>
            <w:vAlign w:val="center"/>
          </w:tcPr>
          <w:p w14:paraId="4E4CB29B" w14:textId="17CA99AE" w:rsidR="00770D8B" w:rsidRPr="008067A0" w:rsidRDefault="00176139" w:rsidP="00176139">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8067A0">
              <w:rPr>
                <w:rFonts w:ascii="Arial" w:eastAsiaTheme="minorHAnsi" w:hAnsi="Arial" w:cs="Arial"/>
                <w:color w:val="000000"/>
                <w:sz w:val="20"/>
                <w:szCs w:val="20"/>
                <w:lang w:val="es-VE" w:eastAsia="es-PE"/>
              </w:rPr>
              <w:t>1,831</w:t>
            </w:r>
          </w:p>
        </w:tc>
      </w:tr>
    </w:tbl>
    <w:p w14:paraId="37BF40E3"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3F290893" w14:textId="77777777" w:rsidR="00770D8B" w:rsidRPr="00770D8B" w:rsidRDefault="00770D8B" w:rsidP="006B6820">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Las notas de este grupo inscrito en la modalidad virtual oscilaron entre 0 y 10, con un promedio de 6,00 que apenas alcanza el nivel de aprobación (considerando estudiantes retirados, cuya calificación es de “0”). La alta desviación estándar refleja una marcada dispersión en los resultados, indicando que existen diferencias en la adaptación al entorno de aprendizaje virtual. Sin embargo, si se considera solo a quienes que culminaron el curso, las calificaciones oscilan entre 3 y 10, con un promedio de 8 y una desviación estándar de 1,831, lo que significa que la mayoría logró un desempeño cercano o superior al promedio, aunque se observen estudiantes con calificaciones significativamente diferentes.</w:t>
      </w:r>
    </w:p>
    <w:p w14:paraId="243ACD84" w14:textId="4BB734BD" w:rsidR="00770D8B" w:rsidRPr="00601D11" w:rsidRDefault="00770D8B" w:rsidP="00601D11">
      <w:pPr>
        <w:spacing w:before="100" w:beforeAutospacing="1" w:after="100" w:afterAutospacing="1" w:line="360" w:lineRule="auto"/>
        <w:jc w:val="center"/>
        <w:rPr>
          <w:rFonts w:ascii="Arial" w:eastAsiaTheme="minorHAnsi" w:hAnsi="Arial" w:cs="Arial"/>
          <w:b/>
          <w:iCs/>
          <w:sz w:val="20"/>
          <w:szCs w:val="20"/>
          <w:lang w:val="es-PE" w:eastAsia="es-PE"/>
        </w:rPr>
      </w:pPr>
      <w:r w:rsidRPr="00601D11">
        <w:rPr>
          <w:rFonts w:ascii="Arial" w:eastAsiaTheme="minorHAnsi" w:hAnsi="Arial" w:cs="Arial"/>
          <w:b/>
          <w:iCs/>
          <w:sz w:val="20"/>
          <w:szCs w:val="20"/>
          <w:lang w:val="es-PE" w:eastAsia="es-PE"/>
        </w:rPr>
        <w:lastRenderedPageBreak/>
        <w:t xml:space="preserve">Tabla </w:t>
      </w:r>
      <w:r w:rsidRPr="00601D11">
        <w:rPr>
          <w:rFonts w:ascii="Arial" w:eastAsiaTheme="minorHAnsi" w:hAnsi="Arial" w:cs="Arial"/>
          <w:b/>
          <w:iCs/>
          <w:sz w:val="20"/>
          <w:szCs w:val="20"/>
          <w:lang w:val="es-PE" w:eastAsia="es-PE"/>
        </w:rPr>
        <w:fldChar w:fldCharType="begin"/>
      </w:r>
      <w:r w:rsidRPr="00601D11">
        <w:rPr>
          <w:rFonts w:ascii="Arial" w:eastAsiaTheme="minorHAnsi" w:hAnsi="Arial" w:cs="Arial"/>
          <w:b/>
          <w:iCs/>
          <w:sz w:val="20"/>
          <w:szCs w:val="20"/>
          <w:lang w:val="es-PE" w:eastAsia="es-PE"/>
        </w:rPr>
        <w:instrText xml:space="preserve"> SEQ Tabla \* ARABIC </w:instrText>
      </w:r>
      <w:r w:rsidRPr="00601D11">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6</w:t>
      </w:r>
      <w:r w:rsidRPr="00601D11">
        <w:rPr>
          <w:rFonts w:ascii="Arial" w:eastAsiaTheme="minorHAnsi" w:hAnsi="Arial" w:cs="Arial"/>
          <w:b/>
          <w:iCs/>
          <w:sz w:val="20"/>
          <w:szCs w:val="20"/>
          <w:lang w:val="es-PE" w:eastAsia="es-PE"/>
        </w:rPr>
        <w:fldChar w:fldCharType="end"/>
      </w:r>
      <w:r w:rsidR="00601D11">
        <w:rPr>
          <w:rFonts w:ascii="Arial" w:eastAsiaTheme="minorHAnsi" w:hAnsi="Arial" w:cs="Arial"/>
          <w:b/>
          <w:iCs/>
          <w:sz w:val="20"/>
          <w:szCs w:val="20"/>
          <w:lang w:val="es-PE" w:eastAsia="es-PE"/>
        </w:rPr>
        <w:t xml:space="preserve">. </w:t>
      </w:r>
      <w:r w:rsidRPr="00601D11">
        <w:rPr>
          <w:rFonts w:ascii="Arial" w:eastAsiaTheme="minorHAnsi" w:hAnsi="Arial" w:cs="Arial"/>
          <w:b/>
          <w:iCs/>
          <w:sz w:val="20"/>
          <w:szCs w:val="20"/>
          <w:lang w:val="es-PE" w:eastAsia="es-PE"/>
        </w:rPr>
        <w:t>Condición del estudiante en el curso virtual de ESP</w:t>
      </w:r>
    </w:p>
    <w:tbl>
      <w:tblPr>
        <w:tblStyle w:val="Tablanormal2"/>
        <w:tblW w:w="5213" w:type="pct"/>
        <w:jc w:val="center"/>
        <w:tblLook w:val="0620" w:firstRow="1" w:lastRow="0" w:firstColumn="0" w:lastColumn="0" w:noHBand="1" w:noVBand="1"/>
      </w:tblPr>
      <w:tblGrid>
        <w:gridCol w:w="1979"/>
        <w:gridCol w:w="1279"/>
        <w:gridCol w:w="1756"/>
        <w:gridCol w:w="1801"/>
        <w:gridCol w:w="1623"/>
        <w:gridCol w:w="1557"/>
      </w:tblGrid>
      <w:tr w:rsidR="00770D8B" w:rsidRPr="00601D11" w14:paraId="242BB480" w14:textId="77777777" w:rsidTr="001B2038">
        <w:trPr>
          <w:cnfStyle w:val="100000000000" w:firstRow="1" w:lastRow="0" w:firstColumn="0" w:lastColumn="0" w:oddVBand="0" w:evenVBand="0" w:oddHBand="0" w:evenHBand="0" w:firstRowFirstColumn="0" w:firstRowLastColumn="0" w:lastRowFirstColumn="0" w:lastRowLastColumn="0"/>
          <w:trHeight w:val="224"/>
          <w:jc w:val="center"/>
        </w:trPr>
        <w:tc>
          <w:tcPr>
            <w:tcW w:w="990" w:type="pct"/>
          </w:tcPr>
          <w:p w14:paraId="7EEAF9D2" w14:textId="77777777" w:rsidR="00770D8B" w:rsidRPr="00601D11"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640" w:type="pct"/>
          </w:tcPr>
          <w:p w14:paraId="177EE853" w14:textId="77777777" w:rsidR="00770D8B" w:rsidRPr="00601D11"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N</w:t>
            </w:r>
          </w:p>
        </w:tc>
        <w:tc>
          <w:tcPr>
            <w:tcW w:w="878" w:type="pct"/>
          </w:tcPr>
          <w:p w14:paraId="7AA37584" w14:textId="77777777" w:rsidR="00770D8B" w:rsidRPr="00601D11"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Mínimo</w:t>
            </w:r>
          </w:p>
        </w:tc>
        <w:tc>
          <w:tcPr>
            <w:tcW w:w="901" w:type="pct"/>
          </w:tcPr>
          <w:p w14:paraId="6BE04016" w14:textId="77777777" w:rsidR="00770D8B" w:rsidRPr="00601D11"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Máximo</w:t>
            </w:r>
          </w:p>
        </w:tc>
        <w:tc>
          <w:tcPr>
            <w:tcW w:w="812" w:type="pct"/>
          </w:tcPr>
          <w:p w14:paraId="15078501" w14:textId="77777777" w:rsidR="00770D8B" w:rsidRPr="00601D11" w:rsidRDefault="00770D8B" w:rsidP="003C1C3D">
            <w:pPr>
              <w:autoSpaceDE w:val="0"/>
              <w:autoSpaceDN w:val="0"/>
              <w:adjustRightInd w:val="0"/>
              <w:spacing w:line="276" w:lineRule="auto"/>
              <w:ind w:left="60" w:right="60"/>
              <w:jc w:val="left"/>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Media</w:t>
            </w:r>
          </w:p>
        </w:tc>
        <w:tc>
          <w:tcPr>
            <w:tcW w:w="779" w:type="pct"/>
          </w:tcPr>
          <w:p w14:paraId="5C863853" w14:textId="1034ED6E" w:rsidR="00770D8B" w:rsidRPr="00601D11" w:rsidRDefault="00D861F9" w:rsidP="00D861F9">
            <w:pPr>
              <w:autoSpaceDE w:val="0"/>
              <w:autoSpaceDN w:val="0"/>
              <w:adjustRightInd w:val="0"/>
              <w:spacing w:line="276" w:lineRule="auto"/>
              <w:ind w:left="60" w:right="60" w:firstLine="0"/>
              <w:jc w:val="lef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proofErr w:type="spellStart"/>
            <w:r w:rsidR="00770D8B" w:rsidRPr="00601D11">
              <w:rPr>
                <w:rFonts w:ascii="Arial" w:eastAsiaTheme="minorHAnsi" w:hAnsi="Arial" w:cs="Arial"/>
                <w:color w:val="000000"/>
                <w:sz w:val="20"/>
                <w:szCs w:val="20"/>
                <w:lang w:val="es-VE" w:eastAsia="es-PE"/>
              </w:rPr>
              <w:t>Desv</w:t>
            </w:r>
            <w:proofErr w:type="spellEnd"/>
            <w:r w:rsidR="00770D8B" w:rsidRPr="00601D11">
              <w:rPr>
                <w:rFonts w:ascii="Arial" w:eastAsiaTheme="minorHAnsi" w:hAnsi="Arial" w:cs="Arial"/>
                <w:color w:val="000000"/>
                <w:sz w:val="20"/>
                <w:szCs w:val="20"/>
                <w:lang w:val="es-VE" w:eastAsia="es-PE"/>
              </w:rPr>
              <w:t xml:space="preserve">. </w:t>
            </w:r>
            <w:proofErr w:type="spellStart"/>
            <w:r w:rsidR="00770D8B" w:rsidRPr="00601D11">
              <w:rPr>
                <w:rFonts w:ascii="Arial" w:eastAsiaTheme="minorHAnsi" w:hAnsi="Arial" w:cs="Arial"/>
                <w:color w:val="000000"/>
                <w:sz w:val="20"/>
                <w:szCs w:val="20"/>
                <w:lang w:val="es-VE" w:eastAsia="es-PE"/>
              </w:rPr>
              <w:t>típ</w:t>
            </w:r>
            <w:proofErr w:type="spellEnd"/>
            <w:r w:rsidR="00770D8B" w:rsidRPr="00601D11">
              <w:rPr>
                <w:rFonts w:ascii="Arial" w:eastAsiaTheme="minorHAnsi" w:hAnsi="Arial" w:cs="Arial"/>
                <w:color w:val="000000"/>
                <w:sz w:val="20"/>
                <w:szCs w:val="20"/>
                <w:lang w:val="es-VE" w:eastAsia="es-PE"/>
              </w:rPr>
              <w:t>.</w:t>
            </w:r>
          </w:p>
        </w:tc>
      </w:tr>
      <w:tr w:rsidR="00770D8B" w:rsidRPr="00601D11" w14:paraId="61A1B13F" w14:textId="77777777" w:rsidTr="001B2038">
        <w:trPr>
          <w:trHeight w:val="449"/>
          <w:jc w:val="center"/>
        </w:trPr>
        <w:tc>
          <w:tcPr>
            <w:tcW w:w="990" w:type="pct"/>
          </w:tcPr>
          <w:p w14:paraId="3BB85F01" w14:textId="77777777" w:rsidR="00770D8B" w:rsidRPr="00601D11" w:rsidRDefault="00770D8B" w:rsidP="00CC286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Ausencias del estudiante en curso virtual</w:t>
            </w:r>
          </w:p>
        </w:tc>
        <w:tc>
          <w:tcPr>
            <w:tcW w:w="640" w:type="pct"/>
            <w:vAlign w:val="center"/>
          </w:tcPr>
          <w:p w14:paraId="2B216E4D" w14:textId="77777777" w:rsidR="00770D8B" w:rsidRPr="00601D11"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24</w:t>
            </w:r>
          </w:p>
        </w:tc>
        <w:tc>
          <w:tcPr>
            <w:tcW w:w="878" w:type="pct"/>
            <w:vAlign w:val="center"/>
          </w:tcPr>
          <w:p w14:paraId="3C9137A5" w14:textId="77777777" w:rsidR="00770D8B" w:rsidRPr="00601D11"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0</w:t>
            </w:r>
          </w:p>
        </w:tc>
        <w:tc>
          <w:tcPr>
            <w:tcW w:w="901" w:type="pct"/>
            <w:vAlign w:val="center"/>
          </w:tcPr>
          <w:p w14:paraId="2A108D35" w14:textId="77777777" w:rsidR="00770D8B" w:rsidRPr="00601D11"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9</w:t>
            </w:r>
          </w:p>
        </w:tc>
        <w:tc>
          <w:tcPr>
            <w:tcW w:w="812" w:type="pct"/>
            <w:vAlign w:val="center"/>
          </w:tcPr>
          <w:p w14:paraId="5806030B" w14:textId="12B62F63" w:rsidR="00770D8B" w:rsidRPr="00601D11" w:rsidRDefault="00D861F9"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601D11">
              <w:rPr>
                <w:rFonts w:ascii="Arial" w:eastAsiaTheme="minorHAnsi" w:hAnsi="Arial" w:cs="Arial"/>
                <w:color w:val="000000"/>
                <w:sz w:val="20"/>
                <w:szCs w:val="20"/>
                <w:lang w:val="es-VE" w:eastAsia="es-PE"/>
              </w:rPr>
              <w:t>2,75</w:t>
            </w:r>
            <w:r w:rsidR="00876316">
              <w:rPr>
                <w:rFonts w:ascii="Arial" w:eastAsiaTheme="minorHAnsi" w:hAnsi="Arial" w:cs="Arial"/>
                <w:color w:val="000000"/>
                <w:sz w:val="20"/>
                <w:szCs w:val="20"/>
                <w:lang w:val="es-VE" w:eastAsia="es-PE"/>
              </w:rPr>
              <w:t xml:space="preserve">                       </w:t>
            </w:r>
          </w:p>
        </w:tc>
        <w:tc>
          <w:tcPr>
            <w:tcW w:w="779" w:type="pct"/>
            <w:vAlign w:val="center"/>
          </w:tcPr>
          <w:p w14:paraId="79AFA033" w14:textId="77777777" w:rsidR="00770D8B" w:rsidRPr="00601D11" w:rsidRDefault="00770D8B" w:rsidP="00D861F9">
            <w:pPr>
              <w:autoSpaceDE w:val="0"/>
              <w:autoSpaceDN w:val="0"/>
              <w:adjustRightInd w:val="0"/>
              <w:spacing w:line="276" w:lineRule="auto"/>
              <w:ind w:left="60" w:right="60"/>
              <w:jc w:val="left"/>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3,040</w:t>
            </w:r>
          </w:p>
        </w:tc>
      </w:tr>
      <w:tr w:rsidR="00770D8B" w:rsidRPr="00601D11" w14:paraId="579425E4" w14:textId="77777777" w:rsidTr="001B2038">
        <w:trPr>
          <w:trHeight w:val="336"/>
          <w:jc w:val="center"/>
        </w:trPr>
        <w:tc>
          <w:tcPr>
            <w:tcW w:w="990" w:type="pct"/>
          </w:tcPr>
          <w:p w14:paraId="1319AD4F" w14:textId="77777777" w:rsidR="00770D8B" w:rsidRPr="00601D11" w:rsidRDefault="00770D8B" w:rsidP="00CC286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N válido (según lista)</w:t>
            </w:r>
          </w:p>
        </w:tc>
        <w:tc>
          <w:tcPr>
            <w:tcW w:w="640" w:type="pct"/>
            <w:vAlign w:val="center"/>
          </w:tcPr>
          <w:p w14:paraId="5B1A66FF" w14:textId="77777777" w:rsidR="00770D8B" w:rsidRPr="00601D11"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601D11">
              <w:rPr>
                <w:rFonts w:ascii="Arial" w:eastAsiaTheme="minorHAnsi" w:hAnsi="Arial" w:cs="Arial"/>
                <w:color w:val="000000"/>
                <w:sz w:val="20"/>
                <w:szCs w:val="20"/>
                <w:lang w:val="es-VE" w:eastAsia="es-PE"/>
              </w:rPr>
              <w:t>24</w:t>
            </w:r>
          </w:p>
        </w:tc>
        <w:tc>
          <w:tcPr>
            <w:tcW w:w="878" w:type="pct"/>
            <w:vAlign w:val="center"/>
          </w:tcPr>
          <w:p w14:paraId="1EEE206D" w14:textId="77777777" w:rsidR="00770D8B" w:rsidRPr="00601D11"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c>
          <w:tcPr>
            <w:tcW w:w="901" w:type="pct"/>
            <w:vAlign w:val="center"/>
          </w:tcPr>
          <w:p w14:paraId="305EBCA2" w14:textId="77777777" w:rsidR="00770D8B" w:rsidRPr="00601D11"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c>
          <w:tcPr>
            <w:tcW w:w="812" w:type="pct"/>
            <w:vAlign w:val="center"/>
          </w:tcPr>
          <w:p w14:paraId="3D774DD2" w14:textId="77777777" w:rsidR="00770D8B" w:rsidRPr="00601D11"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c>
          <w:tcPr>
            <w:tcW w:w="779" w:type="pct"/>
            <w:vAlign w:val="center"/>
          </w:tcPr>
          <w:p w14:paraId="24F14942" w14:textId="77777777" w:rsidR="00770D8B" w:rsidRPr="00601D11" w:rsidRDefault="00770D8B" w:rsidP="00770D8B">
            <w:pPr>
              <w:autoSpaceDE w:val="0"/>
              <w:autoSpaceDN w:val="0"/>
              <w:adjustRightInd w:val="0"/>
              <w:spacing w:line="276" w:lineRule="auto"/>
              <w:jc w:val="center"/>
              <w:rPr>
                <w:rFonts w:ascii="Arial" w:eastAsiaTheme="minorHAnsi" w:hAnsi="Arial" w:cs="Arial"/>
                <w:sz w:val="20"/>
                <w:szCs w:val="20"/>
                <w:lang w:val="es-VE" w:eastAsia="es-PE"/>
              </w:rPr>
            </w:pPr>
          </w:p>
        </w:tc>
      </w:tr>
    </w:tbl>
    <w:p w14:paraId="697E8F84"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3754A62D" w14:textId="77777777" w:rsidR="00770D8B" w:rsidRPr="00770D8B" w:rsidRDefault="00770D8B" w:rsidP="00245097">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El análisis de las ausencias de las personas estudiantes en el curso virtual, revela que algunos estudiantes no faltaron a ninguna sesión, mientras que otros registraron hasta nueve ausencias, con una media de 2,75 y una desviación estándar de 3,04; ello se refleja en una media relativamente baja, pero con una desviación estándar considerable. Esta dispersión sugiere que la regularidad en la asistencia al curso virtual fue inconsistente entre las personas estudiantes, lo cual podría haber afectado su rendimiento académico. Las diferencias en la cantidad de ausencias podrían estar vinculadas a diversos factores, como la motivación, la gestión del tiempo o las dificultades para adaptarse al formato virtual.</w:t>
      </w:r>
    </w:p>
    <w:p w14:paraId="4577E36A" w14:textId="77777777" w:rsidR="00770D8B" w:rsidRPr="00770D8B" w:rsidRDefault="00770D8B" w:rsidP="00245097">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En definitiva, los resultados relativos al curso virtual de ESP demuestran que la mayoría de alumnos logró aprobar; empero, una parte significativa enfrentó dificultades que los llevaron a retirarse o reprobar. La variabilidad en las calificaciones y la asistencia destaca los desafíos individuales que algunas personas estudiantes encontraron en la modalidad virtual, subrayando la necesidad </w:t>
      </w:r>
      <w:r w:rsidRPr="00770D8B">
        <w:rPr>
          <w:rFonts w:ascii="Arial" w:eastAsiaTheme="minorHAnsi" w:hAnsi="Arial" w:cs="Arial"/>
          <w:szCs w:val="22"/>
          <w:lang w:val="es-MX" w:eastAsia="es-PE"/>
        </w:rPr>
        <w:lastRenderedPageBreak/>
        <w:t>de un mayor apoyo y estrategias adaptadas para mejorar la experiencia de aprendizaje en este entorno.</w:t>
      </w:r>
    </w:p>
    <w:p w14:paraId="235C35E5" w14:textId="77777777" w:rsidR="00770D8B" w:rsidRPr="00770D8B" w:rsidRDefault="00770D8B" w:rsidP="00245097">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Al comparar el rendimiento académico entre las modalidades virtual y presencial del curso ESP, se observa que ambas presentan fortalezas y desafíos específicos. En la modalidad presencial (la pizarra), la mayoría de estudiantes aprobó el curso y las calificaciones finales fueron bastante homogéneas entre quienes culminaron el programa, lo que sugiere un ambiente de aprendizaje más estable y efectivo. </w:t>
      </w:r>
    </w:p>
    <w:p w14:paraId="238C6A9C" w14:textId="77777777" w:rsidR="00770D8B" w:rsidRPr="00770D8B" w:rsidRDefault="00770D8B" w:rsidP="00245097">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Sin embargo, la presencialidad también implicó un mayor número de retiros injustificados. Por otro lado, en la modalidad virtual, si bien también se observó una mayoría de aprobados, la variabilidad en las calificaciones y el número de ausencias fueron mayores, indicando una experiencia de aprendizaje más irregular, y con mayores dificultades de adaptación para algunas personas estudiantes. Además, la modalidad virtual tuvo una mayor proporción de retiros, tanto justificados como injustificados, y un pequeño grupo de reprobados, lo que refleja los retos adicionales que enfrenta el aprendizaje a distancia en términos de motivación y continuidad.</w:t>
      </w:r>
    </w:p>
    <w:p w14:paraId="5CE2A309" w14:textId="77777777" w:rsidR="00770D8B" w:rsidRPr="00770D8B" w:rsidRDefault="00770D8B" w:rsidP="00770D8B">
      <w:pPr>
        <w:spacing w:after="160" w:line="360" w:lineRule="auto"/>
        <w:jc w:val="both"/>
        <w:rPr>
          <w:rFonts w:ascii="Arial" w:eastAsiaTheme="minorHAnsi" w:hAnsi="Arial" w:cs="Arial"/>
          <w:b/>
          <w:szCs w:val="22"/>
          <w:lang w:val="es-MX" w:eastAsia="es-PE"/>
        </w:rPr>
      </w:pPr>
      <w:r w:rsidRPr="00770D8B">
        <w:rPr>
          <w:rFonts w:ascii="Arial" w:eastAsiaTheme="minorHAnsi" w:hAnsi="Arial" w:cs="Arial"/>
          <w:b/>
          <w:szCs w:val="22"/>
          <w:lang w:val="es-MX" w:eastAsia="es-PE"/>
        </w:rPr>
        <w:t>Satisfacción de estudiantes en cursos virtuales y presenciales de ESP</w:t>
      </w:r>
    </w:p>
    <w:p w14:paraId="7D956B3B" w14:textId="77777777" w:rsidR="00770D8B" w:rsidRPr="00770D8B" w:rsidRDefault="00770D8B" w:rsidP="00245097">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En torno a la satisfacción de estudiantes en los cursos de ESP, tanto en modalidades virtuales como presenciales se abordan diversos aspectos que influyen en la experiencia educativa: el nivel de satisfacción general, la calidad de </w:t>
      </w:r>
      <w:r w:rsidRPr="00770D8B">
        <w:rPr>
          <w:rFonts w:ascii="Arial" w:eastAsiaTheme="minorHAnsi" w:hAnsi="Arial" w:cs="Arial"/>
          <w:szCs w:val="22"/>
          <w:lang w:val="es-MX" w:eastAsia="es-PE"/>
        </w:rPr>
        <w:lastRenderedPageBreak/>
        <w:t>la interacción con docentes y compañeros, la efectividad de los recursos educativos, y la relevancia de los contenidos ofrecidos. Además, se examinan las percepciones de las personas estudiantes sobre las evaluaciones y la retroalimentación recibida, así como la gestión del tiempo o los beneficios y desafíos de cada modalidad, igualmente, cómo la combinación de ambas puede impactar el bienestar del estudiantado. El cuestionario sobre satisfacción fue respondido por 10 participantes de los cursos virtuales y presenciales de ESP, que provienen del área de ciencias de la salud.</w:t>
      </w:r>
    </w:p>
    <w:p w14:paraId="683FA3E7" w14:textId="626FA8CF" w:rsidR="00770D8B" w:rsidRPr="00A66330" w:rsidRDefault="00770D8B" w:rsidP="00A66330">
      <w:pPr>
        <w:spacing w:after="100" w:afterAutospacing="1" w:line="360" w:lineRule="auto"/>
        <w:jc w:val="center"/>
        <w:rPr>
          <w:rFonts w:ascii="Arial" w:eastAsiaTheme="minorHAnsi" w:hAnsi="Arial" w:cs="Arial"/>
          <w:b/>
          <w:iCs/>
          <w:sz w:val="20"/>
          <w:szCs w:val="20"/>
          <w:lang w:val="es-PE" w:eastAsia="es-PE"/>
        </w:rPr>
      </w:pPr>
      <w:r w:rsidRPr="00A66330">
        <w:rPr>
          <w:rFonts w:ascii="Arial" w:eastAsiaTheme="minorHAnsi" w:hAnsi="Arial" w:cs="Arial"/>
          <w:b/>
          <w:iCs/>
          <w:sz w:val="20"/>
          <w:szCs w:val="20"/>
          <w:lang w:val="es-PE" w:eastAsia="es-PE"/>
        </w:rPr>
        <w:t xml:space="preserve">Tabla </w:t>
      </w:r>
      <w:r w:rsidRPr="00A66330">
        <w:rPr>
          <w:rFonts w:ascii="Arial" w:eastAsiaTheme="minorHAnsi" w:hAnsi="Arial" w:cs="Arial"/>
          <w:b/>
          <w:iCs/>
          <w:sz w:val="20"/>
          <w:szCs w:val="20"/>
          <w:lang w:val="es-PE" w:eastAsia="es-PE"/>
        </w:rPr>
        <w:fldChar w:fldCharType="begin"/>
      </w:r>
      <w:r w:rsidRPr="00A66330">
        <w:rPr>
          <w:rFonts w:ascii="Arial" w:eastAsiaTheme="minorHAnsi" w:hAnsi="Arial" w:cs="Arial"/>
          <w:b/>
          <w:iCs/>
          <w:sz w:val="20"/>
          <w:szCs w:val="20"/>
          <w:lang w:val="es-PE" w:eastAsia="es-PE"/>
        </w:rPr>
        <w:instrText xml:space="preserve"> SEQ Tabla \* ARABIC </w:instrText>
      </w:r>
      <w:r w:rsidRPr="00A66330">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7</w:t>
      </w:r>
      <w:r w:rsidRPr="00A66330">
        <w:rPr>
          <w:rFonts w:ascii="Arial" w:eastAsiaTheme="minorHAnsi" w:hAnsi="Arial" w:cs="Arial"/>
          <w:b/>
          <w:iCs/>
          <w:sz w:val="20"/>
          <w:szCs w:val="20"/>
          <w:lang w:val="es-PE" w:eastAsia="es-PE"/>
        </w:rPr>
        <w:fldChar w:fldCharType="end"/>
      </w:r>
      <w:r w:rsidR="00A66330" w:rsidRPr="00A66330">
        <w:rPr>
          <w:rFonts w:ascii="Arial" w:eastAsiaTheme="minorHAnsi" w:hAnsi="Arial" w:cs="Arial"/>
          <w:b/>
          <w:iCs/>
          <w:sz w:val="20"/>
          <w:szCs w:val="20"/>
          <w:lang w:val="es-PE" w:eastAsia="es-PE"/>
        </w:rPr>
        <w:t xml:space="preserve">. </w:t>
      </w:r>
      <w:r w:rsidRPr="00A66330">
        <w:rPr>
          <w:rFonts w:ascii="Arial" w:eastAsiaTheme="minorHAnsi" w:hAnsi="Arial" w:cs="Arial"/>
          <w:b/>
          <w:iCs/>
          <w:sz w:val="20"/>
          <w:szCs w:val="20"/>
          <w:lang w:val="es-PE" w:eastAsia="es-PE"/>
        </w:rPr>
        <w:t>Cantidad de cursos presenciales y virtuales en los que han participado las personas estudiantes</w:t>
      </w:r>
    </w:p>
    <w:tbl>
      <w:tblPr>
        <w:tblStyle w:val="Tablanormal2"/>
        <w:tblW w:w="9372" w:type="dxa"/>
        <w:jc w:val="center"/>
        <w:tblLayout w:type="fixed"/>
        <w:tblLook w:val="0620" w:firstRow="1" w:lastRow="0" w:firstColumn="0" w:lastColumn="0" w:noHBand="1" w:noVBand="1"/>
      </w:tblPr>
      <w:tblGrid>
        <w:gridCol w:w="2342"/>
        <w:gridCol w:w="2344"/>
        <w:gridCol w:w="2343"/>
        <w:gridCol w:w="2343"/>
      </w:tblGrid>
      <w:tr w:rsidR="00770D8B" w:rsidRPr="0005000E" w14:paraId="56EDFCCD" w14:textId="77777777" w:rsidTr="0005000E">
        <w:trPr>
          <w:cnfStyle w:val="100000000000" w:firstRow="1" w:lastRow="0" w:firstColumn="0" w:lastColumn="0" w:oddVBand="0" w:evenVBand="0" w:oddHBand="0" w:evenHBand="0" w:firstRowFirstColumn="0" w:firstRowLastColumn="0" w:lastRowFirstColumn="0" w:lastRowLastColumn="0"/>
          <w:trHeight w:val="353"/>
          <w:jc w:val="center"/>
        </w:trPr>
        <w:tc>
          <w:tcPr>
            <w:tcW w:w="4686" w:type="dxa"/>
            <w:gridSpan w:val="2"/>
          </w:tcPr>
          <w:p w14:paraId="6C7FBD4A" w14:textId="77777777" w:rsidR="00770D8B" w:rsidRPr="0005000E"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343" w:type="dxa"/>
          </w:tcPr>
          <w:p w14:paraId="4FF12BFD" w14:textId="77777777" w:rsidR="0005000E" w:rsidRDefault="0005000E" w:rsidP="0005000E">
            <w:pPr>
              <w:autoSpaceDE w:val="0"/>
              <w:autoSpaceDN w:val="0"/>
              <w:adjustRightInd w:val="0"/>
              <w:spacing w:line="276" w:lineRule="auto"/>
              <w:ind w:left="60" w:right="60" w:firstLine="0"/>
              <w:jc w:val="left"/>
              <w:rPr>
                <w:rFonts w:ascii="Arial" w:eastAsiaTheme="minorHAnsi" w:hAnsi="Arial" w:cs="Arial"/>
                <w:b w:val="0"/>
                <w:bCs w:val="0"/>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05000E">
              <w:rPr>
                <w:rFonts w:ascii="Arial" w:eastAsiaTheme="minorHAnsi" w:hAnsi="Arial" w:cs="Arial"/>
                <w:color w:val="000000"/>
                <w:sz w:val="20"/>
                <w:szCs w:val="20"/>
                <w:lang w:val="es-VE" w:eastAsia="es-PE"/>
              </w:rPr>
              <w:t xml:space="preserve">Cursos </w:t>
            </w:r>
            <w:r>
              <w:rPr>
                <w:rFonts w:ascii="Arial" w:eastAsiaTheme="minorHAnsi" w:hAnsi="Arial" w:cs="Arial"/>
                <w:color w:val="000000"/>
                <w:sz w:val="20"/>
                <w:szCs w:val="20"/>
                <w:lang w:val="es-VE" w:eastAsia="es-PE"/>
              </w:rPr>
              <w:t xml:space="preserve">    </w:t>
            </w:r>
          </w:p>
          <w:p w14:paraId="7B8DC10E" w14:textId="2F193A4E" w:rsidR="00770D8B" w:rsidRPr="0005000E" w:rsidRDefault="0005000E" w:rsidP="0005000E">
            <w:pPr>
              <w:autoSpaceDE w:val="0"/>
              <w:autoSpaceDN w:val="0"/>
              <w:adjustRightInd w:val="0"/>
              <w:spacing w:line="276" w:lineRule="auto"/>
              <w:ind w:left="60" w:right="60" w:firstLine="0"/>
              <w:jc w:val="lef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05000E">
              <w:rPr>
                <w:rFonts w:ascii="Arial" w:eastAsiaTheme="minorHAnsi" w:hAnsi="Arial" w:cs="Arial"/>
                <w:color w:val="000000"/>
                <w:sz w:val="20"/>
                <w:szCs w:val="20"/>
                <w:lang w:val="es-VE" w:eastAsia="es-PE"/>
              </w:rPr>
              <w:t>presenciales</w:t>
            </w:r>
          </w:p>
        </w:tc>
        <w:tc>
          <w:tcPr>
            <w:tcW w:w="2343" w:type="dxa"/>
            <w:vAlign w:val="center"/>
          </w:tcPr>
          <w:p w14:paraId="5B977BAD" w14:textId="77777777" w:rsidR="0005000E" w:rsidRDefault="0005000E" w:rsidP="0005000E">
            <w:pPr>
              <w:autoSpaceDE w:val="0"/>
              <w:autoSpaceDN w:val="0"/>
              <w:adjustRightInd w:val="0"/>
              <w:spacing w:line="276" w:lineRule="auto"/>
              <w:ind w:left="60" w:right="60"/>
              <w:jc w:val="left"/>
              <w:rPr>
                <w:rFonts w:ascii="Arial" w:eastAsiaTheme="minorHAnsi" w:hAnsi="Arial" w:cs="Arial"/>
                <w:b w:val="0"/>
                <w:bCs w:val="0"/>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05000E">
              <w:rPr>
                <w:rFonts w:ascii="Arial" w:eastAsiaTheme="minorHAnsi" w:hAnsi="Arial" w:cs="Arial"/>
                <w:color w:val="000000"/>
                <w:sz w:val="20"/>
                <w:szCs w:val="20"/>
                <w:lang w:val="es-VE" w:eastAsia="es-PE"/>
              </w:rPr>
              <w:t xml:space="preserve">Cursos </w:t>
            </w:r>
            <w:r>
              <w:rPr>
                <w:rFonts w:ascii="Arial" w:eastAsiaTheme="minorHAnsi" w:hAnsi="Arial" w:cs="Arial"/>
                <w:color w:val="000000"/>
                <w:sz w:val="20"/>
                <w:szCs w:val="20"/>
                <w:lang w:val="es-VE" w:eastAsia="es-PE"/>
              </w:rPr>
              <w:t xml:space="preserve"> </w:t>
            </w:r>
          </w:p>
          <w:p w14:paraId="08343BFD" w14:textId="39667333" w:rsidR="00770D8B" w:rsidRPr="0005000E" w:rsidRDefault="0005000E" w:rsidP="0005000E">
            <w:pPr>
              <w:autoSpaceDE w:val="0"/>
              <w:autoSpaceDN w:val="0"/>
              <w:adjustRightInd w:val="0"/>
              <w:spacing w:line="276" w:lineRule="auto"/>
              <w:ind w:left="60" w:right="60"/>
              <w:jc w:val="lef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05000E">
              <w:rPr>
                <w:rFonts w:ascii="Arial" w:eastAsiaTheme="minorHAnsi" w:hAnsi="Arial" w:cs="Arial"/>
                <w:color w:val="000000"/>
                <w:sz w:val="20"/>
                <w:szCs w:val="20"/>
                <w:lang w:val="es-VE" w:eastAsia="es-PE"/>
              </w:rPr>
              <w:t>virtuales</w:t>
            </w:r>
          </w:p>
        </w:tc>
      </w:tr>
      <w:tr w:rsidR="00770D8B" w:rsidRPr="0005000E" w14:paraId="677C3C6A" w14:textId="77777777" w:rsidTr="0005000E">
        <w:trPr>
          <w:trHeight w:val="353"/>
          <w:jc w:val="center"/>
        </w:trPr>
        <w:tc>
          <w:tcPr>
            <w:tcW w:w="2342" w:type="dxa"/>
            <w:vMerge w:val="restart"/>
          </w:tcPr>
          <w:p w14:paraId="03081E8A" w14:textId="77777777" w:rsidR="00770D8B" w:rsidRPr="0005000E"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343" w:type="dxa"/>
          </w:tcPr>
          <w:p w14:paraId="69885458" w14:textId="77777777" w:rsidR="00770D8B" w:rsidRPr="0005000E" w:rsidRDefault="00770D8B" w:rsidP="0005000E">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1 o 2 cursos</w:t>
            </w:r>
          </w:p>
        </w:tc>
        <w:tc>
          <w:tcPr>
            <w:tcW w:w="2343" w:type="dxa"/>
            <w:vAlign w:val="center"/>
          </w:tcPr>
          <w:p w14:paraId="2E18A75D"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10,0</w:t>
            </w:r>
          </w:p>
        </w:tc>
        <w:tc>
          <w:tcPr>
            <w:tcW w:w="2343" w:type="dxa"/>
            <w:vAlign w:val="center"/>
          </w:tcPr>
          <w:p w14:paraId="02D95AC7"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90,0</w:t>
            </w:r>
          </w:p>
        </w:tc>
      </w:tr>
      <w:tr w:rsidR="00770D8B" w:rsidRPr="0005000E" w14:paraId="4E8184B4" w14:textId="77777777" w:rsidTr="0005000E">
        <w:trPr>
          <w:trHeight w:val="353"/>
          <w:jc w:val="center"/>
        </w:trPr>
        <w:tc>
          <w:tcPr>
            <w:tcW w:w="2342" w:type="dxa"/>
            <w:vMerge/>
          </w:tcPr>
          <w:p w14:paraId="24268A39" w14:textId="77777777" w:rsidR="00770D8B" w:rsidRPr="0005000E"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343" w:type="dxa"/>
          </w:tcPr>
          <w:p w14:paraId="759183C5" w14:textId="77777777" w:rsidR="00770D8B" w:rsidRPr="0005000E" w:rsidRDefault="00770D8B" w:rsidP="0005000E">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3 o 4 cursos</w:t>
            </w:r>
          </w:p>
        </w:tc>
        <w:tc>
          <w:tcPr>
            <w:tcW w:w="2343" w:type="dxa"/>
            <w:vAlign w:val="center"/>
          </w:tcPr>
          <w:p w14:paraId="6A791F50"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50,0</w:t>
            </w:r>
          </w:p>
        </w:tc>
        <w:tc>
          <w:tcPr>
            <w:tcW w:w="2343" w:type="dxa"/>
            <w:vAlign w:val="center"/>
          </w:tcPr>
          <w:p w14:paraId="43B33EEB"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0,0</w:t>
            </w:r>
          </w:p>
        </w:tc>
      </w:tr>
      <w:tr w:rsidR="00770D8B" w:rsidRPr="0005000E" w14:paraId="586A0C1B" w14:textId="77777777" w:rsidTr="0005000E">
        <w:trPr>
          <w:trHeight w:val="361"/>
          <w:jc w:val="center"/>
        </w:trPr>
        <w:tc>
          <w:tcPr>
            <w:tcW w:w="2342" w:type="dxa"/>
            <w:vMerge/>
          </w:tcPr>
          <w:p w14:paraId="59CCC43B" w14:textId="77777777" w:rsidR="00770D8B" w:rsidRPr="0005000E"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343" w:type="dxa"/>
          </w:tcPr>
          <w:p w14:paraId="1F90F948" w14:textId="58FDA4CF" w:rsidR="00770D8B" w:rsidRPr="0005000E" w:rsidRDefault="0005000E" w:rsidP="0005000E">
            <w:pPr>
              <w:autoSpaceDE w:val="0"/>
              <w:autoSpaceDN w:val="0"/>
              <w:adjustRightInd w:val="0"/>
              <w:spacing w:line="276" w:lineRule="auto"/>
              <w:ind w:left="60" w:right="60" w:firstLine="0"/>
              <w:jc w:val="righ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05000E">
              <w:rPr>
                <w:rFonts w:ascii="Arial" w:eastAsiaTheme="minorHAnsi" w:hAnsi="Arial" w:cs="Arial"/>
                <w:color w:val="000000"/>
                <w:sz w:val="20"/>
                <w:szCs w:val="20"/>
                <w:lang w:val="es-VE" w:eastAsia="es-PE"/>
              </w:rPr>
              <w:t>5 o más cursos</w:t>
            </w:r>
          </w:p>
        </w:tc>
        <w:tc>
          <w:tcPr>
            <w:tcW w:w="2343" w:type="dxa"/>
            <w:vAlign w:val="center"/>
          </w:tcPr>
          <w:p w14:paraId="17B7FD93"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40,0</w:t>
            </w:r>
          </w:p>
        </w:tc>
        <w:tc>
          <w:tcPr>
            <w:tcW w:w="2343" w:type="dxa"/>
            <w:vAlign w:val="center"/>
          </w:tcPr>
          <w:p w14:paraId="0887AFA5"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10,0</w:t>
            </w:r>
          </w:p>
        </w:tc>
      </w:tr>
      <w:tr w:rsidR="00770D8B" w:rsidRPr="0005000E" w14:paraId="101E1B5D" w14:textId="77777777" w:rsidTr="0005000E">
        <w:trPr>
          <w:trHeight w:val="168"/>
          <w:jc w:val="center"/>
        </w:trPr>
        <w:tc>
          <w:tcPr>
            <w:tcW w:w="2342" w:type="dxa"/>
            <w:vMerge/>
          </w:tcPr>
          <w:p w14:paraId="775F465D" w14:textId="77777777" w:rsidR="00770D8B" w:rsidRPr="0005000E"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343" w:type="dxa"/>
          </w:tcPr>
          <w:p w14:paraId="1D1B66D5" w14:textId="77777777" w:rsidR="00770D8B" w:rsidRPr="0005000E" w:rsidRDefault="00770D8B" w:rsidP="0005000E">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Total</w:t>
            </w:r>
          </w:p>
        </w:tc>
        <w:tc>
          <w:tcPr>
            <w:tcW w:w="2343" w:type="dxa"/>
            <w:vAlign w:val="center"/>
          </w:tcPr>
          <w:p w14:paraId="3F44B566"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100,0</w:t>
            </w:r>
          </w:p>
        </w:tc>
        <w:tc>
          <w:tcPr>
            <w:tcW w:w="2343" w:type="dxa"/>
            <w:vAlign w:val="center"/>
          </w:tcPr>
          <w:p w14:paraId="49EFD07D" w14:textId="77777777" w:rsidR="00770D8B" w:rsidRPr="0005000E"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05000E">
              <w:rPr>
                <w:rFonts w:ascii="Arial" w:eastAsiaTheme="minorHAnsi" w:hAnsi="Arial" w:cs="Arial"/>
                <w:color w:val="000000"/>
                <w:sz w:val="20"/>
                <w:szCs w:val="20"/>
                <w:lang w:val="es-VE" w:eastAsia="es-PE"/>
              </w:rPr>
              <w:t>100,0</w:t>
            </w:r>
          </w:p>
        </w:tc>
      </w:tr>
    </w:tbl>
    <w:p w14:paraId="6E0C6AFE"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6D71728E" w14:textId="77777777" w:rsidR="00770D8B" w:rsidRPr="00770D8B" w:rsidRDefault="00770D8B" w:rsidP="00F02483">
      <w:pPr>
        <w:autoSpaceDE w:val="0"/>
        <w:autoSpaceDN w:val="0"/>
        <w:adjustRightInd w:val="0"/>
        <w:spacing w:after="160" w:line="360" w:lineRule="auto"/>
        <w:jc w:val="both"/>
        <w:rPr>
          <w:rFonts w:ascii="Arial" w:eastAsiaTheme="minorHAnsi" w:hAnsi="Arial" w:cs="Arial"/>
          <w:lang w:val="es-VE" w:eastAsia="es-PE"/>
        </w:rPr>
      </w:pPr>
      <w:r w:rsidRPr="00770D8B">
        <w:rPr>
          <w:rFonts w:ascii="Arial" w:eastAsiaTheme="minorHAnsi" w:hAnsi="Arial" w:cs="Arial"/>
          <w:lang w:val="es-VE" w:eastAsia="es-PE"/>
        </w:rPr>
        <w:t xml:space="preserve">Respecto a la participación de estudiantes en cursos presenciales y virtuales, se observa que la mayoría de </w:t>
      </w:r>
      <w:r w:rsidRPr="00770D8B">
        <w:rPr>
          <w:rFonts w:ascii="Arial" w:eastAsiaTheme="minorHAnsi" w:hAnsi="Arial" w:cs="Arial"/>
          <w:szCs w:val="22"/>
          <w:lang w:val="es-MX" w:eastAsia="es-PE"/>
        </w:rPr>
        <w:t xml:space="preserve">las personas </w:t>
      </w:r>
      <w:r w:rsidRPr="00770D8B">
        <w:rPr>
          <w:rFonts w:ascii="Arial" w:eastAsiaTheme="minorHAnsi" w:hAnsi="Arial" w:cs="Arial"/>
          <w:lang w:val="es-VE" w:eastAsia="es-PE"/>
        </w:rPr>
        <w:t xml:space="preserve">estudiantes (90%) ha participado solo en 1 o 2 cursos virtuales, mientras que un porcentaje considerable (50%) ha tomado entre 3 y 4 cursos presenciales, y un notable 40% de </w:t>
      </w:r>
      <w:r w:rsidRPr="00770D8B">
        <w:rPr>
          <w:rFonts w:ascii="Arial" w:eastAsiaTheme="minorHAnsi" w:hAnsi="Arial" w:cs="Arial"/>
          <w:szCs w:val="22"/>
          <w:lang w:val="es-MX" w:eastAsia="es-PE"/>
        </w:rPr>
        <w:t xml:space="preserve">las personas </w:t>
      </w:r>
      <w:r w:rsidRPr="00770D8B">
        <w:rPr>
          <w:rFonts w:ascii="Arial" w:eastAsiaTheme="minorHAnsi" w:hAnsi="Arial" w:cs="Arial"/>
          <w:lang w:val="es-VE" w:eastAsia="es-PE"/>
        </w:rPr>
        <w:t xml:space="preserve">estudiantes ha participado en 5 o más cursos presenciales. </w:t>
      </w:r>
    </w:p>
    <w:p w14:paraId="34449B29" w14:textId="77777777" w:rsidR="00770D8B" w:rsidRPr="00770D8B" w:rsidRDefault="00770D8B" w:rsidP="006E3AA7">
      <w:pPr>
        <w:autoSpaceDE w:val="0"/>
        <w:autoSpaceDN w:val="0"/>
        <w:adjustRightInd w:val="0"/>
        <w:spacing w:after="160" w:line="360" w:lineRule="auto"/>
        <w:jc w:val="both"/>
        <w:rPr>
          <w:rFonts w:ascii="Arial" w:eastAsiaTheme="minorHAnsi" w:hAnsi="Arial" w:cs="Arial"/>
          <w:lang w:val="es-VE" w:eastAsia="es-PE"/>
        </w:rPr>
      </w:pPr>
      <w:r w:rsidRPr="00770D8B">
        <w:rPr>
          <w:rFonts w:ascii="Arial" w:eastAsiaTheme="minorHAnsi" w:hAnsi="Arial" w:cs="Arial"/>
          <w:lang w:val="es-VE" w:eastAsia="es-PE"/>
        </w:rPr>
        <w:lastRenderedPageBreak/>
        <w:t>Así mismo, solo el 10% ha participado en 5 o más cursos virtuales; este resultado refleja el predominio de la presencialidad en los sistemas educativos tradicionales, en contraste con las barreras asociadas a la modalidad virtual, especialmente en el contexto latinoamericano, tales como la falta de adaptación curricular y los desafíos tecnológicos, sugiriendo que aún no se percibe como una alternativa tan viable y efectiva como la presencialidad, a pesar de los esfuerzos y medidas implementadas durante la pandemia por Covid-19.</w:t>
      </w:r>
    </w:p>
    <w:p w14:paraId="47014B30" w14:textId="09082AEE" w:rsidR="00770D8B" w:rsidRPr="0044426D" w:rsidRDefault="00770D8B" w:rsidP="0044426D">
      <w:pPr>
        <w:spacing w:before="100" w:beforeAutospacing="1" w:after="100" w:afterAutospacing="1" w:line="360" w:lineRule="auto"/>
        <w:jc w:val="center"/>
        <w:rPr>
          <w:rFonts w:ascii="Arial" w:eastAsiaTheme="minorHAnsi" w:hAnsi="Arial" w:cs="Arial"/>
          <w:b/>
          <w:iCs/>
          <w:sz w:val="20"/>
          <w:szCs w:val="20"/>
          <w:lang w:val="es-PE" w:eastAsia="es-PE"/>
        </w:rPr>
      </w:pPr>
      <w:r w:rsidRPr="0044426D">
        <w:rPr>
          <w:rFonts w:ascii="Arial" w:eastAsiaTheme="minorHAnsi" w:hAnsi="Arial" w:cs="Arial"/>
          <w:b/>
          <w:iCs/>
          <w:sz w:val="20"/>
          <w:szCs w:val="20"/>
          <w:lang w:val="es-PE" w:eastAsia="es-PE"/>
        </w:rPr>
        <w:t xml:space="preserve">Tabla </w:t>
      </w:r>
      <w:r w:rsidRPr="0044426D">
        <w:rPr>
          <w:rFonts w:ascii="Arial" w:eastAsiaTheme="minorHAnsi" w:hAnsi="Arial" w:cs="Arial"/>
          <w:b/>
          <w:iCs/>
          <w:sz w:val="20"/>
          <w:szCs w:val="20"/>
          <w:lang w:val="es-PE" w:eastAsia="es-PE"/>
        </w:rPr>
        <w:fldChar w:fldCharType="begin"/>
      </w:r>
      <w:r w:rsidRPr="0044426D">
        <w:rPr>
          <w:rFonts w:ascii="Arial" w:eastAsiaTheme="minorHAnsi" w:hAnsi="Arial" w:cs="Arial"/>
          <w:b/>
          <w:iCs/>
          <w:sz w:val="20"/>
          <w:szCs w:val="20"/>
          <w:lang w:val="es-PE" w:eastAsia="es-PE"/>
        </w:rPr>
        <w:instrText xml:space="preserve"> SEQ Tabla \* ARABIC </w:instrText>
      </w:r>
      <w:r w:rsidRPr="0044426D">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8</w:t>
      </w:r>
      <w:r w:rsidRPr="0044426D">
        <w:rPr>
          <w:rFonts w:ascii="Arial" w:eastAsiaTheme="minorHAnsi" w:hAnsi="Arial" w:cs="Arial"/>
          <w:b/>
          <w:iCs/>
          <w:sz w:val="20"/>
          <w:szCs w:val="20"/>
          <w:lang w:val="es-PE" w:eastAsia="es-PE"/>
        </w:rPr>
        <w:fldChar w:fldCharType="end"/>
      </w:r>
      <w:r w:rsidR="0044426D" w:rsidRPr="0044426D">
        <w:rPr>
          <w:rFonts w:ascii="Arial" w:eastAsiaTheme="minorHAnsi" w:hAnsi="Arial" w:cs="Arial"/>
          <w:b/>
          <w:iCs/>
          <w:sz w:val="20"/>
          <w:szCs w:val="20"/>
          <w:lang w:val="es-PE" w:eastAsia="es-PE"/>
        </w:rPr>
        <w:t xml:space="preserve">. </w:t>
      </w:r>
      <w:r w:rsidRPr="0044426D">
        <w:rPr>
          <w:rFonts w:ascii="Arial" w:eastAsiaTheme="minorHAnsi" w:hAnsi="Arial" w:cs="Arial"/>
          <w:b/>
          <w:iCs/>
          <w:sz w:val="20"/>
          <w:szCs w:val="20"/>
          <w:lang w:val="es-PE" w:eastAsia="es-PE"/>
        </w:rPr>
        <w:t>Nivel de satisfacción general con los cursos ESP de salud</w:t>
      </w:r>
    </w:p>
    <w:tbl>
      <w:tblPr>
        <w:tblStyle w:val="Tablanormal2"/>
        <w:tblW w:w="6656" w:type="dxa"/>
        <w:jc w:val="center"/>
        <w:tblLayout w:type="fixed"/>
        <w:tblLook w:val="0620" w:firstRow="1" w:lastRow="0" w:firstColumn="0" w:lastColumn="0" w:noHBand="1" w:noVBand="1"/>
      </w:tblPr>
      <w:tblGrid>
        <w:gridCol w:w="2219"/>
        <w:gridCol w:w="2219"/>
        <w:gridCol w:w="2218"/>
      </w:tblGrid>
      <w:tr w:rsidR="00770D8B" w:rsidRPr="00A6374D" w14:paraId="2FBFF961" w14:textId="77777777" w:rsidTr="00A6374D">
        <w:trPr>
          <w:cnfStyle w:val="100000000000" w:firstRow="1" w:lastRow="0" w:firstColumn="0" w:lastColumn="0" w:oddVBand="0" w:evenVBand="0" w:oddHBand="0" w:evenHBand="0" w:firstRowFirstColumn="0" w:firstRowLastColumn="0" w:lastRowFirstColumn="0" w:lastRowLastColumn="0"/>
          <w:trHeight w:val="276"/>
          <w:jc w:val="center"/>
        </w:trPr>
        <w:tc>
          <w:tcPr>
            <w:tcW w:w="4438" w:type="dxa"/>
            <w:gridSpan w:val="2"/>
          </w:tcPr>
          <w:p w14:paraId="17AE3B5E"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218" w:type="dxa"/>
          </w:tcPr>
          <w:p w14:paraId="12285134"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Cursos ESP</w:t>
            </w:r>
          </w:p>
        </w:tc>
      </w:tr>
      <w:tr w:rsidR="00770D8B" w:rsidRPr="00A6374D" w14:paraId="15F39A73" w14:textId="77777777" w:rsidTr="00A6374D">
        <w:trPr>
          <w:trHeight w:val="276"/>
          <w:jc w:val="center"/>
        </w:trPr>
        <w:tc>
          <w:tcPr>
            <w:tcW w:w="2219" w:type="dxa"/>
            <w:vMerge w:val="restart"/>
          </w:tcPr>
          <w:p w14:paraId="72CECEA2"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218" w:type="dxa"/>
          </w:tcPr>
          <w:p w14:paraId="02DA193D" w14:textId="77777777" w:rsidR="00770D8B" w:rsidRPr="00A6374D" w:rsidRDefault="00770D8B" w:rsidP="00A6374D">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Insatisfecho</w:t>
            </w:r>
          </w:p>
        </w:tc>
        <w:tc>
          <w:tcPr>
            <w:tcW w:w="2218" w:type="dxa"/>
            <w:vAlign w:val="center"/>
          </w:tcPr>
          <w:p w14:paraId="0406DA5B"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10,0</w:t>
            </w:r>
          </w:p>
        </w:tc>
      </w:tr>
      <w:tr w:rsidR="00770D8B" w:rsidRPr="00A6374D" w14:paraId="17C0F843" w14:textId="77777777" w:rsidTr="00A6374D">
        <w:trPr>
          <w:trHeight w:val="276"/>
          <w:jc w:val="center"/>
        </w:trPr>
        <w:tc>
          <w:tcPr>
            <w:tcW w:w="2219" w:type="dxa"/>
            <w:vMerge/>
          </w:tcPr>
          <w:p w14:paraId="3D78D987" w14:textId="77777777" w:rsidR="00770D8B" w:rsidRPr="00A6374D"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218" w:type="dxa"/>
          </w:tcPr>
          <w:p w14:paraId="603DDDA1" w14:textId="77777777" w:rsidR="00770D8B" w:rsidRPr="00A6374D" w:rsidRDefault="00770D8B" w:rsidP="00A6374D">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Neutral</w:t>
            </w:r>
          </w:p>
        </w:tc>
        <w:tc>
          <w:tcPr>
            <w:tcW w:w="2218" w:type="dxa"/>
            <w:vAlign w:val="center"/>
          </w:tcPr>
          <w:p w14:paraId="406C59E2"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10,0</w:t>
            </w:r>
          </w:p>
        </w:tc>
      </w:tr>
      <w:tr w:rsidR="00770D8B" w:rsidRPr="00A6374D" w14:paraId="3A5CA49C" w14:textId="77777777" w:rsidTr="00A6374D">
        <w:trPr>
          <w:trHeight w:val="282"/>
          <w:jc w:val="center"/>
        </w:trPr>
        <w:tc>
          <w:tcPr>
            <w:tcW w:w="2219" w:type="dxa"/>
            <w:vMerge/>
          </w:tcPr>
          <w:p w14:paraId="6100EEEA" w14:textId="77777777" w:rsidR="00770D8B" w:rsidRPr="00A6374D"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218" w:type="dxa"/>
          </w:tcPr>
          <w:p w14:paraId="7BDA7945" w14:textId="77777777" w:rsidR="00770D8B" w:rsidRPr="00A6374D" w:rsidRDefault="00770D8B" w:rsidP="00A6374D">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Satisfecho</w:t>
            </w:r>
          </w:p>
        </w:tc>
        <w:tc>
          <w:tcPr>
            <w:tcW w:w="2218" w:type="dxa"/>
            <w:vAlign w:val="center"/>
          </w:tcPr>
          <w:p w14:paraId="076B4C59"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50,0</w:t>
            </w:r>
          </w:p>
        </w:tc>
      </w:tr>
      <w:tr w:rsidR="00770D8B" w:rsidRPr="00A6374D" w14:paraId="2C007FCB" w14:textId="77777777" w:rsidTr="00A6374D">
        <w:trPr>
          <w:trHeight w:val="276"/>
          <w:jc w:val="center"/>
        </w:trPr>
        <w:tc>
          <w:tcPr>
            <w:tcW w:w="2219" w:type="dxa"/>
            <w:vMerge/>
          </w:tcPr>
          <w:p w14:paraId="0F23C9F2" w14:textId="77777777" w:rsidR="00770D8B" w:rsidRPr="00A6374D"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218" w:type="dxa"/>
          </w:tcPr>
          <w:p w14:paraId="6B06F126" w14:textId="77777777" w:rsidR="00770D8B" w:rsidRPr="00A6374D" w:rsidRDefault="00770D8B" w:rsidP="00A6374D">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Muy satisfecho</w:t>
            </w:r>
          </w:p>
        </w:tc>
        <w:tc>
          <w:tcPr>
            <w:tcW w:w="2218" w:type="dxa"/>
            <w:vAlign w:val="center"/>
          </w:tcPr>
          <w:p w14:paraId="045E2D67"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30,0</w:t>
            </w:r>
          </w:p>
        </w:tc>
      </w:tr>
      <w:tr w:rsidR="00770D8B" w:rsidRPr="00A6374D" w14:paraId="7E5E56D7" w14:textId="77777777" w:rsidTr="00A6374D">
        <w:trPr>
          <w:trHeight w:val="138"/>
          <w:jc w:val="center"/>
        </w:trPr>
        <w:tc>
          <w:tcPr>
            <w:tcW w:w="2219" w:type="dxa"/>
            <w:vMerge/>
          </w:tcPr>
          <w:p w14:paraId="2A334B24" w14:textId="77777777" w:rsidR="00770D8B" w:rsidRPr="00A6374D"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218" w:type="dxa"/>
          </w:tcPr>
          <w:p w14:paraId="0CD666FE" w14:textId="77777777" w:rsidR="00770D8B" w:rsidRPr="00A6374D" w:rsidRDefault="00770D8B" w:rsidP="00A6374D">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Total</w:t>
            </w:r>
          </w:p>
        </w:tc>
        <w:tc>
          <w:tcPr>
            <w:tcW w:w="2218" w:type="dxa"/>
            <w:vAlign w:val="center"/>
          </w:tcPr>
          <w:p w14:paraId="1839D99F" w14:textId="77777777" w:rsidR="00770D8B" w:rsidRPr="00A6374D"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A6374D">
              <w:rPr>
                <w:rFonts w:ascii="Arial" w:eastAsiaTheme="minorHAnsi" w:hAnsi="Arial" w:cs="Arial"/>
                <w:color w:val="000000"/>
                <w:sz w:val="20"/>
                <w:szCs w:val="20"/>
                <w:lang w:val="es-VE" w:eastAsia="es-PE"/>
              </w:rPr>
              <w:t>100,0</w:t>
            </w:r>
          </w:p>
        </w:tc>
      </w:tr>
    </w:tbl>
    <w:p w14:paraId="04366B26"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36B939CB" w14:textId="77777777" w:rsidR="00770D8B" w:rsidRPr="00770D8B" w:rsidRDefault="00770D8B" w:rsidP="001D19BA">
      <w:pPr>
        <w:autoSpaceDE w:val="0"/>
        <w:autoSpaceDN w:val="0"/>
        <w:adjustRightInd w:val="0"/>
        <w:spacing w:after="160" w:line="360" w:lineRule="auto"/>
        <w:jc w:val="both"/>
        <w:rPr>
          <w:rFonts w:ascii="Arial" w:eastAsiaTheme="minorHAnsi" w:hAnsi="Arial" w:cs="Arial"/>
          <w:lang w:val="es-VE" w:eastAsia="es-PE"/>
        </w:rPr>
      </w:pPr>
      <w:r w:rsidRPr="00770D8B">
        <w:rPr>
          <w:rFonts w:ascii="Arial" w:eastAsiaTheme="minorHAnsi" w:hAnsi="Arial" w:cs="Arial"/>
          <w:lang w:val="es-VE" w:eastAsia="es-PE"/>
        </w:rPr>
        <w:t xml:space="preserve">En lo relativo al nivel de satisfacción general con los cursos de ESP en el área de salud, se encontró que la mayor parte de estudiantes expresan sentirse satisfechos (50%) o muy satisfechos (30%), mientras que el 10% se muestra neutral y otro 10% insatisfecho. Estos resultados indican que, independientemente del formato, la mayoría del estudiantado tiene una experiencia positiva con los cursos ESP, aunque persiste una pequeña fracción que no se siente completamente satisfecha. </w:t>
      </w:r>
    </w:p>
    <w:p w14:paraId="7AEAE1EE" w14:textId="60B54E46" w:rsidR="00770D8B" w:rsidRPr="001D19BA" w:rsidRDefault="00770D8B" w:rsidP="001D19BA">
      <w:pPr>
        <w:spacing w:before="100" w:beforeAutospacing="1" w:after="100" w:afterAutospacing="1" w:line="360" w:lineRule="auto"/>
        <w:jc w:val="center"/>
        <w:rPr>
          <w:rFonts w:ascii="Arial" w:eastAsiaTheme="minorHAnsi" w:hAnsi="Arial" w:cs="Arial"/>
          <w:b/>
          <w:iCs/>
          <w:sz w:val="20"/>
          <w:szCs w:val="20"/>
          <w:lang w:val="es-PE" w:eastAsia="es-PE"/>
        </w:rPr>
      </w:pPr>
      <w:r w:rsidRPr="001D19BA">
        <w:rPr>
          <w:rFonts w:ascii="Arial" w:eastAsiaTheme="minorHAnsi" w:hAnsi="Arial" w:cs="Arial"/>
          <w:b/>
          <w:iCs/>
          <w:sz w:val="20"/>
          <w:szCs w:val="20"/>
          <w:lang w:val="es-PE" w:eastAsia="es-PE"/>
        </w:rPr>
        <w:lastRenderedPageBreak/>
        <w:t xml:space="preserve">Tabla </w:t>
      </w:r>
      <w:r w:rsidRPr="001D19BA">
        <w:rPr>
          <w:rFonts w:ascii="Arial" w:eastAsiaTheme="minorHAnsi" w:hAnsi="Arial" w:cs="Arial"/>
          <w:b/>
          <w:iCs/>
          <w:sz w:val="20"/>
          <w:szCs w:val="20"/>
          <w:lang w:val="es-PE" w:eastAsia="es-PE"/>
        </w:rPr>
        <w:fldChar w:fldCharType="begin"/>
      </w:r>
      <w:r w:rsidRPr="001D19BA">
        <w:rPr>
          <w:rFonts w:ascii="Arial" w:eastAsiaTheme="minorHAnsi" w:hAnsi="Arial" w:cs="Arial"/>
          <w:b/>
          <w:iCs/>
          <w:sz w:val="20"/>
          <w:szCs w:val="20"/>
          <w:lang w:val="es-PE" w:eastAsia="es-PE"/>
        </w:rPr>
        <w:instrText xml:space="preserve"> SEQ Tabla \* ARABIC </w:instrText>
      </w:r>
      <w:r w:rsidRPr="001D19BA">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9</w:t>
      </w:r>
      <w:r w:rsidRPr="001D19BA">
        <w:rPr>
          <w:rFonts w:ascii="Arial" w:eastAsiaTheme="minorHAnsi" w:hAnsi="Arial" w:cs="Arial"/>
          <w:b/>
          <w:iCs/>
          <w:sz w:val="20"/>
          <w:szCs w:val="20"/>
          <w:lang w:val="es-PE" w:eastAsia="es-PE"/>
        </w:rPr>
        <w:fldChar w:fldCharType="end"/>
      </w:r>
      <w:r w:rsidR="001D19BA" w:rsidRPr="001D19BA">
        <w:rPr>
          <w:rFonts w:ascii="Arial" w:eastAsiaTheme="minorHAnsi" w:hAnsi="Arial" w:cs="Arial"/>
          <w:b/>
          <w:iCs/>
          <w:sz w:val="20"/>
          <w:szCs w:val="20"/>
          <w:lang w:val="es-PE" w:eastAsia="es-PE"/>
        </w:rPr>
        <w:t xml:space="preserve">. </w:t>
      </w:r>
      <w:r w:rsidRPr="001D19BA">
        <w:rPr>
          <w:rFonts w:ascii="Arial" w:eastAsiaTheme="minorHAnsi" w:hAnsi="Arial" w:cs="Arial"/>
          <w:b/>
          <w:iCs/>
          <w:sz w:val="20"/>
          <w:szCs w:val="20"/>
          <w:lang w:val="es-PE" w:eastAsia="es-PE"/>
        </w:rPr>
        <w:t>Nivel de satisfacción con la calidad de la enseñanza en modalidades: presencial y virtual</w:t>
      </w:r>
    </w:p>
    <w:tbl>
      <w:tblPr>
        <w:tblStyle w:val="Tablanormal2"/>
        <w:tblW w:w="9903" w:type="dxa"/>
        <w:jc w:val="center"/>
        <w:tblLayout w:type="fixed"/>
        <w:tblLook w:val="0620" w:firstRow="1" w:lastRow="0" w:firstColumn="0" w:lastColumn="0" w:noHBand="1" w:noVBand="1"/>
      </w:tblPr>
      <w:tblGrid>
        <w:gridCol w:w="2476"/>
        <w:gridCol w:w="2477"/>
        <w:gridCol w:w="2475"/>
        <w:gridCol w:w="2475"/>
      </w:tblGrid>
      <w:tr w:rsidR="00770D8B" w:rsidRPr="00E05D3B" w14:paraId="1C4EDEA7" w14:textId="77777777" w:rsidTr="009D09CA">
        <w:trPr>
          <w:cnfStyle w:val="100000000000" w:firstRow="1" w:lastRow="0" w:firstColumn="0" w:lastColumn="0" w:oddVBand="0" w:evenVBand="0" w:oddHBand="0" w:evenHBand="0" w:firstRowFirstColumn="0" w:firstRowLastColumn="0" w:lastRowFirstColumn="0" w:lastRowLastColumn="0"/>
          <w:trHeight w:val="245"/>
          <w:jc w:val="center"/>
        </w:trPr>
        <w:tc>
          <w:tcPr>
            <w:tcW w:w="4953" w:type="dxa"/>
            <w:gridSpan w:val="2"/>
          </w:tcPr>
          <w:p w14:paraId="1FEA68B7" w14:textId="77777777" w:rsidR="00770D8B" w:rsidRPr="00E05D3B"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475" w:type="dxa"/>
          </w:tcPr>
          <w:p w14:paraId="7EBFF4B1" w14:textId="286DDA82" w:rsidR="00770D8B" w:rsidRPr="00E05D3B" w:rsidRDefault="00E05D3B" w:rsidP="00E05D3B">
            <w:pPr>
              <w:autoSpaceDE w:val="0"/>
              <w:autoSpaceDN w:val="0"/>
              <w:adjustRightInd w:val="0"/>
              <w:spacing w:line="276" w:lineRule="auto"/>
              <w:ind w:left="60" w:right="60" w:firstLine="0"/>
              <w:jc w:val="left"/>
              <w:rPr>
                <w:rFonts w:ascii="Arial" w:eastAsiaTheme="minorHAnsi" w:hAnsi="Arial" w:cs="Arial"/>
                <w:color w:val="000000"/>
                <w:sz w:val="20"/>
                <w:szCs w:val="20"/>
                <w:lang w:val="es-VE" w:eastAsia="es-PE"/>
              </w:rPr>
            </w:pPr>
            <w:r>
              <w:rPr>
                <w:rFonts w:ascii="Arial" w:eastAsiaTheme="minorHAnsi" w:hAnsi="Arial" w:cs="Arial"/>
                <w:color w:val="000000"/>
                <w:sz w:val="20"/>
                <w:szCs w:val="20"/>
                <w:lang w:val="es-VE" w:eastAsia="es-PE"/>
              </w:rPr>
              <w:t xml:space="preserve">          </w:t>
            </w:r>
            <w:r w:rsidR="00770D8B" w:rsidRPr="00E05D3B">
              <w:rPr>
                <w:rFonts w:ascii="Arial" w:eastAsiaTheme="minorHAnsi" w:hAnsi="Arial" w:cs="Arial"/>
                <w:color w:val="000000"/>
                <w:sz w:val="20"/>
                <w:szCs w:val="20"/>
                <w:lang w:val="es-VE" w:eastAsia="es-PE"/>
              </w:rPr>
              <w:t>Cursos virtuales</w:t>
            </w:r>
          </w:p>
        </w:tc>
        <w:tc>
          <w:tcPr>
            <w:tcW w:w="2475" w:type="dxa"/>
          </w:tcPr>
          <w:p w14:paraId="251B1DB1" w14:textId="77777777" w:rsidR="00770D8B" w:rsidRPr="00E05D3B" w:rsidRDefault="00770D8B" w:rsidP="00E05D3B">
            <w:pPr>
              <w:autoSpaceDE w:val="0"/>
              <w:autoSpaceDN w:val="0"/>
              <w:adjustRightInd w:val="0"/>
              <w:spacing w:line="276" w:lineRule="auto"/>
              <w:ind w:right="60" w:firstLine="0"/>
              <w:jc w:val="left"/>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Cursos presenciales</w:t>
            </w:r>
          </w:p>
        </w:tc>
      </w:tr>
      <w:tr w:rsidR="00770D8B" w:rsidRPr="00E05D3B" w14:paraId="082BA46F" w14:textId="77777777" w:rsidTr="009D09CA">
        <w:trPr>
          <w:trHeight w:val="245"/>
          <w:jc w:val="center"/>
        </w:trPr>
        <w:tc>
          <w:tcPr>
            <w:tcW w:w="2476" w:type="dxa"/>
          </w:tcPr>
          <w:p w14:paraId="18C06DDC"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76" w:type="dxa"/>
          </w:tcPr>
          <w:p w14:paraId="29434573" w14:textId="77777777" w:rsidR="00770D8B" w:rsidRPr="00E05D3B" w:rsidRDefault="00770D8B" w:rsidP="00E05D3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Totalmente en desacuerdo</w:t>
            </w:r>
          </w:p>
        </w:tc>
        <w:tc>
          <w:tcPr>
            <w:tcW w:w="2475" w:type="dxa"/>
            <w:vAlign w:val="center"/>
          </w:tcPr>
          <w:p w14:paraId="14CC0CEB"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10,0</w:t>
            </w:r>
          </w:p>
        </w:tc>
        <w:tc>
          <w:tcPr>
            <w:tcW w:w="2475" w:type="dxa"/>
            <w:vAlign w:val="center"/>
          </w:tcPr>
          <w:p w14:paraId="7318596D"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r>
      <w:tr w:rsidR="00770D8B" w:rsidRPr="00E05D3B" w14:paraId="26DB187B" w14:textId="77777777" w:rsidTr="009D09CA">
        <w:trPr>
          <w:trHeight w:val="245"/>
          <w:jc w:val="center"/>
        </w:trPr>
        <w:tc>
          <w:tcPr>
            <w:tcW w:w="2476" w:type="dxa"/>
            <w:vMerge w:val="restart"/>
          </w:tcPr>
          <w:p w14:paraId="0D4FF74A"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76" w:type="dxa"/>
          </w:tcPr>
          <w:p w14:paraId="4FCE97DD" w14:textId="77777777" w:rsidR="00770D8B" w:rsidRPr="00E05D3B" w:rsidRDefault="00770D8B" w:rsidP="00E05D3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En desacuerdo</w:t>
            </w:r>
          </w:p>
        </w:tc>
        <w:tc>
          <w:tcPr>
            <w:tcW w:w="2475" w:type="dxa"/>
            <w:vAlign w:val="center"/>
          </w:tcPr>
          <w:p w14:paraId="43A4EC26"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sz w:val="20"/>
                <w:szCs w:val="20"/>
                <w:lang w:eastAsia="es-PE"/>
              </w:rPr>
            </w:pPr>
            <w:r w:rsidRPr="00E05D3B">
              <w:rPr>
                <w:rFonts w:ascii="Arial" w:eastAsiaTheme="minorHAnsi" w:hAnsi="Arial" w:cs="Arial"/>
                <w:color w:val="000000"/>
                <w:sz w:val="20"/>
                <w:szCs w:val="20"/>
                <w:lang w:val="es-VE" w:eastAsia="es-PE"/>
              </w:rPr>
              <w:t>20,0</w:t>
            </w:r>
          </w:p>
        </w:tc>
        <w:tc>
          <w:tcPr>
            <w:tcW w:w="2475" w:type="dxa"/>
            <w:vAlign w:val="center"/>
          </w:tcPr>
          <w:p w14:paraId="2904591B"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5D3B">
              <w:rPr>
                <w:rFonts w:ascii="Arial" w:eastAsiaTheme="minorHAnsi" w:hAnsi="Arial" w:cs="Arial"/>
                <w:sz w:val="20"/>
                <w:szCs w:val="20"/>
                <w:lang w:eastAsia="es-PE"/>
              </w:rPr>
              <w:t>10,0</w:t>
            </w:r>
          </w:p>
        </w:tc>
      </w:tr>
      <w:tr w:rsidR="00770D8B" w:rsidRPr="00E05D3B" w14:paraId="620FFB58" w14:textId="77777777" w:rsidTr="009D09CA">
        <w:trPr>
          <w:trHeight w:val="122"/>
          <w:jc w:val="center"/>
        </w:trPr>
        <w:tc>
          <w:tcPr>
            <w:tcW w:w="2476" w:type="dxa"/>
            <w:vMerge/>
          </w:tcPr>
          <w:p w14:paraId="3E46FEF3" w14:textId="77777777" w:rsidR="00770D8B" w:rsidRPr="00E05D3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6" w:type="dxa"/>
          </w:tcPr>
          <w:p w14:paraId="44AF8911" w14:textId="77777777" w:rsidR="00770D8B" w:rsidRPr="00E05D3B" w:rsidRDefault="00770D8B" w:rsidP="00E05D3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Neutral</w:t>
            </w:r>
          </w:p>
        </w:tc>
        <w:tc>
          <w:tcPr>
            <w:tcW w:w="2475" w:type="dxa"/>
            <w:vAlign w:val="center"/>
          </w:tcPr>
          <w:p w14:paraId="1D2A3462"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sz w:val="20"/>
                <w:szCs w:val="20"/>
                <w:lang w:eastAsia="es-PE"/>
              </w:rPr>
            </w:pPr>
            <w:r w:rsidRPr="00E05D3B">
              <w:rPr>
                <w:rFonts w:ascii="Arial" w:eastAsiaTheme="minorHAnsi" w:hAnsi="Arial" w:cs="Arial"/>
                <w:color w:val="000000"/>
                <w:sz w:val="20"/>
                <w:szCs w:val="20"/>
                <w:lang w:val="es-VE" w:eastAsia="es-PE"/>
              </w:rPr>
              <w:t>10,0</w:t>
            </w:r>
          </w:p>
        </w:tc>
        <w:tc>
          <w:tcPr>
            <w:tcW w:w="2475" w:type="dxa"/>
            <w:vAlign w:val="center"/>
          </w:tcPr>
          <w:p w14:paraId="772859F5"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5D3B">
              <w:rPr>
                <w:rFonts w:ascii="Arial" w:eastAsiaTheme="minorHAnsi" w:hAnsi="Arial" w:cs="Arial"/>
                <w:sz w:val="20"/>
                <w:szCs w:val="20"/>
                <w:lang w:eastAsia="es-PE"/>
              </w:rPr>
              <w:t>20,0</w:t>
            </w:r>
          </w:p>
        </w:tc>
      </w:tr>
      <w:tr w:rsidR="00770D8B" w:rsidRPr="00E05D3B" w14:paraId="1B950EDD" w14:textId="77777777" w:rsidTr="009D09CA">
        <w:trPr>
          <w:trHeight w:val="127"/>
          <w:jc w:val="center"/>
        </w:trPr>
        <w:tc>
          <w:tcPr>
            <w:tcW w:w="2476" w:type="dxa"/>
            <w:vMerge/>
          </w:tcPr>
          <w:p w14:paraId="1A2A5C2D" w14:textId="77777777" w:rsidR="00770D8B" w:rsidRPr="00E05D3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6" w:type="dxa"/>
          </w:tcPr>
          <w:p w14:paraId="661EF1D4" w14:textId="77777777" w:rsidR="00770D8B" w:rsidRPr="00E05D3B" w:rsidRDefault="00770D8B" w:rsidP="00E05D3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De acuerdo</w:t>
            </w:r>
          </w:p>
        </w:tc>
        <w:tc>
          <w:tcPr>
            <w:tcW w:w="2475" w:type="dxa"/>
            <w:vAlign w:val="center"/>
          </w:tcPr>
          <w:p w14:paraId="4C3036CB"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sz w:val="20"/>
                <w:szCs w:val="20"/>
                <w:lang w:eastAsia="es-PE"/>
              </w:rPr>
            </w:pPr>
          </w:p>
        </w:tc>
        <w:tc>
          <w:tcPr>
            <w:tcW w:w="2475" w:type="dxa"/>
            <w:vAlign w:val="center"/>
          </w:tcPr>
          <w:p w14:paraId="70B2EF59"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5D3B">
              <w:rPr>
                <w:rFonts w:ascii="Arial" w:eastAsiaTheme="minorHAnsi" w:hAnsi="Arial" w:cs="Arial"/>
                <w:sz w:val="20"/>
                <w:szCs w:val="20"/>
                <w:lang w:eastAsia="es-PE"/>
              </w:rPr>
              <w:t>30,0</w:t>
            </w:r>
          </w:p>
        </w:tc>
      </w:tr>
      <w:tr w:rsidR="00770D8B" w:rsidRPr="00E05D3B" w14:paraId="4D80B162" w14:textId="77777777" w:rsidTr="009D09CA">
        <w:trPr>
          <w:trHeight w:val="245"/>
          <w:jc w:val="center"/>
        </w:trPr>
        <w:tc>
          <w:tcPr>
            <w:tcW w:w="2476" w:type="dxa"/>
            <w:vMerge/>
          </w:tcPr>
          <w:p w14:paraId="4067EC8E" w14:textId="77777777" w:rsidR="00770D8B" w:rsidRPr="00E05D3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6" w:type="dxa"/>
          </w:tcPr>
          <w:p w14:paraId="6DEAED3B" w14:textId="77777777" w:rsidR="00770D8B" w:rsidRPr="00E05D3B" w:rsidRDefault="00770D8B" w:rsidP="00E05D3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Totalmente de acuerdo</w:t>
            </w:r>
          </w:p>
        </w:tc>
        <w:tc>
          <w:tcPr>
            <w:tcW w:w="2475" w:type="dxa"/>
            <w:vAlign w:val="center"/>
          </w:tcPr>
          <w:p w14:paraId="689BF4FB"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sz w:val="20"/>
                <w:szCs w:val="20"/>
                <w:lang w:eastAsia="es-PE"/>
              </w:rPr>
            </w:pPr>
            <w:r w:rsidRPr="00E05D3B">
              <w:rPr>
                <w:rFonts w:ascii="Arial" w:eastAsiaTheme="minorHAnsi" w:hAnsi="Arial" w:cs="Arial"/>
                <w:color w:val="000000"/>
                <w:sz w:val="20"/>
                <w:szCs w:val="20"/>
                <w:lang w:val="es-VE" w:eastAsia="es-PE"/>
              </w:rPr>
              <w:t>60,0</w:t>
            </w:r>
          </w:p>
        </w:tc>
        <w:tc>
          <w:tcPr>
            <w:tcW w:w="2475" w:type="dxa"/>
            <w:vAlign w:val="center"/>
          </w:tcPr>
          <w:p w14:paraId="42122776"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5D3B">
              <w:rPr>
                <w:rFonts w:ascii="Arial" w:eastAsiaTheme="minorHAnsi" w:hAnsi="Arial" w:cs="Arial"/>
                <w:sz w:val="20"/>
                <w:szCs w:val="20"/>
                <w:lang w:eastAsia="es-PE"/>
              </w:rPr>
              <w:t>40,0</w:t>
            </w:r>
          </w:p>
        </w:tc>
      </w:tr>
      <w:tr w:rsidR="00770D8B" w:rsidRPr="00E05D3B" w14:paraId="77220557" w14:textId="77777777" w:rsidTr="009D09CA">
        <w:trPr>
          <w:trHeight w:val="122"/>
          <w:jc w:val="center"/>
        </w:trPr>
        <w:tc>
          <w:tcPr>
            <w:tcW w:w="2476" w:type="dxa"/>
            <w:vMerge/>
          </w:tcPr>
          <w:p w14:paraId="5D21DC6F" w14:textId="77777777" w:rsidR="00770D8B" w:rsidRPr="00E05D3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6" w:type="dxa"/>
          </w:tcPr>
          <w:p w14:paraId="77127460" w14:textId="77777777" w:rsidR="00770D8B" w:rsidRPr="00E05D3B" w:rsidRDefault="00770D8B" w:rsidP="00E05D3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E05D3B">
              <w:rPr>
                <w:rFonts w:ascii="Arial" w:eastAsiaTheme="minorHAnsi" w:hAnsi="Arial" w:cs="Arial"/>
                <w:color w:val="000000"/>
                <w:sz w:val="20"/>
                <w:szCs w:val="20"/>
                <w:lang w:val="es-VE" w:eastAsia="es-PE"/>
              </w:rPr>
              <w:t>Total</w:t>
            </w:r>
          </w:p>
        </w:tc>
        <w:tc>
          <w:tcPr>
            <w:tcW w:w="2475" w:type="dxa"/>
            <w:vAlign w:val="center"/>
          </w:tcPr>
          <w:p w14:paraId="1A076FDA"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sz w:val="20"/>
                <w:szCs w:val="20"/>
                <w:lang w:eastAsia="es-PE"/>
              </w:rPr>
            </w:pPr>
            <w:r w:rsidRPr="00E05D3B">
              <w:rPr>
                <w:rFonts w:ascii="Arial" w:eastAsiaTheme="minorHAnsi" w:hAnsi="Arial" w:cs="Arial"/>
                <w:sz w:val="20"/>
                <w:szCs w:val="20"/>
                <w:lang w:eastAsia="es-PE"/>
              </w:rPr>
              <w:t>100,0</w:t>
            </w:r>
          </w:p>
        </w:tc>
        <w:tc>
          <w:tcPr>
            <w:tcW w:w="2475" w:type="dxa"/>
            <w:vAlign w:val="center"/>
          </w:tcPr>
          <w:p w14:paraId="2A5AC41B" w14:textId="77777777" w:rsidR="00770D8B" w:rsidRPr="00E05D3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E05D3B">
              <w:rPr>
                <w:rFonts w:ascii="Arial" w:eastAsiaTheme="minorHAnsi" w:hAnsi="Arial" w:cs="Arial"/>
                <w:sz w:val="20"/>
                <w:szCs w:val="20"/>
                <w:lang w:eastAsia="es-PE"/>
              </w:rPr>
              <w:t>100,0</w:t>
            </w:r>
          </w:p>
        </w:tc>
      </w:tr>
    </w:tbl>
    <w:p w14:paraId="1619FA07" w14:textId="6E2DB4E4" w:rsidR="00F05ECA" w:rsidRDefault="00770D8B" w:rsidP="00F05ECA">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r w:rsidRPr="00770D8B">
        <w:rPr>
          <w:rFonts w:ascii="Arial" w:eastAsiaTheme="minorHAnsi" w:hAnsi="Arial" w:cs="Arial"/>
          <w:lang w:val="es-VE" w:eastAsia="es-PE"/>
        </w:rPr>
        <w:t xml:space="preserve">Por otra parte, sobre el nivel de satisfacción con la calidad de la enseñanza en las modalidades presencial y virtual, los datos obtenidos permiten establecer que el 60% de estudiantes está totalmente de acuerdo con la calidad de la enseñanza en los cursos presenciales, lo que indica un alto nivel de satisfacción. No obstante, el restante 40% se distribuye entre alumnos insatisfechos y neutrales. </w:t>
      </w:r>
    </w:p>
    <w:p w14:paraId="3BED64D7" w14:textId="26E0B8B0" w:rsidR="00770D8B" w:rsidRPr="00770D8B" w:rsidRDefault="00770D8B" w:rsidP="00F05ECA">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r w:rsidRPr="00770D8B">
        <w:rPr>
          <w:rFonts w:ascii="Arial" w:eastAsiaTheme="minorHAnsi" w:hAnsi="Arial" w:cs="Arial"/>
          <w:lang w:val="es-VE" w:eastAsia="es-PE"/>
        </w:rPr>
        <w:t>En contraste, respecto a los cursos virtuales, el 70% de estudiantes muestra una satisfacción favorable (30% de acuerdo y 54% totalmente de acuerdo). Además, un 20% de participantes en modalidad virtual muestra un nivel neutral de satisfacción y 10% se siente insatisfecho. En general, aunque la mayoría de</w:t>
      </w:r>
      <w:r w:rsidRPr="00770D8B">
        <w:rPr>
          <w:rFonts w:ascii="Arial" w:eastAsiaTheme="minorHAnsi" w:hAnsi="Arial" w:cs="Arial"/>
          <w:szCs w:val="22"/>
          <w:lang w:val="es-MX" w:eastAsia="es-PE"/>
        </w:rPr>
        <w:t xml:space="preserve"> las personas</w:t>
      </w:r>
      <w:r w:rsidRPr="00770D8B">
        <w:rPr>
          <w:rFonts w:ascii="Arial" w:eastAsiaTheme="minorHAnsi" w:hAnsi="Arial" w:cs="Arial"/>
          <w:lang w:val="es-VE" w:eastAsia="es-PE"/>
        </w:rPr>
        <w:t xml:space="preserve"> estudiantes en ambas modalidades consideran que la calidad de la enseñanza es adecuada, existe un importante número de educandos a quienes no se ha logrado satisfacer, tanto en los entornos presenciales como en los virtuales, por lo que es </w:t>
      </w:r>
      <w:r w:rsidRPr="00770D8B">
        <w:rPr>
          <w:rFonts w:ascii="Arial" w:eastAsiaTheme="minorHAnsi" w:hAnsi="Arial" w:cs="Arial"/>
          <w:lang w:val="es-VE" w:eastAsia="es-PE"/>
        </w:rPr>
        <w:lastRenderedPageBreak/>
        <w:t>relevante profundizar en el conocimiento de los factores que propician esta inconformidad en cada uno.</w:t>
      </w:r>
    </w:p>
    <w:p w14:paraId="60B95D1B" w14:textId="36E33002" w:rsidR="004478A9" w:rsidRPr="004478A9" w:rsidRDefault="00770D8B" w:rsidP="004478A9">
      <w:pPr>
        <w:autoSpaceDE w:val="0"/>
        <w:autoSpaceDN w:val="0"/>
        <w:adjustRightInd w:val="0"/>
        <w:spacing w:line="360" w:lineRule="auto"/>
        <w:jc w:val="both"/>
        <w:rPr>
          <w:rFonts w:ascii="Arial" w:eastAsiaTheme="minorHAnsi" w:hAnsi="Arial" w:cs="Arial"/>
          <w:lang w:val="es-VE" w:eastAsia="es-PE"/>
        </w:rPr>
      </w:pPr>
      <w:r w:rsidRPr="00770D8B">
        <w:rPr>
          <w:rFonts w:ascii="Arial" w:eastAsiaTheme="minorHAnsi" w:hAnsi="Arial" w:cs="Arial"/>
          <w:lang w:val="es-VE" w:eastAsia="es-PE"/>
        </w:rPr>
        <w:t xml:space="preserve">En correspondencia con lo anterior, al indagar sobre la efectividad de la interacción con docentes en ambas modalidades, se evidenció que, </w:t>
      </w:r>
      <w:r w:rsidRPr="00770D8B">
        <w:rPr>
          <w:rFonts w:ascii="Arial" w:eastAsiaTheme="minorHAnsi" w:hAnsi="Arial" w:cs="Arial"/>
          <w:iCs/>
          <w:szCs w:val="18"/>
          <w:lang w:val="es-PE" w:eastAsia="es-PE"/>
        </w:rPr>
        <w:t xml:space="preserve">en la modalidad virtual, un 70% de </w:t>
      </w:r>
      <w:r w:rsidRPr="00770D8B">
        <w:rPr>
          <w:rFonts w:ascii="Arial" w:eastAsiaTheme="minorHAnsi" w:hAnsi="Arial" w:cs="Arial"/>
          <w:szCs w:val="22"/>
          <w:lang w:val="es-MX" w:eastAsia="es-PE"/>
        </w:rPr>
        <w:t xml:space="preserve">las personas </w:t>
      </w:r>
      <w:r w:rsidRPr="00770D8B">
        <w:rPr>
          <w:rFonts w:ascii="Arial" w:eastAsiaTheme="minorHAnsi" w:hAnsi="Arial" w:cs="Arial"/>
          <w:iCs/>
          <w:szCs w:val="18"/>
          <w:lang w:val="es-PE" w:eastAsia="es-PE"/>
        </w:rPr>
        <w:t>estudiantes muestra una valoración favorable de este aspecto, mientras que, en la modalidad presencial, este porcentaje asciende al 80%.</w:t>
      </w:r>
    </w:p>
    <w:p w14:paraId="14E98223" w14:textId="7DDF6729" w:rsidR="00770D8B" w:rsidRPr="004478A9" w:rsidRDefault="00770D8B" w:rsidP="004478A9">
      <w:pPr>
        <w:spacing w:before="100" w:beforeAutospacing="1" w:after="100" w:afterAutospacing="1" w:line="360" w:lineRule="auto"/>
        <w:jc w:val="center"/>
        <w:rPr>
          <w:rFonts w:ascii="Arial" w:eastAsiaTheme="minorHAnsi" w:hAnsi="Arial" w:cs="Arial"/>
          <w:b/>
          <w:iCs/>
          <w:sz w:val="20"/>
          <w:szCs w:val="20"/>
          <w:lang w:val="es-PE" w:eastAsia="es-PE"/>
        </w:rPr>
      </w:pPr>
      <w:r w:rsidRPr="004478A9">
        <w:rPr>
          <w:rFonts w:ascii="Arial" w:eastAsiaTheme="minorHAnsi" w:hAnsi="Arial" w:cs="Arial"/>
          <w:b/>
          <w:iCs/>
          <w:sz w:val="20"/>
          <w:szCs w:val="20"/>
          <w:lang w:val="es-PE" w:eastAsia="es-PE"/>
        </w:rPr>
        <w:t xml:space="preserve">Tabla </w:t>
      </w:r>
      <w:r w:rsidRPr="004478A9">
        <w:rPr>
          <w:rFonts w:ascii="Arial" w:eastAsiaTheme="minorHAnsi" w:hAnsi="Arial" w:cs="Arial"/>
          <w:b/>
          <w:iCs/>
          <w:sz w:val="20"/>
          <w:szCs w:val="20"/>
          <w:lang w:val="es-PE" w:eastAsia="es-PE"/>
        </w:rPr>
        <w:fldChar w:fldCharType="begin"/>
      </w:r>
      <w:r w:rsidRPr="004478A9">
        <w:rPr>
          <w:rFonts w:ascii="Arial" w:eastAsiaTheme="minorHAnsi" w:hAnsi="Arial" w:cs="Arial"/>
          <w:b/>
          <w:iCs/>
          <w:sz w:val="20"/>
          <w:szCs w:val="20"/>
          <w:lang w:val="es-PE" w:eastAsia="es-PE"/>
        </w:rPr>
        <w:instrText xml:space="preserve"> SEQ Tabla \* ARABIC </w:instrText>
      </w:r>
      <w:r w:rsidRPr="004478A9">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10</w:t>
      </w:r>
      <w:r w:rsidRPr="004478A9">
        <w:rPr>
          <w:rFonts w:ascii="Arial" w:eastAsiaTheme="minorHAnsi" w:hAnsi="Arial" w:cs="Arial"/>
          <w:b/>
          <w:iCs/>
          <w:sz w:val="20"/>
          <w:szCs w:val="20"/>
          <w:lang w:val="es-PE" w:eastAsia="es-PE"/>
        </w:rPr>
        <w:fldChar w:fldCharType="end"/>
      </w:r>
      <w:r w:rsidR="004478A9" w:rsidRPr="004478A9">
        <w:rPr>
          <w:rFonts w:ascii="Arial" w:eastAsiaTheme="minorHAnsi" w:hAnsi="Arial" w:cs="Arial"/>
          <w:b/>
          <w:iCs/>
          <w:sz w:val="20"/>
          <w:szCs w:val="20"/>
          <w:lang w:val="es-PE" w:eastAsia="es-PE"/>
        </w:rPr>
        <w:t xml:space="preserve">. </w:t>
      </w:r>
      <w:r w:rsidRPr="004478A9">
        <w:rPr>
          <w:rFonts w:ascii="Arial" w:eastAsiaTheme="minorHAnsi" w:hAnsi="Arial" w:cs="Arial"/>
          <w:b/>
          <w:iCs/>
          <w:sz w:val="20"/>
          <w:szCs w:val="20"/>
          <w:lang w:val="es-PE" w:eastAsia="es-PE"/>
        </w:rPr>
        <w:t>Efectividad de la interacción con profesores en modalidades: presencial y virtual</w:t>
      </w:r>
    </w:p>
    <w:tbl>
      <w:tblPr>
        <w:tblStyle w:val="Tablanormal2"/>
        <w:tblW w:w="9254" w:type="dxa"/>
        <w:jc w:val="center"/>
        <w:tblLayout w:type="fixed"/>
        <w:tblLook w:val="0620" w:firstRow="1" w:lastRow="0" w:firstColumn="0" w:lastColumn="0" w:noHBand="1" w:noVBand="1"/>
      </w:tblPr>
      <w:tblGrid>
        <w:gridCol w:w="2313"/>
        <w:gridCol w:w="2315"/>
        <w:gridCol w:w="2313"/>
        <w:gridCol w:w="2313"/>
      </w:tblGrid>
      <w:tr w:rsidR="00770D8B" w:rsidRPr="00260C2A" w14:paraId="361862F9" w14:textId="77777777" w:rsidTr="00F4629E">
        <w:trPr>
          <w:cnfStyle w:val="100000000000" w:firstRow="1" w:lastRow="0" w:firstColumn="0" w:lastColumn="0" w:oddVBand="0" w:evenVBand="0" w:oddHBand="0" w:evenHBand="0" w:firstRowFirstColumn="0" w:firstRowLastColumn="0" w:lastRowFirstColumn="0" w:lastRowLastColumn="0"/>
          <w:trHeight w:val="256"/>
          <w:jc w:val="center"/>
        </w:trPr>
        <w:tc>
          <w:tcPr>
            <w:tcW w:w="4628" w:type="dxa"/>
            <w:gridSpan w:val="2"/>
          </w:tcPr>
          <w:p w14:paraId="5D32272B" w14:textId="77777777" w:rsidR="00770D8B" w:rsidRPr="00260C2A"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313" w:type="dxa"/>
          </w:tcPr>
          <w:p w14:paraId="79B538A6" w14:textId="77777777" w:rsidR="00381165"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260C2A">
              <w:rPr>
                <w:rFonts w:ascii="Arial" w:eastAsiaTheme="minorHAnsi" w:hAnsi="Arial" w:cs="Arial"/>
                <w:color w:val="000000"/>
                <w:sz w:val="20"/>
                <w:szCs w:val="20"/>
                <w:lang w:val="es-VE" w:eastAsia="es-PE"/>
              </w:rPr>
              <w:t xml:space="preserve">Modalidad </w:t>
            </w:r>
            <w:r w:rsidR="00381165">
              <w:rPr>
                <w:rFonts w:ascii="Arial" w:eastAsiaTheme="minorHAnsi" w:hAnsi="Arial" w:cs="Arial"/>
                <w:color w:val="000000"/>
                <w:sz w:val="20"/>
                <w:szCs w:val="20"/>
                <w:lang w:val="es-VE" w:eastAsia="es-PE"/>
              </w:rPr>
              <w:t xml:space="preserve">  </w:t>
            </w:r>
          </w:p>
          <w:p w14:paraId="68158E23" w14:textId="0CD8F17E"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virtual</w:t>
            </w:r>
          </w:p>
        </w:tc>
        <w:tc>
          <w:tcPr>
            <w:tcW w:w="2313" w:type="dxa"/>
          </w:tcPr>
          <w:p w14:paraId="721EFA2A" w14:textId="77777777" w:rsidR="00381165"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260C2A">
              <w:rPr>
                <w:rFonts w:ascii="Arial" w:eastAsiaTheme="minorHAnsi" w:hAnsi="Arial" w:cs="Arial"/>
                <w:color w:val="000000"/>
                <w:sz w:val="20"/>
                <w:szCs w:val="20"/>
                <w:lang w:val="es-VE" w:eastAsia="es-PE"/>
              </w:rPr>
              <w:t xml:space="preserve">Modalidad </w:t>
            </w:r>
            <w:r w:rsidR="00381165">
              <w:rPr>
                <w:rFonts w:ascii="Arial" w:eastAsiaTheme="minorHAnsi" w:hAnsi="Arial" w:cs="Arial"/>
                <w:color w:val="000000"/>
                <w:sz w:val="20"/>
                <w:szCs w:val="20"/>
                <w:lang w:val="es-VE" w:eastAsia="es-PE"/>
              </w:rPr>
              <w:t xml:space="preserve">  </w:t>
            </w:r>
          </w:p>
          <w:p w14:paraId="1DFAB5AD" w14:textId="4E5D7359"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presencial</w:t>
            </w:r>
          </w:p>
        </w:tc>
      </w:tr>
      <w:tr w:rsidR="00770D8B" w:rsidRPr="00260C2A" w14:paraId="4B9AC2C9" w14:textId="77777777" w:rsidTr="00F4629E">
        <w:trPr>
          <w:trHeight w:val="256"/>
          <w:jc w:val="center"/>
        </w:trPr>
        <w:tc>
          <w:tcPr>
            <w:tcW w:w="2313" w:type="dxa"/>
            <w:vMerge w:val="restart"/>
          </w:tcPr>
          <w:p w14:paraId="6099BBFA"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315" w:type="dxa"/>
          </w:tcPr>
          <w:p w14:paraId="04CD57A4" w14:textId="77777777" w:rsidR="00770D8B" w:rsidRPr="00260C2A" w:rsidRDefault="00770D8B" w:rsidP="00260C2A">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Totalmente en desacuerdo</w:t>
            </w:r>
          </w:p>
        </w:tc>
        <w:tc>
          <w:tcPr>
            <w:tcW w:w="2313" w:type="dxa"/>
            <w:vAlign w:val="center"/>
          </w:tcPr>
          <w:p w14:paraId="54A7DEAE"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313" w:type="dxa"/>
            <w:vAlign w:val="center"/>
          </w:tcPr>
          <w:p w14:paraId="4716AA94"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10,0</w:t>
            </w:r>
          </w:p>
        </w:tc>
      </w:tr>
      <w:tr w:rsidR="00770D8B" w:rsidRPr="00260C2A" w14:paraId="2DB6A504" w14:textId="77777777" w:rsidTr="00F4629E">
        <w:trPr>
          <w:trHeight w:val="256"/>
          <w:jc w:val="center"/>
        </w:trPr>
        <w:tc>
          <w:tcPr>
            <w:tcW w:w="2313" w:type="dxa"/>
            <w:vMerge/>
          </w:tcPr>
          <w:p w14:paraId="0B2F7CC1"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315" w:type="dxa"/>
          </w:tcPr>
          <w:p w14:paraId="37D1A286" w14:textId="77777777" w:rsidR="00770D8B" w:rsidRPr="00260C2A" w:rsidRDefault="00770D8B" w:rsidP="00260C2A">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En descuerdo</w:t>
            </w:r>
          </w:p>
        </w:tc>
        <w:tc>
          <w:tcPr>
            <w:tcW w:w="2313" w:type="dxa"/>
            <w:vAlign w:val="center"/>
          </w:tcPr>
          <w:p w14:paraId="0054C12E"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10,0</w:t>
            </w:r>
          </w:p>
        </w:tc>
        <w:tc>
          <w:tcPr>
            <w:tcW w:w="2313" w:type="dxa"/>
            <w:vAlign w:val="center"/>
          </w:tcPr>
          <w:p w14:paraId="4E83B4A9"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r>
      <w:tr w:rsidR="00770D8B" w:rsidRPr="00260C2A" w14:paraId="56E6FFC6" w14:textId="77777777" w:rsidTr="00F4629E">
        <w:trPr>
          <w:trHeight w:val="128"/>
          <w:jc w:val="center"/>
        </w:trPr>
        <w:tc>
          <w:tcPr>
            <w:tcW w:w="2313" w:type="dxa"/>
            <w:vMerge/>
          </w:tcPr>
          <w:p w14:paraId="52E568B6" w14:textId="77777777" w:rsidR="00770D8B" w:rsidRPr="00260C2A"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315" w:type="dxa"/>
          </w:tcPr>
          <w:p w14:paraId="45EEFB4A" w14:textId="77777777" w:rsidR="00770D8B" w:rsidRPr="00260C2A" w:rsidRDefault="00770D8B" w:rsidP="00260C2A">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Neutral</w:t>
            </w:r>
          </w:p>
        </w:tc>
        <w:tc>
          <w:tcPr>
            <w:tcW w:w="2313" w:type="dxa"/>
            <w:vAlign w:val="center"/>
          </w:tcPr>
          <w:p w14:paraId="7C2B124E"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20,0</w:t>
            </w:r>
          </w:p>
        </w:tc>
        <w:tc>
          <w:tcPr>
            <w:tcW w:w="2313" w:type="dxa"/>
            <w:vAlign w:val="center"/>
          </w:tcPr>
          <w:p w14:paraId="1B6A4508"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sz w:val="20"/>
                <w:szCs w:val="20"/>
                <w:lang w:eastAsia="es-PE"/>
              </w:rPr>
              <w:t>10,0</w:t>
            </w:r>
          </w:p>
        </w:tc>
      </w:tr>
      <w:tr w:rsidR="00770D8B" w:rsidRPr="00260C2A" w14:paraId="107AA225" w14:textId="77777777" w:rsidTr="00F4629E">
        <w:trPr>
          <w:trHeight w:val="262"/>
          <w:jc w:val="center"/>
        </w:trPr>
        <w:tc>
          <w:tcPr>
            <w:tcW w:w="2313" w:type="dxa"/>
            <w:vMerge/>
          </w:tcPr>
          <w:p w14:paraId="76EF2DC9" w14:textId="77777777" w:rsidR="00770D8B" w:rsidRPr="00260C2A"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315" w:type="dxa"/>
          </w:tcPr>
          <w:p w14:paraId="50BC7693" w14:textId="77777777" w:rsidR="00770D8B" w:rsidRPr="00260C2A" w:rsidRDefault="00770D8B" w:rsidP="00260C2A">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De acuerdo</w:t>
            </w:r>
          </w:p>
        </w:tc>
        <w:tc>
          <w:tcPr>
            <w:tcW w:w="2313" w:type="dxa"/>
            <w:vAlign w:val="center"/>
          </w:tcPr>
          <w:p w14:paraId="691DB74C"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30,0</w:t>
            </w:r>
          </w:p>
        </w:tc>
        <w:tc>
          <w:tcPr>
            <w:tcW w:w="2313" w:type="dxa"/>
            <w:vAlign w:val="center"/>
          </w:tcPr>
          <w:p w14:paraId="340DCCE8"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sz w:val="20"/>
                <w:szCs w:val="20"/>
                <w:lang w:eastAsia="es-PE"/>
              </w:rPr>
              <w:t>20,0</w:t>
            </w:r>
          </w:p>
        </w:tc>
      </w:tr>
      <w:tr w:rsidR="00770D8B" w:rsidRPr="00260C2A" w14:paraId="1FE77CA6" w14:textId="77777777" w:rsidTr="00F4629E">
        <w:trPr>
          <w:trHeight w:val="256"/>
          <w:jc w:val="center"/>
        </w:trPr>
        <w:tc>
          <w:tcPr>
            <w:tcW w:w="2313" w:type="dxa"/>
            <w:vMerge/>
          </w:tcPr>
          <w:p w14:paraId="4BAB3251" w14:textId="77777777" w:rsidR="00770D8B" w:rsidRPr="00260C2A"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315" w:type="dxa"/>
          </w:tcPr>
          <w:p w14:paraId="01B63535" w14:textId="77777777" w:rsidR="00770D8B" w:rsidRPr="00260C2A" w:rsidRDefault="00770D8B" w:rsidP="00260C2A">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Totalmente de acuerdo</w:t>
            </w:r>
          </w:p>
        </w:tc>
        <w:tc>
          <w:tcPr>
            <w:tcW w:w="2313" w:type="dxa"/>
            <w:vAlign w:val="center"/>
          </w:tcPr>
          <w:p w14:paraId="4623D552"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40,0</w:t>
            </w:r>
          </w:p>
        </w:tc>
        <w:tc>
          <w:tcPr>
            <w:tcW w:w="2313" w:type="dxa"/>
            <w:vAlign w:val="center"/>
          </w:tcPr>
          <w:p w14:paraId="67BB84EE"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sz w:val="20"/>
                <w:szCs w:val="20"/>
                <w:lang w:eastAsia="es-PE"/>
              </w:rPr>
              <w:t>60,0</w:t>
            </w:r>
          </w:p>
        </w:tc>
      </w:tr>
      <w:tr w:rsidR="00770D8B" w:rsidRPr="00260C2A" w14:paraId="1B8008DE" w14:textId="77777777" w:rsidTr="00F4629E">
        <w:trPr>
          <w:trHeight w:val="128"/>
          <w:jc w:val="center"/>
        </w:trPr>
        <w:tc>
          <w:tcPr>
            <w:tcW w:w="2313" w:type="dxa"/>
            <w:vMerge/>
          </w:tcPr>
          <w:p w14:paraId="0EA5AC26" w14:textId="77777777" w:rsidR="00770D8B" w:rsidRPr="00260C2A"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315" w:type="dxa"/>
          </w:tcPr>
          <w:p w14:paraId="04C9D7FE" w14:textId="77777777" w:rsidR="00770D8B" w:rsidRPr="00260C2A" w:rsidRDefault="00770D8B" w:rsidP="00260C2A">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Total</w:t>
            </w:r>
          </w:p>
        </w:tc>
        <w:tc>
          <w:tcPr>
            <w:tcW w:w="2313" w:type="dxa"/>
            <w:vAlign w:val="center"/>
          </w:tcPr>
          <w:p w14:paraId="4E6FE8DD"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100,0</w:t>
            </w:r>
          </w:p>
        </w:tc>
        <w:tc>
          <w:tcPr>
            <w:tcW w:w="2313" w:type="dxa"/>
            <w:vAlign w:val="center"/>
          </w:tcPr>
          <w:p w14:paraId="36454BF7" w14:textId="77777777" w:rsidR="00770D8B" w:rsidRPr="00260C2A"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60C2A">
              <w:rPr>
                <w:rFonts w:ascii="Arial" w:eastAsiaTheme="minorHAnsi" w:hAnsi="Arial" w:cs="Arial"/>
                <w:color w:val="000000"/>
                <w:sz w:val="20"/>
                <w:szCs w:val="20"/>
                <w:lang w:val="es-VE" w:eastAsia="es-PE"/>
              </w:rPr>
              <w:t>100,0</w:t>
            </w:r>
          </w:p>
        </w:tc>
      </w:tr>
    </w:tbl>
    <w:p w14:paraId="6319FC43" w14:textId="77777777" w:rsidR="00770D8B" w:rsidRPr="00770D8B" w:rsidRDefault="00770D8B" w:rsidP="007732E8">
      <w:pPr>
        <w:spacing w:before="100" w:beforeAutospacing="1" w:after="100" w:afterAutospacing="1" w:line="360" w:lineRule="auto"/>
        <w:jc w:val="both"/>
        <w:rPr>
          <w:rFonts w:ascii="Arial" w:eastAsiaTheme="minorHAnsi" w:hAnsi="Arial" w:cs="Arial"/>
          <w:iCs/>
          <w:szCs w:val="18"/>
          <w:lang w:val="es-PE" w:eastAsia="es-PE"/>
        </w:rPr>
      </w:pPr>
      <w:r w:rsidRPr="00770D8B">
        <w:rPr>
          <w:rFonts w:ascii="Arial" w:eastAsiaTheme="minorHAnsi" w:hAnsi="Arial" w:cs="Arial"/>
          <w:iCs/>
          <w:szCs w:val="18"/>
          <w:lang w:val="es-PE" w:eastAsia="es-PE"/>
        </w:rPr>
        <w:t xml:space="preserve">De otro lado, en la modalidad presencial, el 20% de estudiantes tiene una valoración negativa o neutral, a la vez que este porcentaje alcanza el 30% en la modalidad virtual. Aunque la mayoría del alumnado en ambas modalidades considera la interacción con docentes como efectiva, </w:t>
      </w:r>
      <w:r w:rsidRPr="00770D8B">
        <w:rPr>
          <w:rFonts w:ascii="Arial" w:eastAsiaTheme="minorHAnsi" w:hAnsi="Arial" w:cs="Arial"/>
          <w:szCs w:val="22"/>
          <w:lang w:val="es-MX" w:eastAsia="es-PE"/>
        </w:rPr>
        <w:t xml:space="preserve">las personas </w:t>
      </w:r>
      <w:r w:rsidRPr="00770D8B">
        <w:rPr>
          <w:rFonts w:ascii="Arial" w:eastAsiaTheme="minorHAnsi" w:hAnsi="Arial" w:cs="Arial"/>
          <w:iCs/>
          <w:szCs w:val="18"/>
          <w:lang w:val="es-PE" w:eastAsia="es-PE"/>
        </w:rPr>
        <w:t xml:space="preserve">estudiantes en </w:t>
      </w:r>
      <w:r w:rsidRPr="00770D8B">
        <w:rPr>
          <w:rFonts w:ascii="Arial" w:eastAsiaTheme="minorHAnsi" w:hAnsi="Arial" w:cs="Arial"/>
          <w:iCs/>
          <w:szCs w:val="18"/>
          <w:lang w:val="es-PE" w:eastAsia="es-PE"/>
        </w:rPr>
        <w:lastRenderedPageBreak/>
        <w:t>modalidad presencial tienden a tener una percepción más positiva en comparación con estudiantes de la modalidad virtual.</w:t>
      </w:r>
    </w:p>
    <w:p w14:paraId="76EF751F" w14:textId="10C6065F" w:rsidR="00770D8B" w:rsidRPr="00337BA8" w:rsidRDefault="00770D8B" w:rsidP="00337BA8">
      <w:pPr>
        <w:spacing w:before="100" w:beforeAutospacing="1" w:after="100" w:afterAutospacing="1" w:line="360" w:lineRule="auto"/>
        <w:jc w:val="right"/>
        <w:rPr>
          <w:rFonts w:ascii="Arial" w:eastAsiaTheme="minorHAnsi" w:hAnsi="Arial" w:cs="Arial"/>
          <w:b/>
          <w:iCs/>
          <w:sz w:val="20"/>
          <w:szCs w:val="20"/>
          <w:lang w:val="es-PE" w:eastAsia="es-PE"/>
        </w:rPr>
      </w:pPr>
      <w:r w:rsidRPr="00337BA8">
        <w:rPr>
          <w:rFonts w:ascii="Arial" w:eastAsiaTheme="minorHAnsi" w:hAnsi="Arial" w:cs="Arial"/>
          <w:b/>
          <w:iCs/>
          <w:sz w:val="20"/>
          <w:szCs w:val="20"/>
          <w:lang w:val="es-PE" w:eastAsia="es-PE"/>
        </w:rPr>
        <w:t xml:space="preserve">Tabla </w:t>
      </w:r>
      <w:r w:rsidRPr="00337BA8">
        <w:rPr>
          <w:rFonts w:ascii="Arial" w:eastAsiaTheme="minorHAnsi" w:hAnsi="Arial" w:cs="Arial"/>
          <w:b/>
          <w:iCs/>
          <w:sz w:val="20"/>
          <w:szCs w:val="20"/>
          <w:lang w:val="es-PE" w:eastAsia="es-PE"/>
        </w:rPr>
        <w:fldChar w:fldCharType="begin"/>
      </w:r>
      <w:r w:rsidRPr="00337BA8">
        <w:rPr>
          <w:rFonts w:ascii="Arial" w:eastAsiaTheme="minorHAnsi" w:hAnsi="Arial" w:cs="Arial"/>
          <w:b/>
          <w:iCs/>
          <w:sz w:val="20"/>
          <w:szCs w:val="20"/>
          <w:lang w:val="es-PE" w:eastAsia="es-PE"/>
        </w:rPr>
        <w:instrText xml:space="preserve"> SEQ Tabla \* ARABIC </w:instrText>
      </w:r>
      <w:r w:rsidRPr="00337BA8">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11</w:t>
      </w:r>
      <w:r w:rsidRPr="00337BA8">
        <w:rPr>
          <w:rFonts w:ascii="Arial" w:eastAsiaTheme="minorHAnsi" w:hAnsi="Arial" w:cs="Arial"/>
          <w:b/>
          <w:iCs/>
          <w:sz w:val="20"/>
          <w:szCs w:val="20"/>
          <w:lang w:val="es-PE" w:eastAsia="es-PE"/>
        </w:rPr>
        <w:fldChar w:fldCharType="end"/>
      </w:r>
      <w:r w:rsidR="00337BA8" w:rsidRPr="00337BA8">
        <w:rPr>
          <w:rFonts w:ascii="Arial" w:eastAsiaTheme="minorHAnsi" w:hAnsi="Arial" w:cs="Arial"/>
          <w:b/>
          <w:iCs/>
          <w:sz w:val="20"/>
          <w:szCs w:val="20"/>
          <w:lang w:val="es-PE" w:eastAsia="es-PE"/>
        </w:rPr>
        <w:t xml:space="preserve">. </w:t>
      </w:r>
      <w:r w:rsidRPr="00337BA8">
        <w:rPr>
          <w:rFonts w:ascii="Arial" w:eastAsiaTheme="minorHAnsi" w:hAnsi="Arial" w:cs="Arial"/>
          <w:b/>
          <w:iCs/>
          <w:sz w:val="20"/>
          <w:szCs w:val="20"/>
          <w:lang w:val="es-PE" w:eastAsia="es-PE"/>
        </w:rPr>
        <w:t>Suficiencia de la interacción con compañeros en modalidades: presencial y virtual</w:t>
      </w:r>
    </w:p>
    <w:tbl>
      <w:tblPr>
        <w:tblStyle w:val="Tablanormal2"/>
        <w:tblW w:w="9886" w:type="dxa"/>
        <w:jc w:val="center"/>
        <w:tblLayout w:type="fixed"/>
        <w:tblLook w:val="0620" w:firstRow="1" w:lastRow="0" w:firstColumn="0" w:lastColumn="0" w:noHBand="1" w:noVBand="1"/>
      </w:tblPr>
      <w:tblGrid>
        <w:gridCol w:w="2471"/>
        <w:gridCol w:w="2471"/>
        <w:gridCol w:w="2472"/>
        <w:gridCol w:w="2472"/>
      </w:tblGrid>
      <w:tr w:rsidR="00770D8B" w:rsidRPr="002E68FB" w14:paraId="3228EC9B" w14:textId="77777777" w:rsidTr="002E68FB">
        <w:trPr>
          <w:cnfStyle w:val="100000000000" w:firstRow="1" w:lastRow="0" w:firstColumn="0" w:lastColumn="0" w:oddVBand="0" w:evenVBand="0" w:oddHBand="0" w:evenHBand="0" w:firstRowFirstColumn="0" w:firstRowLastColumn="0" w:lastRowFirstColumn="0" w:lastRowLastColumn="0"/>
          <w:trHeight w:val="279"/>
          <w:jc w:val="center"/>
        </w:trPr>
        <w:tc>
          <w:tcPr>
            <w:tcW w:w="4942" w:type="dxa"/>
            <w:gridSpan w:val="2"/>
          </w:tcPr>
          <w:p w14:paraId="5B6D1DD9" w14:textId="77777777" w:rsidR="00770D8B" w:rsidRPr="002E68FB"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472" w:type="dxa"/>
          </w:tcPr>
          <w:p w14:paraId="5FB4F0DA" w14:textId="77777777" w:rsidR="002E68FB"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2E68FB">
              <w:rPr>
                <w:rFonts w:ascii="Arial" w:eastAsiaTheme="minorHAnsi" w:hAnsi="Arial" w:cs="Arial"/>
                <w:color w:val="000000"/>
                <w:sz w:val="20"/>
                <w:szCs w:val="20"/>
                <w:lang w:val="es-VE" w:eastAsia="es-PE"/>
              </w:rPr>
              <w:t xml:space="preserve">Modalidad </w:t>
            </w:r>
            <w:r w:rsidR="002E68FB">
              <w:rPr>
                <w:rFonts w:ascii="Arial" w:eastAsiaTheme="minorHAnsi" w:hAnsi="Arial" w:cs="Arial"/>
                <w:color w:val="000000"/>
                <w:sz w:val="20"/>
                <w:szCs w:val="20"/>
                <w:lang w:val="es-VE" w:eastAsia="es-PE"/>
              </w:rPr>
              <w:t xml:space="preserve"> </w:t>
            </w:r>
          </w:p>
          <w:p w14:paraId="041EE3C7" w14:textId="2EAA8B76"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virtual</w:t>
            </w:r>
          </w:p>
        </w:tc>
        <w:tc>
          <w:tcPr>
            <w:tcW w:w="2472" w:type="dxa"/>
          </w:tcPr>
          <w:p w14:paraId="08CF1257" w14:textId="77777777" w:rsidR="002E68FB"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2E68FB">
              <w:rPr>
                <w:rFonts w:ascii="Arial" w:eastAsiaTheme="minorHAnsi" w:hAnsi="Arial" w:cs="Arial"/>
                <w:color w:val="000000"/>
                <w:sz w:val="20"/>
                <w:szCs w:val="20"/>
                <w:lang w:val="es-VE" w:eastAsia="es-PE"/>
              </w:rPr>
              <w:t xml:space="preserve">Modalidad </w:t>
            </w:r>
          </w:p>
          <w:p w14:paraId="301509E2" w14:textId="3B88C3DF"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presencial</w:t>
            </w:r>
          </w:p>
        </w:tc>
      </w:tr>
      <w:tr w:rsidR="00770D8B" w:rsidRPr="002E68FB" w14:paraId="5CCDE241" w14:textId="77777777" w:rsidTr="002E68FB">
        <w:trPr>
          <w:trHeight w:val="279"/>
          <w:jc w:val="center"/>
        </w:trPr>
        <w:tc>
          <w:tcPr>
            <w:tcW w:w="2471" w:type="dxa"/>
            <w:vMerge w:val="restart"/>
          </w:tcPr>
          <w:p w14:paraId="6709D76A"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71" w:type="dxa"/>
          </w:tcPr>
          <w:p w14:paraId="7F99E6EE" w14:textId="77777777" w:rsidR="00770D8B" w:rsidRPr="002E68FB" w:rsidRDefault="00770D8B" w:rsidP="002E68F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Totalmente en desacuerdo</w:t>
            </w:r>
          </w:p>
        </w:tc>
        <w:tc>
          <w:tcPr>
            <w:tcW w:w="2472" w:type="dxa"/>
            <w:vAlign w:val="center"/>
          </w:tcPr>
          <w:p w14:paraId="4E3D281B"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72" w:type="dxa"/>
            <w:vAlign w:val="center"/>
          </w:tcPr>
          <w:p w14:paraId="1B38602A"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r>
      <w:tr w:rsidR="00770D8B" w:rsidRPr="002E68FB" w14:paraId="621381CD" w14:textId="77777777" w:rsidTr="002E68FB">
        <w:trPr>
          <w:trHeight w:val="279"/>
          <w:jc w:val="center"/>
        </w:trPr>
        <w:tc>
          <w:tcPr>
            <w:tcW w:w="2471" w:type="dxa"/>
            <w:vMerge/>
          </w:tcPr>
          <w:p w14:paraId="616DBDE4"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71" w:type="dxa"/>
          </w:tcPr>
          <w:p w14:paraId="4A1AAB58" w14:textId="77777777" w:rsidR="00770D8B" w:rsidRPr="002E68FB" w:rsidRDefault="00770D8B" w:rsidP="002E68F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En desacuerdo</w:t>
            </w:r>
          </w:p>
        </w:tc>
        <w:tc>
          <w:tcPr>
            <w:tcW w:w="2472" w:type="dxa"/>
            <w:vAlign w:val="center"/>
          </w:tcPr>
          <w:p w14:paraId="7C2C2ECC"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10,0</w:t>
            </w:r>
          </w:p>
        </w:tc>
        <w:tc>
          <w:tcPr>
            <w:tcW w:w="2472" w:type="dxa"/>
            <w:vAlign w:val="center"/>
          </w:tcPr>
          <w:p w14:paraId="460C5486"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r>
      <w:tr w:rsidR="00770D8B" w:rsidRPr="002E68FB" w14:paraId="3E59F70C" w14:textId="77777777" w:rsidTr="002E68FB">
        <w:trPr>
          <w:trHeight w:val="139"/>
          <w:jc w:val="center"/>
        </w:trPr>
        <w:tc>
          <w:tcPr>
            <w:tcW w:w="2471" w:type="dxa"/>
            <w:vMerge/>
          </w:tcPr>
          <w:p w14:paraId="21678F9C" w14:textId="77777777" w:rsidR="00770D8B" w:rsidRPr="002E68F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1" w:type="dxa"/>
          </w:tcPr>
          <w:p w14:paraId="1CFD09FF" w14:textId="77777777" w:rsidR="00770D8B" w:rsidRPr="002E68FB" w:rsidRDefault="00770D8B" w:rsidP="002E68F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Neutral</w:t>
            </w:r>
          </w:p>
        </w:tc>
        <w:tc>
          <w:tcPr>
            <w:tcW w:w="2472" w:type="dxa"/>
            <w:vAlign w:val="center"/>
          </w:tcPr>
          <w:p w14:paraId="32754990"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20,0</w:t>
            </w:r>
          </w:p>
        </w:tc>
        <w:tc>
          <w:tcPr>
            <w:tcW w:w="2472" w:type="dxa"/>
            <w:vAlign w:val="center"/>
          </w:tcPr>
          <w:p w14:paraId="5893EF8E"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10,0</w:t>
            </w:r>
          </w:p>
        </w:tc>
      </w:tr>
      <w:tr w:rsidR="00770D8B" w:rsidRPr="002E68FB" w14:paraId="5B346FA4" w14:textId="77777777" w:rsidTr="002E68FB">
        <w:trPr>
          <w:trHeight w:val="285"/>
          <w:jc w:val="center"/>
        </w:trPr>
        <w:tc>
          <w:tcPr>
            <w:tcW w:w="2471" w:type="dxa"/>
            <w:vMerge/>
          </w:tcPr>
          <w:p w14:paraId="1C6766BF" w14:textId="77777777" w:rsidR="00770D8B" w:rsidRPr="002E68F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1" w:type="dxa"/>
          </w:tcPr>
          <w:p w14:paraId="45DD69A1" w14:textId="77777777" w:rsidR="00770D8B" w:rsidRPr="002E68FB" w:rsidRDefault="00770D8B" w:rsidP="002E68F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De acuerdo</w:t>
            </w:r>
          </w:p>
        </w:tc>
        <w:tc>
          <w:tcPr>
            <w:tcW w:w="2472" w:type="dxa"/>
            <w:vAlign w:val="center"/>
          </w:tcPr>
          <w:p w14:paraId="5A2A20D3"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60,0</w:t>
            </w:r>
          </w:p>
        </w:tc>
        <w:tc>
          <w:tcPr>
            <w:tcW w:w="2472" w:type="dxa"/>
            <w:vAlign w:val="center"/>
          </w:tcPr>
          <w:p w14:paraId="1D3A289A"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30,0</w:t>
            </w:r>
          </w:p>
        </w:tc>
      </w:tr>
      <w:tr w:rsidR="00770D8B" w:rsidRPr="002E68FB" w14:paraId="3A492DC2" w14:textId="77777777" w:rsidTr="002E68FB">
        <w:trPr>
          <w:trHeight w:val="279"/>
          <w:jc w:val="center"/>
        </w:trPr>
        <w:tc>
          <w:tcPr>
            <w:tcW w:w="2471" w:type="dxa"/>
            <w:vMerge/>
          </w:tcPr>
          <w:p w14:paraId="05ABBC4D" w14:textId="77777777" w:rsidR="00770D8B" w:rsidRPr="002E68F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1" w:type="dxa"/>
          </w:tcPr>
          <w:p w14:paraId="286381A8" w14:textId="77777777" w:rsidR="00770D8B" w:rsidRPr="002E68FB" w:rsidRDefault="00770D8B" w:rsidP="002E68F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Totalmente de acuerdo</w:t>
            </w:r>
          </w:p>
        </w:tc>
        <w:tc>
          <w:tcPr>
            <w:tcW w:w="2472" w:type="dxa"/>
            <w:vAlign w:val="center"/>
          </w:tcPr>
          <w:p w14:paraId="0C71DFE7"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10,0</w:t>
            </w:r>
          </w:p>
        </w:tc>
        <w:tc>
          <w:tcPr>
            <w:tcW w:w="2472" w:type="dxa"/>
            <w:vAlign w:val="center"/>
          </w:tcPr>
          <w:p w14:paraId="07A75A8B"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60,0</w:t>
            </w:r>
          </w:p>
        </w:tc>
      </w:tr>
      <w:tr w:rsidR="00770D8B" w:rsidRPr="002E68FB" w14:paraId="20DAE2C7" w14:textId="77777777" w:rsidTr="002E68FB">
        <w:trPr>
          <w:trHeight w:val="139"/>
          <w:jc w:val="center"/>
        </w:trPr>
        <w:tc>
          <w:tcPr>
            <w:tcW w:w="2471" w:type="dxa"/>
            <w:vMerge/>
          </w:tcPr>
          <w:p w14:paraId="246D4C36" w14:textId="77777777" w:rsidR="00770D8B" w:rsidRPr="002E68FB"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71" w:type="dxa"/>
          </w:tcPr>
          <w:p w14:paraId="10117A34" w14:textId="77777777" w:rsidR="00770D8B" w:rsidRPr="002E68FB" w:rsidRDefault="00770D8B" w:rsidP="002E68F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Total</w:t>
            </w:r>
          </w:p>
        </w:tc>
        <w:tc>
          <w:tcPr>
            <w:tcW w:w="2472" w:type="dxa"/>
            <w:vAlign w:val="center"/>
          </w:tcPr>
          <w:p w14:paraId="0989D46B"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100,0</w:t>
            </w:r>
          </w:p>
        </w:tc>
        <w:tc>
          <w:tcPr>
            <w:tcW w:w="2472" w:type="dxa"/>
            <w:vAlign w:val="center"/>
          </w:tcPr>
          <w:p w14:paraId="07A6B0D7" w14:textId="77777777" w:rsidR="00770D8B" w:rsidRPr="002E68FB"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2E68FB">
              <w:rPr>
                <w:rFonts w:ascii="Arial" w:eastAsiaTheme="minorHAnsi" w:hAnsi="Arial" w:cs="Arial"/>
                <w:color w:val="000000"/>
                <w:sz w:val="20"/>
                <w:szCs w:val="20"/>
                <w:lang w:val="es-VE" w:eastAsia="es-PE"/>
              </w:rPr>
              <w:t>100,0</w:t>
            </w:r>
          </w:p>
        </w:tc>
      </w:tr>
    </w:tbl>
    <w:p w14:paraId="083AA864"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4D5AAB5E" w14:textId="77777777" w:rsidR="00770D8B" w:rsidRPr="00770D8B" w:rsidRDefault="00770D8B" w:rsidP="006D73BC">
      <w:pPr>
        <w:autoSpaceDE w:val="0"/>
        <w:autoSpaceDN w:val="0"/>
        <w:adjustRightInd w:val="0"/>
        <w:spacing w:line="360" w:lineRule="auto"/>
        <w:jc w:val="both"/>
        <w:rPr>
          <w:rFonts w:ascii="Arial" w:eastAsiaTheme="minorHAnsi" w:hAnsi="Arial" w:cs="Arial"/>
          <w:lang w:val="es-VE" w:eastAsia="es-PE"/>
        </w:rPr>
      </w:pPr>
      <w:r w:rsidRPr="00770D8B">
        <w:rPr>
          <w:rFonts w:ascii="Arial" w:eastAsiaTheme="minorHAnsi" w:hAnsi="Arial" w:cs="Arial"/>
          <w:lang w:val="es-VE" w:eastAsia="es-PE"/>
        </w:rPr>
        <w:t xml:space="preserve">Ahora bien, a través de la medición de la interacción con compañeros en ambas modalidades, se reveló que, en la modalidad virtual, un 70% de estudiantes está de acuerdo o totalmente de acuerdo con la suficiencia de esta interacción; a la par, en la modalidad presencial, este porcentaje asciende a 90%. Por tanto, la percepción es mucho más favorable en la modalidad presencial, aunque la mayoría del estudiantado en modalidad virtual considera suficiente la interacción con sus iguales. </w:t>
      </w:r>
    </w:p>
    <w:p w14:paraId="2A6D00FA"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332D35D5" w14:textId="77777777" w:rsidR="009819B6" w:rsidRDefault="009819B6" w:rsidP="00770D8B">
      <w:pPr>
        <w:spacing w:line="360" w:lineRule="auto"/>
        <w:rPr>
          <w:rFonts w:ascii="Arial" w:eastAsiaTheme="minorHAnsi" w:hAnsi="Arial" w:cs="Arial"/>
          <w:b/>
          <w:iCs/>
          <w:sz w:val="22"/>
          <w:szCs w:val="18"/>
          <w:lang w:val="es-PE" w:eastAsia="es-PE"/>
        </w:rPr>
      </w:pPr>
    </w:p>
    <w:p w14:paraId="4148702F" w14:textId="130491C5" w:rsidR="009819B6" w:rsidRDefault="009819B6" w:rsidP="00770D8B">
      <w:pPr>
        <w:spacing w:line="360" w:lineRule="auto"/>
        <w:rPr>
          <w:rFonts w:ascii="Arial" w:eastAsiaTheme="minorHAnsi" w:hAnsi="Arial" w:cs="Arial"/>
          <w:b/>
          <w:iCs/>
          <w:sz w:val="20"/>
          <w:szCs w:val="20"/>
          <w:lang w:val="es-PE" w:eastAsia="es-PE"/>
        </w:rPr>
      </w:pPr>
    </w:p>
    <w:p w14:paraId="3158EC1D" w14:textId="77777777" w:rsidR="009819B6" w:rsidRDefault="009819B6" w:rsidP="00770D8B">
      <w:pPr>
        <w:spacing w:line="360" w:lineRule="auto"/>
        <w:rPr>
          <w:rFonts w:ascii="Arial" w:eastAsiaTheme="minorHAnsi" w:hAnsi="Arial" w:cs="Arial"/>
          <w:b/>
          <w:iCs/>
          <w:sz w:val="20"/>
          <w:szCs w:val="20"/>
          <w:lang w:val="es-PE" w:eastAsia="es-PE"/>
        </w:rPr>
      </w:pPr>
    </w:p>
    <w:p w14:paraId="32CB49C4" w14:textId="13EA184A" w:rsidR="00770D8B" w:rsidRPr="009819B6" w:rsidRDefault="00770D8B" w:rsidP="005429A9">
      <w:pPr>
        <w:spacing w:before="100" w:beforeAutospacing="1" w:after="100" w:afterAutospacing="1" w:line="360" w:lineRule="auto"/>
        <w:jc w:val="center"/>
        <w:rPr>
          <w:rFonts w:ascii="Arial" w:eastAsiaTheme="minorHAnsi" w:hAnsi="Arial" w:cs="Arial"/>
          <w:b/>
          <w:iCs/>
          <w:color w:val="44546A" w:themeColor="text2"/>
          <w:sz w:val="20"/>
          <w:szCs w:val="20"/>
          <w:lang w:val="es-VE" w:eastAsia="es-PE"/>
        </w:rPr>
      </w:pPr>
      <w:r w:rsidRPr="009819B6">
        <w:rPr>
          <w:rFonts w:ascii="Arial" w:eastAsiaTheme="minorHAnsi" w:hAnsi="Arial" w:cs="Arial"/>
          <w:b/>
          <w:iCs/>
          <w:sz w:val="20"/>
          <w:szCs w:val="20"/>
          <w:lang w:val="es-PE" w:eastAsia="es-PE"/>
        </w:rPr>
        <w:lastRenderedPageBreak/>
        <w:t xml:space="preserve">Tabla </w:t>
      </w:r>
      <w:r w:rsidRPr="009819B6">
        <w:rPr>
          <w:rFonts w:ascii="Arial" w:eastAsiaTheme="minorHAnsi" w:hAnsi="Arial" w:cs="Arial"/>
          <w:b/>
          <w:iCs/>
          <w:sz w:val="20"/>
          <w:szCs w:val="20"/>
          <w:lang w:val="es-PE" w:eastAsia="es-PE"/>
        </w:rPr>
        <w:fldChar w:fldCharType="begin"/>
      </w:r>
      <w:r w:rsidRPr="009819B6">
        <w:rPr>
          <w:rFonts w:ascii="Arial" w:eastAsiaTheme="minorHAnsi" w:hAnsi="Arial" w:cs="Arial"/>
          <w:b/>
          <w:iCs/>
          <w:sz w:val="20"/>
          <w:szCs w:val="20"/>
          <w:lang w:val="es-PE" w:eastAsia="es-PE"/>
        </w:rPr>
        <w:instrText xml:space="preserve"> SEQ Tabla \* ARABIC </w:instrText>
      </w:r>
      <w:r w:rsidRPr="009819B6">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12</w:t>
      </w:r>
      <w:r w:rsidRPr="009819B6">
        <w:rPr>
          <w:rFonts w:ascii="Arial" w:eastAsiaTheme="minorHAnsi" w:hAnsi="Arial" w:cs="Arial"/>
          <w:b/>
          <w:iCs/>
          <w:sz w:val="20"/>
          <w:szCs w:val="20"/>
          <w:lang w:val="es-PE" w:eastAsia="es-PE"/>
        </w:rPr>
        <w:fldChar w:fldCharType="end"/>
      </w:r>
      <w:r w:rsidR="009819B6" w:rsidRPr="009819B6">
        <w:rPr>
          <w:rFonts w:ascii="Arial" w:eastAsiaTheme="minorHAnsi" w:hAnsi="Arial" w:cs="Arial"/>
          <w:b/>
          <w:iCs/>
          <w:sz w:val="20"/>
          <w:szCs w:val="20"/>
          <w:lang w:val="es-PE" w:eastAsia="es-PE"/>
        </w:rPr>
        <w:t xml:space="preserve">. </w:t>
      </w:r>
      <w:r w:rsidRPr="009819B6">
        <w:rPr>
          <w:rFonts w:ascii="Arial" w:eastAsiaTheme="minorHAnsi" w:hAnsi="Arial" w:cs="Arial"/>
          <w:b/>
          <w:iCs/>
          <w:sz w:val="20"/>
          <w:szCs w:val="20"/>
          <w:lang w:val="es-PE" w:eastAsia="es-PE"/>
        </w:rPr>
        <w:t>Acceso a los recursos educativos necesarios en modalidades: presencial y virtual</w:t>
      </w:r>
    </w:p>
    <w:tbl>
      <w:tblPr>
        <w:tblStyle w:val="Tablanormal2"/>
        <w:tblW w:w="9773" w:type="dxa"/>
        <w:jc w:val="center"/>
        <w:tblLayout w:type="fixed"/>
        <w:tblLook w:val="0620" w:firstRow="1" w:lastRow="0" w:firstColumn="0" w:lastColumn="0" w:noHBand="1" w:noVBand="1"/>
      </w:tblPr>
      <w:tblGrid>
        <w:gridCol w:w="2442"/>
        <w:gridCol w:w="2443"/>
        <w:gridCol w:w="2444"/>
        <w:gridCol w:w="2444"/>
      </w:tblGrid>
      <w:tr w:rsidR="00770D8B" w:rsidRPr="004A5A20" w14:paraId="4597C1B9" w14:textId="77777777" w:rsidTr="004A5A20">
        <w:trPr>
          <w:cnfStyle w:val="100000000000" w:firstRow="1" w:lastRow="0" w:firstColumn="0" w:lastColumn="0" w:oddVBand="0" w:evenVBand="0" w:oddHBand="0" w:evenHBand="0" w:firstRowFirstColumn="0" w:firstRowLastColumn="0" w:lastRowFirstColumn="0" w:lastRowLastColumn="0"/>
          <w:trHeight w:val="277"/>
          <w:jc w:val="center"/>
        </w:trPr>
        <w:tc>
          <w:tcPr>
            <w:tcW w:w="4885" w:type="dxa"/>
            <w:gridSpan w:val="2"/>
          </w:tcPr>
          <w:p w14:paraId="3BD9C0F7" w14:textId="77777777" w:rsidR="00770D8B" w:rsidRPr="004A5A20"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444" w:type="dxa"/>
          </w:tcPr>
          <w:p w14:paraId="36E79965" w14:textId="77777777" w:rsidR="004A5A20"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4A5A20">
              <w:rPr>
                <w:rFonts w:ascii="Arial" w:eastAsiaTheme="minorHAnsi" w:hAnsi="Arial" w:cs="Arial"/>
                <w:color w:val="000000"/>
                <w:sz w:val="20"/>
                <w:szCs w:val="20"/>
                <w:lang w:val="es-VE" w:eastAsia="es-PE"/>
              </w:rPr>
              <w:t xml:space="preserve">Modalidad </w:t>
            </w:r>
          </w:p>
          <w:p w14:paraId="2BCC98A0" w14:textId="3E615430"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virtual</w:t>
            </w:r>
          </w:p>
        </w:tc>
        <w:tc>
          <w:tcPr>
            <w:tcW w:w="2444" w:type="dxa"/>
          </w:tcPr>
          <w:p w14:paraId="56864DDC" w14:textId="77777777" w:rsidR="004A5A20"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4A5A20">
              <w:rPr>
                <w:rFonts w:ascii="Arial" w:eastAsiaTheme="minorHAnsi" w:hAnsi="Arial" w:cs="Arial"/>
                <w:color w:val="000000"/>
                <w:sz w:val="20"/>
                <w:szCs w:val="20"/>
                <w:lang w:val="es-VE" w:eastAsia="es-PE"/>
              </w:rPr>
              <w:t xml:space="preserve">Modalidad </w:t>
            </w:r>
          </w:p>
          <w:p w14:paraId="6308043F" w14:textId="6DF47701"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presencial</w:t>
            </w:r>
          </w:p>
        </w:tc>
      </w:tr>
      <w:tr w:rsidR="00770D8B" w:rsidRPr="004A5A20" w14:paraId="674E9375" w14:textId="77777777" w:rsidTr="004A5A20">
        <w:trPr>
          <w:trHeight w:val="277"/>
          <w:jc w:val="center"/>
        </w:trPr>
        <w:tc>
          <w:tcPr>
            <w:tcW w:w="2442" w:type="dxa"/>
            <w:vMerge w:val="restart"/>
          </w:tcPr>
          <w:p w14:paraId="69EFB211"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43" w:type="dxa"/>
          </w:tcPr>
          <w:p w14:paraId="2B8F2A8A" w14:textId="77777777" w:rsidR="00770D8B" w:rsidRPr="004A5A20" w:rsidRDefault="00770D8B" w:rsidP="004A5A20">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En desacuerdo</w:t>
            </w:r>
          </w:p>
        </w:tc>
        <w:tc>
          <w:tcPr>
            <w:tcW w:w="2444" w:type="dxa"/>
            <w:vAlign w:val="center"/>
          </w:tcPr>
          <w:p w14:paraId="2E5FCD58"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44" w:type="dxa"/>
            <w:vAlign w:val="center"/>
          </w:tcPr>
          <w:p w14:paraId="2C558150"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10,0</w:t>
            </w:r>
          </w:p>
        </w:tc>
      </w:tr>
      <w:tr w:rsidR="00770D8B" w:rsidRPr="004A5A20" w14:paraId="4660FB5F" w14:textId="77777777" w:rsidTr="004A5A20">
        <w:trPr>
          <w:trHeight w:val="138"/>
          <w:jc w:val="center"/>
        </w:trPr>
        <w:tc>
          <w:tcPr>
            <w:tcW w:w="2442" w:type="dxa"/>
            <w:vMerge/>
          </w:tcPr>
          <w:p w14:paraId="4C7BCE96"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43" w:type="dxa"/>
          </w:tcPr>
          <w:p w14:paraId="44B13D96" w14:textId="77777777" w:rsidR="00770D8B" w:rsidRPr="004A5A20" w:rsidRDefault="00770D8B" w:rsidP="004A5A20">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Neutral</w:t>
            </w:r>
          </w:p>
        </w:tc>
        <w:tc>
          <w:tcPr>
            <w:tcW w:w="2444" w:type="dxa"/>
            <w:vAlign w:val="center"/>
          </w:tcPr>
          <w:p w14:paraId="5E948F50"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44" w:type="dxa"/>
            <w:vAlign w:val="center"/>
          </w:tcPr>
          <w:p w14:paraId="044AD884"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30,0</w:t>
            </w:r>
          </w:p>
        </w:tc>
      </w:tr>
      <w:tr w:rsidR="00770D8B" w:rsidRPr="004A5A20" w14:paraId="14FDCDED" w14:textId="77777777" w:rsidTr="004A5A20">
        <w:trPr>
          <w:trHeight w:val="277"/>
          <w:jc w:val="center"/>
        </w:trPr>
        <w:tc>
          <w:tcPr>
            <w:tcW w:w="2442" w:type="dxa"/>
            <w:vMerge/>
          </w:tcPr>
          <w:p w14:paraId="119846ED"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43" w:type="dxa"/>
          </w:tcPr>
          <w:p w14:paraId="19E5BCA7" w14:textId="77777777" w:rsidR="00770D8B" w:rsidRPr="004A5A20" w:rsidRDefault="00770D8B" w:rsidP="004A5A20">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De acuerdo</w:t>
            </w:r>
          </w:p>
        </w:tc>
        <w:tc>
          <w:tcPr>
            <w:tcW w:w="2444" w:type="dxa"/>
            <w:vAlign w:val="center"/>
          </w:tcPr>
          <w:p w14:paraId="1D83223F"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20,0</w:t>
            </w:r>
          </w:p>
        </w:tc>
        <w:tc>
          <w:tcPr>
            <w:tcW w:w="2444" w:type="dxa"/>
            <w:vAlign w:val="center"/>
          </w:tcPr>
          <w:p w14:paraId="4AC57A9E"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10,0</w:t>
            </w:r>
          </w:p>
        </w:tc>
      </w:tr>
      <w:tr w:rsidR="00770D8B" w:rsidRPr="004A5A20" w14:paraId="280E477A" w14:textId="77777777" w:rsidTr="004A5A20">
        <w:trPr>
          <w:trHeight w:val="283"/>
          <w:jc w:val="center"/>
        </w:trPr>
        <w:tc>
          <w:tcPr>
            <w:tcW w:w="2442" w:type="dxa"/>
            <w:vMerge/>
          </w:tcPr>
          <w:p w14:paraId="67D1BE5C" w14:textId="77777777" w:rsidR="00770D8B" w:rsidRPr="004A5A20"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43" w:type="dxa"/>
          </w:tcPr>
          <w:p w14:paraId="7480B146" w14:textId="77777777" w:rsidR="00770D8B" w:rsidRPr="004A5A20" w:rsidRDefault="00770D8B" w:rsidP="004A5A20">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Totalmente de acuerdo</w:t>
            </w:r>
          </w:p>
        </w:tc>
        <w:tc>
          <w:tcPr>
            <w:tcW w:w="2444" w:type="dxa"/>
            <w:vAlign w:val="center"/>
          </w:tcPr>
          <w:p w14:paraId="081DD32D"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80,0</w:t>
            </w:r>
          </w:p>
        </w:tc>
        <w:tc>
          <w:tcPr>
            <w:tcW w:w="2444" w:type="dxa"/>
            <w:vAlign w:val="center"/>
          </w:tcPr>
          <w:p w14:paraId="7B3B2BDA"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50,0</w:t>
            </w:r>
          </w:p>
        </w:tc>
      </w:tr>
      <w:tr w:rsidR="00770D8B" w:rsidRPr="004A5A20" w14:paraId="60F98C15" w14:textId="77777777" w:rsidTr="004A5A20">
        <w:trPr>
          <w:trHeight w:val="138"/>
          <w:jc w:val="center"/>
        </w:trPr>
        <w:tc>
          <w:tcPr>
            <w:tcW w:w="2442" w:type="dxa"/>
            <w:vMerge/>
          </w:tcPr>
          <w:p w14:paraId="46D8E1C5" w14:textId="77777777" w:rsidR="00770D8B" w:rsidRPr="004A5A20"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43" w:type="dxa"/>
          </w:tcPr>
          <w:p w14:paraId="095A233A" w14:textId="77777777" w:rsidR="00770D8B" w:rsidRPr="004A5A20" w:rsidRDefault="00770D8B" w:rsidP="004A5A20">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Total</w:t>
            </w:r>
          </w:p>
        </w:tc>
        <w:tc>
          <w:tcPr>
            <w:tcW w:w="2444" w:type="dxa"/>
            <w:vAlign w:val="center"/>
          </w:tcPr>
          <w:p w14:paraId="620627AF"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100,0</w:t>
            </w:r>
          </w:p>
        </w:tc>
        <w:tc>
          <w:tcPr>
            <w:tcW w:w="2444" w:type="dxa"/>
            <w:vAlign w:val="center"/>
          </w:tcPr>
          <w:p w14:paraId="212D4695" w14:textId="77777777" w:rsidR="00770D8B" w:rsidRPr="004A5A20"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A5A20">
              <w:rPr>
                <w:rFonts w:ascii="Arial" w:eastAsiaTheme="minorHAnsi" w:hAnsi="Arial" w:cs="Arial"/>
                <w:color w:val="000000"/>
                <w:sz w:val="20"/>
                <w:szCs w:val="20"/>
                <w:lang w:val="es-VE" w:eastAsia="es-PE"/>
              </w:rPr>
              <w:t>100,0</w:t>
            </w:r>
          </w:p>
        </w:tc>
      </w:tr>
    </w:tbl>
    <w:p w14:paraId="25AE69C6" w14:textId="19281C95" w:rsidR="00770D8B" w:rsidRDefault="00770D8B" w:rsidP="004A5A20">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r w:rsidRPr="00770D8B">
        <w:rPr>
          <w:rFonts w:ascii="Arial" w:eastAsiaTheme="minorHAnsi" w:hAnsi="Arial" w:cs="Arial"/>
          <w:lang w:val="es-VE" w:eastAsia="es-PE"/>
        </w:rPr>
        <w:t>Otro aspecto evaluado es el acceso a los recursos educativos necesarios, respecto al cual los resultados indican que, en la modalidad virtual, una mayoría significativa (80%) de estudiantes está totalmente de acuerdo en que tienen acceso adecuado a estos recursos, mientras que solo el 50% de quienes cursan la modalidad presencial comparte esta opinión. Además, destaca el hecho de que un 10% de cursantes de la modalidad presencial está en desacuerdo y 30% tiene una posición neutral respecto al acceso a recursos educativos que se requieren para el logro de los objetivos de aprendizaje. De modo que, en este sentido, la modalidad virtual es mejor valorada que la presencial.</w:t>
      </w:r>
    </w:p>
    <w:p w14:paraId="32DD3AB9" w14:textId="6C22A6B1" w:rsidR="00782D3C" w:rsidRDefault="00782D3C" w:rsidP="004A5A20">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p>
    <w:p w14:paraId="0861CC31" w14:textId="2AE318E4" w:rsidR="00782D3C" w:rsidRDefault="00782D3C" w:rsidP="004A5A20">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p>
    <w:p w14:paraId="653EB94B" w14:textId="77777777" w:rsidR="00782D3C" w:rsidRPr="00770D8B" w:rsidRDefault="00782D3C" w:rsidP="004A5A20">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p>
    <w:p w14:paraId="2F1C9C75" w14:textId="0843EEC6" w:rsidR="00770D8B" w:rsidRPr="00F1358A" w:rsidRDefault="00770D8B" w:rsidP="00AF24E8">
      <w:pPr>
        <w:spacing w:before="100" w:beforeAutospacing="1" w:after="100" w:afterAutospacing="1" w:line="360" w:lineRule="auto"/>
        <w:jc w:val="center"/>
        <w:rPr>
          <w:rFonts w:ascii="Arial" w:eastAsiaTheme="minorHAnsi" w:hAnsi="Arial" w:cs="Arial"/>
          <w:b/>
          <w:iCs/>
          <w:color w:val="44546A" w:themeColor="text2"/>
          <w:sz w:val="20"/>
          <w:szCs w:val="20"/>
          <w:lang w:val="es-VE" w:eastAsia="es-PE"/>
        </w:rPr>
      </w:pPr>
      <w:r w:rsidRPr="00F1358A">
        <w:rPr>
          <w:rFonts w:ascii="Arial" w:eastAsiaTheme="minorHAnsi" w:hAnsi="Arial" w:cs="Arial"/>
          <w:b/>
          <w:iCs/>
          <w:sz w:val="20"/>
          <w:szCs w:val="20"/>
          <w:lang w:val="es-PE" w:eastAsia="es-PE"/>
        </w:rPr>
        <w:lastRenderedPageBreak/>
        <w:t xml:space="preserve">Tabla </w:t>
      </w:r>
      <w:r w:rsidRPr="00F1358A">
        <w:rPr>
          <w:rFonts w:ascii="Arial" w:eastAsiaTheme="minorHAnsi" w:hAnsi="Arial" w:cs="Arial"/>
          <w:b/>
          <w:iCs/>
          <w:sz w:val="20"/>
          <w:szCs w:val="20"/>
          <w:lang w:val="es-PE" w:eastAsia="es-PE"/>
        </w:rPr>
        <w:fldChar w:fldCharType="begin"/>
      </w:r>
      <w:r w:rsidRPr="00F1358A">
        <w:rPr>
          <w:rFonts w:ascii="Arial" w:eastAsiaTheme="minorHAnsi" w:hAnsi="Arial" w:cs="Arial"/>
          <w:b/>
          <w:iCs/>
          <w:sz w:val="20"/>
          <w:szCs w:val="20"/>
          <w:lang w:val="es-PE" w:eastAsia="es-PE"/>
        </w:rPr>
        <w:instrText xml:space="preserve"> SEQ Tabla \* ARABIC </w:instrText>
      </w:r>
      <w:r w:rsidRPr="00F1358A">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13</w:t>
      </w:r>
      <w:r w:rsidRPr="00F1358A">
        <w:rPr>
          <w:rFonts w:ascii="Arial" w:eastAsiaTheme="minorHAnsi" w:hAnsi="Arial" w:cs="Arial"/>
          <w:b/>
          <w:iCs/>
          <w:sz w:val="20"/>
          <w:szCs w:val="20"/>
          <w:lang w:val="es-PE" w:eastAsia="es-PE"/>
        </w:rPr>
        <w:fldChar w:fldCharType="end"/>
      </w:r>
      <w:r w:rsidR="00AF24E8">
        <w:rPr>
          <w:rFonts w:ascii="Arial" w:eastAsiaTheme="minorHAnsi" w:hAnsi="Arial" w:cs="Arial"/>
          <w:b/>
          <w:iCs/>
          <w:sz w:val="20"/>
          <w:szCs w:val="20"/>
          <w:lang w:val="es-PE" w:eastAsia="es-PE"/>
        </w:rPr>
        <w:t xml:space="preserve">. </w:t>
      </w:r>
      <w:r w:rsidRPr="00F1358A">
        <w:rPr>
          <w:rFonts w:ascii="Arial" w:eastAsiaTheme="minorHAnsi" w:hAnsi="Arial" w:cs="Arial"/>
          <w:b/>
          <w:iCs/>
          <w:sz w:val="20"/>
          <w:szCs w:val="20"/>
          <w:lang w:val="es-PE" w:eastAsia="es-PE"/>
        </w:rPr>
        <w:t>Comprensión del contenido del curso en modalidades: presencial y virtual</w:t>
      </w:r>
    </w:p>
    <w:tbl>
      <w:tblPr>
        <w:tblStyle w:val="Tablanormal2"/>
        <w:tblW w:w="10047" w:type="dxa"/>
        <w:jc w:val="center"/>
        <w:tblLayout w:type="fixed"/>
        <w:tblLook w:val="0620" w:firstRow="1" w:lastRow="0" w:firstColumn="0" w:lastColumn="0" w:noHBand="1" w:noVBand="1"/>
      </w:tblPr>
      <w:tblGrid>
        <w:gridCol w:w="2511"/>
        <w:gridCol w:w="2512"/>
        <w:gridCol w:w="2512"/>
        <w:gridCol w:w="2512"/>
      </w:tblGrid>
      <w:tr w:rsidR="00770D8B" w:rsidRPr="003F0196" w14:paraId="60960CDE" w14:textId="77777777" w:rsidTr="003F0196">
        <w:trPr>
          <w:cnfStyle w:val="100000000000" w:firstRow="1" w:lastRow="0" w:firstColumn="0" w:lastColumn="0" w:oddVBand="0" w:evenVBand="0" w:oddHBand="0" w:evenHBand="0" w:firstRowFirstColumn="0" w:firstRowLastColumn="0" w:lastRowFirstColumn="0" w:lastRowLastColumn="0"/>
          <w:trHeight w:val="257"/>
          <w:jc w:val="center"/>
        </w:trPr>
        <w:tc>
          <w:tcPr>
            <w:tcW w:w="5023" w:type="dxa"/>
            <w:gridSpan w:val="2"/>
          </w:tcPr>
          <w:p w14:paraId="77AB11F0" w14:textId="77777777" w:rsidR="00770D8B" w:rsidRPr="003F0196"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512" w:type="dxa"/>
          </w:tcPr>
          <w:p w14:paraId="1643C334" w14:textId="77777777" w:rsidR="003F0196"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3F0196">
              <w:rPr>
                <w:rFonts w:ascii="Arial" w:eastAsiaTheme="minorHAnsi" w:hAnsi="Arial" w:cs="Arial"/>
                <w:color w:val="000000"/>
                <w:sz w:val="20"/>
                <w:szCs w:val="20"/>
                <w:lang w:val="es-VE" w:eastAsia="es-PE"/>
              </w:rPr>
              <w:t xml:space="preserve">Modalidad </w:t>
            </w:r>
          </w:p>
          <w:p w14:paraId="78DC116E" w14:textId="247ACE29"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virtual</w:t>
            </w:r>
          </w:p>
        </w:tc>
        <w:tc>
          <w:tcPr>
            <w:tcW w:w="2512" w:type="dxa"/>
          </w:tcPr>
          <w:p w14:paraId="7D0C9611" w14:textId="77777777" w:rsidR="003F0196"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3F0196">
              <w:rPr>
                <w:rFonts w:ascii="Arial" w:eastAsiaTheme="minorHAnsi" w:hAnsi="Arial" w:cs="Arial"/>
                <w:color w:val="000000"/>
                <w:sz w:val="20"/>
                <w:szCs w:val="20"/>
                <w:lang w:val="es-VE" w:eastAsia="es-PE"/>
              </w:rPr>
              <w:t xml:space="preserve">Modalidad </w:t>
            </w:r>
          </w:p>
          <w:p w14:paraId="2D95A2DF" w14:textId="40A4603B"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presencial</w:t>
            </w:r>
          </w:p>
        </w:tc>
      </w:tr>
      <w:tr w:rsidR="00770D8B" w:rsidRPr="003F0196" w14:paraId="67924D2B" w14:textId="77777777" w:rsidTr="003F0196">
        <w:trPr>
          <w:trHeight w:val="257"/>
          <w:jc w:val="center"/>
        </w:trPr>
        <w:tc>
          <w:tcPr>
            <w:tcW w:w="2511" w:type="dxa"/>
          </w:tcPr>
          <w:p w14:paraId="777881E7" w14:textId="77777777" w:rsidR="00770D8B" w:rsidRPr="003F0196"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512" w:type="dxa"/>
          </w:tcPr>
          <w:p w14:paraId="651C7247" w14:textId="77777777" w:rsidR="00770D8B" w:rsidRPr="003F0196" w:rsidRDefault="00770D8B" w:rsidP="003F0196">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Totalmente en desacuerdo</w:t>
            </w:r>
          </w:p>
        </w:tc>
        <w:tc>
          <w:tcPr>
            <w:tcW w:w="2512" w:type="dxa"/>
            <w:vAlign w:val="center"/>
          </w:tcPr>
          <w:p w14:paraId="0F58F546" w14:textId="77777777" w:rsidR="00770D8B" w:rsidRPr="003F0196" w:rsidRDefault="00770D8B" w:rsidP="00770D8B">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p>
        </w:tc>
        <w:tc>
          <w:tcPr>
            <w:tcW w:w="2512" w:type="dxa"/>
            <w:vAlign w:val="center"/>
          </w:tcPr>
          <w:p w14:paraId="62C62BFC"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20,0</w:t>
            </w:r>
          </w:p>
        </w:tc>
      </w:tr>
      <w:tr w:rsidR="00770D8B" w:rsidRPr="003F0196" w14:paraId="1A218598" w14:textId="77777777" w:rsidTr="003F0196">
        <w:trPr>
          <w:trHeight w:val="257"/>
          <w:jc w:val="center"/>
        </w:trPr>
        <w:tc>
          <w:tcPr>
            <w:tcW w:w="2511" w:type="dxa"/>
            <w:vMerge w:val="restart"/>
          </w:tcPr>
          <w:p w14:paraId="72A756AA" w14:textId="77777777" w:rsidR="00770D8B" w:rsidRPr="003F0196"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512" w:type="dxa"/>
          </w:tcPr>
          <w:p w14:paraId="18B4B51E" w14:textId="77777777" w:rsidR="00770D8B" w:rsidRPr="003F0196" w:rsidRDefault="00770D8B" w:rsidP="003F0196">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En desacuerdo</w:t>
            </w:r>
          </w:p>
        </w:tc>
        <w:tc>
          <w:tcPr>
            <w:tcW w:w="2512" w:type="dxa"/>
            <w:vAlign w:val="center"/>
          </w:tcPr>
          <w:p w14:paraId="6794EF07"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30,0</w:t>
            </w:r>
          </w:p>
        </w:tc>
        <w:tc>
          <w:tcPr>
            <w:tcW w:w="2512" w:type="dxa"/>
            <w:vAlign w:val="center"/>
          </w:tcPr>
          <w:p w14:paraId="57A2C30C"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r>
      <w:tr w:rsidR="00770D8B" w:rsidRPr="003F0196" w14:paraId="5EB596BD" w14:textId="77777777" w:rsidTr="003F0196">
        <w:trPr>
          <w:trHeight w:val="128"/>
          <w:jc w:val="center"/>
        </w:trPr>
        <w:tc>
          <w:tcPr>
            <w:tcW w:w="2511" w:type="dxa"/>
            <w:vMerge/>
          </w:tcPr>
          <w:p w14:paraId="130ED0B8" w14:textId="77777777" w:rsidR="00770D8B" w:rsidRPr="003F0196"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512" w:type="dxa"/>
          </w:tcPr>
          <w:p w14:paraId="3A69D4AC" w14:textId="77777777" w:rsidR="00770D8B" w:rsidRPr="003F0196" w:rsidRDefault="00770D8B" w:rsidP="003F0196">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Neutral</w:t>
            </w:r>
          </w:p>
        </w:tc>
        <w:tc>
          <w:tcPr>
            <w:tcW w:w="2512" w:type="dxa"/>
            <w:vAlign w:val="center"/>
          </w:tcPr>
          <w:p w14:paraId="09109C4F"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512" w:type="dxa"/>
            <w:vAlign w:val="center"/>
          </w:tcPr>
          <w:p w14:paraId="5D4943A9"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20,0</w:t>
            </w:r>
          </w:p>
        </w:tc>
      </w:tr>
      <w:tr w:rsidR="00770D8B" w:rsidRPr="003F0196" w14:paraId="4FF8DE63" w14:textId="77777777" w:rsidTr="003F0196">
        <w:trPr>
          <w:trHeight w:val="263"/>
          <w:jc w:val="center"/>
        </w:trPr>
        <w:tc>
          <w:tcPr>
            <w:tcW w:w="2511" w:type="dxa"/>
            <w:vMerge/>
          </w:tcPr>
          <w:p w14:paraId="7764C386" w14:textId="77777777" w:rsidR="00770D8B" w:rsidRPr="003F0196"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512" w:type="dxa"/>
          </w:tcPr>
          <w:p w14:paraId="6FADD6F9" w14:textId="77777777" w:rsidR="00770D8B" w:rsidRPr="003F0196" w:rsidRDefault="00770D8B" w:rsidP="003F0196">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De acuerdo</w:t>
            </w:r>
          </w:p>
        </w:tc>
        <w:tc>
          <w:tcPr>
            <w:tcW w:w="2512" w:type="dxa"/>
            <w:vAlign w:val="center"/>
          </w:tcPr>
          <w:p w14:paraId="7B1D12DA"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40,0</w:t>
            </w:r>
          </w:p>
        </w:tc>
        <w:tc>
          <w:tcPr>
            <w:tcW w:w="2512" w:type="dxa"/>
            <w:vAlign w:val="center"/>
          </w:tcPr>
          <w:p w14:paraId="256933E7"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50,0</w:t>
            </w:r>
          </w:p>
        </w:tc>
      </w:tr>
      <w:tr w:rsidR="00770D8B" w:rsidRPr="003F0196" w14:paraId="7F415F18" w14:textId="77777777" w:rsidTr="003F0196">
        <w:trPr>
          <w:trHeight w:val="257"/>
          <w:jc w:val="center"/>
        </w:trPr>
        <w:tc>
          <w:tcPr>
            <w:tcW w:w="2511" w:type="dxa"/>
            <w:vMerge/>
          </w:tcPr>
          <w:p w14:paraId="19786205" w14:textId="77777777" w:rsidR="00770D8B" w:rsidRPr="003F0196"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512" w:type="dxa"/>
          </w:tcPr>
          <w:p w14:paraId="3A551C6E" w14:textId="77777777" w:rsidR="00770D8B" w:rsidRPr="003F0196" w:rsidRDefault="00770D8B" w:rsidP="003F0196">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Totalmente de acuerdo</w:t>
            </w:r>
          </w:p>
        </w:tc>
        <w:tc>
          <w:tcPr>
            <w:tcW w:w="2512" w:type="dxa"/>
            <w:vAlign w:val="center"/>
          </w:tcPr>
          <w:p w14:paraId="6E306DCB"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30,0</w:t>
            </w:r>
          </w:p>
        </w:tc>
        <w:tc>
          <w:tcPr>
            <w:tcW w:w="2512" w:type="dxa"/>
            <w:vAlign w:val="center"/>
          </w:tcPr>
          <w:p w14:paraId="52F0E9AC"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10,0</w:t>
            </w:r>
          </w:p>
        </w:tc>
      </w:tr>
      <w:tr w:rsidR="00770D8B" w:rsidRPr="003F0196" w14:paraId="1D245ECF" w14:textId="77777777" w:rsidTr="003F0196">
        <w:trPr>
          <w:trHeight w:val="128"/>
          <w:jc w:val="center"/>
        </w:trPr>
        <w:tc>
          <w:tcPr>
            <w:tcW w:w="2511" w:type="dxa"/>
            <w:vMerge/>
          </w:tcPr>
          <w:p w14:paraId="09EA2657" w14:textId="77777777" w:rsidR="00770D8B" w:rsidRPr="003F0196"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512" w:type="dxa"/>
          </w:tcPr>
          <w:p w14:paraId="76CD8C94" w14:textId="77777777" w:rsidR="00770D8B" w:rsidRPr="003F0196" w:rsidRDefault="00770D8B" w:rsidP="003F0196">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Total</w:t>
            </w:r>
          </w:p>
        </w:tc>
        <w:tc>
          <w:tcPr>
            <w:tcW w:w="2512" w:type="dxa"/>
            <w:vAlign w:val="center"/>
          </w:tcPr>
          <w:p w14:paraId="4696F3B7"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100,0</w:t>
            </w:r>
          </w:p>
        </w:tc>
        <w:tc>
          <w:tcPr>
            <w:tcW w:w="2512" w:type="dxa"/>
            <w:vAlign w:val="center"/>
          </w:tcPr>
          <w:p w14:paraId="28108754" w14:textId="77777777" w:rsidR="00770D8B" w:rsidRPr="003F0196"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F0196">
              <w:rPr>
                <w:rFonts w:ascii="Arial" w:eastAsiaTheme="minorHAnsi" w:hAnsi="Arial" w:cs="Arial"/>
                <w:color w:val="000000"/>
                <w:sz w:val="20"/>
                <w:szCs w:val="20"/>
                <w:lang w:val="es-VE" w:eastAsia="es-PE"/>
              </w:rPr>
              <w:t>100,0</w:t>
            </w:r>
          </w:p>
        </w:tc>
      </w:tr>
    </w:tbl>
    <w:p w14:paraId="1755F502"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57A4FDFB" w14:textId="77777777" w:rsidR="00770D8B" w:rsidRPr="00770D8B" w:rsidRDefault="00770D8B" w:rsidP="008041D8">
      <w:pPr>
        <w:autoSpaceDE w:val="0"/>
        <w:autoSpaceDN w:val="0"/>
        <w:adjustRightInd w:val="0"/>
        <w:spacing w:after="160" w:line="360" w:lineRule="auto"/>
        <w:jc w:val="both"/>
        <w:rPr>
          <w:rFonts w:ascii="Arial" w:eastAsiaTheme="minorHAnsi" w:hAnsi="Arial" w:cs="Arial"/>
          <w:lang w:val="es-VE" w:eastAsia="es-PE"/>
        </w:rPr>
      </w:pPr>
      <w:r w:rsidRPr="00770D8B">
        <w:rPr>
          <w:rFonts w:ascii="Arial" w:eastAsiaTheme="minorHAnsi" w:hAnsi="Arial" w:cs="Arial"/>
          <w:lang w:val="es-VE" w:eastAsia="es-PE"/>
        </w:rPr>
        <w:t xml:space="preserve">Al evaluar la comprensión del contenido del curso, los resultados dan cuenta de que el 70% de estudiantes en la modalidad virtual tiene una valoración positiva de este indicador; en la modalidad presencial, es el 60% de participantes. Igualmente, se observa que 40% de las personas inscritas en cursos presenciales tienen opiniones neutrales o muy negativas, mientras que 30% de las personas participantes en cursos virtuales se muestra en desacuerdo con la afirmación de que comprende mejor el contenido de la formación. Estos hallazgos sugieren que la mayoría de estudiantes en ambas modalidades reporta una comprensión adecuada del contenido; no obstante, </w:t>
      </w:r>
      <w:r w:rsidRPr="00770D8B">
        <w:rPr>
          <w:rFonts w:ascii="Arial" w:eastAsiaTheme="minorHAnsi" w:hAnsi="Arial" w:cs="Arial"/>
          <w:szCs w:val="22"/>
          <w:lang w:val="es-MX" w:eastAsia="es-PE"/>
        </w:rPr>
        <w:t xml:space="preserve">las personas </w:t>
      </w:r>
      <w:r w:rsidRPr="00770D8B">
        <w:rPr>
          <w:rFonts w:ascii="Arial" w:eastAsiaTheme="minorHAnsi" w:hAnsi="Arial" w:cs="Arial"/>
          <w:lang w:val="es-VE" w:eastAsia="es-PE"/>
        </w:rPr>
        <w:t>estudiantes en modalidad virtual tienden a estar relativamente más satisfechos con su comprensión del material.</w:t>
      </w:r>
    </w:p>
    <w:p w14:paraId="3A193244" w14:textId="77777777" w:rsidR="008041D8" w:rsidRDefault="008041D8" w:rsidP="00770D8B">
      <w:pPr>
        <w:spacing w:line="360" w:lineRule="auto"/>
        <w:rPr>
          <w:rFonts w:ascii="Arial" w:eastAsiaTheme="minorHAnsi" w:hAnsi="Arial" w:cs="Arial"/>
          <w:b/>
          <w:iCs/>
          <w:sz w:val="22"/>
          <w:szCs w:val="18"/>
          <w:lang w:val="es-PE" w:eastAsia="es-PE"/>
        </w:rPr>
      </w:pPr>
    </w:p>
    <w:p w14:paraId="755C54D0" w14:textId="77777777" w:rsidR="00BE1D65" w:rsidRDefault="00BE1D65" w:rsidP="00BE1D65">
      <w:pPr>
        <w:spacing w:line="360" w:lineRule="auto"/>
        <w:jc w:val="center"/>
        <w:rPr>
          <w:rFonts w:ascii="Arial" w:eastAsiaTheme="minorHAnsi" w:hAnsi="Arial" w:cs="Arial"/>
          <w:b/>
          <w:iCs/>
          <w:sz w:val="20"/>
          <w:szCs w:val="20"/>
          <w:lang w:val="es-PE" w:eastAsia="es-PE"/>
        </w:rPr>
      </w:pPr>
    </w:p>
    <w:p w14:paraId="6FB05F1F" w14:textId="6C5D07F5" w:rsidR="00770D8B" w:rsidRPr="00BE1D65" w:rsidRDefault="00770D8B" w:rsidP="00BE1D65">
      <w:pPr>
        <w:spacing w:before="100" w:beforeAutospacing="1" w:after="100" w:afterAutospacing="1" w:line="360" w:lineRule="auto"/>
        <w:jc w:val="center"/>
        <w:rPr>
          <w:rFonts w:ascii="Arial" w:eastAsiaTheme="minorHAnsi" w:hAnsi="Arial" w:cs="Arial"/>
          <w:b/>
          <w:iCs/>
          <w:color w:val="44546A" w:themeColor="text2"/>
          <w:sz w:val="20"/>
          <w:szCs w:val="20"/>
          <w:lang w:val="es-VE" w:eastAsia="es-PE"/>
        </w:rPr>
      </w:pPr>
      <w:r w:rsidRPr="00BE1D65">
        <w:rPr>
          <w:rFonts w:ascii="Arial" w:eastAsiaTheme="minorHAnsi" w:hAnsi="Arial" w:cs="Arial"/>
          <w:b/>
          <w:iCs/>
          <w:sz w:val="20"/>
          <w:szCs w:val="20"/>
          <w:lang w:val="es-PE" w:eastAsia="es-PE"/>
        </w:rPr>
        <w:lastRenderedPageBreak/>
        <w:t xml:space="preserve">Tabla </w:t>
      </w:r>
      <w:r w:rsidRPr="00BE1D65">
        <w:rPr>
          <w:rFonts w:ascii="Arial" w:eastAsiaTheme="minorHAnsi" w:hAnsi="Arial" w:cs="Arial"/>
          <w:b/>
          <w:iCs/>
          <w:sz w:val="20"/>
          <w:szCs w:val="20"/>
          <w:lang w:val="es-PE" w:eastAsia="es-PE"/>
        </w:rPr>
        <w:fldChar w:fldCharType="begin"/>
      </w:r>
      <w:r w:rsidRPr="00BE1D65">
        <w:rPr>
          <w:rFonts w:ascii="Arial" w:eastAsiaTheme="minorHAnsi" w:hAnsi="Arial" w:cs="Arial"/>
          <w:b/>
          <w:iCs/>
          <w:sz w:val="20"/>
          <w:szCs w:val="20"/>
          <w:lang w:val="es-PE" w:eastAsia="es-PE"/>
        </w:rPr>
        <w:instrText xml:space="preserve"> SEQ Tabla \* ARABIC </w:instrText>
      </w:r>
      <w:r w:rsidRPr="00BE1D65">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14</w:t>
      </w:r>
      <w:r w:rsidRPr="00BE1D65">
        <w:rPr>
          <w:rFonts w:ascii="Arial" w:eastAsiaTheme="minorHAnsi" w:hAnsi="Arial" w:cs="Arial"/>
          <w:b/>
          <w:iCs/>
          <w:sz w:val="20"/>
          <w:szCs w:val="20"/>
          <w:lang w:val="es-PE" w:eastAsia="es-PE"/>
        </w:rPr>
        <w:fldChar w:fldCharType="end"/>
      </w:r>
      <w:r w:rsidR="00BE1D65" w:rsidRPr="00BE1D65">
        <w:rPr>
          <w:rFonts w:ascii="Arial" w:eastAsiaTheme="minorHAnsi" w:hAnsi="Arial" w:cs="Arial"/>
          <w:b/>
          <w:iCs/>
          <w:sz w:val="20"/>
          <w:szCs w:val="20"/>
          <w:lang w:val="es-PE" w:eastAsia="es-PE"/>
        </w:rPr>
        <w:t xml:space="preserve">. </w:t>
      </w:r>
      <w:r w:rsidRPr="00BE1D65">
        <w:rPr>
          <w:rFonts w:ascii="Arial" w:eastAsiaTheme="minorHAnsi" w:hAnsi="Arial" w:cs="Arial"/>
          <w:b/>
          <w:iCs/>
          <w:sz w:val="20"/>
          <w:szCs w:val="20"/>
          <w:lang w:val="es-PE" w:eastAsia="es-PE"/>
        </w:rPr>
        <w:t>Evaluaciones reflejan el conocimiento de las personas estudiantes en modalidades: presencial y virtual</w:t>
      </w:r>
    </w:p>
    <w:tbl>
      <w:tblPr>
        <w:tblStyle w:val="Tablanormal2"/>
        <w:tblW w:w="9923" w:type="dxa"/>
        <w:jc w:val="center"/>
        <w:tblLayout w:type="fixed"/>
        <w:tblLook w:val="0620" w:firstRow="1" w:lastRow="0" w:firstColumn="0" w:lastColumn="0" w:noHBand="1" w:noVBand="1"/>
      </w:tblPr>
      <w:tblGrid>
        <w:gridCol w:w="2480"/>
        <w:gridCol w:w="2481"/>
        <w:gridCol w:w="2481"/>
        <w:gridCol w:w="2481"/>
      </w:tblGrid>
      <w:tr w:rsidR="00770D8B" w:rsidRPr="003B2EA3" w14:paraId="66B7D8F3" w14:textId="77777777" w:rsidTr="003B2EA3">
        <w:trPr>
          <w:cnfStyle w:val="100000000000" w:firstRow="1" w:lastRow="0" w:firstColumn="0" w:lastColumn="0" w:oddVBand="0" w:evenVBand="0" w:oddHBand="0" w:evenHBand="0" w:firstRowFirstColumn="0" w:firstRowLastColumn="0" w:lastRowFirstColumn="0" w:lastRowLastColumn="0"/>
          <w:trHeight w:val="277"/>
          <w:jc w:val="center"/>
        </w:trPr>
        <w:tc>
          <w:tcPr>
            <w:tcW w:w="4961" w:type="dxa"/>
            <w:gridSpan w:val="2"/>
          </w:tcPr>
          <w:p w14:paraId="5C3E1967"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1" w:type="dxa"/>
          </w:tcPr>
          <w:p w14:paraId="092FE909" w14:textId="77777777" w:rsidR="003B2EA3"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3B2EA3">
              <w:rPr>
                <w:rFonts w:ascii="Arial" w:eastAsiaTheme="minorHAnsi" w:hAnsi="Arial" w:cs="Arial"/>
                <w:color w:val="000000"/>
                <w:sz w:val="20"/>
                <w:szCs w:val="20"/>
                <w:lang w:val="es-VE" w:eastAsia="es-PE"/>
              </w:rPr>
              <w:t xml:space="preserve">Modalidad </w:t>
            </w:r>
          </w:p>
          <w:p w14:paraId="5561690C" w14:textId="79BAAA9B"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virtual</w:t>
            </w:r>
          </w:p>
        </w:tc>
        <w:tc>
          <w:tcPr>
            <w:tcW w:w="2481" w:type="dxa"/>
          </w:tcPr>
          <w:p w14:paraId="6F2ADB06" w14:textId="77777777" w:rsidR="003B2EA3"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3B2EA3">
              <w:rPr>
                <w:rFonts w:ascii="Arial" w:eastAsiaTheme="minorHAnsi" w:hAnsi="Arial" w:cs="Arial"/>
                <w:color w:val="000000"/>
                <w:sz w:val="20"/>
                <w:szCs w:val="20"/>
                <w:lang w:val="es-VE" w:eastAsia="es-PE"/>
              </w:rPr>
              <w:t xml:space="preserve">Modalidad </w:t>
            </w:r>
          </w:p>
          <w:p w14:paraId="1507C907" w14:textId="0E0BA0F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presencial</w:t>
            </w:r>
          </w:p>
        </w:tc>
      </w:tr>
      <w:tr w:rsidR="00770D8B" w:rsidRPr="003B2EA3" w14:paraId="52D48BD2" w14:textId="77777777" w:rsidTr="003B2EA3">
        <w:trPr>
          <w:trHeight w:val="277"/>
          <w:jc w:val="center"/>
        </w:trPr>
        <w:tc>
          <w:tcPr>
            <w:tcW w:w="2480" w:type="dxa"/>
          </w:tcPr>
          <w:p w14:paraId="360AC017"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1" w:type="dxa"/>
          </w:tcPr>
          <w:p w14:paraId="5577F5B7" w14:textId="77777777" w:rsidR="00770D8B" w:rsidRPr="003B2EA3" w:rsidRDefault="00770D8B" w:rsidP="003B2EA3">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En desacuerdo</w:t>
            </w:r>
          </w:p>
        </w:tc>
        <w:tc>
          <w:tcPr>
            <w:tcW w:w="2481" w:type="dxa"/>
            <w:vAlign w:val="center"/>
          </w:tcPr>
          <w:p w14:paraId="761A52A1"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1" w:type="dxa"/>
            <w:vAlign w:val="center"/>
          </w:tcPr>
          <w:p w14:paraId="6AE0F2EE"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10,0</w:t>
            </w:r>
          </w:p>
        </w:tc>
      </w:tr>
      <w:tr w:rsidR="00770D8B" w:rsidRPr="003B2EA3" w14:paraId="06606EF3" w14:textId="77777777" w:rsidTr="003B2EA3">
        <w:trPr>
          <w:trHeight w:val="138"/>
          <w:jc w:val="center"/>
        </w:trPr>
        <w:tc>
          <w:tcPr>
            <w:tcW w:w="2480" w:type="dxa"/>
            <w:vMerge w:val="restart"/>
          </w:tcPr>
          <w:p w14:paraId="3F04DEC4"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1" w:type="dxa"/>
          </w:tcPr>
          <w:p w14:paraId="38E2D920" w14:textId="77777777" w:rsidR="00770D8B" w:rsidRPr="003B2EA3" w:rsidRDefault="00770D8B" w:rsidP="003B2EA3">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Neutral</w:t>
            </w:r>
          </w:p>
        </w:tc>
        <w:tc>
          <w:tcPr>
            <w:tcW w:w="2481" w:type="dxa"/>
            <w:vAlign w:val="center"/>
          </w:tcPr>
          <w:p w14:paraId="71B064E2"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20,0</w:t>
            </w:r>
          </w:p>
        </w:tc>
        <w:tc>
          <w:tcPr>
            <w:tcW w:w="2481" w:type="dxa"/>
            <w:vAlign w:val="center"/>
          </w:tcPr>
          <w:p w14:paraId="171B1E27"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20,0</w:t>
            </w:r>
          </w:p>
        </w:tc>
      </w:tr>
      <w:tr w:rsidR="00770D8B" w:rsidRPr="003B2EA3" w14:paraId="0CDEEE21" w14:textId="77777777" w:rsidTr="003B2EA3">
        <w:trPr>
          <w:trHeight w:val="277"/>
          <w:jc w:val="center"/>
        </w:trPr>
        <w:tc>
          <w:tcPr>
            <w:tcW w:w="2480" w:type="dxa"/>
            <w:vMerge/>
          </w:tcPr>
          <w:p w14:paraId="3C8D1D45" w14:textId="77777777" w:rsidR="00770D8B" w:rsidRPr="003B2EA3"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81" w:type="dxa"/>
          </w:tcPr>
          <w:p w14:paraId="0CA8B45D" w14:textId="77777777" w:rsidR="00770D8B" w:rsidRPr="003B2EA3" w:rsidRDefault="00770D8B" w:rsidP="003B2EA3">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De acuerdo</w:t>
            </w:r>
          </w:p>
        </w:tc>
        <w:tc>
          <w:tcPr>
            <w:tcW w:w="2481" w:type="dxa"/>
            <w:vAlign w:val="center"/>
          </w:tcPr>
          <w:p w14:paraId="3F1C1486"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40,0</w:t>
            </w:r>
          </w:p>
        </w:tc>
        <w:tc>
          <w:tcPr>
            <w:tcW w:w="2481" w:type="dxa"/>
            <w:vAlign w:val="center"/>
          </w:tcPr>
          <w:p w14:paraId="334C301F"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30,0</w:t>
            </w:r>
          </w:p>
        </w:tc>
      </w:tr>
      <w:tr w:rsidR="00770D8B" w:rsidRPr="003B2EA3" w14:paraId="6FD1024A" w14:textId="77777777" w:rsidTr="003B2EA3">
        <w:trPr>
          <w:trHeight w:val="283"/>
          <w:jc w:val="center"/>
        </w:trPr>
        <w:tc>
          <w:tcPr>
            <w:tcW w:w="2480" w:type="dxa"/>
            <w:vMerge/>
          </w:tcPr>
          <w:p w14:paraId="5F622BCC" w14:textId="77777777" w:rsidR="00770D8B" w:rsidRPr="003B2EA3"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81" w:type="dxa"/>
          </w:tcPr>
          <w:p w14:paraId="543719B5" w14:textId="77777777" w:rsidR="00770D8B" w:rsidRPr="003B2EA3" w:rsidRDefault="00770D8B" w:rsidP="003B2EA3">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Totalmente de acuerdo</w:t>
            </w:r>
          </w:p>
        </w:tc>
        <w:tc>
          <w:tcPr>
            <w:tcW w:w="2481" w:type="dxa"/>
            <w:vAlign w:val="center"/>
          </w:tcPr>
          <w:p w14:paraId="60E22478"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40,0</w:t>
            </w:r>
          </w:p>
        </w:tc>
        <w:tc>
          <w:tcPr>
            <w:tcW w:w="2481" w:type="dxa"/>
            <w:vAlign w:val="center"/>
          </w:tcPr>
          <w:p w14:paraId="5E9E0920"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40,0</w:t>
            </w:r>
          </w:p>
        </w:tc>
      </w:tr>
      <w:tr w:rsidR="00770D8B" w:rsidRPr="003B2EA3" w14:paraId="50DD856C" w14:textId="77777777" w:rsidTr="003B2EA3">
        <w:trPr>
          <w:trHeight w:val="138"/>
          <w:jc w:val="center"/>
        </w:trPr>
        <w:tc>
          <w:tcPr>
            <w:tcW w:w="2480" w:type="dxa"/>
            <w:vMerge/>
          </w:tcPr>
          <w:p w14:paraId="4051BFC7" w14:textId="77777777" w:rsidR="00770D8B" w:rsidRPr="003B2EA3"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81" w:type="dxa"/>
          </w:tcPr>
          <w:p w14:paraId="1B37088A" w14:textId="77777777" w:rsidR="00770D8B" w:rsidRPr="003B2EA3" w:rsidRDefault="00770D8B" w:rsidP="003B2EA3">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Total</w:t>
            </w:r>
          </w:p>
        </w:tc>
        <w:tc>
          <w:tcPr>
            <w:tcW w:w="2481" w:type="dxa"/>
            <w:vAlign w:val="center"/>
          </w:tcPr>
          <w:p w14:paraId="294F6868"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100,0</w:t>
            </w:r>
          </w:p>
        </w:tc>
        <w:tc>
          <w:tcPr>
            <w:tcW w:w="2481" w:type="dxa"/>
            <w:vAlign w:val="center"/>
          </w:tcPr>
          <w:p w14:paraId="66652230" w14:textId="77777777" w:rsidR="00770D8B" w:rsidRPr="003B2EA3"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3B2EA3">
              <w:rPr>
                <w:rFonts w:ascii="Arial" w:eastAsiaTheme="minorHAnsi" w:hAnsi="Arial" w:cs="Arial"/>
                <w:color w:val="000000"/>
                <w:sz w:val="20"/>
                <w:szCs w:val="20"/>
                <w:lang w:val="es-VE" w:eastAsia="es-PE"/>
              </w:rPr>
              <w:t>100,0</w:t>
            </w:r>
          </w:p>
        </w:tc>
      </w:tr>
    </w:tbl>
    <w:p w14:paraId="0666EFB8" w14:textId="77777777" w:rsidR="00770D8B" w:rsidRPr="00770D8B" w:rsidRDefault="00770D8B" w:rsidP="00B77050">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r w:rsidRPr="00770D8B">
        <w:rPr>
          <w:rFonts w:ascii="Arial" w:eastAsiaTheme="minorHAnsi" w:hAnsi="Arial" w:cs="Arial"/>
          <w:lang w:val="es-VE" w:eastAsia="es-PE"/>
        </w:rPr>
        <w:t xml:space="preserve">En lo que concierne al modo en que las evaluaciones reflejan el conocimiento de </w:t>
      </w:r>
      <w:r w:rsidRPr="00770D8B">
        <w:rPr>
          <w:rFonts w:ascii="Arial" w:eastAsiaTheme="minorHAnsi" w:hAnsi="Arial" w:cs="Arial"/>
          <w:szCs w:val="22"/>
          <w:lang w:val="es-MX" w:eastAsia="es-PE"/>
        </w:rPr>
        <w:t xml:space="preserve">las personas </w:t>
      </w:r>
      <w:r w:rsidRPr="00770D8B">
        <w:rPr>
          <w:rFonts w:ascii="Arial" w:eastAsiaTheme="minorHAnsi" w:hAnsi="Arial" w:cs="Arial"/>
          <w:lang w:val="es-VE" w:eastAsia="es-PE"/>
        </w:rPr>
        <w:t xml:space="preserve">estudiantes, los datos expuestos permiten apreciar que el 80% de las personas cursantes en la modalidad virtual tienen una percepción positiva de este aspecto, mientras que 70% de las personas que participan en cursos presenciales tienen una valoración favorable de las evaluaciones. </w:t>
      </w:r>
    </w:p>
    <w:p w14:paraId="360714F9" w14:textId="77777777" w:rsidR="00770D8B" w:rsidRPr="00770D8B" w:rsidRDefault="00770D8B" w:rsidP="00B77050">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r w:rsidRPr="00770D8B">
        <w:rPr>
          <w:rFonts w:ascii="Arial" w:eastAsiaTheme="minorHAnsi" w:hAnsi="Arial" w:cs="Arial"/>
          <w:lang w:val="es-VE" w:eastAsia="es-PE"/>
        </w:rPr>
        <w:t>En ambas modalidades, 20% se mantiene neutral sobre el tema, en los cursos presenciales, 10% se reporta en desacuerdo sobre la correspondencia de las evaluaciones con sus conocimientos. Aunque la percepción positiva es alta, la presencia de un pequeño porcentaje de desacuerdo sugiere que algunos estudiantes pueden sentir que las evaluaciones no siempre capturan completamente su nivel de conocimiento. No obstante, se aprecia una evaluación más positiva de la modalidad virtual en cuanto a este indicador.</w:t>
      </w:r>
    </w:p>
    <w:p w14:paraId="48BC77F6" w14:textId="620F65B1" w:rsidR="00770D8B" w:rsidRPr="004D65DC" w:rsidRDefault="00770D8B" w:rsidP="004D65DC">
      <w:pPr>
        <w:spacing w:before="100" w:beforeAutospacing="1" w:after="100" w:afterAutospacing="1" w:line="360" w:lineRule="auto"/>
        <w:jc w:val="center"/>
        <w:rPr>
          <w:rFonts w:ascii="Arial" w:eastAsiaTheme="minorHAnsi" w:hAnsi="Arial" w:cs="Arial"/>
          <w:b/>
          <w:iCs/>
          <w:color w:val="44546A" w:themeColor="text2"/>
          <w:sz w:val="20"/>
          <w:szCs w:val="20"/>
          <w:lang w:val="es-VE" w:eastAsia="es-PE"/>
        </w:rPr>
      </w:pPr>
      <w:r w:rsidRPr="004D65DC">
        <w:rPr>
          <w:rFonts w:ascii="Arial" w:eastAsiaTheme="minorHAnsi" w:hAnsi="Arial" w:cs="Arial"/>
          <w:b/>
          <w:iCs/>
          <w:sz w:val="20"/>
          <w:szCs w:val="20"/>
          <w:lang w:val="es-PE" w:eastAsia="es-PE"/>
        </w:rPr>
        <w:lastRenderedPageBreak/>
        <w:t xml:space="preserve">Tabla </w:t>
      </w:r>
      <w:r w:rsidRPr="004D65DC">
        <w:rPr>
          <w:rFonts w:ascii="Arial" w:eastAsiaTheme="minorHAnsi" w:hAnsi="Arial" w:cs="Arial"/>
          <w:b/>
          <w:iCs/>
          <w:sz w:val="20"/>
          <w:szCs w:val="20"/>
          <w:lang w:val="es-PE" w:eastAsia="es-PE"/>
        </w:rPr>
        <w:fldChar w:fldCharType="begin"/>
      </w:r>
      <w:r w:rsidRPr="004D65DC">
        <w:rPr>
          <w:rFonts w:ascii="Arial" w:eastAsiaTheme="minorHAnsi" w:hAnsi="Arial" w:cs="Arial"/>
          <w:b/>
          <w:iCs/>
          <w:sz w:val="20"/>
          <w:szCs w:val="20"/>
          <w:lang w:val="es-PE" w:eastAsia="es-PE"/>
        </w:rPr>
        <w:instrText xml:space="preserve"> SEQ Tabla \* ARABIC </w:instrText>
      </w:r>
      <w:r w:rsidRPr="004D65DC">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15</w:t>
      </w:r>
      <w:r w:rsidRPr="004D65DC">
        <w:rPr>
          <w:rFonts w:ascii="Arial" w:eastAsiaTheme="minorHAnsi" w:hAnsi="Arial" w:cs="Arial"/>
          <w:b/>
          <w:iCs/>
          <w:sz w:val="20"/>
          <w:szCs w:val="20"/>
          <w:lang w:val="es-PE" w:eastAsia="es-PE"/>
        </w:rPr>
        <w:fldChar w:fldCharType="end"/>
      </w:r>
      <w:r w:rsidR="004D65DC" w:rsidRPr="004D65DC">
        <w:rPr>
          <w:rFonts w:ascii="Arial" w:eastAsiaTheme="minorHAnsi" w:hAnsi="Arial" w:cs="Arial"/>
          <w:b/>
          <w:iCs/>
          <w:sz w:val="20"/>
          <w:szCs w:val="20"/>
          <w:lang w:val="es-PE" w:eastAsia="es-PE"/>
        </w:rPr>
        <w:t xml:space="preserve">. </w:t>
      </w:r>
      <w:r w:rsidRPr="004D65DC">
        <w:rPr>
          <w:rFonts w:ascii="Arial" w:eastAsiaTheme="minorHAnsi" w:hAnsi="Arial" w:cs="Arial"/>
          <w:b/>
          <w:iCs/>
          <w:sz w:val="20"/>
          <w:szCs w:val="20"/>
          <w:lang w:val="es-PE" w:eastAsia="es-PE"/>
        </w:rPr>
        <w:t>Utilidad y oportunidad de la retroalimentación en modalidades: presencial y virtual</w:t>
      </w:r>
    </w:p>
    <w:tbl>
      <w:tblPr>
        <w:tblStyle w:val="Tablanormal2"/>
        <w:tblW w:w="9669" w:type="dxa"/>
        <w:jc w:val="center"/>
        <w:tblLayout w:type="fixed"/>
        <w:tblLook w:val="0620" w:firstRow="1" w:lastRow="0" w:firstColumn="0" w:lastColumn="0" w:noHBand="1" w:noVBand="1"/>
      </w:tblPr>
      <w:tblGrid>
        <w:gridCol w:w="2416"/>
        <w:gridCol w:w="2419"/>
        <w:gridCol w:w="2417"/>
        <w:gridCol w:w="2417"/>
      </w:tblGrid>
      <w:tr w:rsidR="00770D8B" w:rsidRPr="004D65DC" w14:paraId="391780CF" w14:textId="77777777" w:rsidTr="004D65DC">
        <w:trPr>
          <w:cnfStyle w:val="100000000000" w:firstRow="1" w:lastRow="0" w:firstColumn="0" w:lastColumn="0" w:oddVBand="0" w:evenVBand="0" w:oddHBand="0" w:evenHBand="0" w:firstRowFirstColumn="0" w:firstRowLastColumn="0" w:lastRowFirstColumn="0" w:lastRowLastColumn="0"/>
          <w:trHeight w:val="178"/>
          <w:jc w:val="center"/>
        </w:trPr>
        <w:tc>
          <w:tcPr>
            <w:tcW w:w="4835" w:type="dxa"/>
            <w:gridSpan w:val="2"/>
          </w:tcPr>
          <w:p w14:paraId="0152FA9A" w14:textId="77777777" w:rsidR="00770D8B" w:rsidRPr="004D65DC"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417" w:type="dxa"/>
          </w:tcPr>
          <w:p w14:paraId="232D5EA7" w14:textId="77777777" w:rsidR="004D65DC"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4D65DC">
              <w:rPr>
                <w:rFonts w:ascii="Arial" w:eastAsiaTheme="minorHAnsi" w:hAnsi="Arial" w:cs="Arial"/>
                <w:color w:val="000000"/>
                <w:sz w:val="20"/>
                <w:szCs w:val="20"/>
                <w:lang w:val="es-VE" w:eastAsia="es-PE"/>
              </w:rPr>
              <w:t xml:space="preserve">Modalidad </w:t>
            </w:r>
          </w:p>
          <w:p w14:paraId="67649E70" w14:textId="4F87AE0F"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virtual</w:t>
            </w:r>
          </w:p>
        </w:tc>
        <w:tc>
          <w:tcPr>
            <w:tcW w:w="2417" w:type="dxa"/>
          </w:tcPr>
          <w:p w14:paraId="508A3B90" w14:textId="77777777" w:rsidR="004D65DC" w:rsidRDefault="00770D8B" w:rsidP="00770D8B">
            <w:pPr>
              <w:autoSpaceDE w:val="0"/>
              <w:autoSpaceDN w:val="0"/>
              <w:adjustRightInd w:val="0"/>
              <w:spacing w:line="276" w:lineRule="auto"/>
              <w:ind w:left="60" w:right="60"/>
              <w:jc w:val="center"/>
              <w:rPr>
                <w:rFonts w:ascii="Arial" w:eastAsiaTheme="minorHAnsi" w:hAnsi="Arial" w:cs="Arial"/>
                <w:b w:val="0"/>
                <w:bCs w:val="0"/>
                <w:color w:val="000000"/>
                <w:sz w:val="20"/>
                <w:szCs w:val="20"/>
                <w:lang w:val="es-VE" w:eastAsia="es-PE"/>
              </w:rPr>
            </w:pPr>
            <w:r w:rsidRPr="004D65DC">
              <w:rPr>
                <w:rFonts w:ascii="Arial" w:eastAsiaTheme="minorHAnsi" w:hAnsi="Arial" w:cs="Arial"/>
                <w:color w:val="000000"/>
                <w:sz w:val="20"/>
                <w:szCs w:val="20"/>
                <w:lang w:val="es-VE" w:eastAsia="es-PE"/>
              </w:rPr>
              <w:t xml:space="preserve">Modalidad </w:t>
            </w:r>
          </w:p>
          <w:p w14:paraId="1A1F2D3F" w14:textId="1E94E10C"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presencial</w:t>
            </w:r>
          </w:p>
        </w:tc>
      </w:tr>
      <w:tr w:rsidR="00770D8B" w:rsidRPr="004D65DC" w14:paraId="4CC155CC" w14:textId="77777777" w:rsidTr="004D65DC">
        <w:trPr>
          <w:trHeight w:val="178"/>
          <w:jc w:val="center"/>
        </w:trPr>
        <w:tc>
          <w:tcPr>
            <w:tcW w:w="2416" w:type="dxa"/>
          </w:tcPr>
          <w:p w14:paraId="55B56482" w14:textId="77777777" w:rsidR="00770D8B" w:rsidRPr="004D65DC"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418" w:type="dxa"/>
          </w:tcPr>
          <w:p w14:paraId="2ADDAADE" w14:textId="77777777" w:rsidR="00770D8B" w:rsidRPr="004D65DC" w:rsidRDefault="00770D8B" w:rsidP="004D65D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Totalmente en desacuerdo</w:t>
            </w:r>
          </w:p>
        </w:tc>
        <w:tc>
          <w:tcPr>
            <w:tcW w:w="2417" w:type="dxa"/>
            <w:vAlign w:val="center"/>
          </w:tcPr>
          <w:p w14:paraId="14F0BFBF"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17" w:type="dxa"/>
            <w:vAlign w:val="center"/>
          </w:tcPr>
          <w:p w14:paraId="72F8C598"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10,0</w:t>
            </w:r>
          </w:p>
        </w:tc>
      </w:tr>
      <w:tr w:rsidR="00770D8B" w:rsidRPr="004D65DC" w14:paraId="08B6FB44" w14:textId="77777777" w:rsidTr="004D65DC">
        <w:trPr>
          <w:trHeight w:val="178"/>
          <w:jc w:val="center"/>
        </w:trPr>
        <w:tc>
          <w:tcPr>
            <w:tcW w:w="2416" w:type="dxa"/>
            <w:vMerge w:val="restart"/>
          </w:tcPr>
          <w:p w14:paraId="30055D6F" w14:textId="77777777" w:rsidR="00770D8B" w:rsidRPr="004D65DC"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418" w:type="dxa"/>
          </w:tcPr>
          <w:p w14:paraId="58DE3B7F" w14:textId="77777777" w:rsidR="00770D8B" w:rsidRPr="004D65DC" w:rsidRDefault="00770D8B" w:rsidP="004D65D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En desacuerdo</w:t>
            </w:r>
          </w:p>
        </w:tc>
        <w:tc>
          <w:tcPr>
            <w:tcW w:w="2417" w:type="dxa"/>
            <w:vAlign w:val="center"/>
          </w:tcPr>
          <w:p w14:paraId="609D5E9C"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10,0</w:t>
            </w:r>
          </w:p>
        </w:tc>
        <w:tc>
          <w:tcPr>
            <w:tcW w:w="2417" w:type="dxa"/>
            <w:vAlign w:val="center"/>
          </w:tcPr>
          <w:p w14:paraId="104380F5"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r>
      <w:tr w:rsidR="00770D8B" w:rsidRPr="004D65DC" w14:paraId="254051D0" w14:textId="77777777" w:rsidTr="004D65DC">
        <w:trPr>
          <w:trHeight w:val="88"/>
          <w:jc w:val="center"/>
        </w:trPr>
        <w:tc>
          <w:tcPr>
            <w:tcW w:w="2416" w:type="dxa"/>
            <w:vMerge/>
          </w:tcPr>
          <w:p w14:paraId="6ED22562" w14:textId="77777777" w:rsidR="00770D8B" w:rsidRPr="004D65DC"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418" w:type="dxa"/>
          </w:tcPr>
          <w:p w14:paraId="0EF11DF6" w14:textId="77777777" w:rsidR="00770D8B" w:rsidRPr="004D65DC" w:rsidRDefault="00770D8B" w:rsidP="004D65D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Neutral</w:t>
            </w:r>
          </w:p>
        </w:tc>
        <w:tc>
          <w:tcPr>
            <w:tcW w:w="2417" w:type="dxa"/>
            <w:vAlign w:val="center"/>
          </w:tcPr>
          <w:p w14:paraId="5317157F"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20,0</w:t>
            </w:r>
          </w:p>
        </w:tc>
        <w:tc>
          <w:tcPr>
            <w:tcW w:w="2417" w:type="dxa"/>
            <w:vAlign w:val="center"/>
          </w:tcPr>
          <w:p w14:paraId="37A08CA4"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20,0</w:t>
            </w:r>
          </w:p>
        </w:tc>
      </w:tr>
      <w:tr w:rsidR="00770D8B" w:rsidRPr="004D65DC" w14:paraId="4E41C696" w14:textId="77777777" w:rsidTr="004D65DC">
        <w:trPr>
          <w:trHeight w:val="183"/>
          <w:jc w:val="center"/>
        </w:trPr>
        <w:tc>
          <w:tcPr>
            <w:tcW w:w="2416" w:type="dxa"/>
            <w:vMerge/>
          </w:tcPr>
          <w:p w14:paraId="2F8F510F" w14:textId="77777777" w:rsidR="00770D8B" w:rsidRPr="004D65DC"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418" w:type="dxa"/>
          </w:tcPr>
          <w:p w14:paraId="282584A4" w14:textId="77777777" w:rsidR="00770D8B" w:rsidRPr="004D65DC" w:rsidRDefault="00770D8B" w:rsidP="004D65D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De acuerdo</w:t>
            </w:r>
          </w:p>
        </w:tc>
        <w:tc>
          <w:tcPr>
            <w:tcW w:w="2417" w:type="dxa"/>
            <w:vAlign w:val="center"/>
          </w:tcPr>
          <w:p w14:paraId="425E5966"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40,0</w:t>
            </w:r>
          </w:p>
        </w:tc>
        <w:tc>
          <w:tcPr>
            <w:tcW w:w="2417" w:type="dxa"/>
            <w:vAlign w:val="center"/>
          </w:tcPr>
          <w:p w14:paraId="38988562"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40,0</w:t>
            </w:r>
          </w:p>
        </w:tc>
      </w:tr>
      <w:tr w:rsidR="00770D8B" w:rsidRPr="004D65DC" w14:paraId="64B3C948" w14:textId="77777777" w:rsidTr="004D65DC">
        <w:trPr>
          <w:trHeight w:val="178"/>
          <w:jc w:val="center"/>
        </w:trPr>
        <w:tc>
          <w:tcPr>
            <w:tcW w:w="2416" w:type="dxa"/>
            <w:vMerge/>
          </w:tcPr>
          <w:p w14:paraId="4C6C34FE" w14:textId="77777777" w:rsidR="00770D8B" w:rsidRPr="004D65DC"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418" w:type="dxa"/>
          </w:tcPr>
          <w:p w14:paraId="6E39DF91" w14:textId="77777777" w:rsidR="00770D8B" w:rsidRPr="004D65DC" w:rsidRDefault="00770D8B" w:rsidP="004D65D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Totalmente de acuerdo</w:t>
            </w:r>
          </w:p>
        </w:tc>
        <w:tc>
          <w:tcPr>
            <w:tcW w:w="2417" w:type="dxa"/>
            <w:vAlign w:val="center"/>
          </w:tcPr>
          <w:p w14:paraId="3D42C213"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30,0</w:t>
            </w:r>
          </w:p>
        </w:tc>
        <w:tc>
          <w:tcPr>
            <w:tcW w:w="2417" w:type="dxa"/>
            <w:vAlign w:val="center"/>
          </w:tcPr>
          <w:p w14:paraId="451C2B3E"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30,0</w:t>
            </w:r>
          </w:p>
        </w:tc>
      </w:tr>
      <w:tr w:rsidR="00770D8B" w:rsidRPr="004D65DC" w14:paraId="5904C3B6" w14:textId="77777777" w:rsidTr="004D65DC">
        <w:trPr>
          <w:trHeight w:val="88"/>
          <w:jc w:val="center"/>
        </w:trPr>
        <w:tc>
          <w:tcPr>
            <w:tcW w:w="2416" w:type="dxa"/>
            <w:vMerge/>
          </w:tcPr>
          <w:p w14:paraId="603DAE3D" w14:textId="77777777" w:rsidR="00770D8B" w:rsidRPr="004D65DC" w:rsidRDefault="00770D8B" w:rsidP="00770D8B">
            <w:pPr>
              <w:autoSpaceDE w:val="0"/>
              <w:autoSpaceDN w:val="0"/>
              <w:adjustRightInd w:val="0"/>
              <w:spacing w:line="276" w:lineRule="auto"/>
              <w:rPr>
                <w:rFonts w:ascii="Arial" w:eastAsiaTheme="minorHAnsi" w:hAnsi="Arial" w:cs="Arial"/>
                <w:color w:val="000000"/>
                <w:sz w:val="20"/>
                <w:szCs w:val="20"/>
                <w:lang w:val="es-VE" w:eastAsia="es-PE"/>
              </w:rPr>
            </w:pPr>
          </w:p>
        </w:tc>
        <w:tc>
          <w:tcPr>
            <w:tcW w:w="2418" w:type="dxa"/>
          </w:tcPr>
          <w:p w14:paraId="39524742" w14:textId="77777777" w:rsidR="00770D8B" w:rsidRPr="004D65DC" w:rsidRDefault="00770D8B" w:rsidP="004D65DC">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Total</w:t>
            </w:r>
          </w:p>
        </w:tc>
        <w:tc>
          <w:tcPr>
            <w:tcW w:w="2417" w:type="dxa"/>
            <w:vAlign w:val="center"/>
          </w:tcPr>
          <w:p w14:paraId="24847470"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100,0</w:t>
            </w:r>
          </w:p>
        </w:tc>
        <w:tc>
          <w:tcPr>
            <w:tcW w:w="2417" w:type="dxa"/>
            <w:vAlign w:val="center"/>
          </w:tcPr>
          <w:p w14:paraId="0873AEC7" w14:textId="77777777" w:rsidR="00770D8B" w:rsidRPr="004D65DC"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4D65DC">
              <w:rPr>
                <w:rFonts w:ascii="Arial" w:eastAsiaTheme="minorHAnsi" w:hAnsi="Arial" w:cs="Arial"/>
                <w:color w:val="000000"/>
                <w:sz w:val="20"/>
                <w:szCs w:val="20"/>
                <w:lang w:val="es-VE" w:eastAsia="es-PE"/>
              </w:rPr>
              <w:t>100,0</w:t>
            </w:r>
          </w:p>
        </w:tc>
      </w:tr>
    </w:tbl>
    <w:p w14:paraId="534F43F6" w14:textId="77777777" w:rsidR="00770D8B" w:rsidRPr="00770D8B" w:rsidRDefault="00770D8B" w:rsidP="007B5544">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r w:rsidRPr="00770D8B">
        <w:rPr>
          <w:rFonts w:ascii="Arial" w:eastAsiaTheme="minorHAnsi" w:hAnsi="Arial" w:cs="Arial"/>
          <w:lang w:val="es-VE" w:eastAsia="es-PE"/>
        </w:rPr>
        <w:t>En cuanto a la utilidad y oportunidad de la retroalimentación en ambos entornos, la mayoría de estudiantes (70%) valora positivamente este tema en el marco de los cursos virtuales de ESP, el mismo porcentaje que muestra una apreciación positiva de este aspecto en los entornos presenciales. En ambas modalidades, 20% de estudiantes expresa una posición neutral sobre la afirmación de que la retroalimentación es útil y oportuna en sus cursos, mientras que el 10% muestra una valoración negativa en este sentido. En definitiva, tanto en la modalidad virtual como en la presencial, la retroalimentación es en general bien valorada por la mayoría de estudiantes. Sin embargo, una proporción significativa permanece neutral o insatisfecha, lo que indica que aún hay margen para mejorar la efectividad y la oportunidad de la retroalimentación en ambos contextos para satisfacer mejor las necesidades del estudiantado.</w:t>
      </w:r>
    </w:p>
    <w:p w14:paraId="0854D952" w14:textId="77777777" w:rsidR="003D7613" w:rsidRDefault="003D7613" w:rsidP="00770D8B">
      <w:pPr>
        <w:spacing w:line="360" w:lineRule="auto"/>
        <w:rPr>
          <w:rFonts w:ascii="Arial" w:eastAsiaTheme="minorHAnsi" w:hAnsi="Arial" w:cs="Arial"/>
          <w:b/>
          <w:iCs/>
          <w:sz w:val="20"/>
          <w:szCs w:val="20"/>
          <w:lang w:val="es-PE" w:eastAsia="es-PE"/>
        </w:rPr>
      </w:pPr>
    </w:p>
    <w:p w14:paraId="22EF03F1" w14:textId="06EEE137" w:rsidR="00770D8B" w:rsidRPr="003D7613" w:rsidRDefault="00770D8B" w:rsidP="003D7613">
      <w:pPr>
        <w:spacing w:before="100" w:beforeAutospacing="1" w:after="100" w:afterAutospacing="1" w:line="360" w:lineRule="auto"/>
        <w:jc w:val="center"/>
        <w:rPr>
          <w:rFonts w:ascii="Arial" w:eastAsiaTheme="minorHAnsi" w:hAnsi="Arial" w:cs="Arial"/>
          <w:b/>
          <w:iCs/>
          <w:color w:val="44546A" w:themeColor="text2"/>
          <w:sz w:val="20"/>
          <w:szCs w:val="20"/>
          <w:lang w:val="es-VE" w:eastAsia="es-PE"/>
        </w:rPr>
      </w:pPr>
      <w:r w:rsidRPr="003D7613">
        <w:rPr>
          <w:rFonts w:ascii="Arial" w:eastAsiaTheme="minorHAnsi" w:hAnsi="Arial" w:cs="Arial"/>
          <w:b/>
          <w:iCs/>
          <w:sz w:val="20"/>
          <w:szCs w:val="20"/>
          <w:lang w:val="es-PE" w:eastAsia="es-PE"/>
        </w:rPr>
        <w:lastRenderedPageBreak/>
        <w:t xml:space="preserve">Tabla </w:t>
      </w:r>
      <w:r w:rsidRPr="003D7613">
        <w:rPr>
          <w:rFonts w:ascii="Arial" w:eastAsiaTheme="minorHAnsi" w:hAnsi="Arial" w:cs="Arial"/>
          <w:b/>
          <w:iCs/>
          <w:sz w:val="20"/>
          <w:szCs w:val="20"/>
          <w:lang w:val="es-PE" w:eastAsia="es-PE"/>
        </w:rPr>
        <w:fldChar w:fldCharType="begin"/>
      </w:r>
      <w:r w:rsidRPr="003D7613">
        <w:rPr>
          <w:rFonts w:ascii="Arial" w:eastAsiaTheme="minorHAnsi" w:hAnsi="Arial" w:cs="Arial"/>
          <w:b/>
          <w:iCs/>
          <w:sz w:val="20"/>
          <w:szCs w:val="20"/>
          <w:lang w:val="es-PE" w:eastAsia="es-PE"/>
        </w:rPr>
        <w:instrText xml:space="preserve"> SEQ Tabla \* ARABIC </w:instrText>
      </w:r>
      <w:r w:rsidRPr="003D7613">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16</w:t>
      </w:r>
      <w:r w:rsidRPr="003D7613">
        <w:rPr>
          <w:rFonts w:ascii="Arial" w:eastAsiaTheme="minorHAnsi" w:hAnsi="Arial" w:cs="Arial"/>
          <w:b/>
          <w:iCs/>
          <w:sz w:val="20"/>
          <w:szCs w:val="20"/>
          <w:lang w:val="es-PE" w:eastAsia="es-PE"/>
        </w:rPr>
        <w:fldChar w:fldCharType="end"/>
      </w:r>
      <w:r w:rsidR="003D7613" w:rsidRPr="003D7613">
        <w:rPr>
          <w:rFonts w:ascii="Arial" w:eastAsiaTheme="minorHAnsi" w:hAnsi="Arial" w:cs="Arial"/>
          <w:b/>
          <w:iCs/>
          <w:sz w:val="20"/>
          <w:szCs w:val="20"/>
          <w:lang w:val="es-PE" w:eastAsia="es-PE"/>
        </w:rPr>
        <w:t xml:space="preserve">. </w:t>
      </w:r>
      <w:r w:rsidRPr="003D7613">
        <w:rPr>
          <w:rFonts w:ascii="Arial" w:eastAsiaTheme="minorHAnsi" w:hAnsi="Arial" w:cs="Arial"/>
          <w:b/>
          <w:iCs/>
          <w:sz w:val="20"/>
          <w:szCs w:val="20"/>
          <w:lang w:val="es-PE" w:eastAsia="es-PE"/>
        </w:rPr>
        <w:t>Habilidad para gestionar el tiempo de estudio en modalidades: presencial y virtual</w:t>
      </w:r>
    </w:p>
    <w:tbl>
      <w:tblPr>
        <w:tblStyle w:val="Tablanormal2"/>
        <w:tblW w:w="9950" w:type="dxa"/>
        <w:jc w:val="center"/>
        <w:tblLayout w:type="fixed"/>
        <w:tblLook w:val="0620" w:firstRow="1" w:lastRow="0" w:firstColumn="0" w:lastColumn="0" w:noHBand="1" w:noVBand="1"/>
      </w:tblPr>
      <w:tblGrid>
        <w:gridCol w:w="2487"/>
        <w:gridCol w:w="2489"/>
        <w:gridCol w:w="2487"/>
        <w:gridCol w:w="2487"/>
      </w:tblGrid>
      <w:tr w:rsidR="00770D8B" w:rsidRPr="00CA7777" w14:paraId="2142F96B" w14:textId="77777777" w:rsidTr="00CA7777">
        <w:trPr>
          <w:cnfStyle w:val="100000000000" w:firstRow="1" w:lastRow="0" w:firstColumn="0" w:lastColumn="0" w:oddVBand="0" w:evenVBand="0" w:oddHBand="0" w:evenHBand="0" w:firstRowFirstColumn="0" w:firstRowLastColumn="0" w:lastRowFirstColumn="0" w:lastRowLastColumn="0"/>
          <w:trHeight w:val="231"/>
          <w:jc w:val="center"/>
        </w:trPr>
        <w:tc>
          <w:tcPr>
            <w:tcW w:w="4976" w:type="dxa"/>
            <w:gridSpan w:val="2"/>
          </w:tcPr>
          <w:p w14:paraId="46770AA5" w14:textId="77777777" w:rsidR="00770D8B" w:rsidRPr="00CA7777" w:rsidRDefault="00770D8B" w:rsidP="00770D8B">
            <w:pPr>
              <w:autoSpaceDE w:val="0"/>
              <w:autoSpaceDN w:val="0"/>
              <w:adjustRightInd w:val="0"/>
              <w:spacing w:line="276" w:lineRule="auto"/>
              <w:ind w:left="60" w:right="60"/>
              <w:rPr>
                <w:rFonts w:ascii="Arial" w:eastAsiaTheme="minorHAnsi" w:hAnsi="Arial" w:cs="Arial"/>
                <w:color w:val="000000"/>
                <w:sz w:val="20"/>
                <w:szCs w:val="20"/>
                <w:lang w:val="es-VE" w:eastAsia="es-PE"/>
              </w:rPr>
            </w:pPr>
          </w:p>
        </w:tc>
        <w:tc>
          <w:tcPr>
            <w:tcW w:w="2487" w:type="dxa"/>
          </w:tcPr>
          <w:p w14:paraId="5FE02A77"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Modalidad virtual</w:t>
            </w:r>
          </w:p>
        </w:tc>
        <w:tc>
          <w:tcPr>
            <w:tcW w:w="2487" w:type="dxa"/>
          </w:tcPr>
          <w:p w14:paraId="35C9FEDB"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Modalidad presencial</w:t>
            </w:r>
          </w:p>
        </w:tc>
      </w:tr>
      <w:tr w:rsidR="00770D8B" w:rsidRPr="00CA7777" w14:paraId="0DAE4F6D" w14:textId="77777777" w:rsidTr="00CA7777">
        <w:trPr>
          <w:trHeight w:val="231"/>
          <w:jc w:val="center"/>
        </w:trPr>
        <w:tc>
          <w:tcPr>
            <w:tcW w:w="2487" w:type="dxa"/>
          </w:tcPr>
          <w:p w14:paraId="216739E4"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9" w:type="dxa"/>
          </w:tcPr>
          <w:p w14:paraId="1024A644" w14:textId="77777777" w:rsidR="00770D8B" w:rsidRPr="00CA7777" w:rsidRDefault="00770D8B" w:rsidP="00CA777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Totalmente en desacuerdo</w:t>
            </w:r>
          </w:p>
        </w:tc>
        <w:tc>
          <w:tcPr>
            <w:tcW w:w="2487" w:type="dxa"/>
            <w:vAlign w:val="center"/>
          </w:tcPr>
          <w:p w14:paraId="690B2849"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7" w:type="dxa"/>
            <w:vAlign w:val="center"/>
          </w:tcPr>
          <w:p w14:paraId="6C157174"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20,0</w:t>
            </w:r>
          </w:p>
        </w:tc>
      </w:tr>
      <w:tr w:rsidR="00770D8B" w:rsidRPr="00CA7777" w14:paraId="33E32AB3" w14:textId="77777777" w:rsidTr="00CA7777">
        <w:trPr>
          <w:trHeight w:val="231"/>
          <w:jc w:val="center"/>
        </w:trPr>
        <w:tc>
          <w:tcPr>
            <w:tcW w:w="2487" w:type="dxa"/>
          </w:tcPr>
          <w:p w14:paraId="7329CBCE"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9" w:type="dxa"/>
          </w:tcPr>
          <w:p w14:paraId="257C9B6B" w14:textId="77777777" w:rsidR="00770D8B" w:rsidRPr="00CA7777" w:rsidRDefault="00770D8B" w:rsidP="00CA777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En desacuerdo</w:t>
            </w:r>
          </w:p>
        </w:tc>
        <w:tc>
          <w:tcPr>
            <w:tcW w:w="2487" w:type="dxa"/>
            <w:vAlign w:val="center"/>
          </w:tcPr>
          <w:p w14:paraId="38631BD5"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7" w:type="dxa"/>
            <w:vAlign w:val="center"/>
          </w:tcPr>
          <w:p w14:paraId="4D2F8A8D"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20,0</w:t>
            </w:r>
          </w:p>
        </w:tc>
      </w:tr>
      <w:tr w:rsidR="00770D8B" w:rsidRPr="00CA7777" w14:paraId="79892DC9" w14:textId="77777777" w:rsidTr="00CA7777">
        <w:trPr>
          <w:trHeight w:val="115"/>
          <w:jc w:val="center"/>
        </w:trPr>
        <w:tc>
          <w:tcPr>
            <w:tcW w:w="2487" w:type="dxa"/>
            <w:vMerge w:val="restart"/>
          </w:tcPr>
          <w:p w14:paraId="2CE9E8F3"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89" w:type="dxa"/>
          </w:tcPr>
          <w:p w14:paraId="249A768A" w14:textId="77777777" w:rsidR="00770D8B" w:rsidRPr="00CA7777" w:rsidRDefault="00770D8B" w:rsidP="00CA777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Neutral</w:t>
            </w:r>
          </w:p>
        </w:tc>
        <w:tc>
          <w:tcPr>
            <w:tcW w:w="2487" w:type="dxa"/>
            <w:vAlign w:val="center"/>
          </w:tcPr>
          <w:p w14:paraId="54C251D1"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20,0</w:t>
            </w:r>
          </w:p>
        </w:tc>
        <w:tc>
          <w:tcPr>
            <w:tcW w:w="2487" w:type="dxa"/>
            <w:vAlign w:val="center"/>
          </w:tcPr>
          <w:p w14:paraId="3DC995EB"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20,0</w:t>
            </w:r>
          </w:p>
        </w:tc>
      </w:tr>
      <w:tr w:rsidR="00770D8B" w:rsidRPr="00CA7777" w14:paraId="4CADFDB8" w14:textId="77777777" w:rsidTr="00CA7777">
        <w:trPr>
          <w:trHeight w:val="120"/>
          <w:jc w:val="center"/>
        </w:trPr>
        <w:tc>
          <w:tcPr>
            <w:tcW w:w="2487" w:type="dxa"/>
            <w:vMerge/>
          </w:tcPr>
          <w:p w14:paraId="1EAE7AEC" w14:textId="77777777" w:rsidR="00770D8B" w:rsidRPr="00CA7777"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89" w:type="dxa"/>
          </w:tcPr>
          <w:p w14:paraId="26AE6FCD" w14:textId="77777777" w:rsidR="00770D8B" w:rsidRPr="00CA7777" w:rsidRDefault="00770D8B" w:rsidP="00CA777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De acuerdo</w:t>
            </w:r>
          </w:p>
        </w:tc>
        <w:tc>
          <w:tcPr>
            <w:tcW w:w="2487" w:type="dxa"/>
            <w:vAlign w:val="center"/>
          </w:tcPr>
          <w:p w14:paraId="0D03CA91"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20,0</w:t>
            </w:r>
          </w:p>
        </w:tc>
        <w:tc>
          <w:tcPr>
            <w:tcW w:w="2487" w:type="dxa"/>
            <w:vAlign w:val="center"/>
          </w:tcPr>
          <w:p w14:paraId="657ECDE7"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20,0</w:t>
            </w:r>
          </w:p>
        </w:tc>
      </w:tr>
      <w:tr w:rsidR="00770D8B" w:rsidRPr="00CA7777" w14:paraId="6A29876B" w14:textId="77777777" w:rsidTr="00CA7777">
        <w:trPr>
          <w:trHeight w:val="231"/>
          <w:jc w:val="center"/>
        </w:trPr>
        <w:tc>
          <w:tcPr>
            <w:tcW w:w="2487" w:type="dxa"/>
            <w:vMerge/>
          </w:tcPr>
          <w:p w14:paraId="49EB5DC6" w14:textId="77777777" w:rsidR="00770D8B" w:rsidRPr="00CA7777"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89" w:type="dxa"/>
          </w:tcPr>
          <w:p w14:paraId="65795E47" w14:textId="77777777" w:rsidR="00770D8B" w:rsidRPr="00CA7777" w:rsidRDefault="00770D8B" w:rsidP="00CA777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Totalmente de acuerdo</w:t>
            </w:r>
          </w:p>
        </w:tc>
        <w:tc>
          <w:tcPr>
            <w:tcW w:w="2487" w:type="dxa"/>
            <w:vAlign w:val="center"/>
          </w:tcPr>
          <w:p w14:paraId="7C22B277"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60,0</w:t>
            </w:r>
          </w:p>
        </w:tc>
        <w:tc>
          <w:tcPr>
            <w:tcW w:w="2487" w:type="dxa"/>
            <w:vAlign w:val="center"/>
          </w:tcPr>
          <w:p w14:paraId="5A2575EA"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20,0</w:t>
            </w:r>
          </w:p>
        </w:tc>
      </w:tr>
      <w:tr w:rsidR="00770D8B" w:rsidRPr="00CA7777" w14:paraId="0A665679" w14:textId="77777777" w:rsidTr="00CA7777">
        <w:trPr>
          <w:trHeight w:val="115"/>
          <w:jc w:val="center"/>
        </w:trPr>
        <w:tc>
          <w:tcPr>
            <w:tcW w:w="2487" w:type="dxa"/>
            <w:vMerge/>
          </w:tcPr>
          <w:p w14:paraId="563D05E9" w14:textId="77777777" w:rsidR="00770D8B" w:rsidRPr="00CA7777"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89" w:type="dxa"/>
          </w:tcPr>
          <w:p w14:paraId="7E18A703" w14:textId="77777777" w:rsidR="00770D8B" w:rsidRPr="00CA7777" w:rsidRDefault="00770D8B" w:rsidP="00CA7777">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Total</w:t>
            </w:r>
          </w:p>
        </w:tc>
        <w:tc>
          <w:tcPr>
            <w:tcW w:w="2487" w:type="dxa"/>
            <w:vAlign w:val="center"/>
          </w:tcPr>
          <w:p w14:paraId="12CC2976"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100,0</w:t>
            </w:r>
          </w:p>
        </w:tc>
        <w:tc>
          <w:tcPr>
            <w:tcW w:w="2487" w:type="dxa"/>
            <w:vAlign w:val="center"/>
          </w:tcPr>
          <w:p w14:paraId="3D5F41A6" w14:textId="77777777" w:rsidR="00770D8B" w:rsidRPr="00CA7777"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CA7777">
              <w:rPr>
                <w:rFonts w:ascii="Arial" w:eastAsiaTheme="minorHAnsi" w:hAnsi="Arial" w:cs="Arial"/>
                <w:color w:val="000000"/>
                <w:sz w:val="20"/>
                <w:szCs w:val="20"/>
                <w:lang w:val="es-VE" w:eastAsia="es-PE"/>
              </w:rPr>
              <w:t>100,0</w:t>
            </w:r>
          </w:p>
        </w:tc>
      </w:tr>
    </w:tbl>
    <w:p w14:paraId="6BA690E8" w14:textId="77777777" w:rsidR="00770D8B" w:rsidRPr="00770D8B" w:rsidRDefault="00770D8B" w:rsidP="00CA7777">
      <w:pPr>
        <w:autoSpaceDE w:val="0"/>
        <w:autoSpaceDN w:val="0"/>
        <w:adjustRightInd w:val="0"/>
        <w:spacing w:before="100" w:beforeAutospacing="1" w:after="100" w:afterAutospacing="1" w:line="360" w:lineRule="auto"/>
        <w:jc w:val="both"/>
        <w:rPr>
          <w:rFonts w:ascii="Arial" w:eastAsiaTheme="minorHAnsi" w:hAnsi="Arial" w:cs="Arial"/>
          <w:lang w:val="es-VE" w:eastAsia="es-PE"/>
        </w:rPr>
      </w:pPr>
      <w:r w:rsidRPr="00770D8B">
        <w:rPr>
          <w:rFonts w:ascii="Arial" w:eastAsiaTheme="minorHAnsi" w:hAnsi="Arial" w:cs="Arial"/>
          <w:lang w:val="es-VE" w:eastAsia="es-PE"/>
        </w:rPr>
        <w:t>Al comparar las valoraciones de la habilidad para gestionar el tiempo de estudio en las modalidades presencial y virtual, se observa una clara diferencia; en la modalidad virtual, el 80% de encuestados muestra una apreciación favorable, porcentaje que se reduce a 40% en la modalidad presencial. En contraste, al analizar las valoraciones neutrales o negativas, se percibe que 60% de participantes se sitúa en esta postura (20% neutral, y 40% negativa), mientras que, en relación a los entornos virtuales, sólo el 20% del alumnado se ubica en una posición neutral y ninguno tiene valoraciones negativas. Estos porcentajes reflejan claramente una mayor satisfacción con la gestión del tiempo en modalidad virtual comparada con la presencial.</w:t>
      </w:r>
    </w:p>
    <w:p w14:paraId="7012057F" w14:textId="77777777" w:rsidR="00770D8B" w:rsidRPr="00770D8B" w:rsidRDefault="00770D8B" w:rsidP="00770D8B">
      <w:pPr>
        <w:autoSpaceDE w:val="0"/>
        <w:autoSpaceDN w:val="0"/>
        <w:adjustRightInd w:val="0"/>
        <w:spacing w:line="360" w:lineRule="auto"/>
        <w:rPr>
          <w:rFonts w:ascii="Arial" w:eastAsiaTheme="minorHAnsi" w:hAnsi="Arial" w:cs="Arial"/>
          <w:lang w:val="es-VE" w:eastAsia="es-PE"/>
        </w:rPr>
      </w:pPr>
    </w:p>
    <w:p w14:paraId="408CC504" w14:textId="77777777" w:rsidR="005E6DEC" w:rsidRDefault="005E6DEC" w:rsidP="00770D8B">
      <w:pPr>
        <w:spacing w:line="360" w:lineRule="auto"/>
        <w:rPr>
          <w:rFonts w:ascii="Arial" w:eastAsiaTheme="minorHAnsi" w:hAnsi="Arial" w:cs="Arial"/>
          <w:b/>
          <w:iCs/>
          <w:sz w:val="22"/>
          <w:szCs w:val="18"/>
          <w:lang w:val="es-PE" w:eastAsia="es-PE"/>
        </w:rPr>
      </w:pPr>
    </w:p>
    <w:p w14:paraId="05BE3D19" w14:textId="77777777" w:rsidR="005E6DEC" w:rsidRDefault="005E6DEC" w:rsidP="00770D8B">
      <w:pPr>
        <w:spacing w:line="360" w:lineRule="auto"/>
        <w:rPr>
          <w:rFonts w:ascii="Arial" w:eastAsiaTheme="minorHAnsi" w:hAnsi="Arial" w:cs="Arial"/>
          <w:b/>
          <w:iCs/>
          <w:sz w:val="20"/>
          <w:szCs w:val="20"/>
          <w:lang w:val="es-PE" w:eastAsia="es-PE"/>
        </w:rPr>
      </w:pPr>
    </w:p>
    <w:p w14:paraId="7E69C4A8" w14:textId="06B331FE" w:rsidR="00770D8B" w:rsidRPr="00CB0861" w:rsidRDefault="00770D8B" w:rsidP="00CB0861">
      <w:pPr>
        <w:spacing w:before="100" w:beforeAutospacing="1" w:after="100" w:afterAutospacing="1" w:line="360" w:lineRule="auto"/>
        <w:jc w:val="center"/>
        <w:rPr>
          <w:rFonts w:ascii="Arial" w:eastAsiaTheme="minorHAnsi" w:hAnsi="Arial" w:cs="Arial"/>
          <w:b/>
          <w:iCs/>
          <w:color w:val="44546A" w:themeColor="text2"/>
          <w:sz w:val="20"/>
          <w:szCs w:val="20"/>
          <w:lang w:val="es-VE" w:eastAsia="es-PE"/>
        </w:rPr>
      </w:pPr>
      <w:r w:rsidRPr="00CB0861">
        <w:rPr>
          <w:rFonts w:ascii="Arial" w:eastAsiaTheme="minorHAnsi" w:hAnsi="Arial" w:cs="Arial"/>
          <w:b/>
          <w:iCs/>
          <w:sz w:val="20"/>
          <w:szCs w:val="20"/>
          <w:lang w:val="es-PE" w:eastAsia="es-PE"/>
        </w:rPr>
        <w:lastRenderedPageBreak/>
        <w:t xml:space="preserve">Tabla </w:t>
      </w:r>
      <w:r w:rsidRPr="00CB0861">
        <w:rPr>
          <w:rFonts w:ascii="Arial" w:eastAsiaTheme="minorHAnsi" w:hAnsi="Arial" w:cs="Arial"/>
          <w:b/>
          <w:iCs/>
          <w:sz w:val="20"/>
          <w:szCs w:val="20"/>
          <w:lang w:val="es-PE" w:eastAsia="es-PE"/>
        </w:rPr>
        <w:fldChar w:fldCharType="begin"/>
      </w:r>
      <w:r w:rsidRPr="00CB0861">
        <w:rPr>
          <w:rFonts w:ascii="Arial" w:eastAsiaTheme="minorHAnsi" w:hAnsi="Arial" w:cs="Arial"/>
          <w:b/>
          <w:iCs/>
          <w:sz w:val="20"/>
          <w:szCs w:val="20"/>
          <w:lang w:val="es-PE" w:eastAsia="es-PE"/>
        </w:rPr>
        <w:instrText xml:space="preserve"> SEQ Tabla \* ARABIC </w:instrText>
      </w:r>
      <w:r w:rsidRPr="00CB0861">
        <w:rPr>
          <w:rFonts w:ascii="Arial" w:eastAsiaTheme="minorHAnsi" w:hAnsi="Arial" w:cs="Arial"/>
          <w:b/>
          <w:iCs/>
          <w:sz w:val="20"/>
          <w:szCs w:val="20"/>
          <w:lang w:val="es-PE" w:eastAsia="es-PE"/>
        </w:rPr>
        <w:fldChar w:fldCharType="separate"/>
      </w:r>
      <w:r w:rsidR="001F299A">
        <w:rPr>
          <w:rFonts w:ascii="Arial" w:eastAsiaTheme="minorHAnsi" w:hAnsi="Arial" w:cs="Arial"/>
          <w:b/>
          <w:iCs/>
          <w:noProof/>
          <w:sz w:val="20"/>
          <w:szCs w:val="20"/>
          <w:lang w:val="es-PE" w:eastAsia="es-PE"/>
        </w:rPr>
        <w:t>17</w:t>
      </w:r>
      <w:r w:rsidRPr="00CB0861">
        <w:rPr>
          <w:rFonts w:ascii="Arial" w:eastAsiaTheme="minorHAnsi" w:hAnsi="Arial" w:cs="Arial"/>
          <w:b/>
          <w:iCs/>
          <w:sz w:val="20"/>
          <w:szCs w:val="20"/>
          <w:lang w:val="es-PE" w:eastAsia="es-PE"/>
        </w:rPr>
        <w:fldChar w:fldCharType="end"/>
      </w:r>
      <w:r w:rsidR="005E6DEC" w:rsidRPr="00CB0861">
        <w:rPr>
          <w:rFonts w:ascii="Arial" w:eastAsiaTheme="minorHAnsi" w:hAnsi="Arial" w:cs="Arial"/>
          <w:b/>
          <w:iCs/>
          <w:sz w:val="20"/>
          <w:szCs w:val="20"/>
          <w:lang w:val="es-PE" w:eastAsia="es-PE"/>
        </w:rPr>
        <w:t xml:space="preserve">. </w:t>
      </w:r>
      <w:r w:rsidRPr="00CB0861">
        <w:rPr>
          <w:rFonts w:ascii="Arial" w:eastAsiaTheme="minorHAnsi" w:hAnsi="Arial" w:cs="Arial"/>
          <w:b/>
          <w:iCs/>
          <w:sz w:val="20"/>
          <w:szCs w:val="20"/>
          <w:lang w:val="es-PE" w:eastAsia="es-PE"/>
        </w:rPr>
        <w:t>Motivación para participar en las clases en modalidades: presencial y virtual</w:t>
      </w:r>
    </w:p>
    <w:tbl>
      <w:tblPr>
        <w:tblStyle w:val="Tablanormal2"/>
        <w:tblW w:w="9683" w:type="dxa"/>
        <w:jc w:val="center"/>
        <w:tblLayout w:type="fixed"/>
        <w:tblLook w:val="0620" w:firstRow="1" w:lastRow="0" w:firstColumn="0" w:lastColumn="0" w:noHBand="1" w:noVBand="1"/>
      </w:tblPr>
      <w:tblGrid>
        <w:gridCol w:w="2420"/>
        <w:gridCol w:w="2421"/>
        <w:gridCol w:w="2421"/>
        <w:gridCol w:w="2421"/>
      </w:tblGrid>
      <w:tr w:rsidR="00770D8B" w:rsidRPr="00B97E99" w14:paraId="35BB47FA" w14:textId="77777777" w:rsidTr="00B97E99">
        <w:trPr>
          <w:cnfStyle w:val="100000000000" w:firstRow="1" w:lastRow="0" w:firstColumn="0" w:lastColumn="0" w:oddVBand="0" w:evenVBand="0" w:oddHBand="0" w:evenHBand="0" w:firstRowFirstColumn="0" w:firstRowLastColumn="0" w:lastRowFirstColumn="0" w:lastRowLastColumn="0"/>
          <w:trHeight w:val="284"/>
          <w:jc w:val="center"/>
        </w:trPr>
        <w:tc>
          <w:tcPr>
            <w:tcW w:w="4841" w:type="dxa"/>
            <w:gridSpan w:val="2"/>
          </w:tcPr>
          <w:p w14:paraId="3AAA540C"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21" w:type="dxa"/>
          </w:tcPr>
          <w:p w14:paraId="3367234E"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Modalidad virtual</w:t>
            </w:r>
          </w:p>
        </w:tc>
        <w:tc>
          <w:tcPr>
            <w:tcW w:w="2421" w:type="dxa"/>
          </w:tcPr>
          <w:p w14:paraId="16C2441A"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Modalidad presencial</w:t>
            </w:r>
          </w:p>
        </w:tc>
      </w:tr>
      <w:tr w:rsidR="00770D8B" w:rsidRPr="00B97E99" w14:paraId="2090A58F" w14:textId="77777777" w:rsidTr="00B97E99">
        <w:trPr>
          <w:trHeight w:val="284"/>
          <w:jc w:val="center"/>
        </w:trPr>
        <w:tc>
          <w:tcPr>
            <w:tcW w:w="2420" w:type="dxa"/>
          </w:tcPr>
          <w:p w14:paraId="6CC513F0"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20" w:type="dxa"/>
          </w:tcPr>
          <w:p w14:paraId="5F9AE163" w14:textId="77777777" w:rsidR="00770D8B" w:rsidRPr="00B97E99" w:rsidRDefault="00770D8B" w:rsidP="00B97E9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Totalmente en desacuerdo</w:t>
            </w:r>
          </w:p>
        </w:tc>
        <w:tc>
          <w:tcPr>
            <w:tcW w:w="2421" w:type="dxa"/>
            <w:vAlign w:val="center"/>
          </w:tcPr>
          <w:p w14:paraId="53C56EE7"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21" w:type="dxa"/>
            <w:vAlign w:val="center"/>
          </w:tcPr>
          <w:p w14:paraId="583C68E3"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10,0</w:t>
            </w:r>
          </w:p>
        </w:tc>
      </w:tr>
      <w:tr w:rsidR="00770D8B" w:rsidRPr="00B97E99" w14:paraId="407255E5" w14:textId="77777777" w:rsidTr="00B97E99">
        <w:trPr>
          <w:trHeight w:val="284"/>
          <w:jc w:val="center"/>
        </w:trPr>
        <w:tc>
          <w:tcPr>
            <w:tcW w:w="2420" w:type="dxa"/>
            <w:vMerge w:val="restart"/>
          </w:tcPr>
          <w:p w14:paraId="682C114D"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p>
        </w:tc>
        <w:tc>
          <w:tcPr>
            <w:tcW w:w="2420" w:type="dxa"/>
          </w:tcPr>
          <w:p w14:paraId="7DA09335" w14:textId="77777777" w:rsidR="00770D8B" w:rsidRPr="00B97E99" w:rsidRDefault="00770D8B" w:rsidP="00B97E9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En desacuerdo</w:t>
            </w:r>
          </w:p>
        </w:tc>
        <w:tc>
          <w:tcPr>
            <w:tcW w:w="2421" w:type="dxa"/>
            <w:vAlign w:val="center"/>
          </w:tcPr>
          <w:p w14:paraId="143C4919"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20,0</w:t>
            </w:r>
          </w:p>
        </w:tc>
        <w:tc>
          <w:tcPr>
            <w:tcW w:w="2421" w:type="dxa"/>
            <w:vAlign w:val="center"/>
          </w:tcPr>
          <w:p w14:paraId="67CD0CD6"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20,0</w:t>
            </w:r>
          </w:p>
        </w:tc>
      </w:tr>
      <w:tr w:rsidR="00770D8B" w:rsidRPr="00B97E99" w14:paraId="744B9113" w14:textId="77777777" w:rsidTr="00B97E99">
        <w:trPr>
          <w:trHeight w:val="142"/>
          <w:jc w:val="center"/>
        </w:trPr>
        <w:tc>
          <w:tcPr>
            <w:tcW w:w="2420" w:type="dxa"/>
            <w:vMerge/>
          </w:tcPr>
          <w:p w14:paraId="7D55F819" w14:textId="77777777" w:rsidR="00770D8B" w:rsidRPr="00B97E99"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20" w:type="dxa"/>
          </w:tcPr>
          <w:p w14:paraId="661BC2FA" w14:textId="77777777" w:rsidR="00770D8B" w:rsidRPr="00B97E99" w:rsidRDefault="00770D8B" w:rsidP="00B97E9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Neutral</w:t>
            </w:r>
          </w:p>
        </w:tc>
        <w:tc>
          <w:tcPr>
            <w:tcW w:w="2421" w:type="dxa"/>
            <w:vAlign w:val="center"/>
          </w:tcPr>
          <w:p w14:paraId="5213E03D"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30,0</w:t>
            </w:r>
          </w:p>
        </w:tc>
        <w:tc>
          <w:tcPr>
            <w:tcW w:w="2421" w:type="dxa"/>
            <w:vAlign w:val="center"/>
          </w:tcPr>
          <w:p w14:paraId="5F8E61D2"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10,0</w:t>
            </w:r>
          </w:p>
        </w:tc>
      </w:tr>
      <w:tr w:rsidR="00770D8B" w:rsidRPr="00B97E99" w14:paraId="083C7E34" w14:textId="77777777" w:rsidTr="00B97E99">
        <w:trPr>
          <w:trHeight w:val="291"/>
          <w:jc w:val="center"/>
        </w:trPr>
        <w:tc>
          <w:tcPr>
            <w:tcW w:w="2420" w:type="dxa"/>
            <w:vMerge/>
          </w:tcPr>
          <w:p w14:paraId="1209734D" w14:textId="77777777" w:rsidR="00770D8B" w:rsidRPr="00B97E99"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20" w:type="dxa"/>
          </w:tcPr>
          <w:p w14:paraId="0F990BF2" w14:textId="77777777" w:rsidR="00770D8B" w:rsidRPr="00B97E99" w:rsidRDefault="00770D8B" w:rsidP="00B97E9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De acuerdo</w:t>
            </w:r>
          </w:p>
        </w:tc>
        <w:tc>
          <w:tcPr>
            <w:tcW w:w="2421" w:type="dxa"/>
            <w:vAlign w:val="center"/>
          </w:tcPr>
          <w:p w14:paraId="7D6BF483"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30,0</w:t>
            </w:r>
          </w:p>
        </w:tc>
        <w:tc>
          <w:tcPr>
            <w:tcW w:w="2421" w:type="dxa"/>
            <w:vAlign w:val="center"/>
          </w:tcPr>
          <w:p w14:paraId="31904F3C"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20,0</w:t>
            </w:r>
          </w:p>
        </w:tc>
      </w:tr>
      <w:tr w:rsidR="00770D8B" w:rsidRPr="00B97E99" w14:paraId="1EB29F71" w14:textId="77777777" w:rsidTr="00B97E99">
        <w:trPr>
          <w:trHeight w:val="284"/>
          <w:jc w:val="center"/>
        </w:trPr>
        <w:tc>
          <w:tcPr>
            <w:tcW w:w="2420" w:type="dxa"/>
            <w:vMerge/>
          </w:tcPr>
          <w:p w14:paraId="13C2365C" w14:textId="77777777" w:rsidR="00770D8B" w:rsidRPr="00B97E99"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20" w:type="dxa"/>
          </w:tcPr>
          <w:p w14:paraId="1CAC1402" w14:textId="77777777" w:rsidR="00770D8B" w:rsidRPr="00B97E99" w:rsidRDefault="00770D8B" w:rsidP="00B97E9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Totalmente de acuerdo</w:t>
            </w:r>
          </w:p>
        </w:tc>
        <w:tc>
          <w:tcPr>
            <w:tcW w:w="2421" w:type="dxa"/>
            <w:vAlign w:val="center"/>
          </w:tcPr>
          <w:p w14:paraId="10884721"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20,0</w:t>
            </w:r>
          </w:p>
        </w:tc>
        <w:tc>
          <w:tcPr>
            <w:tcW w:w="2421" w:type="dxa"/>
            <w:vAlign w:val="center"/>
          </w:tcPr>
          <w:p w14:paraId="571D6B85"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40,0</w:t>
            </w:r>
          </w:p>
        </w:tc>
      </w:tr>
      <w:tr w:rsidR="00770D8B" w:rsidRPr="00B97E99" w14:paraId="1F90098C" w14:textId="77777777" w:rsidTr="00B97E99">
        <w:trPr>
          <w:trHeight w:val="142"/>
          <w:jc w:val="center"/>
        </w:trPr>
        <w:tc>
          <w:tcPr>
            <w:tcW w:w="2420" w:type="dxa"/>
            <w:vMerge/>
          </w:tcPr>
          <w:p w14:paraId="459B6886" w14:textId="77777777" w:rsidR="00770D8B" w:rsidRPr="00B97E99" w:rsidRDefault="00770D8B" w:rsidP="00770D8B">
            <w:pPr>
              <w:autoSpaceDE w:val="0"/>
              <w:autoSpaceDN w:val="0"/>
              <w:adjustRightInd w:val="0"/>
              <w:spacing w:line="276" w:lineRule="auto"/>
              <w:jc w:val="center"/>
              <w:rPr>
                <w:rFonts w:ascii="Arial" w:eastAsiaTheme="minorHAnsi" w:hAnsi="Arial" w:cs="Arial"/>
                <w:color w:val="000000"/>
                <w:sz w:val="20"/>
                <w:szCs w:val="20"/>
                <w:lang w:val="es-VE" w:eastAsia="es-PE"/>
              </w:rPr>
            </w:pPr>
          </w:p>
        </w:tc>
        <w:tc>
          <w:tcPr>
            <w:tcW w:w="2420" w:type="dxa"/>
          </w:tcPr>
          <w:p w14:paraId="7605B88A" w14:textId="77777777" w:rsidR="00770D8B" w:rsidRPr="00B97E99" w:rsidRDefault="00770D8B" w:rsidP="00B97E99">
            <w:pPr>
              <w:autoSpaceDE w:val="0"/>
              <w:autoSpaceDN w:val="0"/>
              <w:adjustRightInd w:val="0"/>
              <w:spacing w:line="276" w:lineRule="auto"/>
              <w:ind w:left="60" w:right="60"/>
              <w:jc w:val="right"/>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Total</w:t>
            </w:r>
          </w:p>
        </w:tc>
        <w:tc>
          <w:tcPr>
            <w:tcW w:w="2421" w:type="dxa"/>
            <w:vAlign w:val="center"/>
          </w:tcPr>
          <w:p w14:paraId="54857A7F"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100,0</w:t>
            </w:r>
          </w:p>
        </w:tc>
        <w:tc>
          <w:tcPr>
            <w:tcW w:w="2421" w:type="dxa"/>
            <w:vAlign w:val="center"/>
          </w:tcPr>
          <w:p w14:paraId="1FB9376D" w14:textId="77777777" w:rsidR="00770D8B" w:rsidRPr="00B97E99" w:rsidRDefault="00770D8B" w:rsidP="00770D8B">
            <w:pPr>
              <w:autoSpaceDE w:val="0"/>
              <w:autoSpaceDN w:val="0"/>
              <w:adjustRightInd w:val="0"/>
              <w:spacing w:line="276" w:lineRule="auto"/>
              <w:ind w:left="60" w:right="60"/>
              <w:jc w:val="center"/>
              <w:rPr>
                <w:rFonts w:ascii="Arial" w:eastAsiaTheme="minorHAnsi" w:hAnsi="Arial" w:cs="Arial"/>
                <w:color w:val="000000"/>
                <w:sz w:val="20"/>
                <w:szCs w:val="20"/>
                <w:lang w:val="es-VE" w:eastAsia="es-PE"/>
              </w:rPr>
            </w:pPr>
            <w:r w:rsidRPr="00B97E99">
              <w:rPr>
                <w:rFonts w:ascii="Arial" w:eastAsiaTheme="minorHAnsi" w:hAnsi="Arial" w:cs="Arial"/>
                <w:color w:val="000000"/>
                <w:sz w:val="20"/>
                <w:szCs w:val="20"/>
                <w:lang w:val="es-VE" w:eastAsia="es-PE"/>
              </w:rPr>
              <w:t>100,0</w:t>
            </w:r>
          </w:p>
        </w:tc>
      </w:tr>
    </w:tbl>
    <w:p w14:paraId="4C2AF8CF" w14:textId="77777777" w:rsidR="00770D8B" w:rsidRPr="00770D8B" w:rsidRDefault="00770D8B" w:rsidP="00B97E99">
      <w:pPr>
        <w:spacing w:before="100" w:beforeAutospacing="1" w:after="100" w:afterAutospacing="1"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El análisis de la motivación para participar en las clases muestra que, en la modalidad virtual, el 50% de estudiantes tiene una percepción favorable, 30% neutral y 20% desfavorable; de forma similar, en la modalidad presencial, el 60% tiene una valoración positiva, 10% neutral y 30% negativa. De esta manera, aunque la modalidad presencial parece generar mayor motivación, también es mayor la valoración negativa que </w:t>
      </w:r>
      <w:r w:rsidRPr="00770D8B">
        <w:rPr>
          <w:rFonts w:ascii="Arial" w:eastAsiaTheme="minorHAnsi" w:hAnsi="Arial" w:cs="Arial"/>
          <w:szCs w:val="22"/>
          <w:lang w:val="es-MX" w:eastAsia="es-PE"/>
        </w:rPr>
        <w:t>las personas</w:t>
      </w:r>
      <w:r w:rsidRPr="00770D8B">
        <w:rPr>
          <w:rFonts w:ascii="Arial" w:eastAsiaTheme="minorHAnsi" w:hAnsi="Arial" w:cs="Arial"/>
          <w:lang w:val="es-MX" w:eastAsia="es-PE"/>
        </w:rPr>
        <w:t xml:space="preserve"> estudiantes tienen sobre este aspecto. Podría decirse en consecuencia que en ambas modalidades existe una porción de estudiantes con falta de motivación, sugiriendo la necesidad de estrategias para mejorar la participación en ambos contextos.</w:t>
      </w:r>
    </w:p>
    <w:p w14:paraId="279806ED" w14:textId="086ACF3F" w:rsidR="00770D8B" w:rsidRPr="00770D8B" w:rsidRDefault="00770D8B" w:rsidP="00770D8B">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En un segmento de cierre del cuestionario aplicado al estudiantado, se formularon algunas preguntas abiertas referidas a los beneficios y desafíos estas modalidades educativas, en el contexto de los cursos ESP, así como sobre la combinación de esos entornos y el modo en que generan bienestar al estudiantado.  </w:t>
      </w:r>
    </w:p>
    <w:p w14:paraId="0E4E70E4"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lastRenderedPageBreak/>
        <w:t xml:space="preserve">En primer lugar, los beneficios de la modalidad virtual incluyen una gestión del tiempo más eficiente y mayor comodidad, al evitar desplazamientos y costos asociados, además de permitir una mejor adaptación de los horarios de estudio con otras actividades. Esta modalidad también facilita una mayor concentración y una estructura de clases mejorada al eliminar distracciones y aprovechar recursos tecnológicos. </w:t>
      </w:r>
    </w:p>
    <w:p w14:paraId="724D968B"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En contraste, la modalidad presencial destaca por la interacción en tiempo real, que favorece una comunicación más fluida y una mayor cohesión grupal. La interacción cara a cara permite una corrección inmediata de conceptos y una práctica del idioma más dinámica, elementos que son limitados en el entorno virtual debido a problemas técnicos y retrasos. Aunque la modalidad virtual proporciona flexibilidad y comodidad, la modalidad presencial ofrece una experiencia más enriquecedora en términos de comunicación y colaboración. </w:t>
      </w:r>
    </w:p>
    <w:p w14:paraId="259549C9"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En cuanto a los desafíos, en la modalidad virtual, estos incluyen la vergüenza o miedo a participar y abrir el micrófono, lo cual reduce la interacción entre compañeros, pero se supera con el tiempo y la práctica. La menor posibilidad de interacción directa en las clases, la fatiga por obligaciones académicas y personales, y problemas técnicos como la estabilidad del internet también son retos, aunque se abordan mediante la adaptación y la perseverancia. </w:t>
      </w:r>
    </w:p>
    <w:p w14:paraId="6B3C5E16"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Por otro lado, en la modalidad presencial, los desafíos se centran en la organización del tiempo y las dificultades logísticas, como la concentración afectada por el ruido </w:t>
      </w:r>
      <w:r w:rsidRPr="00770D8B">
        <w:rPr>
          <w:rFonts w:ascii="Arial" w:eastAsiaTheme="minorHAnsi" w:hAnsi="Arial" w:cs="Arial"/>
          <w:lang w:val="es-MX" w:eastAsia="es-PE"/>
        </w:rPr>
        <w:lastRenderedPageBreak/>
        <w:t>del aula y la fatiga de horarios extendidos. Además, los problemas de transporte y la necesidad de coordinar horarios añaden complicaciones, mientras que la introversión y el miedo al juicio en el aprendizaje del idioma representan barreras personales que algunos superan con el tiempo. Ambos enfoques presentan obstáculos distintos que impactan la experiencia de aprendizaje de maneras complementarias.</w:t>
      </w:r>
    </w:p>
    <w:p w14:paraId="05F2696F"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En sus expresiones, </w:t>
      </w:r>
      <w:r w:rsidRPr="00770D8B">
        <w:rPr>
          <w:rFonts w:ascii="Arial" w:eastAsiaTheme="minorHAnsi" w:hAnsi="Arial" w:cs="Arial"/>
          <w:szCs w:val="22"/>
          <w:lang w:val="es-MX" w:eastAsia="es-PE"/>
        </w:rPr>
        <w:t xml:space="preserve">las personas </w:t>
      </w:r>
      <w:r w:rsidRPr="00770D8B">
        <w:rPr>
          <w:rFonts w:ascii="Arial" w:eastAsiaTheme="minorHAnsi" w:hAnsi="Arial" w:cs="Arial"/>
          <w:lang w:val="es-MX" w:eastAsia="es-PE"/>
        </w:rPr>
        <w:t xml:space="preserve">estudiantes sugieren combinar elementos de ambas modalidades para optimizar el aprendizaje, destacando que la modalidad híbrida ofrecería lo mejor de cada enfoque. La virtualidad permite flexibilidad en los horarios y reduce el tiempo de desplazamiento, mientras que las sesiones presenciales son fundamentales para la práctica conversacional y la corrección en tiempo real, fundamentales para mejorar habilidades como el </w:t>
      </w:r>
      <w:proofErr w:type="spellStart"/>
      <w:r w:rsidRPr="00770D8B">
        <w:rPr>
          <w:rFonts w:ascii="Arial" w:eastAsiaTheme="minorHAnsi" w:hAnsi="Arial" w:cs="Arial"/>
          <w:i/>
          <w:iCs/>
          <w:lang w:val="es-MX" w:eastAsia="es-PE"/>
        </w:rPr>
        <w:t>speaking</w:t>
      </w:r>
      <w:proofErr w:type="spellEnd"/>
      <w:r w:rsidRPr="00770D8B">
        <w:rPr>
          <w:rFonts w:ascii="Arial" w:eastAsiaTheme="minorHAnsi" w:hAnsi="Arial" w:cs="Arial"/>
          <w:lang w:val="es-MX" w:eastAsia="es-PE"/>
        </w:rPr>
        <w:t xml:space="preserve"> y la pronunciación. </w:t>
      </w:r>
    </w:p>
    <w:p w14:paraId="3FC3691E"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Respecto al impacto de cada modalidad en el bienestar y balance entre estudio y vida personal, las personas cursantes señalan que la interacción en vivo y el trabajo en grupo en la modalidad presencial ayudan a superar el miedo a hablar en público y refuerzan el aprendizaje, aunque conllevan la pérdida de tiempo en traslados y mayor cansancio. En contraste, la modalidad virtual facilita el estudio desde casa y proporciona más tiempo para otras actividades, pero dificulta la interacción social y puede generar sentimientos de aislamiento y desmotivación. Ambos enfoques impactan el bienestar y el balance entre estudio y vida personal de formas distintas, </w:t>
      </w:r>
      <w:r w:rsidRPr="00770D8B">
        <w:rPr>
          <w:rFonts w:ascii="Arial" w:eastAsiaTheme="minorHAnsi" w:hAnsi="Arial" w:cs="Arial"/>
          <w:lang w:val="es-MX" w:eastAsia="es-PE"/>
        </w:rPr>
        <w:lastRenderedPageBreak/>
        <w:t>con la modalidad virtual ofreciendo comodidad y la presencial una experiencia de práctica más rica, a pesar de sus desafíos logísticos y emocionales.</w:t>
      </w:r>
    </w:p>
    <w:p w14:paraId="46A47AAA"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Los estudios sobre la modalidad de enseñanza virtual versus presencial revelan patrones similares en diversos contextos. </w:t>
      </w:r>
      <w:r w:rsidRPr="00770D8B">
        <w:rPr>
          <w:rFonts w:ascii="Arial" w:eastAsiaTheme="minorHAnsi" w:hAnsi="Arial" w:cs="Arial"/>
          <w:lang w:val="es-MX" w:eastAsia="es-PE"/>
        </w:rPr>
        <w:fldChar w:fldCharType="begin" w:fldLock="1"/>
      </w:r>
      <w:r w:rsidRPr="00770D8B">
        <w:rPr>
          <w:rFonts w:ascii="Arial" w:eastAsiaTheme="minorHAnsi" w:hAnsi="Arial" w:cs="Arial"/>
          <w:lang w:val="es-MX" w:eastAsia="es-PE"/>
        </w:rPr>
        <w:instrText>ADDIN CSL_CITATION {"citationItems":[{"id":"ITEM-1","itemData":{"author":[{"dropping-particle":"","family":"Silva","given":"Francisco","non-dropping-particle":"","parse-names":false,"suffix":""},{"dropping-particle":"","family":"Esteves","given":"Zila","non-dropping-particle":"","parse-names":false,"suffix":""},{"dropping-particle":"","family":"Melgar","given":"Kevin","non-dropping-particle":"","parse-names":false,"suffix":""}],"container-title":"Revista Arbitrada Interdisciplinaria Koinonía","id":"ITEM-1","issued":{"date-parts":[["2023"]]},"page":"172-191","publisher":"scielon","title":"Formación Integral del Estudiante: Análisis comparativo en modalidad presencial y virtual","type":"article","volume":"8"},"uris":["http://www.mendeley.com/documents/?uuid=131f39e1-e694-4f3c-99b4-1b5a88154754"]}],"mendeley":{"formattedCitation":"(Silva et al., 2023)","manualFormatting":"Silva et al. (2023)","plainTextFormattedCitation":"(Silva et al., 2023)","previouslyFormattedCitation":"(Silva et al., 2023)"},"properties":{"noteIndex":0},"schema":"https://github.com/citation-style-language/schema/raw/master/csl-citation.json"}</w:instrText>
      </w:r>
      <w:r w:rsidRPr="00770D8B">
        <w:rPr>
          <w:rFonts w:ascii="Arial" w:eastAsiaTheme="minorHAnsi" w:hAnsi="Arial" w:cs="Arial"/>
          <w:lang w:val="es-MX" w:eastAsia="es-PE"/>
        </w:rPr>
        <w:fldChar w:fldCharType="separate"/>
      </w:r>
      <w:r w:rsidRPr="00770D8B">
        <w:rPr>
          <w:rFonts w:ascii="Arial" w:eastAsiaTheme="minorHAnsi" w:hAnsi="Arial" w:cs="Arial"/>
          <w:noProof/>
          <w:lang w:val="es-MX" w:eastAsia="es-PE"/>
        </w:rPr>
        <w:t>Silva et al. (2023)</w:t>
      </w:r>
      <w:r w:rsidRPr="00770D8B">
        <w:rPr>
          <w:rFonts w:ascii="Arial" w:eastAsiaTheme="minorHAnsi" w:hAnsi="Arial" w:cs="Arial"/>
          <w:lang w:val="es-MX" w:eastAsia="es-PE"/>
        </w:rPr>
        <w:fldChar w:fldCharType="end"/>
      </w:r>
      <w:r w:rsidRPr="00770D8B">
        <w:rPr>
          <w:rFonts w:ascii="Arial" w:eastAsiaTheme="minorHAnsi" w:hAnsi="Arial" w:cs="Arial"/>
          <w:lang w:val="es-MX" w:eastAsia="es-PE"/>
        </w:rPr>
        <w:t xml:space="preserve"> en Ecuador y </w:t>
      </w:r>
      <w:r w:rsidRPr="00770D8B">
        <w:rPr>
          <w:rFonts w:ascii="Arial" w:eastAsiaTheme="minorHAnsi" w:hAnsi="Arial" w:cs="Arial"/>
          <w:lang w:val="es-MX" w:eastAsia="es-PE"/>
        </w:rPr>
        <w:fldChar w:fldCharType="begin" w:fldLock="1"/>
      </w:r>
      <w:r w:rsidRPr="00770D8B">
        <w:rPr>
          <w:rFonts w:ascii="Arial" w:eastAsiaTheme="minorHAnsi" w:hAnsi="Arial" w:cs="Arial"/>
          <w:lang w:val="es-MX" w:eastAsia="es-PE"/>
        </w:rPr>
        <w:instrText>ADDIN CSL_CITATION {"citationItems":[{"id":"ITEM-1","itemData":{"ISBN":"1729-519X UL - http://scielo.sld.cu/scielo.php?script=sci_arttext&amp;pid=S1729-519X2021000600014&amp;nrm=iso","author":[{"dropping-particle":"","family":"Ventura","given":"José","non-dropping-particle":"","parse-names":false,"suffix":""},{"dropping-particle":"","family":"Caycho","given":"Tomás","non-dropping-particle":"","parse-names":false,"suffix":""},{"dropping-particle":"","family":"Talledo","given":"Karim","non-dropping-particle":"","parse-names":false,"suffix":""}],"container-title":"Revista Habanera de Ciencias Médicas","id":"ITEM-1","issued":{"date-parts":[["2021"]]},"publisher":"scielocu","title":"Satisfacción Académica en estudiantes de Ciencias de la Salud antes y durante la pandemia COVID-19","type":"article","volume":"20"},"uris":["http://www.mendeley.com/documents/?uuid=3316c20e-b4dd-4c2b-a44b-7895959aafd4"]}],"mendeley":{"formattedCitation":"(Ventura et al., 2021)","manualFormatting":"Ventura et al. (2021)","plainTextFormattedCitation":"(Ventura et al., 2021)","previouslyFormattedCitation":"(Ventura et al., 2021)"},"properties":{"noteIndex":0},"schema":"https://github.com/citation-style-language/schema/raw/master/csl-citation.json"}</w:instrText>
      </w:r>
      <w:r w:rsidRPr="00770D8B">
        <w:rPr>
          <w:rFonts w:ascii="Arial" w:eastAsiaTheme="minorHAnsi" w:hAnsi="Arial" w:cs="Arial"/>
          <w:lang w:val="es-MX" w:eastAsia="es-PE"/>
        </w:rPr>
        <w:fldChar w:fldCharType="separate"/>
      </w:r>
      <w:r w:rsidRPr="00770D8B">
        <w:rPr>
          <w:rFonts w:ascii="Arial" w:eastAsiaTheme="minorHAnsi" w:hAnsi="Arial" w:cs="Arial"/>
          <w:noProof/>
          <w:lang w:val="es-MX" w:eastAsia="es-PE"/>
        </w:rPr>
        <w:t>Ventura et al. (2021)</w:t>
      </w:r>
      <w:r w:rsidRPr="00770D8B">
        <w:rPr>
          <w:rFonts w:ascii="Arial" w:eastAsiaTheme="minorHAnsi" w:hAnsi="Arial" w:cs="Arial"/>
          <w:lang w:val="es-MX" w:eastAsia="es-PE"/>
        </w:rPr>
        <w:fldChar w:fldCharType="end"/>
      </w:r>
      <w:r w:rsidRPr="00770D8B">
        <w:rPr>
          <w:rFonts w:ascii="Arial" w:eastAsiaTheme="minorHAnsi" w:hAnsi="Arial" w:cs="Arial"/>
          <w:lang w:val="es-MX" w:eastAsia="es-PE"/>
        </w:rPr>
        <w:t xml:space="preserve"> en Perú coinciden en que la modalidad presencial sigue siendo preferida y más efectiva en términos de rendimiento académico y satisfacción estudiantil, en comparación con la virtual. Silva et al. subrayan que, a pesar de la flexibilidad y avances en herramientas como Moodle, </w:t>
      </w:r>
      <w:r w:rsidRPr="00770D8B">
        <w:rPr>
          <w:rFonts w:ascii="Arial" w:eastAsiaTheme="minorHAnsi" w:hAnsi="Arial" w:cs="Arial"/>
          <w:szCs w:val="22"/>
          <w:lang w:val="es-MX" w:eastAsia="es-PE"/>
        </w:rPr>
        <w:t xml:space="preserve">las personas </w:t>
      </w:r>
      <w:r w:rsidRPr="00770D8B">
        <w:rPr>
          <w:rFonts w:ascii="Arial" w:eastAsiaTheme="minorHAnsi" w:hAnsi="Arial" w:cs="Arial"/>
          <w:lang w:val="es-MX" w:eastAsia="es-PE"/>
        </w:rPr>
        <w:t>estudiantes obtienen mejores resultados en entornos presenciales. Ventura et al. señalan que, durante la pandemia, la satisfacción académica disminuyó notablemente en modalidad virtual, especialmente debido a problemas de conectividad y el temor a un bajo rendimiento en estudiantes de bajos recursos.</w:t>
      </w:r>
    </w:p>
    <w:p w14:paraId="2F02B2A3"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t xml:space="preserve">Por otro lado, el estudio de </w:t>
      </w:r>
      <w:r w:rsidRPr="00770D8B">
        <w:rPr>
          <w:rFonts w:ascii="Arial" w:eastAsiaTheme="minorHAnsi" w:hAnsi="Arial" w:cs="Arial"/>
          <w:lang w:val="es-MX" w:eastAsia="es-PE"/>
        </w:rPr>
        <w:fldChar w:fldCharType="begin" w:fldLock="1"/>
      </w:r>
      <w:r w:rsidRPr="00770D8B">
        <w:rPr>
          <w:rFonts w:ascii="Arial" w:eastAsiaTheme="minorHAnsi" w:hAnsi="Arial" w:cs="Arial"/>
          <w:lang w:val="es-MX" w:eastAsia="es-PE"/>
        </w:rPr>
        <w:instrText>ADDIN CSL_CITATION {"citationItems":[{"id":"ITEM-1","itemData":{"author":[{"dropping-particle":"","family":"Ruiz","given":"Edgardo","non-dropping-particle":"","parse-names":false,"suffix":""},{"dropping-particle":"","family":"Cruz","given":"José","non-dropping-particle":"","parse-names":false,"suffix":""},{"dropping-particle":"","family":"Gómez","given":"Cristina","non-dropping-particle":"","parse-names":false,"suffix":""},{"dropping-particle":"","family":"García","given":"Valeria","non-dropping-particle":"","parse-names":false,"suffix":""},{"dropping-particle":"","family":"Lemus","given":"Elsy","non-dropping-particle":"","parse-names":false,"suffix":""}],"container-title":"Revista mexicana de investigación educativa","id":"ITEM-1","issue":"93","issued":{"date-parts":[["2022"]]},"page":"369-386","title":"Comparación de la motivación en alumnos(as) universitarios(as) de modalidad virtual/virtual versus presencial/virtual desde el MSLQ","type":"article-journal","volume":"27"},"uris":["http://www.mendeley.com/documents/?uuid=0855500c-bb5a-4709-88db-09a7438993c2"]}],"mendeley":{"formattedCitation":"(Ruiz et al., 2022)","manualFormatting":"Ruiz et al. (2022)","plainTextFormattedCitation":"(Ruiz et al., 2022)","previouslyFormattedCitation":"(Ruiz et al., 2022)"},"properties":{"noteIndex":0},"schema":"https://github.com/citation-style-language/schema/raw/master/csl-citation.json"}</w:instrText>
      </w:r>
      <w:r w:rsidRPr="00770D8B">
        <w:rPr>
          <w:rFonts w:ascii="Arial" w:eastAsiaTheme="minorHAnsi" w:hAnsi="Arial" w:cs="Arial"/>
          <w:lang w:val="es-MX" w:eastAsia="es-PE"/>
        </w:rPr>
        <w:fldChar w:fldCharType="separate"/>
      </w:r>
      <w:r w:rsidRPr="00770D8B">
        <w:rPr>
          <w:rFonts w:ascii="Arial" w:eastAsiaTheme="minorHAnsi" w:hAnsi="Arial" w:cs="Arial"/>
          <w:noProof/>
          <w:lang w:val="es-MX" w:eastAsia="es-PE"/>
        </w:rPr>
        <w:t>Ruiz et al. (2022)</w:t>
      </w:r>
      <w:r w:rsidRPr="00770D8B">
        <w:rPr>
          <w:rFonts w:ascii="Arial" w:eastAsiaTheme="minorHAnsi" w:hAnsi="Arial" w:cs="Arial"/>
          <w:lang w:val="es-MX" w:eastAsia="es-PE"/>
        </w:rPr>
        <w:fldChar w:fldCharType="end"/>
      </w:r>
      <w:r w:rsidRPr="00770D8B">
        <w:rPr>
          <w:rFonts w:ascii="Arial" w:eastAsiaTheme="minorHAnsi" w:hAnsi="Arial" w:cs="Arial"/>
          <w:lang w:val="es-MX" w:eastAsia="es-PE"/>
        </w:rPr>
        <w:t xml:space="preserve"> en México destaca cómo la motivación y ansiedad de estudiantes se ven afectadas por la modalidad de enseñanza. L</w:t>
      </w:r>
      <w:r w:rsidRPr="00770D8B">
        <w:rPr>
          <w:rFonts w:ascii="Arial" w:eastAsiaTheme="minorHAnsi" w:hAnsi="Arial" w:cs="Arial"/>
          <w:szCs w:val="22"/>
          <w:lang w:val="es-MX" w:eastAsia="es-PE"/>
        </w:rPr>
        <w:t>as personas</w:t>
      </w:r>
      <w:r w:rsidRPr="00770D8B">
        <w:rPr>
          <w:rFonts w:ascii="Arial" w:eastAsiaTheme="minorHAnsi" w:hAnsi="Arial" w:cs="Arial"/>
          <w:lang w:val="es-MX" w:eastAsia="es-PE"/>
        </w:rPr>
        <w:t xml:space="preserve"> estudiantes de la modalidad completamente virtual valoraron más la autonomía, mientras que los de modalidad mixta experimentaron mayor ansiedad y dependencia de la motivación extrínseca. Esto resalta la necesidad de un modelo híbrido que permita una transición gradual y mejor integración de las TIC para abordar la ansiedad y mejorar la adaptación. En general, estos estudios sugieren que la tecnología puede ofrecer flexibilidad y oportunidades, pero la enseñanza presencial sigue siendo crucial para mantener la calidad y satisfacción educativa.</w:t>
      </w:r>
    </w:p>
    <w:p w14:paraId="158BD9C1" w14:textId="77777777" w:rsidR="00770D8B" w:rsidRPr="00770D8B" w:rsidRDefault="00770D8B" w:rsidP="00B97E99">
      <w:pPr>
        <w:spacing w:after="160" w:line="360" w:lineRule="auto"/>
        <w:jc w:val="both"/>
        <w:rPr>
          <w:rFonts w:ascii="Arial" w:eastAsiaTheme="minorHAnsi" w:hAnsi="Arial" w:cs="Arial"/>
          <w:lang w:val="es-MX" w:eastAsia="es-PE"/>
        </w:rPr>
      </w:pPr>
      <w:r w:rsidRPr="00770D8B">
        <w:rPr>
          <w:rFonts w:ascii="Arial" w:eastAsiaTheme="minorHAnsi" w:hAnsi="Arial" w:cs="Arial"/>
          <w:lang w:val="es-MX" w:eastAsia="es-PE"/>
        </w:rPr>
        <w:lastRenderedPageBreak/>
        <w:t>Por último, el estudio de Gonzales &amp; Evaristo (2021) coincide con estos resultados en que la modalidad presencial tiende a generar un ambiente de aprendizaje más estable y suele haber mayor dispersión de notas en el grupo virtual. También respalda la idea de que la regularidad en la asistencia es más inconsistente en entornos virtuales. No obstante, la efectividad de ambas modalidades depende en gran medida del diseño del curso y de las estrategias pedagógicas empleadas.</w:t>
      </w:r>
    </w:p>
    <w:p w14:paraId="312D7FFB" w14:textId="5DE9313A" w:rsidR="00770D8B" w:rsidRPr="00770D8B" w:rsidRDefault="00053E75" w:rsidP="00770D8B">
      <w:pPr>
        <w:keepNext/>
        <w:keepLines/>
        <w:spacing w:before="240" w:after="240" w:line="360" w:lineRule="auto"/>
        <w:jc w:val="both"/>
        <w:outlineLvl w:val="0"/>
        <w:rPr>
          <w:rFonts w:ascii="Arial" w:eastAsiaTheme="majorEastAsia" w:hAnsi="Arial" w:cs="Arial"/>
          <w:b/>
          <w:lang w:val="es-MX" w:eastAsia="es-PE"/>
        </w:rPr>
      </w:pPr>
      <w:r w:rsidRPr="00770D8B">
        <w:rPr>
          <w:rFonts w:ascii="Arial" w:eastAsiaTheme="majorEastAsia" w:hAnsi="Arial" w:cs="Arial"/>
          <w:b/>
          <w:lang w:val="es-MX" w:eastAsia="es-PE"/>
        </w:rPr>
        <w:t>CONCLUSIONES</w:t>
      </w:r>
    </w:p>
    <w:p w14:paraId="399382DF" w14:textId="77777777" w:rsidR="00770D8B" w:rsidRPr="00770D8B" w:rsidRDefault="00770D8B" w:rsidP="00B97E99">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Al comparar el rendimiento académico en las modalidades presencial y virtual de los cursos ESP en el área de salud, se observa que ambas permiten alcanzar los objetivos educativos, la modalidad presencial tiende a ofrecer una mayor estabilidad en los resultados académicos; en los entornos presenciales, las personas aprendices mostraron un rendimiento más homogéneo y una menor variabilidad en sus calificaciones, lo que sugiere que el entorno presencial facilita una experiencia de aprendizaje más consistente. </w:t>
      </w:r>
    </w:p>
    <w:p w14:paraId="6B1071D0" w14:textId="77777777" w:rsidR="00770D8B" w:rsidRPr="00770D8B" w:rsidRDefault="00770D8B" w:rsidP="000E5FA6">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En contraste, la modalidad virtual presentó una mayor dispersión en las calificaciones y un número considerable de retiros, tanto justificados como injustificados, además de participantes reprobados, lo que refleja desafíos adicionales en la adaptación al aprendizaje en línea.</w:t>
      </w:r>
    </w:p>
    <w:p w14:paraId="70EB195E" w14:textId="77777777" w:rsidR="00770D8B" w:rsidRPr="00770D8B" w:rsidRDefault="00770D8B" w:rsidP="000E5FA6">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La comparación entre los cursos de ESP virtuales y presenciales, en cuanto a satisfacción de estudiantes, revela que la mayoría tiene una experiencia positiva en </w:t>
      </w:r>
      <w:r w:rsidRPr="00770D8B">
        <w:rPr>
          <w:rFonts w:ascii="Arial" w:eastAsiaTheme="minorHAnsi" w:hAnsi="Arial" w:cs="Arial"/>
          <w:szCs w:val="22"/>
          <w:lang w:val="es-MX" w:eastAsia="es-PE"/>
        </w:rPr>
        <w:lastRenderedPageBreak/>
        <w:t xml:space="preserve">ambos formatos, aunque con algunas diferencias. Las personas estudiantes valoran la calidad de la enseñanza y la interacción con docentes y compañeros en ambos entornos, pero la modalidad presencial generalmente ofrece una experiencia más enriquecedora en términos de interacción y cohesión grupal. </w:t>
      </w:r>
    </w:p>
    <w:p w14:paraId="06391F11" w14:textId="77777777" w:rsidR="00770D8B" w:rsidRPr="00770D8B" w:rsidRDefault="00770D8B" w:rsidP="000E5FA6">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Por otro lado, los cursos virtuales son apreciados por la flexibilidad en la gestión del tiempo y el acceso a recursos educativos; sin embargo, esta modalidad enfrenta desafíos relacionados con la participación activa y el sentimiento de aislamiento. Ambos enfoques presentan beneficios y limitaciones que impactan de manera diferente el bienestar del estudiantado y su equilibrio entre el estudio y la vida personal. La combinación de elementos de ambos formatos podría ofrecer una solución equilibrada, aprovechando la flexibilidad del aprendizaje virtual y la interacción dinámica de los cursos presenciales.</w:t>
      </w:r>
    </w:p>
    <w:p w14:paraId="586982A6" w14:textId="77777777" w:rsidR="00770D8B" w:rsidRPr="00770D8B" w:rsidRDefault="00770D8B" w:rsidP="000E5FA6">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En conclusión, el análisis comparativo entre el uso de la pizarra y la pantalla en los cursos de inglés para fines específicos (ESP) en el área de la salud muestra que cada modalidad ofrece ventajas distintas pero complementarias. La enseñanza presencial tiende a proporcionar una experiencia de aprendizaje más consistente, con interacción directa e integración social, que contribuyen a una mejor experiencia educativa. </w:t>
      </w:r>
    </w:p>
    <w:p w14:paraId="62C61257" w14:textId="77777777" w:rsidR="00770D8B" w:rsidRPr="00770D8B" w:rsidRDefault="00770D8B" w:rsidP="000E5FA6">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 xml:space="preserve">Los cursos virtuales ofrecen una flexibilidad que se adapta a las necesidades individuales de tiempo y acceso a recursos. La combinación de estrategias de ambas modalidades podría optimizar el aprendizaje, aprovechando la interacción </w:t>
      </w:r>
      <w:r w:rsidRPr="00770D8B">
        <w:rPr>
          <w:rFonts w:ascii="Arial" w:eastAsiaTheme="minorHAnsi" w:hAnsi="Arial" w:cs="Arial"/>
          <w:szCs w:val="22"/>
          <w:lang w:val="es-MX" w:eastAsia="es-PE"/>
        </w:rPr>
        <w:lastRenderedPageBreak/>
        <w:t>dinámica del entorno presencial y la flexibilidad del entorno virtual para ofrecer una experiencia educativa más equilibrada y efectiva en el aprendizaje del inglés, específicamente en las ciencias para la salud.</w:t>
      </w:r>
    </w:p>
    <w:p w14:paraId="63BA6CFE" w14:textId="77777777" w:rsidR="00770D8B" w:rsidRPr="00770D8B" w:rsidRDefault="00770D8B" w:rsidP="000E5FA6">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Este estudio abre la puerta a nuevas investigaciones que podrían enfocarse en el desarrollo de estrategias para mejorar la adaptación del estudiantado al entorno virtual, la implementación de tecnologías educativas que favorezcan la interacción y la calidad de la enseñanza en línea, y la identificación de factores específicos que contribuyan a los retiros en ambas modalidades.</w:t>
      </w:r>
    </w:p>
    <w:p w14:paraId="01F440DE" w14:textId="77777777" w:rsidR="00770D8B" w:rsidRPr="00770D8B" w:rsidRDefault="00770D8B" w:rsidP="000E5FA6">
      <w:pPr>
        <w:spacing w:after="160" w:line="360" w:lineRule="auto"/>
        <w:jc w:val="both"/>
        <w:rPr>
          <w:rFonts w:ascii="Arial" w:eastAsiaTheme="minorHAnsi" w:hAnsi="Arial" w:cs="Arial"/>
          <w:szCs w:val="22"/>
          <w:lang w:val="es-MX" w:eastAsia="es-PE"/>
        </w:rPr>
      </w:pPr>
      <w:r w:rsidRPr="00770D8B">
        <w:rPr>
          <w:rFonts w:ascii="Arial" w:eastAsiaTheme="minorHAnsi" w:hAnsi="Arial" w:cs="Arial"/>
          <w:szCs w:val="22"/>
          <w:lang w:val="es-MX" w:eastAsia="es-PE"/>
        </w:rPr>
        <w:t>Finalmente, se recomienda optimizar los recursos tecnológicos y pedagógicos en la modalidad virtual para reducir la variabilidad en los resultados académicos y aumentar la satisfacción estudiantil. Además, es relevante investigar las causas de los retiros injustificados en la modalidad presencial para implementar medidas de apoyo que mejoren la retención y el éxito académico. También, se sugiere fomentar una mayor integración entre ambas modalidades para aprovechar las fortalezas de cada una.</w:t>
      </w:r>
    </w:p>
    <w:p w14:paraId="12692A0A" w14:textId="2ED2AFD8" w:rsidR="00770D8B" w:rsidRPr="00770D8B" w:rsidRDefault="000E5FA6" w:rsidP="00770D8B">
      <w:pPr>
        <w:keepNext/>
        <w:keepLines/>
        <w:spacing w:before="240" w:after="240" w:line="360" w:lineRule="auto"/>
        <w:jc w:val="both"/>
        <w:outlineLvl w:val="0"/>
        <w:rPr>
          <w:rFonts w:ascii="Arial" w:eastAsiaTheme="majorEastAsia" w:hAnsi="Arial" w:cs="Arial"/>
          <w:b/>
          <w:lang w:val="es-MX" w:eastAsia="es-PE"/>
        </w:rPr>
      </w:pPr>
      <w:r w:rsidRPr="00770D8B">
        <w:rPr>
          <w:rFonts w:ascii="Arial" w:eastAsiaTheme="majorEastAsia" w:hAnsi="Arial" w:cs="Arial"/>
          <w:b/>
          <w:lang w:val="es-MX" w:eastAsia="es-PE"/>
        </w:rPr>
        <w:t>REFERENCIAS BIBLIOGRÁFICAS</w:t>
      </w:r>
    </w:p>
    <w:bookmarkStart w:id="11" w:name="_Hlk198795500"/>
    <w:p w14:paraId="677E8D9C" w14:textId="77777777"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szCs w:val="22"/>
          <w:lang w:val="es-MX" w:eastAsia="es-PE"/>
        </w:rPr>
        <w:fldChar w:fldCharType="begin" w:fldLock="1"/>
      </w:r>
      <w:r w:rsidRPr="00E60E86">
        <w:rPr>
          <w:rFonts w:ascii="Arial" w:eastAsiaTheme="minorHAnsi" w:hAnsi="Arial" w:cs="Arial"/>
          <w:szCs w:val="22"/>
          <w:lang w:val="es-MX" w:eastAsia="es-PE"/>
        </w:rPr>
        <w:instrText xml:space="preserve">ADDIN Mendeley Bibliography CSL_BIBLIOGRAPHY </w:instrText>
      </w:r>
      <w:r w:rsidRPr="00E60E86">
        <w:rPr>
          <w:rFonts w:ascii="Arial" w:eastAsiaTheme="minorHAnsi" w:hAnsi="Arial" w:cs="Arial"/>
          <w:szCs w:val="22"/>
          <w:lang w:val="es-MX" w:eastAsia="es-PE"/>
        </w:rPr>
        <w:fldChar w:fldCharType="separate"/>
      </w:r>
      <w:r w:rsidRPr="00E60E86">
        <w:rPr>
          <w:rFonts w:ascii="Arial" w:eastAsiaTheme="minorHAnsi" w:hAnsi="Arial" w:cs="Arial"/>
          <w:noProof/>
          <w:lang w:val="es-PE" w:eastAsia="es-PE"/>
        </w:rPr>
        <w:t xml:space="preserve">Arias, J. (2020). </w:t>
      </w:r>
      <w:r w:rsidRPr="00E60E86">
        <w:rPr>
          <w:rFonts w:ascii="Arial" w:eastAsiaTheme="minorHAnsi" w:hAnsi="Arial" w:cs="Arial"/>
          <w:i/>
          <w:iCs/>
          <w:noProof/>
          <w:lang w:val="es-PE" w:eastAsia="es-PE"/>
        </w:rPr>
        <w:t>Proyecto de tesis. Guía para la elaboración</w:t>
      </w:r>
      <w:r w:rsidRPr="00E60E86">
        <w:rPr>
          <w:rFonts w:ascii="Arial" w:eastAsiaTheme="minorHAnsi" w:hAnsi="Arial" w:cs="Arial"/>
          <w:noProof/>
          <w:lang w:val="es-PE" w:eastAsia="es-PE"/>
        </w:rPr>
        <w:t>. JLAG.</w:t>
      </w:r>
    </w:p>
    <w:p w14:paraId="7D0B918E" w14:textId="373B23B9"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Chavarría, C., Pérez, R. &amp; Muñoz, M. (2023). Diseño instruccional en educación virtual: migración de cursos de un contexto de aprendizaje presencial a un </w:t>
      </w:r>
      <w:r w:rsidRPr="00E60E86">
        <w:rPr>
          <w:rFonts w:ascii="Arial" w:eastAsiaTheme="minorHAnsi" w:hAnsi="Arial" w:cs="Arial"/>
          <w:noProof/>
          <w:lang w:val="es-PE" w:eastAsia="es-PE"/>
        </w:rPr>
        <w:lastRenderedPageBreak/>
        <w:t xml:space="preserve">contexto virtual. Simposio Informática Empresarial [sección arbitrada]. </w:t>
      </w:r>
      <w:r w:rsidRPr="00E60E86">
        <w:rPr>
          <w:rFonts w:ascii="Arial" w:eastAsiaTheme="minorHAnsi" w:hAnsi="Arial" w:cs="Arial"/>
          <w:i/>
          <w:iCs/>
          <w:noProof/>
          <w:lang w:val="es-PE" w:eastAsia="es-PE"/>
        </w:rPr>
        <w:t>InterSedes</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24</w:t>
      </w:r>
      <w:r w:rsidRPr="00E60E86">
        <w:rPr>
          <w:rFonts w:ascii="Arial" w:eastAsiaTheme="minorHAnsi" w:hAnsi="Arial" w:cs="Arial"/>
          <w:noProof/>
          <w:lang w:val="es-PE" w:eastAsia="es-PE"/>
        </w:rPr>
        <w:t>(50), 312</w:t>
      </w:r>
      <w:r w:rsidR="00FE4304">
        <w:rPr>
          <w:rFonts w:ascii="Arial" w:eastAsiaTheme="minorHAnsi" w:hAnsi="Arial" w:cs="Arial"/>
          <w:noProof/>
          <w:lang w:val="es-PE" w:eastAsia="es-PE"/>
        </w:rPr>
        <w:t xml:space="preserve">. </w:t>
      </w:r>
      <w:r w:rsidRPr="00FE4304">
        <w:rPr>
          <w:rFonts w:ascii="Arial" w:eastAsiaTheme="minorHAnsi" w:hAnsi="Arial" w:cs="Arial"/>
          <w:color w:val="002060"/>
          <w:szCs w:val="22"/>
          <w:u w:val="single"/>
          <w:lang w:val="es-PE" w:eastAsia="es-PE"/>
        </w:rPr>
        <w:t>https://doi.org/10.15517/isucr.v24i50.54007</w:t>
      </w:r>
    </w:p>
    <w:p w14:paraId="3FDBE667" w14:textId="1E06AC86"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Froment, F., De-Besa, M. &amp; Gil, J. (2023). Efecto del apoyo a la autonomía sobre la satisfacción académica: La motivación y el compromiso académico como variables mediadoras. </w:t>
      </w:r>
      <w:r w:rsidRPr="00E60E86">
        <w:rPr>
          <w:rFonts w:ascii="Arial" w:eastAsiaTheme="minorHAnsi" w:hAnsi="Arial" w:cs="Arial"/>
          <w:i/>
          <w:iCs/>
          <w:noProof/>
          <w:lang w:val="es-PE" w:eastAsia="es-PE"/>
        </w:rPr>
        <w:t>Revista de Investigación Educativa</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41</w:t>
      </w:r>
      <w:r w:rsidRPr="00E60E86">
        <w:rPr>
          <w:rFonts w:ascii="Arial" w:eastAsiaTheme="minorHAnsi" w:hAnsi="Arial" w:cs="Arial"/>
          <w:noProof/>
          <w:lang w:val="es-PE" w:eastAsia="es-PE"/>
        </w:rPr>
        <w:t>(2), 479</w:t>
      </w:r>
      <w:r w:rsidR="00FE4304">
        <w:rPr>
          <w:rFonts w:ascii="Arial" w:eastAsiaTheme="minorHAnsi" w:hAnsi="Arial" w:cs="Arial"/>
          <w:noProof/>
          <w:lang w:val="es-PE" w:eastAsia="es-PE"/>
        </w:rPr>
        <w:t>.</w:t>
      </w:r>
      <w:hyperlink r:id="rId12">
        <w:r w:rsidRPr="00FE4304">
          <w:rPr>
            <w:rFonts w:ascii="Arial" w:eastAsiaTheme="minorHAnsi" w:hAnsi="Arial" w:cs="Arial"/>
            <w:color w:val="002060"/>
            <w:szCs w:val="22"/>
            <w:u w:val="single"/>
            <w:lang w:val="es-PE" w:eastAsia="es-PE"/>
          </w:rPr>
          <w:t>https://doi.org/10.6018/rie.546251</w:t>
        </w:r>
      </w:hyperlink>
    </w:p>
    <w:p w14:paraId="7222D3F5" w14:textId="74FD0357"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Garbey, E. &amp; Enriquez, I. (2023). Tendencias actuales en la enseñanza de inglés con fines específicos. </w:t>
      </w:r>
      <w:r w:rsidRPr="00E60E86">
        <w:rPr>
          <w:rFonts w:ascii="Arial" w:eastAsiaTheme="minorHAnsi" w:hAnsi="Arial" w:cs="Arial"/>
          <w:i/>
          <w:iCs/>
          <w:noProof/>
          <w:lang w:val="es-PE" w:eastAsia="es-PE"/>
        </w:rPr>
        <w:t>Revista Científica Cultura, Comunicación y Desarrollo</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8</w:t>
      </w:r>
      <w:r w:rsidRPr="00E60E86">
        <w:rPr>
          <w:rFonts w:ascii="Arial" w:eastAsiaTheme="minorHAnsi" w:hAnsi="Arial" w:cs="Arial"/>
          <w:noProof/>
          <w:lang w:val="es-PE" w:eastAsia="es-PE"/>
        </w:rPr>
        <w:t>(2), 59</w:t>
      </w:r>
      <w:r w:rsidR="00FE4304">
        <w:rPr>
          <w:rFonts w:ascii="Arial" w:eastAsiaTheme="minorHAnsi" w:hAnsi="Arial" w:cs="Arial"/>
          <w:noProof/>
          <w:lang w:val="es-PE" w:eastAsia="es-PE"/>
        </w:rPr>
        <w:t xml:space="preserve">. </w:t>
      </w:r>
      <w:hyperlink r:id="rId13">
        <w:r w:rsidRPr="00FE4304">
          <w:rPr>
            <w:rFonts w:ascii="Arial" w:eastAsiaTheme="minorHAnsi" w:hAnsi="Arial" w:cs="Arial"/>
            <w:color w:val="002060"/>
            <w:szCs w:val="22"/>
            <w:u w:val="single"/>
            <w:lang w:val="es-PE" w:eastAsia="es-PE"/>
          </w:rPr>
          <w:t>https://rccd.ucf.edu.cu/index.php/aes/article/view/456</w:t>
        </w:r>
      </w:hyperlink>
      <w:r w:rsidRPr="00FE4304">
        <w:rPr>
          <w:rFonts w:ascii="Arial" w:eastAsiaTheme="minorHAnsi" w:hAnsi="Arial" w:cs="Arial"/>
          <w:noProof/>
          <w:color w:val="002060"/>
          <w:lang w:val="es-PE" w:eastAsia="es-PE"/>
        </w:rPr>
        <w:t xml:space="preserve"> </w:t>
      </w:r>
    </w:p>
    <w:p w14:paraId="3D2A5657" w14:textId="2B540ACF"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Gonzales, E. &amp; Evaristo, I. (2021). Rendimiento académico y deserción de estudiantes universitarios de un curso en modalidad virtual y presencial.</w:t>
      </w:r>
      <w:r w:rsidRPr="00E60E86">
        <w:rPr>
          <w:rFonts w:ascii="Arial" w:eastAsiaTheme="minorHAnsi" w:hAnsi="Arial" w:cs="Arial"/>
          <w:i/>
          <w:iCs/>
          <w:noProof/>
          <w:lang w:val="es-PE" w:eastAsia="es-PE"/>
        </w:rPr>
        <w:t xml:space="preserve"> Revista Iberoamericana de Educación a Distancia</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24</w:t>
      </w:r>
      <w:r w:rsidRPr="00E60E86">
        <w:rPr>
          <w:rFonts w:ascii="Arial" w:eastAsiaTheme="minorHAnsi" w:hAnsi="Arial" w:cs="Arial"/>
          <w:noProof/>
          <w:lang w:val="es-PE" w:eastAsia="es-PE"/>
        </w:rPr>
        <w:t>(2), 189</w:t>
      </w:r>
      <w:r w:rsidR="00FE4304">
        <w:rPr>
          <w:rFonts w:ascii="Arial" w:eastAsiaTheme="minorHAnsi" w:hAnsi="Arial" w:cs="Arial"/>
          <w:noProof/>
          <w:lang w:val="es-PE" w:eastAsia="es-PE"/>
        </w:rPr>
        <w:t xml:space="preserve">. </w:t>
      </w:r>
      <w:hyperlink r:id="rId14">
        <w:r w:rsidRPr="00FE4304">
          <w:rPr>
            <w:rFonts w:ascii="Arial" w:eastAsiaTheme="minorHAnsi" w:hAnsi="Arial" w:cs="Arial"/>
            <w:color w:val="002060"/>
            <w:szCs w:val="22"/>
            <w:u w:val="single"/>
            <w:lang w:val="es-PE" w:eastAsia="es-PE"/>
          </w:rPr>
          <w:t>https://repositorio.utp.edu.pe/handle/20.500.12867/4332</w:t>
        </w:r>
      </w:hyperlink>
    </w:p>
    <w:p w14:paraId="1C3F16A8" w14:textId="77777777"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Hernández, R. &amp; Mendoza, C. (2018). </w:t>
      </w:r>
      <w:r w:rsidRPr="00E60E86">
        <w:rPr>
          <w:rFonts w:ascii="Arial" w:eastAsiaTheme="minorHAnsi" w:hAnsi="Arial" w:cs="Arial"/>
          <w:i/>
          <w:iCs/>
          <w:noProof/>
          <w:lang w:val="es-PE" w:eastAsia="es-PE"/>
        </w:rPr>
        <w:t>Metodología de la investigación: Las rutas cuantitativa, cualitativa y mixta</w:t>
      </w:r>
      <w:r w:rsidRPr="00E60E86">
        <w:rPr>
          <w:rFonts w:ascii="Arial" w:eastAsiaTheme="minorHAnsi" w:hAnsi="Arial" w:cs="Arial"/>
          <w:noProof/>
          <w:lang w:val="es-PE" w:eastAsia="es-PE"/>
        </w:rPr>
        <w:t xml:space="preserve"> (M. G. Hill (ed.)).</w:t>
      </w:r>
    </w:p>
    <w:p w14:paraId="3B54F6B6" w14:textId="77777777"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eastAsia="es-PE"/>
        </w:rPr>
      </w:pPr>
      <w:r w:rsidRPr="00E60E86">
        <w:rPr>
          <w:rFonts w:ascii="Arial" w:eastAsiaTheme="minorHAnsi" w:hAnsi="Arial" w:cs="Arial"/>
          <w:noProof/>
          <w:lang w:val="es-PE" w:eastAsia="es-PE"/>
        </w:rPr>
        <w:t xml:space="preserve">Huaman, J., Ibarguen, F. &amp; Menacho, I. (2020). Trabajo cooperativo y aprendizaje significativo en matemática en estudiantes universitarios de Lima. </w:t>
      </w:r>
      <w:r w:rsidRPr="00E60E86">
        <w:rPr>
          <w:rFonts w:ascii="Arial" w:eastAsiaTheme="minorHAnsi" w:hAnsi="Arial" w:cs="Arial"/>
          <w:i/>
          <w:iCs/>
          <w:noProof/>
          <w:lang w:eastAsia="es-PE"/>
        </w:rPr>
        <w:t>Educação &amp; Formação</w:t>
      </w:r>
      <w:r w:rsidRPr="00E60E86">
        <w:rPr>
          <w:rFonts w:ascii="Arial" w:eastAsiaTheme="minorHAnsi" w:hAnsi="Arial" w:cs="Arial"/>
          <w:noProof/>
          <w:lang w:eastAsia="es-PE"/>
        </w:rPr>
        <w:t xml:space="preserve">, </w:t>
      </w:r>
      <w:r w:rsidRPr="00E60E86">
        <w:rPr>
          <w:rFonts w:ascii="Arial" w:eastAsiaTheme="minorHAnsi" w:hAnsi="Arial" w:cs="Arial"/>
          <w:i/>
          <w:iCs/>
          <w:noProof/>
          <w:lang w:eastAsia="es-PE"/>
        </w:rPr>
        <w:t>5</w:t>
      </w:r>
      <w:r w:rsidRPr="00E60E86">
        <w:rPr>
          <w:rFonts w:ascii="Arial" w:eastAsiaTheme="minorHAnsi" w:hAnsi="Arial" w:cs="Arial"/>
          <w:noProof/>
          <w:lang w:eastAsia="es-PE"/>
        </w:rPr>
        <w:t xml:space="preserve">(3), 16. </w:t>
      </w:r>
      <w:hyperlink r:id="rId15">
        <w:r w:rsidRPr="00FE4304">
          <w:rPr>
            <w:rFonts w:ascii="Arial" w:eastAsiaTheme="minorHAnsi" w:hAnsi="Arial" w:cs="Arial"/>
            <w:color w:val="002060"/>
            <w:szCs w:val="22"/>
            <w:u w:val="single"/>
            <w:lang w:val="es-PE" w:eastAsia="es-PE"/>
          </w:rPr>
          <w:t>https://dialnet.unirioja.es/servlet/articulo?codigo=7718955</w:t>
        </w:r>
      </w:hyperlink>
    </w:p>
    <w:p w14:paraId="45896920" w14:textId="4ECA580F"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eastAsia="es-PE"/>
        </w:rPr>
        <w:lastRenderedPageBreak/>
        <w:t xml:space="preserve">López, P. &amp; Fachelli, S. (2015). </w:t>
      </w:r>
      <w:r w:rsidRPr="00E60E86">
        <w:rPr>
          <w:rFonts w:ascii="Arial" w:eastAsiaTheme="minorHAnsi" w:hAnsi="Arial" w:cs="Arial"/>
          <w:i/>
          <w:iCs/>
          <w:noProof/>
          <w:lang w:val="es-PE" w:eastAsia="es-PE"/>
        </w:rPr>
        <w:t>Metodología de la investigación social cuantitativa</w:t>
      </w:r>
      <w:r w:rsidRPr="00E60E86">
        <w:rPr>
          <w:rFonts w:ascii="Arial" w:eastAsiaTheme="minorHAnsi" w:hAnsi="Arial" w:cs="Arial"/>
          <w:noProof/>
          <w:lang w:val="es-PE" w:eastAsia="es-PE"/>
        </w:rPr>
        <w:t xml:space="preserve"> (Universitat Autònoma de Barcelona [ed.]</w:t>
      </w:r>
      <w:r w:rsidR="00FE4304">
        <w:rPr>
          <w:rFonts w:ascii="Arial" w:eastAsiaTheme="minorHAnsi" w:hAnsi="Arial" w:cs="Arial"/>
          <w:noProof/>
          <w:lang w:val="es-PE" w:eastAsia="es-PE"/>
        </w:rPr>
        <w:t xml:space="preserve">. </w:t>
      </w:r>
      <w:r w:rsidRPr="00FE4304">
        <w:rPr>
          <w:rFonts w:ascii="Arial" w:eastAsiaTheme="minorHAnsi" w:hAnsi="Arial" w:cs="Arial"/>
          <w:color w:val="002060"/>
          <w:szCs w:val="22"/>
          <w:u w:val="single"/>
          <w:lang w:val="es-PE" w:eastAsia="es-PE"/>
        </w:rPr>
        <w:t>https://ddd.uab.cat/pub/caplli/2016/163564/metinvsoccua_a2016_cap1-2.pdf</w:t>
      </w:r>
    </w:p>
    <w:p w14:paraId="4392D5A1" w14:textId="4C5D088D"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Melgarejo, M., Ninamango, N. &amp; Ramos, J. (2022). Aprendizaje autónomo y recursos educativos digitales en estudiantes Universitarios. </w:t>
      </w:r>
      <w:r w:rsidRPr="00E60E86">
        <w:rPr>
          <w:rFonts w:ascii="Arial" w:eastAsiaTheme="minorHAnsi" w:hAnsi="Arial" w:cs="Arial"/>
          <w:i/>
          <w:iCs/>
          <w:noProof/>
          <w:lang w:val="es-PE" w:eastAsia="es-PE"/>
        </w:rPr>
        <w:t>Sinergias Educativas</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Junio</w:t>
      </w:r>
      <w:r w:rsidR="000C7451">
        <w:rPr>
          <w:rFonts w:ascii="Arial" w:eastAsiaTheme="minorHAnsi" w:hAnsi="Arial" w:cs="Arial"/>
          <w:i/>
          <w:iCs/>
          <w:noProof/>
          <w:lang w:val="es-PE" w:eastAsia="es-PE"/>
        </w:rPr>
        <w:t>.</w:t>
      </w:r>
      <w:r w:rsidR="00FE4304">
        <w:rPr>
          <w:rFonts w:ascii="Arial" w:eastAsiaTheme="minorHAnsi" w:hAnsi="Arial" w:cs="Arial"/>
          <w:i/>
          <w:iCs/>
          <w:noProof/>
          <w:lang w:val="es-PE" w:eastAsia="es-PE"/>
        </w:rPr>
        <w:t xml:space="preserve"> </w:t>
      </w:r>
      <w:r w:rsidRPr="00FE4304">
        <w:rPr>
          <w:rFonts w:ascii="Arial" w:eastAsiaTheme="minorHAnsi" w:hAnsi="Arial" w:cs="Arial"/>
          <w:color w:val="002060"/>
          <w:szCs w:val="22"/>
          <w:u w:val="single"/>
          <w:lang w:val="es-PE" w:eastAsia="es-PE"/>
        </w:rPr>
        <w:t>http://www.sinergiaseducativas.mx/index.php/revista/article/view/240</w:t>
      </w:r>
    </w:p>
    <w:p w14:paraId="731A55A1" w14:textId="5F979ABA" w:rsidR="00770D8B" w:rsidRPr="00A8037A" w:rsidRDefault="00770D8B" w:rsidP="00E60E86">
      <w:pPr>
        <w:spacing w:before="100" w:beforeAutospacing="1" w:after="100" w:afterAutospacing="1" w:line="360" w:lineRule="auto"/>
        <w:ind w:left="709" w:hanging="709"/>
        <w:jc w:val="both"/>
        <w:rPr>
          <w:rFonts w:ascii="Arial" w:eastAsiaTheme="minorHAnsi" w:hAnsi="Arial" w:cs="Arial"/>
          <w:noProof/>
          <w:lang w:eastAsia="es-PE"/>
        </w:rPr>
      </w:pPr>
      <w:r w:rsidRPr="00E60E86">
        <w:rPr>
          <w:rFonts w:ascii="Arial" w:eastAsiaTheme="minorHAnsi" w:hAnsi="Arial" w:cs="Arial"/>
          <w:noProof/>
          <w:lang w:val="es-PE" w:eastAsia="es-PE"/>
        </w:rPr>
        <w:t xml:space="preserve">Murillo, N., Vintimilla, N. &amp; Murillo, I. (2023). La educación virtual e híbrida. Consideraciones desde la Universidad de Guayaquil. </w:t>
      </w:r>
      <w:r w:rsidRPr="00A8037A">
        <w:rPr>
          <w:rFonts w:ascii="Arial" w:eastAsiaTheme="minorHAnsi" w:hAnsi="Arial" w:cs="Arial"/>
          <w:noProof/>
          <w:lang w:eastAsia="es-PE"/>
        </w:rPr>
        <w:t xml:space="preserve">In </w:t>
      </w:r>
      <w:r w:rsidRPr="00A8037A">
        <w:rPr>
          <w:rFonts w:ascii="Arial" w:eastAsiaTheme="minorHAnsi" w:hAnsi="Arial" w:cs="Arial"/>
          <w:i/>
          <w:iCs/>
          <w:noProof/>
          <w:lang w:eastAsia="es-PE"/>
        </w:rPr>
        <w:t>Conrado</w:t>
      </w:r>
      <w:r w:rsidRPr="00A8037A">
        <w:rPr>
          <w:rFonts w:ascii="Arial" w:eastAsiaTheme="minorHAnsi" w:hAnsi="Arial" w:cs="Arial"/>
          <w:noProof/>
          <w:lang w:eastAsia="es-PE"/>
        </w:rPr>
        <w:t xml:space="preserve"> (19), 429-438</w:t>
      </w:r>
      <w:r w:rsidR="000C7451" w:rsidRPr="00A8037A">
        <w:rPr>
          <w:rFonts w:ascii="Arial" w:eastAsiaTheme="minorHAnsi" w:hAnsi="Arial" w:cs="Arial"/>
          <w:noProof/>
          <w:lang w:eastAsia="es-PE"/>
        </w:rPr>
        <w:t xml:space="preserve">. </w:t>
      </w:r>
      <w:r w:rsidRPr="00A8037A">
        <w:rPr>
          <w:rFonts w:ascii="Arial" w:eastAsiaTheme="minorHAnsi" w:hAnsi="Arial" w:cs="Arial"/>
          <w:color w:val="002060"/>
          <w:szCs w:val="22"/>
          <w:u w:val="single"/>
          <w:lang w:eastAsia="es-PE"/>
        </w:rPr>
        <w:t>http://scielo.sld.cu/scielo.php?pid=S1990-86442023000100429&amp;script=sci_arttext&amp;tlng=en</w:t>
      </w:r>
    </w:p>
    <w:p w14:paraId="54540104" w14:textId="543C6DB8"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Organización para la Cooperación y el Desarrollo Económico. (2017). </w:t>
      </w:r>
      <w:r w:rsidRPr="00E60E86">
        <w:rPr>
          <w:rFonts w:ascii="Arial" w:eastAsiaTheme="minorHAnsi" w:hAnsi="Arial" w:cs="Arial"/>
          <w:i/>
          <w:iCs/>
          <w:noProof/>
          <w:lang w:val="es-PE" w:eastAsia="es-PE"/>
        </w:rPr>
        <w:t>La educación a distancia en la educación superior en América Latina</w:t>
      </w:r>
      <w:r w:rsidR="000C7451">
        <w:rPr>
          <w:rFonts w:ascii="Arial" w:eastAsiaTheme="minorHAnsi" w:hAnsi="Arial" w:cs="Arial"/>
          <w:i/>
          <w:iCs/>
          <w:noProof/>
          <w:lang w:val="es-PE" w:eastAsia="es-PE"/>
        </w:rPr>
        <w:t xml:space="preserve">. </w:t>
      </w:r>
      <w:r w:rsidRPr="000C7451">
        <w:rPr>
          <w:rFonts w:ascii="Arial" w:eastAsiaTheme="minorHAnsi" w:hAnsi="Arial" w:cs="Arial"/>
          <w:color w:val="002060"/>
          <w:szCs w:val="22"/>
          <w:u w:val="single"/>
          <w:lang w:val="es-PE" w:eastAsia="es-PE"/>
        </w:rPr>
        <w:t>https://www.oecd.org/es/publications/la-educacion-a-distancia-en-la-educacion-superior-en-america-latina_9789264277977-es.html</w:t>
      </w:r>
    </w:p>
    <w:p w14:paraId="35B7D64A" w14:textId="32181B69"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Ramírez, R., Escobar, I., Beléndez, A. &amp; Arribas, E. (2020). Factores que afectan el rendimiento académico. </w:t>
      </w:r>
      <w:r w:rsidRPr="00E60E86">
        <w:rPr>
          <w:rFonts w:ascii="Arial" w:eastAsiaTheme="minorHAnsi" w:hAnsi="Arial" w:cs="Arial"/>
          <w:i/>
          <w:iCs/>
          <w:noProof/>
          <w:lang w:val="es-PE" w:eastAsia="es-PE"/>
        </w:rPr>
        <w:t>Revista REAMEC</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8</w:t>
      </w:r>
      <w:r w:rsidR="000C7451">
        <w:rPr>
          <w:rFonts w:ascii="Arial" w:eastAsiaTheme="minorHAnsi" w:hAnsi="Arial" w:cs="Arial"/>
          <w:i/>
          <w:iCs/>
          <w:noProof/>
          <w:lang w:val="es-PE" w:eastAsia="es-PE"/>
        </w:rPr>
        <w:t xml:space="preserve">. </w:t>
      </w:r>
      <w:r w:rsidRPr="000C7451">
        <w:rPr>
          <w:rFonts w:ascii="Arial" w:eastAsiaTheme="minorHAnsi" w:hAnsi="Arial" w:cs="Arial"/>
          <w:color w:val="002060"/>
          <w:szCs w:val="22"/>
          <w:u w:val="single"/>
          <w:lang w:val="es-PE" w:eastAsia="es-PE"/>
        </w:rPr>
        <w:t>https://rua.ua.es/dspace/handle/10045/109537</w:t>
      </w:r>
    </w:p>
    <w:p w14:paraId="68A49492" w14:textId="54CA5BC5"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lastRenderedPageBreak/>
        <w:t xml:space="preserve">Ruiz, E., Cruz, J., Gómez, C., García, V. &amp; Lemus, E. (2022). Comparación de la motivación en alumnos(as) universitarios(as) de modalidad virtual/virtual versus presencial/virtual desde el MSLQ. </w:t>
      </w:r>
      <w:r w:rsidRPr="00E60E86">
        <w:rPr>
          <w:rFonts w:ascii="Arial" w:eastAsiaTheme="minorHAnsi" w:hAnsi="Arial" w:cs="Arial"/>
          <w:i/>
          <w:iCs/>
          <w:noProof/>
          <w:lang w:val="es-PE" w:eastAsia="es-PE"/>
        </w:rPr>
        <w:t>Revista Mexicana de Investigación Educativa</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27</w:t>
      </w:r>
      <w:r w:rsidRPr="00E60E86">
        <w:rPr>
          <w:rFonts w:ascii="Arial" w:eastAsiaTheme="minorHAnsi" w:hAnsi="Arial" w:cs="Arial"/>
          <w:noProof/>
          <w:lang w:val="es-PE" w:eastAsia="es-PE"/>
        </w:rPr>
        <w:t>(93), 369</w:t>
      </w:r>
      <w:r w:rsidR="006A5E23">
        <w:rPr>
          <w:rFonts w:ascii="Arial" w:eastAsiaTheme="minorHAnsi" w:hAnsi="Arial" w:cs="Arial"/>
          <w:noProof/>
          <w:lang w:val="es-PE" w:eastAsia="es-PE"/>
        </w:rPr>
        <w:t xml:space="preserve">. </w:t>
      </w:r>
      <w:r w:rsidRPr="006A5E23">
        <w:rPr>
          <w:rFonts w:ascii="Arial" w:eastAsiaTheme="minorHAnsi" w:hAnsi="Arial" w:cs="Arial"/>
          <w:color w:val="002060"/>
          <w:szCs w:val="22"/>
          <w:u w:val="single"/>
          <w:lang w:val="es-PE" w:eastAsia="es-PE"/>
        </w:rPr>
        <w:t>http://www.scielo.org.mx/scielo.php?script=sci_arttext&amp;pid=S1405-66662022000200369&amp;lng=es&amp;tlng=es</w:t>
      </w:r>
    </w:p>
    <w:p w14:paraId="0CE48E04" w14:textId="64E1D811"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Santillán, J. &amp; Santos, R. (2021). De la virtualidad a la presencialidad. </w:t>
      </w:r>
      <w:r w:rsidRPr="00E60E86">
        <w:rPr>
          <w:rFonts w:ascii="Arial" w:eastAsiaTheme="minorHAnsi" w:hAnsi="Arial" w:cs="Arial"/>
          <w:i/>
          <w:iCs/>
          <w:noProof/>
          <w:lang w:val="es-PE" w:eastAsia="es-PE"/>
        </w:rPr>
        <w:t>Polo Del Conocimiento: Revista Científico-Profesional</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6</w:t>
      </w:r>
      <w:r w:rsidRPr="00E60E86">
        <w:rPr>
          <w:rFonts w:ascii="Arial" w:eastAsiaTheme="minorHAnsi" w:hAnsi="Arial" w:cs="Arial"/>
          <w:noProof/>
          <w:lang w:val="es-PE" w:eastAsia="es-PE"/>
        </w:rPr>
        <w:t>(8), 841</w:t>
      </w:r>
      <w:r w:rsidR="006A5E23">
        <w:rPr>
          <w:rFonts w:ascii="Arial" w:eastAsiaTheme="minorHAnsi" w:hAnsi="Arial" w:cs="Arial"/>
          <w:noProof/>
          <w:lang w:val="es-PE" w:eastAsia="es-PE"/>
        </w:rPr>
        <w:t xml:space="preserve">. </w:t>
      </w:r>
      <w:hyperlink r:id="rId16">
        <w:r w:rsidRPr="006A5E23">
          <w:rPr>
            <w:rFonts w:ascii="Arial" w:eastAsiaTheme="minorHAnsi" w:hAnsi="Arial" w:cs="Arial"/>
            <w:color w:val="002060"/>
            <w:szCs w:val="22"/>
            <w:u w:val="single"/>
            <w:lang w:val="es-PE" w:eastAsia="es-PE"/>
          </w:rPr>
          <w:t>https://dialnet.unirioja.es/servlet/articulo?codigo=8094459</w:t>
        </w:r>
      </w:hyperlink>
    </w:p>
    <w:p w14:paraId="3728F54A" w14:textId="57EC5391" w:rsidR="00770D8B" w:rsidRPr="00E60E86" w:rsidRDefault="00770D8B" w:rsidP="00E60E86">
      <w:pPr>
        <w:spacing w:before="100" w:beforeAutospacing="1" w:after="100" w:afterAutospacing="1" w:line="360" w:lineRule="auto"/>
        <w:ind w:left="709" w:hanging="709"/>
        <w:jc w:val="both"/>
        <w:rPr>
          <w:rFonts w:ascii="Arial" w:eastAsiaTheme="minorHAnsi" w:hAnsi="Arial" w:cs="Arial"/>
          <w:i/>
          <w:iCs/>
          <w:noProof/>
          <w:lang w:val="es-PE" w:eastAsia="es-PE"/>
        </w:rPr>
      </w:pPr>
      <w:r w:rsidRPr="00E60E86">
        <w:rPr>
          <w:rFonts w:ascii="Arial" w:eastAsiaTheme="minorHAnsi" w:hAnsi="Arial" w:cs="Arial"/>
          <w:noProof/>
          <w:lang w:val="es-PE" w:eastAsia="es-PE"/>
        </w:rPr>
        <w:t xml:space="preserve">Silva, F., Esteves, Z. &amp; Melgar, K. (2023). Formación Integral del Estudiante: Análisis comparativo en modalidad presencial y virtual. </w:t>
      </w:r>
      <w:r w:rsidRPr="00E60E86">
        <w:rPr>
          <w:rFonts w:ascii="Arial" w:eastAsiaTheme="minorHAnsi" w:hAnsi="Arial" w:cs="Arial"/>
          <w:i/>
          <w:iCs/>
          <w:noProof/>
          <w:lang w:val="es-PE" w:eastAsia="es-PE"/>
        </w:rPr>
        <w:t>Revista Arbitrada Interdisciplinaria Koinonía</w:t>
      </w:r>
      <w:r w:rsidRPr="00E60E86">
        <w:rPr>
          <w:rFonts w:ascii="Arial" w:eastAsiaTheme="minorHAnsi" w:hAnsi="Arial" w:cs="Arial"/>
          <w:noProof/>
          <w:lang w:val="es-PE" w:eastAsia="es-PE"/>
        </w:rPr>
        <w:t xml:space="preserve"> (8) 172-191.</w:t>
      </w:r>
      <w:r w:rsidRPr="00E60E86">
        <w:rPr>
          <w:rFonts w:ascii="Arial" w:eastAsiaTheme="minorHAnsi" w:hAnsi="Arial" w:cs="Arial"/>
          <w:i/>
          <w:iCs/>
          <w:noProof/>
          <w:lang w:val="es-PE" w:eastAsia="es-PE"/>
        </w:rPr>
        <w:t xml:space="preserve"> </w:t>
      </w:r>
      <w:hyperlink r:id="rId17" w:history="1">
        <w:r w:rsidRPr="006A5E23">
          <w:rPr>
            <w:rFonts w:ascii="Arial" w:eastAsiaTheme="minorHAnsi" w:hAnsi="Arial" w:cs="Arial"/>
            <w:i/>
            <w:iCs/>
            <w:noProof/>
            <w:color w:val="002060"/>
            <w:u w:val="single"/>
            <w:lang w:val="es-PE" w:eastAsia="es-PE"/>
          </w:rPr>
          <w:t>https://doi.org/10.35381/r.k.v8i1.2779</w:t>
        </w:r>
      </w:hyperlink>
      <w:r w:rsidRPr="006A5E23">
        <w:rPr>
          <w:rFonts w:ascii="Arial" w:eastAsiaTheme="minorHAnsi" w:hAnsi="Arial" w:cs="Arial"/>
          <w:i/>
          <w:iCs/>
          <w:noProof/>
          <w:color w:val="002060"/>
          <w:lang w:val="es-PE" w:eastAsia="es-PE"/>
        </w:rPr>
        <w:t xml:space="preserve"> </w:t>
      </w:r>
    </w:p>
    <w:p w14:paraId="3956D673" w14:textId="5D115423"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t xml:space="preserve">Soza, S. (2021). Factores sociodemográficos asociados a la calidad del rendimiento académico, estudiantes de tercero y quinto año de Medicina, Universidad Nacional Autónoma de Nicaragua, UNAN-Managua. </w:t>
      </w:r>
      <w:r w:rsidRPr="00E60E86">
        <w:rPr>
          <w:rFonts w:ascii="Arial" w:eastAsiaTheme="minorHAnsi" w:hAnsi="Arial" w:cs="Arial"/>
          <w:i/>
          <w:iCs/>
          <w:noProof/>
          <w:lang w:val="es-PE" w:eastAsia="es-PE"/>
        </w:rPr>
        <w:t>Revista Científica Estelí</w:t>
      </w:r>
      <w:r w:rsidRPr="00E60E86">
        <w:rPr>
          <w:rFonts w:ascii="Arial" w:eastAsiaTheme="minorHAnsi" w:hAnsi="Arial" w:cs="Arial"/>
          <w:noProof/>
          <w:lang w:val="es-PE" w:eastAsia="es-PE"/>
        </w:rPr>
        <w:t xml:space="preserve">, </w:t>
      </w:r>
      <w:r w:rsidRPr="00E60E86">
        <w:rPr>
          <w:rFonts w:ascii="Arial" w:eastAsiaTheme="minorHAnsi" w:hAnsi="Arial" w:cs="Arial"/>
          <w:i/>
          <w:iCs/>
          <w:noProof/>
          <w:lang w:val="es-PE" w:eastAsia="es-PE"/>
        </w:rPr>
        <w:t>38</w:t>
      </w:r>
      <w:r w:rsidRPr="00E60E86">
        <w:rPr>
          <w:rFonts w:ascii="Arial" w:eastAsiaTheme="minorHAnsi" w:hAnsi="Arial" w:cs="Arial"/>
          <w:noProof/>
          <w:lang w:val="es-PE" w:eastAsia="es-PE"/>
        </w:rPr>
        <w:t>, 100</w:t>
      </w:r>
      <w:r w:rsidR="006A5E23">
        <w:rPr>
          <w:rFonts w:ascii="Arial" w:eastAsiaTheme="minorHAnsi" w:hAnsi="Arial" w:cs="Arial"/>
          <w:noProof/>
          <w:lang w:val="es-PE" w:eastAsia="es-PE"/>
        </w:rPr>
        <w:t xml:space="preserve">. </w:t>
      </w:r>
      <w:hyperlink r:id="rId18">
        <w:r w:rsidRPr="006A5E23">
          <w:rPr>
            <w:rFonts w:ascii="Arial" w:eastAsiaTheme="minorHAnsi" w:hAnsi="Arial" w:cs="Arial"/>
            <w:color w:val="002060"/>
            <w:szCs w:val="22"/>
            <w:u w:val="single"/>
            <w:lang w:val="es-PE" w:eastAsia="es-PE"/>
          </w:rPr>
          <w:t>https://revistas.unan.edu.ni/index.php/Cientifica/article/view/2098</w:t>
        </w:r>
      </w:hyperlink>
    </w:p>
    <w:p w14:paraId="536DC6F4" w14:textId="1B6F1796" w:rsidR="00770D8B" w:rsidRPr="00E60E86" w:rsidRDefault="00770D8B" w:rsidP="00E60E86">
      <w:pPr>
        <w:spacing w:before="100" w:beforeAutospacing="1" w:after="100" w:afterAutospacing="1" w:line="360" w:lineRule="auto"/>
        <w:ind w:left="709" w:hanging="709"/>
        <w:jc w:val="both"/>
        <w:rPr>
          <w:rFonts w:ascii="Arial" w:eastAsiaTheme="minorHAnsi" w:hAnsi="Arial" w:cs="Arial"/>
          <w:noProof/>
          <w:lang w:val="es-PE" w:eastAsia="es-PE"/>
        </w:rPr>
      </w:pPr>
      <w:r w:rsidRPr="00E60E86">
        <w:rPr>
          <w:rFonts w:ascii="Arial" w:eastAsiaTheme="minorHAnsi" w:hAnsi="Arial" w:cs="Arial"/>
          <w:noProof/>
          <w:lang w:val="es-PE" w:eastAsia="es-PE"/>
        </w:rPr>
        <w:lastRenderedPageBreak/>
        <w:t xml:space="preserve">Statista. (2020). </w:t>
      </w:r>
      <w:r w:rsidRPr="00E60E86">
        <w:rPr>
          <w:rFonts w:ascii="Arial" w:eastAsiaTheme="minorHAnsi" w:hAnsi="Arial" w:cs="Arial"/>
          <w:i/>
          <w:iCs/>
          <w:noProof/>
          <w:lang w:val="es-PE" w:eastAsia="es-PE"/>
        </w:rPr>
        <w:t>¿La educación del futuro será online?</w:t>
      </w:r>
      <w:r w:rsidR="009F3E5A">
        <w:rPr>
          <w:rFonts w:ascii="Arial" w:eastAsiaTheme="minorHAnsi" w:hAnsi="Arial" w:cs="Arial"/>
          <w:i/>
          <w:iCs/>
          <w:noProof/>
          <w:lang w:val="es-PE" w:eastAsia="es-PE"/>
        </w:rPr>
        <w:t xml:space="preserve">  </w:t>
      </w:r>
      <w:r w:rsidRPr="009F3E5A">
        <w:rPr>
          <w:rFonts w:ascii="Arial" w:eastAsiaTheme="minorHAnsi" w:hAnsi="Arial" w:cs="Arial"/>
          <w:color w:val="002060"/>
          <w:szCs w:val="22"/>
          <w:u w:val="single"/>
          <w:lang w:val="es-PE" w:eastAsia="es-PE"/>
        </w:rPr>
        <w:t>https://es.statista.com/grafico/23692/encuesta-educacion-superior-online-o-presencial/</w:t>
      </w:r>
    </w:p>
    <w:p w14:paraId="35765BED" w14:textId="56621842" w:rsidR="00770D8B" w:rsidRPr="009F3E5A" w:rsidRDefault="00770D8B" w:rsidP="00E60E86">
      <w:pPr>
        <w:spacing w:before="100" w:beforeAutospacing="1" w:after="100" w:afterAutospacing="1" w:line="360" w:lineRule="auto"/>
        <w:ind w:left="709" w:hanging="709"/>
        <w:jc w:val="both"/>
        <w:rPr>
          <w:rFonts w:ascii="Arial" w:eastAsiaTheme="minorHAnsi" w:hAnsi="Arial" w:cs="Arial"/>
          <w:noProof/>
          <w:color w:val="002060"/>
          <w:lang w:val="es-PE" w:eastAsia="es-PE"/>
        </w:rPr>
      </w:pPr>
      <w:r w:rsidRPr="00E60E86">
        <w:rPr>
          <w:rFonts w:ascii="Arial" w:eastAsiaTheme="minorHAnsi" w:hAnsi="Arial" w:cs="Arial"/>
          <w:noProof/>
          <w:lang w:val="es-PE" w:eastAsia="es-PE"/>
        </w:rPr>
        <w:t xml:space="preserve">Torres, L. (2020). ¿ Educación presencial o virtual. In </w:t>
      </w:r>
      <w:r w:rsidRPr="00E60E86">
        <w:rPr>
          <w:rFonts w:ascii="Arial" w:eastAsiaTheme="minorHAnsi" w:hAnsi="Arial" w:cs="Arial"/>
          <w:i/>
          <w:iCs/>
          <w:noProof/>
          <w:lang w:val="es-PE" w:eastAsia="es-PE"/>
        </w:rPr>
        <w:t>La Paz: Universidad Mayor de San</w:t>
      </w:r>
      <w:r w:rsidRPr="00E60E86">
        <w:rPr>
          <w:rFonts w:ascii="Arial" w:eastAsiaTheme="minorHAnsi" w:hAnsi="Arial" w:cs="Arial"/>
          <w:noProof/>
          <w:lang w:val="es-PE" w:eastAsia="es-PE"/>
        </w:rPr>
        <w:t>. Centro Psicopedagógico de Investigación en Educación Superior de la Universidad Mayor de San André</w:t>
      </w:r>
      <w:r w:rsidR="009F3E5A">
        <w:rPr>
          <w:rFonts w:ascii="Arial" w:eastAsiaTheme="minorHAnsi" w:hAnsi="Arial" w:cs="Arial"/>
          <w:noProof/>
          <w:lang w:val="es-PE" w:eastAsia="es-PE"/>
        </w:rPr>
        <w:t xml:space="preserve">. </w:t>
      </w:r>
      <w:r w:rsidRPr="009F3E5A">
        <w:rPr>
          <w:rFonts w:ascii="Arial" w:eastAsiaTheme="minorHAnsi" w:hAnsi="Arial" w:cs="Arial"/>
          <w:color w:val="002060"/>
          <w:szCs w:val="22"/>
          <w:u w:val="single"/>
          <w:lang w:val="es-PE" w:eastAsia="es-PE"/>
        </w:rPr>
        <w:t>https://www.researchgate.net/profile/Ludwing-Torres-Carrasco/publication/345548810_Educacion_presencial_o_virtual_Evaluando_los_rendimientos_educativos_entre_modalidades_durante_pandemia/links/5fa8a4dd92851cc286a05ef6/Educacion-presencial-o-virtual-Evaluando-los-rendimientos-educativos-entre-modalidades-durante-pandemia.pdf</w:t>
      </w:r>
      <w:r w:rsidRPr="009F3E5A">
        <w:rPr>
          <w:rFonts w:ascii="Arial" w:eastAsiaTheme="minorHAnsi" w:hAnsi="Arial" w:cs="Arial"/>
          <w:noProof/>
          <w:color w:val="002060"/>
          <w:lang w:val="es-PE" w:eastAsia="es-PE"/>
        </w:rPr>
        <w:t xml:space="preserve"> </w:t>
      </w:r>
    </w:p>
    <w:p w14:paraId="18B17269" w14:textId="29D714FB" w:rsidR="00770D8B" w:rsidRPr="00E60E86" w:rsidRDefault="00770D8B" w:rsidP="00E60E86">
      <w:pPr>
        <w:spacing w:before="100" w:beforeAutospacing="1" w:after="100" w:afterAutospacing="1" w:line="360" w:lineRule="auto"/>
        <w:ind w:left="709" w:hanging="709"/>
        <w:jc w:val="both"/>
        <w:rPr>
          <w:rFonts w:ascii="Arial" w:eastAsiaTheme="minorHAnsi" w:hAnsi="Arial" w:cs="Arial"/>
          <w:szCs w:val="22"/>
          <w:lang w:val="es-MX" w:eastAsia="es-PE"/>
        </w:rPr>
      </w:pPr>
      <w:r w:rsidRPr="00E60E86">
        <w:rPr>
          <w:rFonts w:ascii="Arial" w:eastAsia="Aptos" w:hAnsi="Arial" w:cs="Arial"/>
          <w:noProof/>
          <w:lang w:val="es-PE" w:eastAsia="es-PE"/>
        </w:rPr>
        <w:t xml:space="preserve">Ventura, J., Caycho, T. &amp; Talledo, K. (2021). Satisfacción Académica en estudiantes de Ciencias de la Salud antes y durante la pandemia COVID-19. </w:t>
      </w:r>
      <w:r w:rsidRPr="00E60E86">
        <w:rPr>
          <w:rFonts w:ascii="Arial" w:eastAsia="Aptos" w:hAnsi="Arial" w:cs="Arial"/>
          <w:i/>
          <w:iCs/>
          <w:noProof/>
          <w:lang w:val="es-PE" w:eastAsia="es-PE"/>
        </w:rPr>
        <w:t>Revista Habanera de Ciencias Médicas</w:t>
      </w:r>
      <w:r w:rsidRPr="00E60E86">
        <w:rPr>
          <w:rFonts w:ascii="Arial" w:eastAsia="Aptos" w:hAnsi="Arial" w:cs="Arial"/>
          <w:noProof/>
          <w:lang w:val="es-PE" w:eastAsia="es-PE"/>
        </w:rPr>
        <w:t xml:space="preserve"> </w:t>
      </w:r>
      <w:r w:rsidRPr="00E60E86">
        <w:rPr>
          <w:rFonts w:ascii="Arial" w:eastAsia="Aptos" w:hAnsi="Arial" w:cs="Arial"/>
          <w:szCs w:val="22"/>
          <w:lang w:val="es-PE" w:eastAsia="es-PE"/>
        </w:rPr>
        <w:t>20(6), 1–7.</w:t>
      </w:r>
      <w:r w:rsidR="0067034D">
        <w:rPr>
          <w:rFonts w:ascii="Arial" w:eastAsia="Aptos" w:hAnsi="Arial" w:cs="Arial"/>
          <w:szCs w:val="22"/>
          <w:lang w:val="es-PE" w:eastAsia="es-PE"/>
        </w:rPr>
        <w:t xml:space="preserve"> </w:t>
      </w:r>
      <w:hyperlink r:id="rId19" w:history="1">
        <w:r w:rsidRPr="0067034D">
          <w:rPr>
            <w:rFonts w:ascii="Arial" w:eastAsia="Aptos" w:hAnsi="Arial" w:cs="Arial"/>
            <w:color w:val="002060"/>
            <w:szCs w:val="22"/>
            <w:u w:val="single"/>
            <w:lang w:val="es-PE" w:eastAsia="es-PE"/>
          </w:rPr>
          <w:t>https://dialnet.unirioja.es/servlet/articulo?codigo=8200710</w:t>
        </w:r>
      </w:hyperlink>
      <w:r w:rsidRPr="00E60E86">
        <w:rPr>
          <w:rFonts w:ascii="Arial" w:eastAsiaTheme="minorHAnsi" w:hAnsi="Arial" w:cs="Arial"/>
          <w:szCs w:val="22"/>
          <w:lang w:val="es-MX" w:eastAsia="es-PE"/>
        </w:rPr>
        <w:fldChar w:fldCharType="end"/>
      </w:r>
      <w:bookmarkEnd w:id="11"/>
    </w:p>
    <w:p w14:paraId="23C9E876" w14:textId="77777777" w:rsidR="00770D8B" w:rsidRPr="00E60E86" w:rsidRDefault="00770D8B" w:rsidP="00E60E86">
      <w:pPr>
        <w:spacing w:before="100" w:beforeAutospacing="1" w:after="100" w:afterAutospacing="1" w:line="360" w:lineRule="auto"/>
        <w:ind w:left="709" w:hanging="709"/>
        <w:rPr>
          <w:rFonts w:ascii="Arial" w:hAnsi="Arial" w:cs="Arial"/>
          <w:b/>
          <w:bCs/>
        </w:rPr>
      </w:pPr>
    </w:p>
    <w:sectPr w:rsidR="00770D8B" w:rsidRPr="00E60E86" w:rsidSect="00A2644F">
      <w:headerReference w:type="default" r:id="rId20"/>
      <w:footerReference w:type="default" r:id="rId21"/>
      <w:pgSz w:w="12240" w:h="15840"/>
      <w:pgMar w:top="1417" w:right="1750" w:bottom="141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DA984" w14:textId="77777777" w:rsidR="000D2E50" w:rsidRDefault="000D2E50" w:rsidP="003C3F58">
      <w:r>
        <w:separator/>
      </w:r>
    </w:p>
  </w:endnote>
  <w:endnote w:type="continuationSeparator" w:id="0">
    <w:p w14:paraId="61B73487" w14:textId="77777777" w:rsidR="000D2E50" w:rsidRDefault="000D2E50"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E0186F" w:rsidRPr="002E52DF" w:rsidRDefault="00E0186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1AE322B" w14:textId="1A654D74" w:rsidR="00E0186F" w:rsidRDefault="00E0186F" w:rsidP="006E5605">
        <w:pPr>
          <w:pStyle w:val="Sinespaciado"/>
          <w:jc w:val="center"/>
          <w:rPr>
            <w:rFonts w:ascii="Agency FB" w:hAnsi="Agency FB"/>
            <w:b/>
            <w:color w:val="E36C0A"/>
          </w:rPr>
        </w:pPr>
        <w:r w:rsidRPr="006E5605">
          <w:rPr>
            <w:rFonts w:ascii="Agency FB" w:hAnsi="Agency FB"/>
            <w:b/>
            <w:color w:val="E36C0A"/>
          </w:rPr>
          <w:t>Pantalla o pizarra: análisis comparativo del rendimiento académico y la satisfacción en el aprendizaje del inglés para fines específicos (ESP) en el área de la salud</w:t>
        </w:r>
      </w:p>
      <w:p w14:paraId="2EF245E8" w14:textId="005B4875" w:rsidR="00E0186F" w:rsidRPr="00BC0D99" w:rsidRDefault="00E0186F" w:rsidP="0020679D">
        <w:pPr>
          <w:pStyle w:val="Sinespaciado"/>
          <w:jc w:val="center"/>
          <w:rPr>
            <w:rFonts w:ascii="Agency FB" w:hAnsi="Agency FB"/>
            <w:color w:val="E36C0A"/>
            <w:lang w:val="es-CR"/>
          </w:rPr>
        </w:pPr>
        <w:r w:rsidRPr="003E2F0C">
          <w:rPr>
            <w:rFonts w:ascii="Agency FB" w:hAnsi="Agency FB"/>
            <w:color w:val="E36C0A"/>
            <w:lang w:val="es-CR"/>
          </w:rPr>
          <w:t>Hazel Alfaro-Salas</w:t>
        </w:r>
      </w:p>
      <w:p w14:paraId="1F70B1D2" w14:textId="07B0114E" w:rsidR="00E0186F" w:rsidRPr="00A8037A" w:rsidRDefault="00E0186F" w:rsidP="0020679D">
        <w:pPr>
          <w:pStyle w:val="Sinespaciado"/>
          <w:jc w:val="center"/>
          <w:rPr>
            <w:rFonts w:ascii="Agency FB" w:hAnsi="Agency FB"/>
            <w:color w:val="E36C0A"/>
            <w:lang w:val="es-CR"/>
          </w:rPr>
        </w:pPr>
        <w:r w:rsidRPr="00A8037A">
          <w:rPr>
            <w:rFonts w:ascii="Agency FB" w:hAnsi="Agency FB"/>
            <w:color w:val="E36C0A"/>
            <w:lang w:val="es-CR"/>
          </w:rPr>
          <w:t xml:space="preserve">DOI: </w:t>
        </w:r>
        <w:hyperlink r:id="rId1" w:history="1">
          <w:r w:rsidRPr="00A8037A">
            <w:rPr>
              <w:rStyle w:val="Hipervnculo"/>
              <w:rFonts w:ascii="Agency FB" w:hAnsi="Agency FB"/>
              <w:color w:val="002060"/>
              <w:lang w:val="es-CR"/>
            </w:rPr>
            <w:t>http://dx.doi.org/10.22458/caes.v16i1.5446</w:t>
          </w:r>
        </w:hyperlink>
      </w:p>
      <w:p w14:paraId="416290C8" w14:textId="17170D1B" w:rsidR="00E0186F" w:rsidRPr="0066186F" w:rsidRDefault="00E0186F" w:rsidP="0020679D">
        <w:pPr>
          <w:pStyle w:val="Sinespaciado"/>
          <w:tabs>
            <w:tab w:val="center" w:pos="4929"/>
            <w:tab w:val="left" w:pos="8661"/>
          </w:tabs>
          <w:rPr>
            <w:rFonts w:ascii="Agency FB" w:hAnsi="Agency FB"/>
            <w:color w:val="E36C0A"/>
          </w:rPr>
        </w:pPr>
        <w:r w:rsidRPr="00A8037A">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E0186F" w:rsidRPr="0066186F" w:rsidRDefault="00E0186F"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E0186F" w:rsidRDefault="00E0186F">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E0186F" w:rsidRPr="0020679D" w:rsidRDefault="00E0186F">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0DB68" w14:textId="77777777" w:rsidR="000D2E50" w:rsidRDefault="000D2E50" w:rsidP="003C3F58">
      <w:r>
        <w:separator/>
      </w:r>
    </w:p>
  </w:footnote>
  <w:footnote w:type="continuationSeparator" w:id="0">
    <w:p w14:paraId="3A792EDA" w14:textId="77777777" w:rsidR="000D2E50" w:rsidRDefault="000D2E50" w:rsidP="003C3F58">
      <w:r>
        <w:continuationSeparator/>
      </w:r>
    </w:p>
  </w:footnote>
  <w:footnote w:id="1">
    <w:p w14:paraId="7F83BD30" w14:textId="2579DBD1" w:rsidR="00E0186F" w:rsidRPr="00944B72" w:rsidRDefault="00E0186F" w:rsidP="00944B72">
      <w:pPr>
        <w:spacing w:line="240" w:lineRule="atLeast"/>
        <w:jc w:val="both"/>
        <w:rPr>
          <w:rFonts w:ascii="Arial" w:eastAsiaTheme="minorHAnsi" w:hAnsi="Arial" w:cs="Arial"/>
          <w:sz w:val="20"/>
          <w:szCs w:val="20"/>
          <w:lang w:val="es-MX" w:eastAsia="es-PE"/>
        </w:rPr>
      </w:pPr>
      <w:r w:rsidRPr="00944B72">
        <w:rPr>
          <w:rStyle w:val="Refdenotaalpie"/>
          <w:rFonts w:ascii="Arial" w:eastAsia="Arial" w:hAnsi="Arial" w:cs="Arial"/>
          <w:sz w:val="20"/>
          <w:szCs w:val="20"/>
        </w:rPr>
        <w:footnoteRef/>
      </w:r>
      <w:r w:rsidRPr="00944B72">
        <w:rPr>
          <w:rFonts w:ascii="Arial" w:hAnsi="Arial" w:cs="Arial"/>
          <w:sz w:val="20"/>
          <w:szCs w:val="20"/>
        </w:rPr>
        <w:t xml:space="preserve"> Profesora de inglés con más de 20 años de experiencia laborando en el MEP, UNED y UCR. Máster en Docencia, Licenciatura en la enseñanza del inglés y estudios en Lingüística </w:t>
      </w:r>
      <w:r>
        <w:rPr>
          <w:rFonts w:ascii="Arial" w:hAnsi="Arial" w:cs="Arial"/>
          <w:sz w:val="20"/>
          <w:szCs w:val="20"/>
        </w:rPr>
        <w:t>A</w:t>
      </w:r>
      <w:r w:rsidRPr="00944B72">
        <w:rPr>
          <w:rFonts w:ascii="Arial" w:hAnsi="Arial" w:cs="Arial"/>
          <w:sz w:val="20"/>
          <w:szCs w:val="20"/>
        </w:rPr>
        <w:t>plicada, además de capacitaciones enfocadas al uso de las TIC en educación.  Doctorando en Educación con énfasis en Investigación de la UNINI, Puerto Rico.</w:t>
      </w:r>
      <w:r w:rsidRPr="00944B72">
        <w:rPr>
          <w:rFonts w:ascii="Arial" w:hAnsi="Arial" w:cs="Arial"/>
          <w:color w:val="000000" w:themeColor="text1"/>
          <w:sz w:val="20"/>
          <w:szCs w:val="20"/>
        </w:rP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944B72">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944B72">
        <w:rPr>
          <w:rFonts w:ascii="Arial" w:hAnsi="Arial" w:cs="Arial"/>
          <w:color w:val="000000" w:themeColor="text1"/>
          <w:sz w:val="20"/>
          <w:szCs w:val="20"/>
        </w:rPr>
        <w:t xml:space="preserve"> </w:t>
      </w:r>
      <w:hyperlink r:id="rId2" w:history="1">
        <w:r w:rsidRPr="000D7954">
          <w:rPr>
            <w:rFonts w:ascii="Arial" w:eastAsiaTheme="minorHAnsi" w:hAnsi="Arial" w:cs="Arial"/>
            <w:bCs/>
            <w:color w:val="002060"/>
            <w:sz w:val="20"/>
            <w:szCs w:val="20"/>
            <w:u w:val="single"/>
            <w:lang w:val="es-PE" w:eastAsia="es-PE"/>
          </w:rPr>
          <w:t>https://orcid.org/0000-0001-6092-1627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20C9EC0" w:rsidR="00E0186F" w:rsidRPr="00B344FA" w:rsidRDefault="00E0186F" w:rsidP="008A1766">
    <w:pPr>
      <w:pStyle w:val="Sinespaciado"/>
      <w:jc w:val="center"/>
      <w:rPr>
        <w:rFonts w:ascii="Agency FB" w:hAnsi="Agency FB"/>
        <w:color w:val="E36C0A"/>
      </w:rPr>
    </w:pPr>
    <w:bookmarkStart w:id="12" w:name="_Hlk151106753"/>
    <w:r w:rsidRPr="00B344FA">
      <w:rPr>
        <w:rFonts w:ascii="Agency FB" w:hAnsi="Agency FB"/>
        <w:color w:val="E36C0A"/>
      </w:rPr>
      <w:t>REVISTA ELECTRÓNICA CALIDAD EN LA EDUCACIÓN SUPERIOR ISSN: 1659 - 4703, VOL. 16(</w:t>
    </w:r>
    <w:r>
      <w:rPr>
        <w:rFonts w:ascii="Agency FB" w:hAnsi="Agency FB"/>
        <w:color w:val="E36C0A"/>
      </w:rPr>
      <w:t>1</w:t>
    </w:r>
    <w:r w:rsidRPr="00B344FA">
      <w:rPr>
        <w:rFonts w:ascii="Agency FB" w:hAnsi="Agency FB"/>
        <w:color w:val="E36C0A"/>
      </w:rPr>
      <w:t>) ENERO-MAYO, 2025:</w:t>
    </w:r>
    <w:r>
      <w:rPr>
        <w:rFonts w:ascii="Agency FB" w:hAnsi="Agency FB"/>
        <w:color w:val="E36C0A"/>
      </w:rPr>
      <w:t xml:space="preserve"> 01-49</w:t>
    </w:r>
  </w:p>
  <w:p w14:paraId="505074AE" w14:textId="4D68327B" w:rsidR="00E0186F" w:rsidRPr="00FE0969" w:rsidRDefault="00E0186F"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E0186F" w:rsidRPr="0081623B" w:rsidRDefault="000D2E50" w:rsidP="00A82B98">
    <w:pPr>
      <w:pStyle w:val="Sinespaciado"/>
      <w:jc w:val="center"/>
      <w:rPr>
        <w:rFonts w:ascii="Agency FB" w:hAnsi="Agency FB"/>
        <w:color w:val="E36C0A"/>
      </w:rPr>
    </w:pPr>
    <w:hyperlink r:id="rId2" w:history="1">
      <w:r w:rsidR="00E0186F" w:rsidRPr="0081623B">
        <w:rPr>
          <w:color w:val="E36C0A"/>
        </w:rPr>
        <w:t>http://revistas.uned.ac.cr./index.php/revistacalidad</w:t>
      </w:r>
    </w:hyperlink>
  </w:p>
  <w:p w14:paraId="3F557B39" w14:textId="77777777" w:rsidR="00E0186F" w:rsidRPr="0081623B" w:rsidRDefault="00E0186F"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E0186F" w:rsidRDefault="00E0186F"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E0186F" w:rsidRDefault="00E018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95"/>
    <w:rsid w:val="000749E7"/>
    <w:rsid w:val="00075680"/>
    <w:rsid w:val="00076624"/>
    <w:rsid w:val="00081189"/>
    <w:rsid w:val="00081EA1"/>
    <w:rsid w:val="00083198"/>
    <w:rsid w:val="00084C26"/>
    <w:rsid w:val="00086FA0"/>
    <w:rsid w:val="00091331"/>
    <w:rsid w:val="00091D68"/>
    <w:rsid w:val="00095A07"/>
    <w:rsid w:val="00097C08"/>
    <w:rsid w:val="00097DE7"/>
    <w:rsid w:val="000A111C"/>
    <w:rsid w:val="000A1290"/>
    <w:rsid w:val="000A227F"/>
    <w:rsid w:val="000A3A9F"/>
    <w:rsid w:val="000A6D9A"/>
    <w:rsid w:val="000A7E22"/>
    <w:rsid w:val="000B7151"/>
    <w:rsid w:val="000B7446"/>
    <w:rsid w:val="000C08B0"/>
    <w:rsid w:val="000C1371"/>
    <w:rsid w:val="000C680B"/>
    <w:rsid w:val="000C7451"/>
    <w:rsid w:val="000D1334"/>
    <w:rsid w:val="000D144D"/>
    <w:rsid w:val="000D1F91"/>
    <w:rsid w:val="000D2567"/>
    <w:rsid w:val="000D296F"/>
    <w:rsid w:val="000D2E50"/>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61AF"/>
    <w:rsid w:val="00156C8F"/>
    <w:rsid w:val="00160030"/>
    <w:rsid w:val="001624E8"/>
    <w:rsid w:val="001650EE"/>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43CA"/>
    <w:rsid w:val="001A5BBC"/>
    <w:rsid w:val="001A5FB1"/>
    <w:rsid w:val="001A69C6"/>
    <w:rsid w:val="001A6A7E"/>
    <w:rsid w:val="001B1F0E"/>
    <w:rsid w:val="001B2038"/>
    <w:rsid w:val="001B2F02"/>
    <w:rsid w:val="001B33FD"/>
    <w:rsid w:val="001B38E2"/>
    <w:rsid w:val="001B49A7"/>
    <w:rsid w:val="001B52E9"/>
    <w:rsid w:val="001B740D"/>
    <w:rsid w:val="001C017C"/>
    <w:rsid w:val="001C0FDB"/>
    <w:rsid w:val="001C395C"/>
    <w:rsid w:val="001C77F9"/>
    <w:rsid w:val="001D06ED"/>
    <w:rsid w:val="001D0E42"/>
    <w:rsid w:val="001D19BA"/>
    <w:rsid w:val="001D2A22"/>
    <w:rsid w:val="001D437A"/>
    <w:rsid w:val="001E202F"/>
    <w:rsid w:val="001E2221"/>
    <w:rsid w:val="001E34E7"/>
    <w:rsid w:val="001E5DA2"/>
    <w:rsid w:val="001F018B"/>
    <w:rsid w:val="001F1C42"/>
    <w:rsid w:val="001F2282"/>
    <w:rsid w:val="001F299A"/>
    <w:rsid w:val="001F308D"/>
    <w:rsid w:val="001F4C2D"/>
    <w:rsid w:val="001F69CF"/>
    <w:rsid w:val="00202760"/>
    <w:rsid w:val="002033B3"/>
    <w:rsid w:val="0020679D"/>
    <w:rsid w:val="00211B63"/>
    <w:rsid w:val="00212AFB"/>
    <w:rsid w:val="002144FC"/>
    <w:rsid w:val="0021492A"/>
    <w:rsid w:val="00215374"/>
    <w:rsid w:val="002205F4"/>
    <w:rsid w:val="00220D72"/>
    <w:rsid w:val="00224C62"/>
    <w:rsid w:val="002258EE"/>
    <w:rsid w:val="00226640"/>
    <w:rsid w:val="00226CC3"/>
    <w:rsid w:val="00230309"/>
    <w:rsid w:val="00231519"/>
    <w:rsid w:val="00233067"/>
    <w:rsid w:val="00233172"/>
    <w:rsid w:val="00236788"/>
    <w:rsid w:val="00240604"/>
    <w:rsid w:val="00240D80"/>
    <w:rsid w:val="00241400"/>
    <w:rsid w:val="00245097"/>
    <w:rsid w:val="00247C59"/>
    <w:rsid w:val="002533F2"/>
    <w:rsid w:val="002539E8"/>
    <w:rsid w:val="00253E0B"/>
    <w:rsid w:val="0025410D"/>
    <w:rsid w:val="0025487F"/>
    <w:rsid w:val="0025499F"/>
    <w:rsid w:val="00255248"/>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165"/>
    <w:rsid w:val="0038147B"/>
    <w:rsid w:val="00384F2B"/>
    <w:rsid w:val="003871D4"/>
    <w:rsid w:val="00396255"/>
    <w:rsid w:val="00397F3C"/>
    <w:rsid w:val="003A57EF"/>
    <w:rsid w:val="003A6498"/>
    <w:rsid w:val="003A67D3"/>
    <w:rsid w:val="003A6B4B"/>
    <w:rsid w:val="003A6C5E"/>
    <w:rsid w:val="003B1799"/>
    <w:rsid w:val="003B19CC"/>
    <w:rsid w:val="003B2D18"/>
    <w:rsid w:val="003B2EA3"/>
    <w:rsid w:val="003B4896"/>
    <w:rsid w:val="003B4B60"/>
    <w:rsid w:val="003B6BFD"/>
    <w:rsid w:val="003B7E8E"/>
    <w:rsid w:val="003C1C3D"/>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CB5"/>
    <w:rsid w:val="003F0196"/>
    <w:rsid w:val="003F0481"/>
    <w:rsid w:val="003F44F5"/>
    <w:rsid w:val="003F4747"/>
    <w:rsid w:val="00400EA4"/>
    <w:rsid w:val="00403008"/>
    <w:rsid w:val="00403E7A"/>
    <w:rsid w:val="00410140"/>
    <w:rsid w:val="0041152C"/>
    <w:rsid w:val="004115EC"/>
    <w:rsid w:val="00413EE0"/>
    <w:rsid w:val="00415D4A"/>
    <w:rsid w:val="004168C6"/>
    <w:rsid w:val="00416F62"/>
    <w:rsid w:val="00417F4D"/>
    <w:rsid w:val="004225FB"/>
    <w:rsid w:val="0042346F"/>
    <w:rsid w:val="004246B0"/>
    <w:rsid w:val="00424D73"/>
    <w:rsid w:val="00425DD9"/>
    <w:rsid w:val="00433155"/>
    <w:rsid w:val="004338FF"/>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A5A20"/>
    <w:rsid w:val="004B5ADB"/>
    <w:rsid w:val="004B7156"/>
    <w:rsid w:val="004B722B"/>
    <w:rsid w:val="004B7852"/>
    <w:rsid w:val="004B7B50"/>
    <w:rsid w:val="004C39B6"/>
    <w:rsid w:val="004C521F"/>
    <w:rsid w:val="004C6D4B"/>
    <w:rsid w:val="004D0DC5"/>
    <w:rsid w:val="004D2193"/>
    <w:rsid w:val="004D5004"/>
    <w:rsid w:val="004D65DC"/>
    <w:rsid w:val="004E18C0"/>
    <w:rsid w:val="004E2C53"/>
    <w:rsid w:val="004E31E9"/>
    <w:rsid w:val="004E7499"/>
    <w:rsid w:val="004E788A"/>
    <w:rsid w:val="004F08D4"/>
    <w:rsid w:val="004F0FE0"/>
    <w:rsid w:val="004F13B1"/>
    <w:rsid w:val="004F1C1D"/>
    <w:rsid w:val="004F6716"/>
    <w:rsid w:val="004F7568"/>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DEC"/>
    <w:rsid w:val="005E6E39"/>
    <w:rsid w:val="005F024D"/>
    <w:rsid w:val="005F04E9"/>
    <w:rsid w:val="005F0ADA"/>
    <w:rsid w:val="005F2A1A"/>
    <w:rsid w:val="005F2C40"/>
    <w:rsid w:val="005F39FA"/>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20C8"/>
    <w:rsid w:val="00633D94"/>
    <w:rsid w:val="0063618A"/>
    <w:rsid w:val="00636E5E"/>
    <w:rsid w:val="00643A38"/>
    <w:rsid w:val="00645E24"/>
    <w:rsid w:val="006460F4"/>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5776"/>
    <w:rsid w:val="006B6820"/>
    <w:rsid w:val="006C170C"/>
    <w:rsid w:val="006C2D94"/>
    <w:rsid w:val="006C4E91"/>
    <w:rsid w:val="006C638B"/>
    <w:rsid w:val="006D0175"/>
    <w:rsid w:val="006D1379"/>
    <w:rsid w:val="006D1AFF"/>
    <w:rsid w:val="006D40C4"/>
    <w:rsid w:val="006D4368"/>
    <w:rsid w:val="006D73BC"/>
    <w:rsid w:val="006E2B35"/>
    <w:rsid w:val="006E3AA7"/>
    <w:rsid w:val="006E472E"/>
    <w:rsid w:val="006E5605"/>
    <w:rsid w:val="006E5984"/>
    <w:rsid w:val="006F55E9"/>
    <w:rsid w:val="007012CF"/>
    <w:rsid w:val="007013D8"/>
    <w:rsid w:val="00704B89"/>
    <w:rsid w:val="007053EE"/>
    <w:rsid w:val="007077DC"/>
    <w:rsid w:val="00711661"/>
    <w:rsid w:val="0071178D"/>
    <w:rsid w:val="007118C9"/>
    <w:rsid w:val="0071551E"/>
    <w:rsid w:val="00717D1B"/>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5CA"/>
    <w:rsid w:val="00770D8B"/>
    <w:rsid w:val="007732E8"/>
    <w:rsid w:val="00773E01"/>
    <w:rsid w:val="00775FAB"/>
    <w:rsid w:val="00777310"/>
    <w:rsid w:val="007800DA"/>
    <w:rsid w:val="0078065A"/>
    <w:rsid w:val="00782D3C"/>
    <w:rsid w:val="00784A71"/>
    <w:rsid w:val="00786818"/>
    <w:rsid w:val="007876B0"/>
    <w:rsid w:val="007954C7"/>
    <w:rsid w:val="00795E38"/>
    <w:rsid w:val="007A1631"/>
    <w:rsid w:val="007A1D81"/>
    <w:rsid w:val="007A1D9C"/>
    <w:rsid w:val="007A6C7D"/>
    <w:rsid w:val="007A7CCD"/>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41D8"/>
    <w:rsid w:val="008067A0"/>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E79D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5054"/>
    <w:rsid w:val="009C623F"/>
    <w:rsid w:val="009C796F"/>
    <w:rsid w:val="009D09CA"/>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E5A"/>
    <w:rsid w:val="00A02C72"/>
    <w:rsid w:val="00A05C29"/>
    <w:rsid w:val="00A0714B"/>
    <w:rsid w:val="00A10142"/>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8037A"/>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569C"/>
    <w:rsid w:val="00B47C76"/>
    <w:rsid w:val="00B51AF9"/>
    <w:rsid w:val="00B51FC8"/>
    <w:rsid w:val="00B53056"/>
    <w:rsid w:val="00B547E6"/>
    <w:rsid w:val="00B55452"/>
    <w:rsid w:val="00B56C5F"/>
    <w:rsid w:val="00B62C34"/>
    <w:rsid w:val="00B64379"/>
    <w:rsid w:val="00B72467"/>
    <w:rsid w:val="00B73158"/>
    <w:rsid w:val="00B77050"/>
    <w:rsid w:val="00B7794A"/>
    <w:rsid w:val="00B85E0C"/>
    <w:rsid w:val="00B92AAE"/>
    <w:rsid w:val="00B93825"/>
    <w:rsid w:val="00B93855"/>
    <w:rsid w:val="00B95B67"/>
    <w:rsid w:val="00B95D6E"/>
    <w:rsid w:val="00B96872"/>
    <w:rsid w:val="00B97E99"/>
    <w:rsid w:val="00BA59F2"/>
    <w:rsid w:val="00BA6BA5"/>
    <w:rsid w:val="00BB1F20"/>
    <w:rsid w:val="00BB2A2E"/>
    <w:rsid w:val="00BB36EC"/>
    <w:rsid w:val="00BB44B1"/>
    <w:rsid w:val="00BB5CEE"/>
    <w:rsid w:val="00BB66F0"/>
    <w:rsid w:val="00BC0725"/>
    <w:rsid w:val="00BC0A56"/>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1393F"/>
    <w:rsid w:val="00C175C1"/>
    <w:rsid w:val="00C216A9"/>
    <w:rsid w:val="00C23100"/>
    <w:rsid w:val="00C23C2F"/>
    <w:rsid w:val="00C24041"/>
    <w:rsid w:val="00C24E68"/>
    <w:rsid w:val="00C25291"/>
    <w:rsid w:val="00C261B5"/>
    <w:rsid w:val="00C266BF"/>
    <w:rsid w:val="00C310F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5CE7"/>
    <w:rsid w:val="00C56B06"/>
    <w:rsid w:val="00C57393"/>
    <w:rsid w:val="00C57C4D"/>
    <w:rsid w:val="00C6281D"/>
    <w:rsid w:val="00C62FD0"/>
    <w:rsid w:val="00C63D25"/>
    <w:rsid w:val="00C6401D"/>
    <w:rsid w:val="00C66FA3"/>
    <w:rsid w:val="00C67FB2"/>
    <w:rsid w:val="00C74527"/>
    <w:rsid w:val="00C74F96"/>
    <w:rsid w:val="00C75E59"/>
    <w:rsid w:val="00C77132"/>
    <w:rsid w:val="00C7717E"/>
    <w:rsid w:val="00C777C5"/>
    <w:rsid w:val="00C77E10"/>
    <w:rsid w:val="00C861A3"/>
    <w:rsid w:val="00C904C7"/>
    <w:rsid w:val="00C91386"/>
    <w:rsid w:val="00C93696"/>
    <w:rsid w:val="00C93707"/>
    <w:rsid w:val="00C93BE2"/>
    <w:rsid w:val="00C94B5F"/>
    <w:rsid w:val="00C97672"/>
    <w:rsid w:val="00C97D87"/>
    <w:rsid w:val="00CA1E85"/>
    <w:rsid w:val="00CA4DFD"/>
    <w:rsid w:val="00CA52A7"/>
    <w:rsid w:val="00CA5B98"/>
    <w:rsid w:val="00CA7777"/>
    <w:rsid w:val="00CA78A3"/>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6177"/>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861F9"/>
    <w:rsid w:val="00D90802"/>
    <w:rsid w:val="00D90840"/>
    <w:rsid w:val="00D911A5"/>
    <w:rsid w:val="00D929AD"/>
    <w:rsid w:val="00D93B86"/>
    <w:rsid w:val="00D9595B"/>
    <w:rsid w:val="00D9680F"/>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1BD5"/>
    <w:rsid w:val="00DD72DD"/>
    <w:rsid w:val="00DE2B10"/>
    <w:rsid w:val="00DE43FB"/>
    <w:rsid w:val="00DE4737"/>
    <w:rsid w:val="00DE5F0F"/>
    <w:rsid w:val="00DE61E0"/>
    <w:rsid w:val="00DF1513"/>
    <w:rsid w:val="00DF2728"/>
    <w:rsid w:val="00E001C3"/>
    <w:rsid w:val="00E0186F"/>
    <w:rsid w:val="00E049B7"/>
    <w:rsid w:val="00E0577F"/>
    <w:rsid w:val="00E05D3B"/>
    <w:rsid w:val="00E05EED"/>
    <w:rsid w:val="00E07CD1"/>
    <w:rsid w:val="00E100D5"/>
    <w:rsid w:val="00E129A2"/>
    <w:rsid w:val="00E1546C"/>
    <w:rsid w:val="00E179DF"/>
    <w:rsid w:val="00E20D87"/>
    <w:rsid w:val="00E23F6F"/>
    <w:rsid w:val="00E247BE"/>
    <w:rsid w:val="00E24E58"/>
    <w:rsid w:val="00E274B1"/>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847BA"/>
    <w:rsid w:val="00E84AFB"/>
    <w:rsid w:val="00E855EF"/>
    <w:rsid w:val="00E90070"/>
    <w:rsid w:val="00E94C2D"/>
    <w:rsid w:val="00E95F83"/>
    <w:rsid w:val="00EA2D86"/>
    <w:rsid w:val="00EA3CE3"/>
    <w:rsid w:val="00EA4C11"/>
    <w:rsid w:val="00EA755A"/>
    <w:rsid w:val="00EB14B3"/>
    <w:rsid w:val="00EB3291"/>
    <w:rsid w:val="00EB3DF8"/>
    <w:rsid w:val="00EB4F14"/>
    <w:rsid w:val="00EB5002"/>
    <w:rsid w:val="00EC0231"/>
    <w:rsid w:val="00EC2840"/>
    <w:rsid w:val="00EC2ADD"/>
    <w:rsid w:val="00EC371D"/>
    <w:rsid w:val="00EC5562"/>
    <w:rsid w:val="00EC6B3F"/>
    <w:rsid w:val="00ED3C72"/>
    <w:rsid w:val="00ED4847"/>
    <w:rsid w:val="00ED7554"/>
    <w:rsid w:val="00EE1709"/>
    <w:rsid w:val="00EE3DF6"/>
    <w:rsid w:val="00EF0AE0"/>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4304"/>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ccd.ucf.edu.cu/index.php/aes/article/view/456" TargetMode="External"/><Relationship Id="rId18" Type="http://schemas.openxmlformats.org/officeDocument/2006/relationships/hyperlink" Target="https://revistas.unan.edu.ni/index.php/Cientifica/article/view/209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10.6018/rie.546251" TargetMode="External"/><Relationship Id="rId17" Type="http://schemas.openxmlformats.org/officeDocument/2006/relationships/hyperlink" Target="https://doi.org/10.35381/r.k.v8i1.2779" TargetMode="External"/><Relationship Id="rId2" Type="http://schemas.openxmlformats.org/officeDocument/2006/relationships/customXml" Target="../customXml/item2.xml"/><Relationship Id="rId16" Type="http://schemas.openxmlformats.org/officeDocument/2006/relationships/hyperlink" Target="https://dialnet.unirioja.es/servlet/articulo?codigo=809445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zel.alfaro.salas@ucr.ac.cr" TargetMode="External"/><Relationship Id="rId5" Type="http://schemas.openxmlformats.org/officeDocument/2006/relationships/numbering" Target="numbering.xml"/><Relationship Id="rId15" Type="http://schemas.openxmlformats.org/officeDocument/2006/relationships/hyperlink" Target="https://dialnet.unirioja.es/servlet/articulo?codigo=771895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ialnet.unirioja.es/servlet/articulo?codigo=82007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sitorio.utp.edu.pe/handle/20.500.12867/4332"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1.544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1-6092-1627"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4.xml><?xml version="1.0" encoding="utf-8"?>
<ds:datastoreItem xmlns:ds="http://schemas.openxmlformats.org/officeDocument/2006/customXml" ds:itemID="{DE7C162A-F7E8-4A58-9F59-1AAB98F07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14874</Words>
  <Characters>81813</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