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CC6C" w14:textId="41A08D4D" w:rsidR="00F4765F" w:rsidRDefault="00436518" w:rsidP="004E1D4A">
      <w:pPr>
        <w:pStyle w:val="NormalWeb"/>
        <w:spacing w:before="0" w:beforeAutospacing="0" w:after="0" w:afterAutospacing="0" w:line="276" w:lineRule="auto"/>
        <w:jc w:val="center"/>
        <w:rPr>
          <w:rFonts w:ascii="Arial" w:hAnsi="Arial" w:cs="Arial"/>
          <w:b/>
          <w:bCs/>
          <w:color w:val="C45911" w:themeColor="accent2" w:themeShade="BF"/>
        </w:rPr>
      </w:pPr>
      <w:bookmarkStart w:id="0" w:name="_Hlk145952311"/>
      <w:r w:rsidRPr="00436518">
        <w:rPr>
          <w:rFonts w:ascii="Arial" w:hAnsi="Arial" w:cs="Arial"/>
          <w:b/>
          <w:bCs/>
          <w:color w:val="C45911" w:themeColor="accent2" w:themeShade="BF"/>
        </w:rPr>
        <w:t>Sistematización de la autoevaluación institucional en la Universidad Internacional de Ciencia y Tecnología mediante un sistema de gestión de la calidad: Estudio de Caso</w:t>
      </w:r>
    </w:p>
    <w:p w14:paraId="4E0D25FE" w14:textId="77777777" w:rsidR="004E1D4A" w:rsidRPr="005953BF" w:rsidRDefault="004E1D4A" w:rsidP="004E1D4A">
      <w:pPr>
        <w:pStyle w:val="NormalWeb"/>
        <w:spacing w:before="0" w:beforeAutospacing="0" w:after="0" w:afterAutospacing="0" w:line="276" w:lineRule="auto"/>
        <w:jc w:val="center"/>
        <w:rPr>
          <w:rFonts w:ascii="Arial" w:hAnsi="Arial" w:cs="Arial"/>
          <w:b/>
          <w:bCs/>
          <w:color w:val="C45911" w:themeColor="accent2" w:themeShade="BF"/>
        </w:rPr>
      </w:pPr>
    </w:p>
    <w:bookmarkEnd w:id="0"/>
    <w:p w14:paraId="3865D13A" w14:textId="2E0DB518" w:rsidR="00436518" w:rsidRDefault="00436518" w:rsidP="00436518">
      <w:pPr>
        <w:pStyle w:val="NormalWeb"/>
        <w:spacing w:before="0" w:beforeAutospacing="0" w:after="0" w:afterAutospacing="0" w:line="276" w:lineRule="auto"/>
        <w:jc w:val="center"/>
        <w:rPr>
          <w:rFonts w:ascii="Arial" w:hAnsi="Arial" w:cs="Arial"/>
          <w:b/>
          <w:bCs/>
          <w:color w:val="C45911" w:themeColor="accent2" w:themeShade="BF"/>
          <w:lang w:val="en-US"/>
        </w:rPr>
      </w:pPr>
      <w:r w:rsidRPr="00436518">
        <w:rPr>
          <w:rFonts w:ascii="Arial" w:hAnsi="Arial" w:cs="Arial"/>
          <w:b/>
          <w:bCs/>
          <w:color w:val="C45911" w:themeColor="accent2" w:themeShade="BF"/>
          <w:lang w:val="en-US"/>
        </w:rPr>
        <w:t xml:space="preserve">Systematization of Institutional Self-Evaluation at the International University </w:t>
      </w:r>
      <w:r w:rsidR="009A105E">
        <w:rPr>
          <w:rFonts w:ascii="Arial" w:hAnsi="Arial" w:cs="Arial"/>
          <w:b/>
          <w:bCs/>
          <w:color w:val="C45911" w:themeColor="accent2" w:themeShade="BF"/>
          <w:lang w:val="en-US"/>
        </w:rPr>
        <w:t>411</w:t>
      </w:r>
      <w:r w:rsidRPr="00436518">
        <w:rPr>
          <w:rFonts w:ascii="Arial" w:hAnsi="Arial" w:cs="Arial"/>
          <w:b/>
          <w:bCs/>
          <w:color w:val="C45911" w:themeColor="accent2" w:themeShade="BF"/>
          <w:lang w:val="en-US"/>
        </w:rPr>
        <w:t>of Science and Technology through a Quality Management System: A Case Study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C567FF" w14:paraId="7EB88FD4" w14:textId="77777777" w:rsidTr="00543CA9">
        <w:trPr>
          <w:trHeight w:val="1566"/>
        </w:trPr>
        <w:tc>
          <w:tcPr>
            <w:tcW w:w="4389" w:type="dxa"/>
          </w:tcPr>
          <w:p w14:paraId="66467ED1" w14:textId="368DD655" w:rsidR="00C567FF" w:rsidRPr="00876E5D" w:rsidRDefault="00C567FF" w:rsidP="00C567FF">
            <w:pPr>
              <w:pStyle w:val="NormalWeb"/>
              <w:spacing w:before="0" w:beforeAutospacing="0" w:after="0" w:afterAutospacing="0" w:line="276" w:lineRule="auto"/>
              <w:jc w:val="right"/>
              <w:rPr>
                <w:rFonts w:ascii="Arial" w:hAnsi="Arial" w:cs="Arial"/>
                <w:sz w:val="22"/>
                <w:szCs w:val="22"/>
                <w:lang w:val="pt-BR"/>
              </w:rPr>
            </w:pPr>
            <w:proofErr w:type="spellStart"/>
            <w:r w:rsidRPr="00876E5D">
              <w:rPr>
                <w:rFonts w:ascii="Arial" w:hAnsi="Arial" w:cs="Arial"/>
                <w:sz w:val="22"/>
                <w:szCs w:val="22"/>
                <w:lang w:val="pt-BR"/>
              </w:rPr>
              <w:t>Aura</w:t>
            </w:r>
            <w:r w:rsidR="00C6192C" w:rsidRPr="00876E5D">
              <w:rPr>
                <w:rFonts w:ascii="Arial" w:hAnsi="Arial" w:cs="Arial"/>
                <w:sz w:val="22"/>
                <w:szCs w:val="22"/>
                <w:lang w:val="pt-BR"/>
              </w:rPr>
              <w:t>-</w:t>
            </w:r>
            <w:r w:rsidRPr="00876E5D">
              <w:rPr>
                <w:rFonts w:ascii="Arial" w:hAnsi="Arial" w:cs="Arial"/>
                <w:sz w:val="22"/>
                <w:szCs w:val="22"/>
                <w:lang w:val="pt-BR"/>
              </w:rPr>
              <w:t>L</w:t>
            </w:r>
            <w:proofErr w:type="spellEnd"/>
            <w:r w:rsidRPr="00876E5D">
              <w:rPr>
                <w:rFonts w:ascii="Arial" w:hAnsi="Arial" w:cs="Arial"/>
                <w:sz w:val="22"/>
                <w:szCs w:val="22"/>
                <w:lang w:val="pt-BR"/>
              </w:rPr>
              <w:t>. López-de-Ramos</w:t>
            </w:r>
            <w:r w:rsidRPr="00C241E6">
              <w:rPr>
                <w:rStyle w:val="Refdenotaalpie"/>
                <w:rFonts w:ascii="Arial" w:eastAsia="Arial" w:hAnsi="Arial" w:cs="Arial"/>
                <w:sz w:val="22"/>
                <w:szCs w:val="22"/>
              </w:rPr>
              <w:footnoteReference w:id="1"/>
            </w:r>
          </w:p>
          <w:p w14:paraId="397C149B" w14:textId="77777777" w:rsidR="00C567FF" w:rsidRPr="00316489" w:rsidRDefault="00C567FF" w:rsidP="00C567FF">
            <w:pPr>
              <w:pStyle w:val="NormalWeb"/>
              <w:spacing w:before="0" w:beforeAutospacing="0" w:after="0" w:afterAutospacing="0" w:line="276" w:lineRule="auto"/>
              <w:jc w:val="right"/>
              <w:rPr>
                <w:rFonts w:ascii="Arial" w:hAnsi="Arial" w:cs="Arial"/>
                <w:sz w:val="22"/>
                <w:szCs w:val="22"/>
              </w:rPr>
            </w:pPr>
            <w:r w:rsidRPr="00316489">
              <w:rPr>
                <w:rFonts w:ascii="Arial" w:hAnsi="Arial" w:cs="Arial"/>
                <w:sz w:val="22"/>
                <w:szCs w:val="22"/>
              </w:rPr>
              <w:t>Centro de Investigación Educativa AIP (CIEDU AIP)</w:t>
            </w:r>
          </w:p>
          <w:p w14:paraId="682F61BC" w14:textId="77777777" w:rsidR="00C567FF" w:rsidRPr="00316489" w:rsidRDefault="00C567FF" w:rsidP="00C567FF">
            <w:pPr>
              <w:pStyle w:val="NormalWeb"/>
              <w:spacing w:before="0" w:beforeAutospacing="0" w:after="0" w:afterAutospacing="0" w:line="276" w:lineRule="auto"/>
              <w:jc w:val="right"/>
              <w:rPr>
                <w:rFonts w:ascii="Arial" w:hAnsi="Arial" w:cs="Arial"/>
                <w:sz w:val="22"/>
                <w:szCs w:val="22"/>
              </w:rPr>
            </w:pPr>
            <w:r w:rsidRPr="00316489">
              <w:rPr>
                <w:rFonts w:ascii="Arial" w:hAnsi="Arial" w:cs="Arial"/>
                <w:sz w:val="22"/>
                <w:szCs w:val="22"/>
              </w:rPr>
              <w:t>Panamá</w:t>
            </w:r>
          </w:p>
          <w:p w14:paraId="7CC56AEB" w14:textId="5612F519" w:rsidR="00C567FF" w:rsidRPr="00316489" w:rsidRDefault="008D43BF" w:rsidP="00C567FF">
            <w:pPr>
              <w:pStyle w:val="NormalWeb"/>
              <w:spacing w:before="0" w:beforeAutospacing="0" w:after="0" w:afterAutospacing="0" w:line="276" w:lineRule="auto"/>
              <w:jc w:val="right"/>
              <w:rPr>
                <w:rStyle w:val="Hipervnculo"/>
                <w:sz w:val="22"/>
                <w:szCs w:val="22"/>
              </w:rPr>
            </w:pPr>
            <w:hyperlink r:id="rId11" w:history="1">
              <w:r w:rsidR="00C567FF" w:rsidRPr="00316489">
                <w:rPr>
                  <w:sz w:val="22"/>
                  <w:szCs w:val="22"/>
                </w:rPr>
                <w:t xml:space="preserve"> </w:t>
              </w:r>
              <w:r w:rsidR="00C567FF" w:rsidRPr="00316489">
                <w:rPr>
                  <w:rStyle w:val="Hipervnculo"/>
                  <w:rFonts w:ascii="Arial" w:hAnsi="Arial" w:cs="Arial"/>
                  <w:sz w:val="22"/>
                  <w:szCs w:val="22"/>
                </w:rPr>
                <w:t>alopez@ciedupanama.org</w:t>
              </w:r>
            </w:hyperlink>
            <w:r w:rsidR="00C567FF" w:rsidRPr="00316489">
              <w:rPr>
                <w:rStyle w:val="Hipervnculo"/>
                <w:rFonts w:ascii="Arial" w:hAnsi="Arial" w:cs="Arial"/>
                <w:sz w:val="22"/>
                <w:szCs w:val="22"/>
              </w:rPr>
              <w:t xml:space="preserve">   </w:t>
            </w:r>
          </w:p>
          <w:p w14:paraId="65A81172" w14:textId="77777777" w:rsidR="00C567FF" w:rsidRDefault="00C567FF" w:rsidP="00A82B98">
            <w:pPr>
              <w:pStyle w:val="NormalWeb"/>
              <w:spacing w:before="0" w:beforeAutospacing="0" w:after="0" w:afterAutospacing="0" w:line="276" w:lineRule="auto"/>
              <w:jc w:val="right"/>
              <w:rPr>
                <w:rFonts w:ascii="Arial" w:hAnsi="Arial" w:cs="Arial"/>
                <w:b/>
                <w:bCs/>
                <w:color w:val="C45911" w:themeColor="accent2" w:themeShade="BF"/>
                <w:lang w:val="en-US"/>
              </w:rPr>
            </w:pPr>
          </w:p>
        </w:tc>
        <w:tc>
          <w:tcPr>
            <w:tcW w:w="4390" w:type="dxa"/>
          </w:tcPr>
          <w:p w14:paraId="7AA51633" w14:textId="77777777" w:rsidR="00C567FF" w:rsidRPr="00C241E6" w:rsidRDefault="00C567FF" w:rsidP="00C567FF">
            <w:pPr>
              <w:spacing w:line="276" w:lineRule="auto"/>
              <w:jc w:val="right"/>
              <w:rPr>
                <w:rFonts w:ascii="Arial" w:eastAsia="Arial" w:hAnsi="Arial" w:cs="Arial"/>
                <w:sz w:val="22"/>
                <w:szCs w:val="22"/>
              </w:rPr>
            </w:pPr>
            <w:r w:rsidRPr="00C241E6">
              <w:rPr>
                <w:rFonts w:ascii="Arial" w:eastAsia="Arial" w:hAnsi="Arial" w:cs="Arial"/>
                <w:sz w:val="22"/>
                <w:szCs w:val="22"/>
              </w:rPr>
              <w:t>Magaly Briceño</w:t>
            </w:r>
            <w:r w:rsidRPr="00C241E6">
              <w:rPr>
                <w:rStyle w:val="Refdenotaalpie"/>
                <w:rFonts w:ascii="Arial" w:eastAsia="Arial" w:hAnsi="Arial" w:cs="Arial"/>
                <w:sz w:val="22"/>
                <w:szCs w:val="22"/>
              </w:rPr>
              <w:footnoteReference w:id="2"/>
            </w:r>
          </w:p>
          <w:p w14:paraId="2A51A521" w14:textId="77777777" w:rsidR="00C567FF" w:rsidRPr="00C241E6" w:rsidRDefault="00C567FF" w:rsidP="00C567FF">
            <w:pPr>
              <w:pStyle w:val="NormalWeb"/>
              <w:spacing w:before="0" w:beforeAutospacing="0" w:after="0" w:afterAutospacing="0" w:line="276" w:lineRule="auto"/>
              <w:jc w:val="right"/>
              <w:rPr>
                <w:rFonts w:ascii="Arial" w:hAnsi="Arial" w:cs="Arial"/>
                <w:sz w:val="22"/>
                <w:szCs w:val="22"/>
              </w:rPr>
            </w:pPr>
            <w:r w:rsidRPr="00C241E6">
              <w:rPr>
                <w:rFonts w:ascii="Arial" w:eastAsia="Arial" w:hAnsi="Arial" w:cs="Arial"/>
                <w:sz w:val="22"/>
                <w:szCs w:val="22"/>
              </w:rPr>
              <w:tab/>
            </w:r>
            <w:r w:rsidRPr="00C241E6">
              <w:rPr>
                <w:rFonts w:ascii="Arial" w:eastAsia="Arial" w:hAnsi="Arial" w:cs="Arial"/>
                <w:sz w:val="22"/>
                <w:szCs w:val="22"/>
              </w:rPr>
              <w:tab/>
            </w:r>
            <w:r w:rsidRPr="00C241E6">
              <w:rPr>
                <w:rFonts w:ascii="Arial" w:hAnsi="Arial" w:cs="Arial"/>
                <w:sz w:val="22"/>
                <w:szCs w:val="22"/>
              </w:rPr>
              <w:t>Universidad Internacional de Ciencia y Tecnología (</w:t>
            </w:r>
            <w:proofErr w:type="spellStart"/>
            <w:r w:rsidRPr="00C241E6">
              <w:rPr>
                <w:rFonts w:ascii="Arial" w:hAnsi="Arial" w:cs="Arial"/>
                <w:sz w:val="22"/>
                <w:szCs w:val="22"/>
              </w:rPr>
              <w:t>UNICyT</w:t>
            </w:r>
            <w:proofErr w:type="spellEnd"/>
            <w:r w:rsidRPr="00C241E6">
              <w:rPr>
                <w:rFonts w:ascii="Arial" w:hAnsi="Arial" w:cs="Arial"/>
                <w:sz w:val="22"/>
                <w:szCs w:val="22"/>
              </w:rPr>
              <w:t>)</w:t>
            </w:r>
          </w:p>
          <w:p w14:paraId="1938AD8B" w14:textId="77777777" w:rsidR="00C567FF" w:rsidRPr="00C241E6" w:rsidRDefault="00C567FF" w:rsidP="00C567FF">
            <w:pPr>
              <w:pStyle w:val="NormalWeb"/>
              <w:spacing w:before="0" w:beforeAutospacing="0" w:after="0" w:afterAutospacing="0" w:line="276" w:lineRule="auto"/>
              <w:jc w:val="right"/>
              <w:rPr>
                <w:rFonts w:ascii="Arial" w:hAnsi="Arial" w:cs="Arial"/>
                <w:sz w:val="22"/>
                <w:szCs w:val="22"/>
              </w:rPr>
            </w:pPr>
            <w:r w:rsidRPr="00C241E6">
              <w:rPr>
                <w:rFonts w:ascii="Arial" w:hAnsi="Arial" w:cs="Arial"/>
                <w:sz w:val="22"/>
                <w:szCs w:val="22"/>
              </w:rPr>
              <w:t>Panamá</w:t>
            </w:r>
          </w:p>
          <w:p w14:paraId="7BB2356D" w14:textId="28FC9D5F" w:rsidR="00C567FF" w:rsidRPr="00543CA9" w:rsidRDefault="008D43BF" w:rsidP="006D74E7">
            <w:pPr>
              <w:spacing w:line="276" w:lineRule="auto"/>
              <w:jc w:val="right"/>
              <w:rPr>
                <w:rFonts w:ascii="Arial" w:hAnsi="Arial" w:cs="Arial"/>
                <w:b/>
                <w:bCs/>
                <w:color w:val="C45911" w:themeColor="accent2" w:themeShade="BF"/>
              </w:rPr>
            </w:pPr>
            <w:hyperlink r:id="rId12" w:history="1">
              <w:r w:rsidR="00C567FF" w:rsidRPr="009A105E">
                <w:rPr>
                  <w:rStyle w:val="Hipervnculo"/>
                  <w:rFonts w:ascii="Arial" w:hAnsi="Arial" w:cs="Arial"/>
                  <w:sz w:val="22"/>
                  <w:szCs w:val="22"/>
                </w:rPr>
                <w:t>magally.briceno@unicyt.net</w:t>
              </w:r>
            </w:hyperlink>
          </w:p>
        </w:tc>
      </w:tr>
      <w:tr w:rsidR="00C567FF" w:rsidRPr="00C567FF" w14:paraId="1665E667" w14:textId="77777777" w:rsidTr="00543CA9">
        <w:tc>
          <w:tcPr>
            <w:tcW w:w="4389" w:type="dxa"/>
          </w:tcPr>
          <w:p w14:paraId="0972B453" w14:textId="77777777" w:rsidR="00C567FF" w:rsidRPr="00543CA9" w:rsidRDefault="00C567FF" w:rsidP="00A82B98">
            <w:pPr>
              <w:pStyle w:val="NormalWeb"/>
              <w:spacing w:before="0" w:beforeAutospacing="0" w:after="0" w:afterAutospacing="0" w:line="276" w:lineRule="auto"/>
              <w:jc w:val="right"/>
              <w:rPr>
                <w:rFonts w:ascii="Arial" w:hAnsi="Arial" w:cs="Arial"/>
                <w:b/>
                <w:bCs/>
                <w:color w:val="C45911" w:themeColor="accent2" w:themeShade="BF"/>
              </w:rPr>
            </w:pPr>
          </w:p>
        </w:tc>
        <w:tc>
          <w:tcPr>
            <w:tcW w:w="4390" w:type="dxa"/>
          </w:tcPr>
          <w:p w14:paraId="48DC60D5" w14:textId="77777777" w:rsidR="00C567FF" w:rsidRPr="009A105E" w:rsidRDefault="00C567FF" w:rsidP="00C567FF">
            <w:pPr>
              <w:spacing w:line="276" w:lineRule="auto"/>
              <w:jc w:val="right"/>
              <w:rPr>
                <w:rFonts w:ascii="Arial" w:eastAsia="Arial" w:hAnsi="Arial" w:cs="Arial"/>
                <w:sz w:val="22"/>
                <w:szCs w:val="22"/>
              </w:rPr>
            </w:pPr>
            <w:r w:rsidRPr="009A105E">
              <w:rPr>
                <w:rFonts w:ascii="Arial" w:eastAsia="Arial" w:hAnsi="Arial" w:cs="Arial"/>
                <w:sz w:val="22"/>
                <w:szCs w:val="22"/>
              </w:rPr>
              <w:t>William Núñez-Alarcón</w:t>
            </w:r>
            <w:r w:rsidRPr="00C241E6">
              <w:rPr>
                <w:rStyle w:val="Refdenotaalpie"/>
                <w:rFonts w:ascii="Arial" w:eastAsia="Arial" w:hAnsi="Arial" w:cs="Arial"/>
                <w:sz w:val="22"/>
                <w:szCs w:val="22"/>
              </w:rPr>
              <w:footnoteReference w:id="3"/>
            </w:r>
          </w:p>
          <w:p w14:paraId="3B6D2C68" w14:textId="77777777" w:rsidR="00C567FF" w:rsidRDefault="00C567FF" w:rsidP="00A82B98">
            <w:pPr>
              <w:pStyle w:val="NormalWeb"/>
              <w:spacing w:before="0" w:beforeAutospacing="0" w:after="0" w:afterAutospacing="0" w:line="276" w:lineRule="auto"/>
              <w:jc w:val="right"/>
              <w:rPr>
                <w:rFonts w:ascii="Arial" w:hAnsi="Arial" w:cs="Arial"/>
                <w:sz w:val="22"/>
                <w:szCs w:val="22"/>
              </w:rPr>
            </w:pPr>
            <w:r w:rsidRPr="00C241E6">
              <w:rPr>
                <w:rFonts w:ascii="Arial" w:hAnsi="Arial" w:cs="Arial"/>
                <w:sz w:val="22"/>
                <w:szCs w:val="22"/>
              </w:rPr>
              <w:t>Universidad Internacional de Ciencia y Tecnología (</w:t>
            </w:r>
            <w:proofErr w:type="spellStart"/>
            <w:r w:rsidRPr="00C241E6">
              <w:rPr>
                <w:rFonts w:ascii="Arial" w:hAnsi="Arial" w:cs="Arial"/>
                <w:sz w:val="22"/>
                <w:szCs w:val="22"/>
              </w:rPr>
              <w:t>UNICyT</w:t>
            </w:r>
            <w:proofErr w:type="spellEnd"/>
            <w:r w:rsidRPr="00C241E6">
              <w:rPr>
                <w:rFonts w:ascii="Arial" w:hAnsi="Arial" w:cs="Arial"/>
                <w:sz w:val="22"/>
                <w:szCs w:val="22"/>
              </w:rPr>
              <w:t>)</w:t>
            </w:r>
          </w:p>
          <w:p w14:paraId="5533B587" w14:textId="77777777" w:rsidR="00C567FF" w:rsidRDefault="00C567FF" w:rsidP="00A82B98">
            <w:pPr>
              <w:pStyle w:val="NormalWeb"/>
              <w:spacing w:before="0" w:beforeAutospacing="0" w:after="0" w:afterAutospacing="0" w:line="276" w:lineRule="auto"/>
              <w:jc w:val="right"/>
              <w:rPr>
                <w:rFonts w:ascii="Arial" w:hAnsi="Arial" w:cs="Arial"/>
                <w:sz w:val="22"/>
                <w:szCs w:val="22"/>
              </w:rPr>
            </w:pPr>
            <w:r w:rsidRPr="00C241E6">
              <w:rPr>
                <w:rFonts w:ascii="Arial" w:hAnsi="Arial" w:cs="Arial"/>
                <w:sz w:val="22"/>
                <w:szCs w:val="22"/>
              </w:rPr>
              <w:t>Panamá</w:t>
            </w:r>
          </w:p>
          <w:p w14:paraId="107C94D2" w14:textId="7AC6D5A6" w:rsidR="00C567FF" w:rsidRPr="008C66DE" w:rsidRDefault="001974AE" w:rsidP="00A82B98">
            <w:pPr>
              <w:pStyle w:val="NormalWeb"/>
              <w:spacing w:before="0" w:beforeAutospacing="0" w:after="0" w:afterAutospacing="0" w:line="276" w:lineRule="auto"/>
              <w:jc w:val="right"/>
              <w:rPr>
                <w:rFonts w:ascii="Arial" w:hAnsi="Arial" w:cs="Arial"/>
                <w:color w:val="C45911" w:themeColor="accent2" w:themeShade="BF"/>
              </w:rPr>
            </w:pPr>
            <w:r w:rsidRPr="008C66DE">
              <w:rPr>
                <w:rStyle w:val="Hipervnculo"/>
                <w:rFonts w:ascii="Arial" w:hAnsi="Arial" w:cs="Arial"/>
                <w:sz w:val="22"/>
                <w:szCs w:val="22"/>
                <w:lang w:val="pt-BR"/>
              </w:rPr>
              <w:t>rectoria</w:t>
            </w:r>
            <w:r w:rsidR="00497AFB" w:rsidRPr="008C66DE">
              <w:rPr>
                <w:rStyle w:val="Hipervnculo"/>
                <w:rFonts w:ascii="Arial" w:hAnsi="Arial" w:cs="Arial"/>
                <w:sz w:val="22"/>
                <w:szCs w:val="22"/>
                <w:lang w:val="pt-BR"/>
              </w:rPr>
              <w:t>@unicyt</w:t>
            </w:r>
            <w:r w:rsidR="008C66DE" w:rsidRPr="008C66DE">
              <w:rPr>
                <w:rStyle w:val="Hipervnculo"/>
                <w:rFonts w:ascii="Arial" w:hAnsi="Arial" w:cs="Arial"/>
                <w:sz w:val="22"/>
                <w:szCs w:val="22"/>
                <w:lang w:val="pt-BR"/>
              </w:rPr>
              <w:t>.net</w:t>
            </w:r>
          </w:p>
        </w:tc>
      </w:tr>
    </w:tbl>
    <w:p w14:paraId="4C1650BF" w14:textId="141695D4" w:rsidR="00A82B98" w:rsidRPr="00990C5C" w:rsidRDefault="00A82B98" w:rsidP="00A82B98">
      <w:pPr>
        <w:tabs>
          <w:tab w:val="left" w:pos="5865"/>
        </w:tabs>
        <w:jc w:val="center"/>
        <w:rPr>
          <w:rStyle w:val="Hipervnculo"/>
          <w:rFonts w:ascii="Arial" w:hAnsi="Arial" w:cs="Arial"/>
          <w:sz w:val="22"/>
          <w:szCs w:val="22"/>
          <w:lang w:val="pt-BR"/>
        </w:rPr>
      </w:pPr>
      <w:r w:rsidRPr="00990C5C">
        <w:rPr>
          <w:rStyle w:val="Hipervnculo"/>
          <w:rFonts w:ascii="Arial" w:hAnsi="Arial" w:cs="Arial"/>
          <w:sz w:val="22"/>
          <w:szCs w:val="22"/>
          <w:lang w:val="pt-BR"/>
        </w:rPr>
        <w:t>DOI: http://dx.doi.org/10.22458/caes.v1</w:t>
      </w:r>
      <w:r w:rsidR="004E2D35" w:rsidRPr="00990C5C">
        <w:rPr>
          <w:rStyle w:val="Hipervnculo"/>
          <w:rFonts w:ascii="Arial" w:hAnsi="Arial" w:cs="Arial"/>
          <w:sz w:val="22"/>
          <w:szCs w:val="22"/>
          <w:lang w:val="pt-BR"/>
        </w:rPr>
        <w:t>7</w:t>
      </w:r>
      <w:r w:rsidRPr="00990C5C">
        <w:rPr>
          <w:rStyle w:val="Hipervnculo"/>
          <w:rFonts w:ascii="Arial" w:hAnsi="Arial" w:cs="Arial"/>
          <w:sz w:val="22"/>
          <w:szCs w:val="22"/>
          <w:lang w:val="pt-BR"/>
        </w:rPr>
        <w:t>i</w:t>
      </w:r>
      <w:r w:rsidR="004E2D35" w:rsidRPr="00990C5C">
        <w:rPr>
          <w:rStyle w:val="Hipervnculo"/>
          <w:rFonts w:ascii="Arial" w:hAnsi="Arial" w:cs="Arial"/>
          <w:sz w:val="22"/>
          <w:szCs w:val="22"/>
          <w:lang w:val="pt-BR"/>
        </w:rPr>
        <w:t>1</w:t>
      </w:r>
      <w:r w:rsidRPr="00990C5C">
        <w:rPr>
          <w:rStyle w:val="Hipervnculo"/>
          <w:rFonts w:ascii="Arial" w:hAnsi="Arial" w:cs="Arial"/>
          <w:sz w:val="22"/>
          <w:szCs w:val="22"/>
          <w:lang w:val="pt-BR"/>
        </w:rPr>
        <w:t>.</w:t>
      </w:r>
      <w:r w:rsidR="00C241E6" w:rsidRPr="00990C5C">
        <w:rPr>
          <w:rStyle w:val="Hipervnculo"/>
          <w:rFonts w:ascii="Arial" w:hAnsi="Arial" w:cs="Arial"/>
          <w:sz w:val="22"/>
          <w:szCs w:val="22"/>
          <w:lang w:val="pt-BR"/>
        </w:rPr>
        <w:t>6355</w:t>
      </w:r>
    </w:p>
    <w:p w14:paraId="0F249272" w14:textId="2C0DA229" w:rsidR="00A82B98" w:rsidRPr="00990C5C" w:rsidRDefault="00A82B98" w:rsidP="0020679D">
      <w:pPr>
        <w:tabs>
          <w:tab w:val="left" w:pos="5865"/>
        </w:tabs>
        <w:spacing w:line="276" w:lineRule="auto"/>
        <w:jc w:val="center"/>
        <w:rPr>
          <w:rFonts w:ascii="Arial" w:hAnsi="Arial" w:cs="Arial"/>
          <w:bCs/>
          <w:sz w:val="22"/>
          <w:szCs w:val="22"/>
        </w:rPr>
      </w:pPr>
      <w:r w:rsidRPr="00990C5C">
        <w:rPr>
          <w:rFonts w:ascii="Arial" w:hAnsi="Arial" w:cs="Arial"/>
          <w:bCs/>
          <w:sz w:val="22"/>
          <w:szCs w:val="22"/>
        </w:rPr>
        <w:t>Volumen 1</w:t>
      </w:r>
      <w:r w:rsidR="004E2D35" w:rsidRPr="00990C5C">
        <w:rPr>
          <w:rFonts w:ascii="Arial" w:hAnsi="Arial" w:cs="Arial"/>
          <w:bCs/>
          <w:sz w:val="22"/>
          <w:szCs w:val="22"/>
        </w:rPr>
        <w:t>7</w:t>
      </w:r>
      <w:r w:rsidRPr="00990C5C">
        <w:rPr>
          <w:rFonts w:ascii="Arial" w:hAnsi="Arial" w:cs="Arial"/>
          <w:bCs/>
          <w:sz w:val="22"/>
          <w:szCs w:val="22"/>
        </w:rPr>
        <w:t xml:space="preserve">, Número </w:t>
      </w:r>
      <w:r w:rsidR="004E2D35" w:rsidRPr="00990C5C">
        <w:rPr>
          <w:rFonts w:ascii="Arial" w:hAnsi="Arial" w:cs="Arial"/>
          <w:bCs/>
          <w:sz w:val="22"/>
          <w:szCs w:val="22"/>
        </w:rPr>
        <w:t>1</w:t>
      </w:r>
    </w:p>
    <w:p w14:paraId="0912D7D7" w14:textId="6BCA5803" w:rsidR="00A82B98" w:rsidRPr="00990C5C" w:rsidRDefault="00A82B98" w:rsidP="0020679D">
      <w:pPr>
        <w:tabs>
          <w:tab w:val="left" w:pos="5865"/>
        </w:tabs>
        <w:spacing w:line="276" w:lineRule="auto"/>
        <w:jc w:val="center"/>
        <w:rPr>
          <w:rFonts w:ascii="Arial" w:hAnsi="Arial" w:cs="Arial"/>
          <w:bCs/>
          <w:sz w:val="22"/>
          <w:szCs w:val="22"/>
        </w:rPr>
      </w:pPr>
      <w:r w:rsidRPr="00990C5C">
        <w:rPr>
          <w:rFonts w:ascii="Arial" w:hAnsi="Arial" w:cs="Arial"/>
          <w:bCs/>
          <w:sz w:val="22"/>
          <w:szCs w:val="22"/>
        </w:rPr>
        <w:t>30 de</w:t>
      </w:r>
      <w:r w:rsidR="006754BB" w:rsidRPr="00990C5C">
        <w:rPr>
          <w:rFonts w:ascii="Arial" w:hAnsi="Arial" w:cs="Arial"/>
          <w:bCs/>
          <w:sz w:val="22"/>
          <w:szCs w:val="22"/>
        </w:rPr>
        <w:t xml:space="preserve"> </w:t>
      </w:r>
      <w:r w:rsidR="004E2D35" w:rsidRPr="00990C5C">
        <w:rPr>
          <w:rFonts w:ascii="Arial" w:hAnsi="Arial" w:cs="Arial"/>
          <w:bCs/>
          <w:sz w:val="22"/>
          <w:szCs w:val="22"/>
        </w:rPr>
        <w:t>mayo</w:t>
      </w:r>
      <w:r w:rsidRPr="00990C5C">
        <w:rPr>
          <w:rFonts w:ascii="Arial" w:hAnsi="Arial" w:cs="Arial"/>
          <w:bCs/>
          <w:sz w:val="22"/>
          <w:szCs w:val="22"/>
        </w:rPr>
        <w:t xml:space="preserve"> de 202</w:t>
      </w:r>
      <w:r w:rsidR="004E2D35" w:rsidRPr="00990C5C">
        <w:rPr>
          <w:rFonts w:ascii="Arial" w:hAnsi="Arial" w:cs="Arial"/>
          <w:bCs/>
          <w:sz w:val="22"/>
          <w:szCs w:val="22"/>
        </w:rPr>
        <w:t>6</w:t>
      </w:r>
    </w:p>
    <w:p w14:paraId="32EEFDF7" w14:textId="2A7ECA60" w:rsidR="00A82B98" w:rsidRPr="00990C5C" w:rsidRDefault="00A82B98" w:rsidP="0020679D">
      <w:pPr>
        <w:tabs>
          <w:tab w:val="left" w:pos="5865"/>
        </w:tabs>
        <w:spacing w:line="276" w:lineRule="auto"/>
        <w:jc w:val="center"/>
        <w:rPr>
          <w:rFonts w:ascii="Arial" w:hAnsi="Arial" w:cs="Arial"/>
          <w:bCs/>
          <w:sz w:val="22"/>
          <w:szCs w:val="22"/>
        </w:rPr>
      </w:pPr>
      <w:r w:rsidRPr="00990C5C">
        <w:rPr>
          <w:rFonts w:ascii="Arial" w:hAnsi="Arial" w:cs="Arial"/>
          <w:bCs/>
          <w:sz w:val="22"/>
          <w:szCs w:val="22"/>
        </w:rPr>
        <w:t xml:space="preserve">pp. </w:t>
      </w:r>
      <w:r w:rsidR="009A105E">
        <w:rPr>
          <w:rFonts w:ascii="Arial" w:hAnsi="Arial" w:cs="Arial"/>
          <w:bCs/>
          <w:sz w:val="22"/>
          <w:szCs w:val="22"/>
        </w:rPr>
        <w:t>37</w:t>
      </w:r>
      <w:r w:rsidR="00C32228">
        <w:rPr>
          <w:rFonts w:ascii="Arial" w:hAnsi="Arial" w:cs="Arial"/>
          <w:bCs/>
          <w:sz w:val="22"/>
          <w:szCs w:val="22"/>
        </w:rPr>
        <w:t>6</w:t>
      </w:r>
      <w:r w:rsidR="009A105E">
        <w:rPr>
          <w:rFonts w:ascii="Arial" w:hAnsi="Arial" w:cs="Arial"/>
          <w:bCs/>
          <w:sz w:val="22"/>
          <w:szCs w:val="22"/>
        </w:rPr>
        <w:t>-41</w:t>
      </w:r>
      <w:r w:rsidR="008D43BF">
        <w:rPr>
          <w:rFonts w:ascii="Arial" w:hAnsi="Arial" w:cs="Arial"/>
          <w:bCs/>
          <w:sz w:val="22"/>
          <w:szCs w:val="22"/>
        </w:rPr>
        <w:t>0</w:t>
      </w:r>
      <w:bookmarkStart w:id="9" w:name="_GoBack"/>
      <w:bookmarkEnd w:id="9"/>
    </w:p>
    <w:p w14:paraId="1591C2AD" w14:textId="2A2F78B9" w:rsidR="00A82B98" w:rsidRPr="00990C5C" w:rsidRDefault="00A82B98" w:rsidP="0020679D">
      <w:pPr>
        <w:tabs>
          <w:tab w:val="left" w:pos="5865"/>
        </w:tabs>
        <w:spacing w:line="276" w:lineRule="auto"/>
        <w:rPr>
          <w:rFonts w:ascii="Arial" w:hAnsi="Arial" w:cs="Arial"/>
          <w:bCs/>
          <w:sz w:val="22"/>
          <w:szCs w:val="22"/>
        </w:rPr>
      </w:pPr>
      <w:bookmarkStart w:id="10" w:name="_Hlk182838172"/>
      <w:r w:rsidRPr="00990C5C">
        <w:rPr>
          <w:rFonts w:ascii="Arial" w:hAnsi="Arial" w:cs="Arial"/>
          <w:bCs/>
          <w:sz w:val="22"/>
          <w:szCs w:val="22"/>
        </w:rPr>
        <w:t xml:space="preserve">Recibido: </w:t>
      </w:r>
      <w:r w:rsidR="00F4765F" w:rsidRPr="00990C5C">
        <w:rPr>
          <w:rFonts w:ascii="Arial" w:hAnsi="Arial" w:cs="Arial"/>
          <w:bCs/>
          <w:sz w:val="22"/>
          <w:szCs w:val="22"/>
        </w:rPr>
        <w:t xml:space="preserve"> </w:t>
      </w:r>
      <w:r w:rsidR="0090764C">
        <w:rPr>
          <w:rFonts w:ascii="Arial" w:hAnsi="Arial" w:cs="Arial"/>
          <w:bCs/>
          <w:sz w:val="22"/>
          <w:szCs w:val="22"/>
        </w:rPr>
        <w:t>23 de enero</w:t>
      </w:r>
      <w:r w:rsidRPr="00990C5C">
        <w:rPr>
          <w:rFonts w:ascii="Arial" w:hAnsi="Arial" w:cs="Arial"/>
          <w:bCs/>
          <w:sz w:val="22"/>
          <w:szCs w:val="22"/>
        </w:rPr>
        <w:t xml:space="preserve"> de 202</w:t>
      </w:r>
      <w:r w:rsidR="00E034AF" w:rsidRPr="00990C5C">
        <w:rPr>
          <w:rFonts w:ascii="Arial" w:hAnsi="Arial" w:cs="Arial"/>
          <w:bCs/>
          <w:sz w:val="22"/>
          <w:szCs w:val="22"/>
        </w:rPr>
        <w:t>6</w:t>
      </w:r>
    </w:p>
    <w:p w14:paraId="13E62770" w14:textId="19F8B989" w:rsidR="00A82B98" w:rsidRPr="00990C5C" w:rsidRDefault="00A82B98" w:rsidP="0020679D">
      <w:pPr>
        <w:tabs>
          <w:tab w:val="left" w:pos="5865"/>
        </w:tabs>
        <w:spacing w:line="276" w:lineRule="auto"/>
        <w:rPr>
          <w:rFonts w:ascii="Arial" w:hAnsi="Arial" w:cs="Arial"/>
          <w:bCs/>
          <w:sz w:val="22"/>
          <w:szCs w:val="22"/>
        </w:rPr>
      </w:pPr>
      <w:r w:rsidRPr="00990C5C">
        <w:rPr>
          <w:rFonts w:ascii="Arial" w:hAnsi="Arial" w:cs="Arial"/>
          <w:bCs/>
          <w:sz w:val="22"/>
          <w:szCs w:val="22"/>
        </w:rPr>
        <w:t xml:space="preserve">Aprobado: </w:t>
      </w:r>
      <w:r w:rsidR="00E034AF" w:rsidRPr="00990C5C">
        <w:rPr>
          <w:rFonts w:ascii="Arial" w:hAnsi="Arial" w:cs="Arial"/>
          <w:bCs/>
          <w:sz w:val="22"/>
          <w:szCs w:val="22"/>
        </w:rPr>
        <w:t>22</w:t>
      </w:r>
      <w:r w:rsidRPr="00990C5C">
        <w:rPr>
          <w:rFonts w:ascii="Arial" w:hAnsi="Arial" w:cs="Arial"/>
          <w:bCs/>
          <w:sz w:val="22"/>
          <w:szCs w:val="22"/>
        </w:rPr>
        <w:t xml:space="preserve"> de </w:t>
      </w:r>
      <w:r w:rsidR="00E034AF" w:rsidRPr="00990C5C">
        <w:rPr>
          <w:rFonts w:ascii="Arial" w:hAnsi="Arial" w:cs="Arial"/>
          <w:bCs/>
          <w:sz w:val="22"/>
          <w:szCs w:val="22"/>
        </w:rPr>
        <w:t>abril</w:t>
      </w:r>
      <w:r w:rsidR="00F4765F" w:rsidRPr="00990C5C">
        <w:rPr>
          <w:rFonts w:ascii="Arial" w:hAnsi="Arial" w:cs="Arial"/>
          <w:bCs/>
          <w:sz w:val="22"/>
          <w:szCs w:val="22"/>
        </w:rPr>
        <w:t xml:space="preserve"> </w:t>
      </w:r>
      <w:r w:rsidRPr="00990C5C">
        <w:rPr>
          <w:rFonts w:ascii="Arial" w:hAnsi="Arial" w:cs="Arial"/>
          <w:bCs/>
          <w:sz w:val="22"/>
          <w:szCs w:val="22"/>
        </w:rPr>
        <w:t>de 202</w:t>
      </w:r>
      <w:r w:rsidR="00E034AF" w:rsidRPr="00990C5C">
        <w:rPr>
          <w:rFonts w:ascii="Arial" w:hAnsi="Arial" w:cs="Arial"/>
          <w:bCs/>
          <w:sz w:val="22"/>
          <w:szCs w:val="22"/>
        </w:rPr>
        <w:t>6</w:t>
      </w:r>
    </w:p>
    <w:bookmarkEnd w:id="10"/>
    <w:p w14:paraId="7CB88845" w14:textId="11DC412E" w:rsidR="006309AF" w:rsidRPr="00B55452" w:rsidRDefault="00120219" w:rsidP="00B55452">
      <w:pPr>
        <w:spacing w:line="360" w:lineRule="auto"/>
        <w:rPr>
          <w:rFonts w:ascii="Arial" w:hAnsi="Arial" w:cs="Arial"/>
          <w:b/>
          <w:bCs/>
        </w:rPr>
      </w:pPr>
      <w:r w:rsidRPr="00B55452">
        <w:rPr>
          <w:rFonts w:ascii="Arial" w:hAnsi="Arial" w:cs="Arial"/>
          <w:b/>
          <w:bCs/>
        </w:rPr>
        <w:lastRenderedPageBreak/>
        <w:t xml:space="preserve">Resumen </w:t>
      </w:r>
    </w:p>
    <w:p w14:paraId="210DDBDA" w14:textId="463B9062" w:rsidR="008E692B" w:rsidRPr="00B55452" w:rsidRDefault="006A46E0" w:rsidP="006A46E0">
      <w:pPr>
        <w:jc w:val="both"/>
        <w:rPr>
          <w:rFonts w:ascii="Arial" w:hAnsi="Arial" w:cs="Arial"/>
        </w:rPr>
      </w:pPr>
      <w:bookmarkStart w:id="11" w:name="_Hlk99027362"/>
      <w:r w:rsidRPr="006A46E0">
        <w:rPr>
          <w:rFonts w:ascii="Arial" w:hAnsi="Arial" w:cs="Arial"/>
        </w:rPr>
        <w:t xml:space="preserve">Este estudio de caso examina la experiencia de autoevaluación institucional de la Universidad Internacional de Ciencia y Tecnología en Panamá durante 2022-2023, con foco en su Sistema Integrado de Gestión de la Calidad. Este sistema es diseñado para organizar las evidencias, mejorar la trazabilidad de los indicadores de acreditación y fortalecer la toma de decisiones institucionales, alineándose con el modelo de CONEAUPA y con estándares internacionales de calidad. El análisis utiliza la técnica de </w:t>
      </w:r>
      <w:proofErr w:type="spellStart"/>
      <w:r w:rsidRPr="005023BF">
        <w:rPr>
          <w:rFonts w:ascii="Arial" w:hAnsi="Arial" w:cs="Arial"/>
          <w:i/>
        </w:rPr>
        <w:t>pattern</w:t>
      </w:r>
      <w:proofErr w:type="spellEnd"/>
      <w:r w:rsidRPr="005023BF">
        <w:rPr>
          <w:rFonts w:ascii="Arial" w:hAnsi="Arial" w:cs="Arial"/>
          <w:i/>
        </w:rPr>
        <w:t xml:space="preserve"> </w:t>
      </w:r>
      <w:proofErr w:type="spellStart"/>
      <w:r w:rsidRPr="005023BF">
        <w:rPr>
          <w:rFonts w:ascii="Arial" w:hAnsi="Arial" w:cs="Arial"/>
          <w:i/>
        </w:rPr>
        <w:t>matching</w:t>
      </w:r>
      <w:proofErr w:type="spellEnd"/>
      <w:r w:rsidRPr="006A46E0">
        <w:rPr>
          <w:rFonts w:ascii="Arial" w:hAnsi="Arial" w:cs="Arial"/>
        </w:rPr>
        <w:t xml:space="preserve"> para comparar los resultados empíricos con el enfoque de mejora </w:t>
      </w:r>
      <w:proofErr w:type="gramStart"/>
      <w:r w:rsidR="00EE68BC" w:rsidRPr="006A46E0">
        <w:rPr>
          <w:rFonts w:ascii="Arial" w:hAnsi="Arial" w:cs="Arial"/>
        </w:rPr>
        <w:t>continua</w:t>
      </w:r>
      <w:proofErr w:type="gramEnd"/>
      <w:r w:rsidRPr="006A46E0">
        <w:rPr>
          <w:rFonts w:ascii="Arial" w:hAnsi="Arial" w:cs="Arial"/>
        </w:rPr>
        <w:t xml:space="preserve"> basado en el ciclo PDCA. Los resultados muestran avances en la eficiencia, la transparencia y la sostenibilidad del proceso de autoevaluación.</w:t>
      </w:r>
    </w:p>
    <w:bookmarkEnd w:id="11"/>
    <w:p w14:paraId="56D90EA4" w14:textId="60138D88" w:rsidR="00284D6F" w:rsidRPr="00B55452" w:rsidRDefault="00284D6F" w:rsidP="00B55452">
      <w:pPr>
        <w:spacing w:line="360" w:lineRule="auto"/>
        <w:rPr>
          <w:rFonts w:ascii="Arial" w:hAnsi="Arial" w:cs="Arial"/>
          <w:b/>
          <w:bCs/>
        </w:rPr>
      </w:pPr>
    </w:p>
    <w:p w14:paraId="514CE0C0" w14:textId="20996A42" w:rsidR="00D93331" w:rsidRPr="00B55452" w:rsidRDefault="00AB3461" w:rsidP="004E1D4A">
      <w:pPr>
        <w:jc w:val="both"/>
        <w:rPr>
          <w:rFonts w:ascii="Arial" w:hAnsi="Arial" w:cs="Arial"/>
        </w:rPr>
      </w:pPr>
      <w:r w:rsidRPr="00B55452">
        <w:rPr>
          <w:rFonts w:ascii="Arial" w:hAnsi="Arial" w:cs="Arial"/>
          <w:b/>
          <w:bCs/>
        </w:rPr>
        <w:t>Palabras clave:</w:t>
      </w:r>
      <w:r w:rsidRPr="00B55452">
        <w:rPr>
          <w:rFonts w:ascii="Arial" w:hAnsi="Arial" w:cs="Arial"/>
        </w:rPr>
        <w:t xml:space="preserve"> </w:t>
      </w:r>
      <w:r w:rsidR="006A46E0" w:rsidRPr="006A46E0">
        <w:rPr>
          <w:rFonts w:ascii="Arial" w:hAnsi="Arial" w:cs="Arial"/>
        </w:rPr>
        <w:t>acreditación, autoevaluación, calidad de la educación, control de calidad, educación superior.</w:t>
      </w:r>
    </w:p>
    <w:p w14:paraId="34AF029D" w14:textId="77777777" w:rsidR="00231519" w:rsidRPr="002C5F38" w:rsidRDefault="00231519" w:rsidP="00B55452">
      <w:pPr>
        <w:spacing w:line="360" w:lineRule="auto"/>
        <w:jc w:val="both"/>
        <w:rPr>
          <w:rFonts w:ascii="Arial" w:hAnsi="Arial" w:cs="Arial"/>
        </w:rPr>
      </w:pPr>
    </w:p>
    <w:p w14:paraId="1505BC0A" w14:textId="67CFFB40" w:rsidR="001C017C" w:rsidRPr="00316489" w:rsidRDefault="00CD7845" w:rsidP="00B55452">
      <w:pPr>
        <w:pStyle w:val="HTMLconformatoprevio"/>
        <w:spacing w:line="360" w:lineRule="auto"/>
        <w:jc w:val="both"/>
        <w:rPr>
          <w:rFonts w:ascii="Arial" w:hAnsi="Arial" w:cs="Arial"/>
          <w:sz w:val="24"/>
          <w:szCs w:val="24"/>
          <w:lang w:val="en-US"/>
        </w:rPr>
      </w:pPr>
      <w:r w:rsidRPr="00316489">
        <w:rPr>
          <w:rFonts w:ascii="Arial" w:hAnsi="Arial" w:cs="Arial"/>
          <w:b/>
          <w:bCs/>
          <w:sz w:val="24"/>
          <w:szCs w:val="24"/>
          <w:lang w:val="en-US"/>
        </w:rPr>
        <w:t>Abstract</w:t>
      </w:r>
    </w:p>
    <w:p w14:paraId="6EA79B43" w14:textId="0568C2CD" w:rsidR="008E692B" w:rsidRPr="006A46E0" w:rsidRDefault="006A46E0" w:rsidP="006A46E0">
      <w:pPr>
        <w:jc w:val="both"/>
        <w:rPr>
          <w:rFonts w:ascii="Arial" w:hAnsi="Arial" w:cs="Arial"/>
          <w:lang w:val="en-US"/>
        </w:rPr>
      </w:pPr>
      <w:r w:rsidRPr="006A46E0">
        <w:rPr>
          <w:rFonts w:ascii="Arial" w:hAnsi="Arial" w:cs="Arial"/>
          <w:lang w:val="en-US"/>
        </w:rPr>
        <w:t xml:space="preserve">This case study examines the self-evaluation process at Universidad </w:t>
      </w:r>
      <w:proofErr w:type="spellStart"/>
      <w:r w:rsidRPr="006A46E0">
        <w:rPr>
          <w:rFonts w:ascii="Arial" w:hAnsi="Arial" w:cs="Arial"/>
          <w:lang w:val="en-US"/>
        </w:rPr>
        <w:t>Internacional</w:t>
      </w:r>
      <w:proofErr w:type="spellEnd"/>
      <w:r w:rsidRPr="006A46E0">
        <w:rPr>
          <w:rFonts w:ascii="Arial" w:hAnsi="Arial" w:cs="Arial"/>
          <w:lang w:val="en-US"/>
        </w:rPr>
        <w:t xml:space="preserve"> de </w:t>
      </w:r>
      <w:proofErr w:type="spellStart"/>
      <w:r w:rsidRPr="006A46E0">
        <w:rPr>
          <w:rFonts w:ascii="Arial" w:hAnsi="Arial" w:cs="Arial"/>
          <w:lang w:val="en-US"/>
        </w:rPr>
        <w:t>Ciencia</w:t>
      </w:r>
      <w:proofErr w:type="spellEnd"/>
      <w:r w:rsidRPr="006A46E0">
        <w:rPr>
          <w:rFonts w:ascii="Arial" w:hAnsi="Arial" w:cs="Arial"/>
          <w:lang w:val="en-US"/>
        </w:rPr>
        <w:t xml:space="preserve"> y </w:t>
      </w:r>
      <w:proofErr w:type="spellStart"/>
      <w:r w:rsidRPr="006A46E0">
        <w:rPr>
          <w:rFonts w:ascii="Arial" w:hAnsi="Arial" w:cs="Arial"/>
          <w:lang w:val="en-US"/>
        </w:rPr>
        <w:t>Tecnología</w:t>
      </w:r>
      <w:proofErr w:type="spellEnd"/>
      <w:r w:rsidRPr="006A46E0">
        <w:rPr>
          <w:rFonts w:ascii="Arial" w:hAnsi="Arial" w:cs="Arial"/>
          <w:lang w:val="en-US"/>
        </w:rPr>
        <w:t xml:space="preserve"> (</w:t>
      </w:r>
      <w:proofErr w:type="spellStart"/>
      <w:r w:rsidRPr="006A46E0">
        <w:rPr>
          <w:rFonts w:ascii="Arial" w:hAnsi="Arial" w:cs="Arial"/>
          <w:lang w:val="en-US"/>
        </w:rPr>
        <w:t>UNICyT</w:t>
      </w:r>
      <w:proofErr w:type="spellEnd"/>
      <w:r w:rsidRPr="006A46E0">
        <w:rPr>
          <w:rFonts w:ascii="Arial" w:hAnsi="Arial" w:cs="Arial"/>
          <w:lang w:val="en-US"/>
        </w:rPr>
        <w:t>) in Panama between 2022 and 2023, with a particular focus on the Integrated Quality Management System (</w:t>
      </w:r>
      <w:proofErr w:type="spellStart"/>
      <w:r w:rsidRPr="006A46E0">
        <w:rPr>
          <w:rFonts w:ascii="Arial" w:hAnsi="Arial" w:cs="Arial"/>
          <w:lang w:val="en-US"/>
        </w:rPr>
        <w:t>SIGUNICyT</w:t>
      </w:r>
      <w:proofErr w:type="spellEnd"/>
      <w:r w:rsidRPr="006A46E0">
        <w:rPr>
          <w:rFonts w:ascii="Arial" w:hAnsi="Arial" w:cs="Arial"/>
          <w:lang w:val="en-US"/>
        </w:rPr>
        <w:t xml:space="preserve">). This system was created to </w:t>
      </w:r>
      <w:proofErr w:type="spellStart"/>
      <w:r w:rsidRPr="006A46E0">
        <w:rPr>
          <w:rFonts w:ascii="Arial" w:hAnsi="Arial" w:cs="Arial"/>
          <w:lang w:val="en-US"/>
        </w:rPr>
        <w:t>organise</w:t>
      </w:r>
      <w:proofErr w:type="spellEnd"/>
      <w:r w:rsidRPr="006A46E0">
        <w:rPr>
          <w:rFonts w:ascii="Arial" w:hAnsi="Arial" w:cs="Arial"/>
          <w:lang w:val="en-US"/>
        </w:rPr>
        <w:t xml:space="preserve"> evidence management, improve the tracking of accreditation indicators, and enhance institutional decision-making, aligning with the CONEAUPA model and international quality standards. The analysis employed pattern-matching, comparing empirical results with the continuous improvement approach based on the PDCA cycle. The findings demonstrate improvements in the efficiency, transparency, and sustainability of the institutional self-evaluation process.</w:t>
      </w:r>
    </w:p>
    <w:p w14:paraId="773DF529" w14:textId="77777777" w:rsidR="00534225" w:rsidRPr="006A46E0" w:rsidRDefault="00534225" w:rsidP="00B55452">
      <w:pPr>
        <w:pStyle w:val="HTMLconformatoprevio"/>
        <w:spacing w:line="360" w:lineRule="auto"/>
        <w:rPr>
          <w:rFonts w:ascii="Arial" w:hAnsi="Arial" w:cs="Arial"/>
          <w:b/>
          <w:bCs/>
          <w:sz w:val="24"/>
          <w:szCs w:val="24"/>
          <w:lang w:val="en-US"/>
        </w:rPr>
      </w:pPr>
    </w:p>
    <w:p w14:paraId="2688C786" w14:textId="16460DEB" w:rsidR="0008683E" w:rsidRPr="006A46E0" w:rsidRDefault="001C017C" w:rsidP="004E1D4A">
      <w:pPr>
        <w:pStyle w:val="HTMLconformatoprevio"/>
        <w:rPr>
          <w:rFonts w:ascii="Arial" w:hAnsi="Arial" w:cs="Arial"/>
          <w:lang w:val="en-US"/>
        </w:rPr>
      </w:pPr>
      <w:r w:rsidRPr="006A46E0">
        <w:rPr>
          <w:rFonts w:ascii="Arial" w:hAnsi="Arial" w:cs="Arial"/>
          <w:b/>
          <w:bCs/>
          <w:sz w:val="24"/>
          <w:szCs w:val="24"/>
          <w:lang w:val="en-US"/>
        </w:rPr>
        <w:t>K</w:t>
      </w:r>
      <w:r w:rsidR="00AB3461" w:rsidRPr="006A46E0">
        <w:rPr>
          <w:rFonts w:ascii="Arial" w:hAnsi="Arial" w:cs="Arial"/>
          <w:b/>
          <w:bCs/>
          <w:sz w:val="24"/>
          <w:szCs w:val="24"/>
          <w:lang w:val="en-US"/>
        </w:rPr>
        <w:t xml:space="preserve">ey words: </w:t>
      </w:r>
      <w:r w:rsidR="006A46E0" w:rsidRPr="006A46E0">
        <w:rPr>
          <w:rFonts w:ascii="Arial" w:hAnsi="Arial" w:cs="Arial"/>
          <w:sz w:val="24"/>
          <w:szCs w:val="24"/>
          <w:lang w:val="en-US"/>
        </w:rPr>
        <w:t>accreditation, self-assessment, educational quality, quality control, higher education.</w:t>
      </w:r>
    </w:p>
    <w:p w14:paraId="127B7D76" w14:textId="77777777" w:rsidR="0008683E" w:rsidRPr="006A46E0" w:rsidRDefault="0008683E" w:rsidP="0008683E">
      <w:pPr>
        <w:pStyle w:val="HTMLconformatoprevio"/>
        <w:spacing w:line="360" w:lineRule="auto"/>
        <w:rPr>
          <w:rFonts w:ascii="Arial" w:hAnsi="Arial" w:cs="Arial"/>
          <w:sz w:val="24"/>
          <w:szCs w:val="24"/>
          <w:lang w:val="en-US"/>
        </w:rPr>
      </w:pPr>
    </w:p>
    <w:p w14:paraId="179AAE40" w14:textId="59AF8FD7" w:rsidR="00546B56" w:rsidRPr="00546B56" w:rsidRDefault="00546B56" w:rsidP="00546B56">
      <w:pPr>
        <w:textAlignment w:val="baseline"/>
        <w:rPr>
          <w:rFonts w:ascii="Segoe UI" w:hAnsi="Segoe UI" w:cs="Segoe UI"/>
          <w:sz w:val="18"/>
          <w:szCs w:val="18"/>
          <w:lang w:eastAsia="es-CR"/>
        </w:rPr>
      </w:pPr>
      <w:r w:rsidRPr="00546B56">
        <w:rPr>
          <w:rFonts w:ascii="Arial" w:hAnsi="Arial" w:cs="Arial"/>
          <w:b/>
          <w:bCs/>
          <w:lang w:val="es-PA" w:eastAsia="es-CR"/>
        </w:rPr>
        <w:lastRenderedPageBreak/>
        <w:t>I</w:t>
      </w:r>
      <w:r w:rsidR="00316489">
        <w:rPr>
          <w:rFonts w:ascii="Arial" w:hAnsi="Arial" w:cs="Arial"/>
          <w:b/>
          <w:bCs/>
          <w:lang w:val="es-PA" w:eastAsia="es-CR"/>
        </w:rPr>
        <w:t>ntroducción</w:t>
      </w:r>
      <w:r w:rsidRPr="00546B56">
        <w:rPr>
          <w:rFonts w:ascii="Arial" w:hAnsi="Arial" w:cs="Arial"/>
          <w:lang w:eastAsia="es-CR"/>
        </w:rPr>
        <w:t> </w:t>
      </w:r>
    </w:p>
    <w:p w14:paraId="7DE87F5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educación de calidad en las universidades es un tema fundamental en la agenda de las instituciones de educación superior, especialmente en lugares donde la acreditación se ha establecido como un mecanismo clave para garantizar pertinencia, transparencia, mejora continua, inclusión, equidad, calidad y oportunidades de aprendizaje a lo largo de la vida, en un mundo cada vez más competitivo donde la excelencia académica es crucial para el desarrollo sostenible (Guerrero et al., 2016; Chaves-Chaves, 2024).</w:t>
      </w:r>
      <w:r w:rsidRPr="00546B56">
        <w:rPr>
          <w:rFonts w:ascii="Arial" w:hAnsi="Arial" w:cs="Arial"/>
          <w:lang w:eastAsia="es-CR"/>
        </w:rPr>
        <w:t> </w:t>
      </w:r>
    </w:p>
    <w:p w14:paraId="5B6AA59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55F827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acreditación de instituciones y programas académicos es esencial para asegurar la calidad en la educación superior. Este proceso evalúa la alineación entre los objetivos institucionales, los recursos y las prácticas, además de promover la mejora continua y garantizar que las instituciones se mantengan relevantes en un entorno global cada vez más competitivo (</w:t>
      </w:r>
      <w:proofErr w:type="spellStart"/>
      <w:r w:rsidRPr="00546B56">
        <w:rPr>
          <w:rFonts w:ascii="Arial" w:hAnsi="Arial" w:cs="Arial"/>
          <w:lang w:val="es-PA" w:eastAsia="es-CR"/>
        </w:rPr>
        <w:t>Buela</w:t>
      </w:r>
      <w:proofErr w:type="spellEnd"/>
      <w:r w:rsidRPr="00546B56">
        <w:rPr>
          <w:rFonts w:ascii="Arial" w:hAnsi="Arial" w:cs="Arial"/>
          <w:lang w:val="es-PA" w:eastAsia="es-CR"/>
        </w:rPr>
        <w:t>-Casal &amp; Castro, 2009). Desde una perspectiva conceptual, la evaluación de la calidad en la educación superior ha avanzado para incluir tanto indicadores cualitativos como cuantitativos, que responden a las demandas de una sociedad cada vez más globalizada y tecnológica (Barcos, 2008; Pesántez Avilés, 2011).</w:t>
      </w:r>
      <w:r w:rsidRPr="00546B56">
        <w:rPr>
          <w:rFonts w:ascii="Arial" w:hAnsi="Arial" w:cs="Arial"/>
          <w:lang w:eastAsia="es-CR"/>
        </w:rPr>
        <w:t> </w:t>
      </w:r>
    </w:p>
    <w:p w14:paraId="5C1D360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7AE446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En este contexto, los sistemas de gestión de calidad y la adopción de tecnologías de la información se consideran herramientas clave para la toma de decisiones informadas, el seguimiento constante de indicadores y la elaboración de planes de </w:t>
      </w:r>
      <w:r w:rsidRPr="00546B56">
        <w:rPr>
          <w:rFonts w:ascii="Arial" w:hAnsi="Arial" w:cs="Arial"/>
          <w:lang w:val="es-PA" w:eastAsia="es-CR"/>
        </w:rPr>
        <w:lastRenderedPageBreak/>
        <w:t>mejora que afectan tanto a nivel institucional como a nivel social (Guerrero-</w:t>
      </w:r>
      <w:proofErr w:type="spellStart"/>
      <w:r w:rsidRPr="00546B56">
        <w:rPr>
          <w:rFonts w:ascii="Arial" w:hAnsi="Arial" w:cs="Arial"/>
          <w:lang w:val="es-PA" w:eastAsia="es-CR"/>
        </w:rPr>
        <w:t>Ceh</w:t>
      </w:r>
      <w:proofErr w:type="spellEnd"/>
      <w:r w:rsidRPr="00546B56">
        <w:rPr>
          <w:rFonts w:ascii="Arial" w:hAnsi="Arial" w:cs="Arial"/>
          <w:lang w:val="es-PA" w:eastAsia="es-CR"/>
        </w:rPr>
        <w:t xml:space="preserve"> et al., 2016; Cedeño-Suárez &amp; Hernández-Salazar, 2011; Prado et al., 2020).</w:t>
      </w:r>
      <w:r w:rsidRPr="00546B56">
        <w:rPr>
          <w:rFonts w:ascii="Arial" w:hAnsi="Arial" w:cs="Arial"/>
          <w:lang w:eastAsia="es-CR"/>
        </w:rPr>
        <w:t> </w:t>
      </w:r>
    </w:p>
    <w:p w14:paraId="2382A3B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5CF993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Panamá, la Ley 52 del 26 de junio de 2015 y las normativas del Consejo Nacional de Evaluación y Acreditación Universitaria (CONEAUPA) establecen un modelo obligatorio que combina evaluaciones internas y externas como base para otorgar acreditaciones por periodos de 4, 5 o 6 años, según el cumplimiento de los estándares definidos en la matriz de evaluación. Este modelo reconoce la calidad como un concepto pluridimensional que abarca la docencia, la investigación, la extensión universitaria y la gestión institucional (Ley 52, 2015; López de Ramos, 2022).</w:t>
      </w:r>
      <w:r w:rsidRPr="00546B56">
        <w:rPr>
          <w:rFonts w:ascii="Arial" w:hAnsi="Arial" w:cs="Arial"/>
          <w:lang w:eastAsia="es-CR"/>
        </w:rPr>
        <w:t> </w:t>
      </w:r>
    </w:p>
    <w:p w14:paraId="6834D45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4DC35B9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Durante el período 2022-2023, la Universidad Internacional de Ciencia y Tecnología (</w:t>
      </w:r>
      <w:proofErr w:type="spellStart"/>
      <w:r w:rsidRPr="00546B56">
        <w:rPr>
          <w:rFonts w:ascii="Arial" w:hAnsi="Arial" w:cs="Arial"/>
          <w:lang w:val="es-PA" w:eastAsia="es-CR"/>
        </w:rPr>
        <w:t>UNICyT</w:t>
      </w:r>
      <w:proofErr w:type="spellEnd"/>
      <w:r w:rsidRPr="00546B56">
        <w:rPr>
          <w:rFonts w:ascii="Arial" w:hAnsi="Arial" w:cs="Arial"/>
          <w:lang w:val="es-PA" w:eastAsia="es-CR"/>
        </w:rPr>
        <w:t>) desarrolló un proceso de autoevaluación institucional en el marco de los requisitos del modelo de acreditación del CONEAUPA. Este proceso no constituyó un fin en sí mismo, sino un medio para fortalecer la gestión institucional, mejorar la toma de decisiones basada en evidencia y consolidar una cultura de calidad orientada a la mejora continua. Como parte de esta estrategia, la universidad creó e implementó 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 una plataforma diseñada para organizar las evidencias, mejorar la trazabilidad de los indicadores de acreditación y potenciar la gestión institucional.</w:t>
      </w:r>
      <w:r w:rsidRPr="00546B56">
        <w:rPr>
          <w:rFonts w:ascii="Arial" w:hAnsi="Arial" w:cs="Arial"/>
          <w:lang w:eastAsia="es-CR"/>
        </w:rPr>
        <w:t> </w:t>
      </w:r>
    </w:p>
    <w:p w14:paraId="5A9D49A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F1E91E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lastRenderedPageBreak/>
        <w:t>La implementación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facilitó la incorporación de la autoevaluación institucional en los procesos internos de gestión, alineando los indicadores requeridos por el organismo acreditador con una estrategia de mejora </w:t>
      </w:r>
      <w:proofErr w:type="gramStart"/>
      <w:r w:rsidRPr="00546B56">
        <w:rPr>
          <w:rFonts w:ascii="Arial" w:hAnsi="Arial" w:cs="Arial"/>
          <w:lang w:val="es-PA" w:eastAsia="es-CR"/>
        </w:rPr>
        <w:t>continua</w:t>
      </w:r>
      <w:proofErr w:type="gramEnd"/>
      <w:r w:rsidRPr="00546B56">
        <w:rPr>
          <w:rFonts w:ascii="Arial" w:hAnsi="Arial" w:cs="Arial"/>
          <w:lang w:val="es-PA" w:eastAsia="es-CR"/>
        </w:rPr>
        <w:t> basada en el ciclo PDCA (</w:t>
      </w:r>
      <w:r w:rsidRPr="00546B56">
        <w:rPr>
          <w:rFonts w:ascii="Arial" w:hAnsi="Arial" w:cs="Arial"/>
          <w:i/>
          <w:iCs/>
          <w:lang w:val="es-PA" w:eastAsia="es-CR"/>
        </w:rPr>
        <w:t>Plan</w:t>
      </w:r>
      <w:r w:rsidRPr="00546B56">
        <w:rPr>
          <w:rFonts w:ascii="Arial" w:hAnsi="Arial" w:cs="Arial"/>
          <w:lang w:val="es-PA" w:eastAsia="es-CR"/>
        </w:rPr>
        <w:t>-</w:t>
      </w:r>
      <w:r w:rsidRPr="00546B56">
        <w:rPr>
          <w:rFonts w:ascii="Arial" w:hAnsi="Arial" w:cs="Arial"/>
          <w:i/>
          <w:iCs/>
          <w:lang w:val="es-PA" w:eastAsia="es-CR"/>
        </w:rPr>
        <w:t>Do-</w:t>
      </w:r>
      <w:proofErr w:type="spellStart"/>
      <w:r w:rsidRPr="00546B56">
        <w:rPr>
          <w:rFonts w:ascii="Arial" w:hAnsi="Arial" w:cs="Arial"/>
          <w:i/>
          <w:iCs/>
          <w:lang w:val="es-PA" w:eastAsia="es-CR"/>
        </w:rPr>
        <w:t>Check</w:t>
      </w:r>
      <w:proofErr w:type="spellEnd"/>
      <w:r w:rsidRPr="00546B56">
        <w:rPr>
          <w:rFonts w:ascii="Arial" w:hAnsi="Arial" w:cs="Arial"/>
          <w:i/>
          <w:iCs/>
          <w:lang w:val="es-PA" w:eastAsia="es-CR"/>
        </w:rPr>
        <w:t>-</w:t>
      </w:r>
      <w:proofErr w:type="spellStart"/>
      <w:r w:rsidRPr="00546B56">
        <w:rPr>
          <w:rFonts w:ascii="Arial" w:hAnsi="Arial" w:cs="Arial"/>
          <w:i/>
          <w:iCs/>
          <w:lang w:val="es-PA" w:eastAsia="es-CR"/>
        </w:rPr>
        <w:t>Act</w:t>
      </w:r>
      <w:proofErr w:type="spellEnd"/>
      <w:r w:rsidRPr="00546B56">
        <w:rPr>
          <w:rFonts w:ascii="Arial" w:hAnsi="Arial" w:cs="Arial"/>
          <w:lang w:val="es-PA" w:eastAsia="es-CR"/>
        </w:rPr>
        <w:t>).</w:t>
      </w:r>
      <w:r w:rsidRPr="00546B56">
        <w:rPr>
          <w:rFonts w:ascii="Arial" w:hAnsi="Arial" w:cs="Arial"/>
          <w:lang w:eastAsia="es-CR"/>
        </w:rPr>
        <w:t> </w:t>
      </w:r>
    </w:p>
    <w:p w14:paraId="32D06B1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00AA1EB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A pesar de la expansión de los modelos de acreditación en América Latina y del uso creciente de sistemas de gestión de la calidad en la educación superior, existen pocos estudios de caso que documenten la sistematización de los procesos de autoevaluación institucional mediante plataformas digitales en contextos específicos, como el panameño. La literatura reciente evidencia que, si bien los sistemas de aseguramiento de la calidad han transformado la gestión universitaria, aún se requiere más evidencia empírica contextualizada que permita comprender cómo se implementan y operan en escenarios institucionales concretos (</w:t>
      </w:r>
      <w:proofErr w:type="spellStart"/>
      <w:r w:rsidRPr="00546B56">
        <w:rPr>
          <w:rFonts w:ascii="Arial" w:hAnsi="Arial" w:cs="Arial"/>
          <w:lang w:val="es-PA" w:eastAsia="es-CR"/>
        </w:rPr>
        <w:t>Guil</w:t>
      </w:r>
      <w:proofErr w:type="spellEnd"/>
      <w:r w:rsidRPr="00546B56">
        <w:rPr>
          <w:rFonts w:ascii="Arial" w:hAnsi="Arial" w:cs="Arial"/>
          <w:lang w:val="es-PA" w:eastAsia="es-CR"/>
        </w:rPr>
        <w:t xml:space="preserve"> Gorostidi &amp; Rubio-</w:t>
      </w:r>
      <w:proofErr w:type="spellStart"/>
      <w:r w:rsidRPr="00546B56">
        <w:rPr>
          <w:rFonts w:ascii="Arial" w:hAnsi="Arial" w:cs="Arial"/>
          <w:lang w:val="es-PA" w:eastAsia="es-CR"/>
        </w:rPr>
        <w:t>Arostegui</w:t>
      </w:r>
      <w:proofErr w:type="spellEnd"/>
      <w:r w:rsidRPr="00546B56">
        <w:rPr>
          <w:rFonts w:ascii="Arial" w:hAnsi="Arial" w:cs="Arial"/>
          <w:lang w:val="es-PA" w:eastAsia="es-CR"/>
        </w:rPr>
        <w:t>, 2026).</w:t>
      </w:r>
      <w:r w:rsidRPr="00546B56">
        <w:rPr>
          <w:rFonts w:ascii="Arial" w:hAnsi="Arial" w:cs="Arial"/>
          <w:lang w:eastAsia="es-CR"/>
        </w:rPr>
        <w:t> </w:t>
      </w:r>
    </w:p>
    <w:p w14:paraId="19690A8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DC5B1C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experiencia de la </w:t>
      </w:r>
      <w:proofErr w:type="spellStart"/>
      <w:r w:rsidRPr="00546B56">
        <w:rPr>
          <w:rFonts w:ascii="Arial" w:hAnsi="Arial" w:cs="Arial"/>
          <w:lang w:val="es-PA" w:eastAsia="es-CR"/>
        </w:rPr>
        <w:t>UNICyT</w:t>
      </w:r>
      <w:proofErr w:type="spellEnd"/>
      <w:r w:rsidRPr="00546B56">
        <w:rPr>
          <w:rFonts w:ascii="Arial" w:hAnsi="Arial" w:cs="Arial"/>
          <w:lang w:val="es-PA" w:eastAsia="es-CR"/>
        </w:rPr>
        <w:t xml:space="preserve"> en este contexto ejemplifica la alineación estratégica entre su plan de desarrollo institucional y los requisitos del modelo del CONEAUPA; la autoevaluación institucional que aplica no solo cumple con las exigencias regulatorias, sino que también refuerza la capacidad de la universidad para supervisar su desempeño y diseñar planes de mejora continua (García-Domingo et al., 2023; Cedeño-Suárez &amp; Salazar, 2011). En un entorno donde la transparencia y la rendición de cuentas son clave, las instituciones académicas deben </w:t>
      </w:r>
      <w:r w:rsidRPr="00546B56">
        <w:rPr>
          <w:rFonts w:ascii="Arial" w:hAnsi="Arial" w:cs="Arial"/>
          <w:lang w:val="es-PA" w:eastAsia="es-CR"/>
        </w:rPr>
        <w:lastRenderedPageBreak/>
        <w:t>implementar herramientas de gestión que permitan un análisis profundo de sus procesos internos (Pesántez Avilés, 2011).</w:t>
      </w:r>
      <w:r w:rsidRPr="00546B56">
        <w:rPr>
          <w:rFonts w:ascii="Arial" w:hAnsi="Arial" w:cs="Arial"/>
          <w:lang w:eastAsia="es-CR"/>
        </w:rPr>
        <w:t> </w:t>
      </w:r>
    </w:p>
    <w:p w14:paraId="5442621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11B919F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esta perspectiva, surge la siguiente pregunta de investigación: ¿De qué manera la implementación del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 ha fortalecido la gestión institucional y garantizado la calidad educativa en la Universidad Internacional de Ciencia y Tecnología (</w:t>
      </w:r>
      <w:proofErr w:type="spellStart"/>
      <w:r w:rsidRPr="00546B56">
        <w:rPr>
          <w:rFonts w:ascii="Arial" w:hAnsi="Arial" w:cs="Arial"/>
          <w:lang w:val="es-PA" w:eastAsia="es-CR"/>
        </w:rPr>
        <w:t>UNICyT</w:t>
      </w:r>
      <w:proofErr w:type="spellEnd"/>
      <w:r w:rsidRPr="00546B56">
        <w:rPr>
          <w:rFonts w:ascii="Arial" w:hAnsi="Arial" w:cs="Arial"/>
          <w:lang w:val="es-PA" w:eastAsia="es-CR"/>
        </w:rPr>
        <w:t>) durante el proceso de autoevaluación y acreditación institucional 2022-2023, en el contexto del modelo del CONEAUPA?</w:t>
      </w:r>
      <w:r w:rsidRPr="00546B56">
        <w:rPr>
          <w:rFonts w:ascii="Arial" w:hAnsi="Arial" w:cs="Arial"/>
          <w:lang w:eastAsia="es-CR"/>
        </w:rPr>
        <w:t> </w:t>
      </w:r>
    </w:p>
    <w:p w14:paraId="773FA22E" w14:textId="46FCFE88"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F3DC1D5" w14:textId="440F975D"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b/>
          <w:bCs/>
          <w:lang w:val="es-PA" w:eastAsia="es-CR"/>
        </w:rPr>
        <w:t>M</w:t>
      </w:r>
      <w:r w:rsidR="00E4218C">
        <w:rPr>
          <w:rFonts w:ascii="Arial" w:hAnsi="Arial" w:cs="Arial"/>
          <w:b/>
          <w:bCs/>
          <w:lang w:val="es-PA" w:eastAsia="es-CR"/>
        </w:rPr>
        <w:t>arco referencial</w:t>
      </w:r>
    </w:p>
    <w:p w14:paraId="4F3E9AC1" w14:textId="4545E1E0"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r w:rsidRPr="00546B56">
        <w:rPr>
          <w:rFonts w:ascii="Arial" w:hAnsi="Arial" w:cs="Arial"/>
          <w:b/>
          <w:bCs/>
          <w:lang w:val="es-PA" w:eastAsia="es-CR"/>
        </w:rPr>
        <w:t>Calidad en la educación superior</w:t>
      </w:r>
    </w:p>
    <w:p w14:paraId="1F93D1DD"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calidad en la educación superior constituye un eje central en la agenda de las instituciones universitarias, en tanto se vincula con la pertinencia social, la transparencia institucional y la mejora continua de los procesos académicos y administrativos. A este respecto, la calidad ha evolucionado desde enfoques centrados exclusivamente en los resultados hacia perspectivas integrales que incorporan dimensiones organizacionales, pedagógicas y de gestión (</w:t>
      </w:r>
      <w:proofErr w:type="spellStart"/>
      <w:r w:rsidRPr="00546B56">
        <w:rPr>
          <w:rFonts w:ascii="Arial" w:hAnsi="Arial" w:cs="Arial"/>
          <w:lang w:val="es-PA" w:eastAsia="es-CR"/>
        </w:rPr>
        <w:t>Buela</w:t>
      </w:r>
      <w:proofErr w:type="spellEnd"/>
      <w:r w:rsidRPr="00546B56">
        <w:rPr>
          <w:rFonts w:ascii="Arial" w:hAnsi="Arial" w:cs="Arial"/>
          <w:lang w:val="es-PA" w:eastAsia="es-CR"/>
        </w:rPr>
        <w:t>-Casal &amp; Castro, 2009; Pesántez Avilés, 2011).</w:t>
      </w:r>
      <w:r w:rsidRPr="00546B56">
        <w:rPr>
          <w:rFonts w:ascii="Arial" w:hAnsi="Arial" w:cs="Arial"/>
          <w:lang w:eastAsia="es-CR"/>
        </w:rPr>
        <w:t> </w:t>
      </w:r>
    </w:p>
    <w:p w14:paraId="04E6C18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39B82B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En las últimas décadas, la creciente globalización del conocimiento y la expansión de los sistemas de aseguramiento de la calidad han impulsado a las universidades </w:t>
      </w:r>
      <w:r w:rsidRPr="00546B56">
        <w:rPr>
          <w:rFonts w:ascii="Arial" w:hAnsi="Arial" w:cs="Arial"/>
          <w:lang w:val="es-PA" w:eastAsia="es-CR"/>
        </w:rPr>
        <w:lastRenderedPageBreak/>
        <w:t>a adoptar modelos que permitan evaluar su desempeño de manera sistemática, y responder a estándares nacionales e internacionales. Estos modelos integran indicadores cualitativos y cuantitativos orientados a medir aspectos como la eficiencia institucional, la eficacia académica y la satisfacción de los actores educativos (Medina Chalco et al., 2022). El uso de matrices de indicadores para organizar el proceso de evaluación interna se ha convertido en una herramienta clave para medir el impacto de las iniciativas de mejora continua y garantizar el cumplimiento de los estándares de calidad (Medina Chalco et al., 2022; García-Vargas &amp; Azofeifa-Lizano, 2024; García-Domingo et al., 2023; Prado et al., 2020). </w:t>
      </w:r>
      <w:r w:rsidRPr="00546B56">
        <w:rPr>
          <w:rFonts w:ascii="Arial" w:hAnsi="Arial" w:cs="Arial"/>
          <w:lang w:eastAsia="es-CR"/>
        </w:rPr>
        <w:t> </w:t>
      </w:r>
    </w:p>
    <w:p w14:paraId="1FF3113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4AE8E15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A pesar de los avances, las universidades aún enfrentan desafíos significativos al implementar modelos de calidad y de gestión integrada. Entre estos se encuentran la resistencia al cambio, la falta de capacitación en el uso de sistemas tecnológicos y la necesidad de recursos financieros para su sostenibilidad (García-Domingo et al., </w:t>
      </w:r>
      <w:proofErr w:type="gramStart"/>
      <w:r w:rsidRPr="00546B56">
        <w:rPr>
          <w:rFonts w:ascii="Arial" w:hAnsi="Arial" w:cs="Arial"/>
          <w:lang w:val="es-PA" w:eastAsia="es-CR"/>
        </w:rPr>
        <w:t>2023)​</w:t>
      </w:r>
      <w:proofErr w:type="gramEnd"/>
      <w:r w:rsidRPr="00546B56">
        <w:rPr>
          <w:rFonts w:ascii="Arial" w:hAnsi="Arial" w:cs="Arial"/>
          <w:lang w:val="es-PA" w:eastAsia="es-CR"/>
        </w:rPr>
        <w:t>. Sin embargo, las oportunidades son vastas, ya que estos modelos fortalecen la capacidad de las instituciones para responder a las demandas sociales y mejorar su posicionamiento en rankings nacionales e internacionales (Prado et al., 2020).</w:t>
      </w:r>
      <w:r w:rsidRPr="00546B56">
        <w:rPr>
          <w:rFonts w:ascii="Arial" w:hAnsi="Arial" w:cs="Arial"/>
          <w:lang w:eastAsia="es-CR"/>
        </w:rPr>
        <w:t> </w:t>
      </w:r>
    </w:p>
    <w:p w14:paraId="6319CFC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5CCD39D" w14:textId="24F727B1" w:rsidR="00990C5C" w:rsidRDefault="00990C5C" w:rsidP="00E06486">
      <w:pPr>
        <w:spacing w:line="360" w:lineRule="auto"/>
        <w:jc w:val="both"/>
        <w:textAlignment w:val="baseline"/>
        <w:rPr>
          <w:rFonts w:ascii="Arial" w:hAnsi="Arial" w:cs="Arial"/>
          <w:b/>
          <w:bCs/>
          <w:lang w:val="es-PA" w:eastAsia="es-CR"/>
        </w:rPr>
      </w:pPr>
    </w:p>
    <w:p w14:paraId="38BA788F" w14:textId="64AFD5D2" w:rsidR="00C10630" w:rsidRDefault="00C10630" w:rsidP="00E06486">
      <w:pPr>
        <w:spacing w:line="360" w:lineRule="auto"/>
        <w:jc w:val="both"/>
        <w:textAlignment w:val="baseline"/>
        <w:rPr>
          <w:rFonts w:ascii="Arial" w:hAnsi="Arial" w:cs="Arial"/>
          <w:b/>
          <w:bCs/>
          <w:lang w:val="es-PA" w:eastAsia="es-CR"/>
        </w:rPr>
      </w:pPr>
    </w:p>
    <w:p w14:paraId="48AACB41" w14:textId="77777777" w:rsidR="00C10630" w:rsidRDefault="00C10630" w:rsidP="00E06486">
      <w:pPr>
        <w:spacing w:line="360" w:lineRule="auto"/>
        <w:jc w:val="both"/>
        <w:textAlignment w:val="baseline"/>
        <w:rPr>
          <w:rFonts w:ascii="Arial" w:hAnsi="Arial" w:cs="Arial"/>
          <w:b/>
          <w:bCs/>
          <w:lang w:val="es-PA" w:eastAsia="es-CR"/>
        </w:rPr>
      </w:pPr>
    </w:p>
    <w:p w14:paraId="43EF8451" w14:textId="73A46488"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lastRenderedPageBreak/>
        <w:t>PDCA e ISO en universidades</w:t>
      </w:r>
      <w:r w:rsidRPr="00546B56">
        <w:rPr>
          <w:rFonts w:ascii="Arial" w:hAnsi="Arial" w:cs="Arial"/>
          <w:lang w:eastAsia="es-CR"/>
        </w:rPr>
        <w:t> </w:t>
      </w:r>
    </w:p>
    <w:p w14:paraId="3D4B1B4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Uno de los enfoques más ampliamente utilizados en la gestión de la calidad es el ciclo PDCA (</w:t>
      </w:r>
      <w:r w:rsidRPr="00546B56">
        <w:rPr>
          <w:rFonts w:ascii="Arial" w:hAnsi="Arial" w:cs="Arial"/>
          <w:i/>
          <w:iCs/>
          <w:lang w:val="es-PA" w:eastAsia="es-CR"/>
        </w:rPr>
        <w:t>Plan-Do-</w:t>
      </w:r>
      <w:proofErr w:type="spellStart"/>
      <w:r w:rsidRPr="00546B56">
        <w:rPr>
          <w:rFonts w:ascii="Arial" w:hAnsi="Arial" w:cs="Arial"/>
          <w:i/>
          <w:iCs/>
          <w:lang w:val="es-PA" w:eastAsia="es-CR"/>
        </w:rPr>
        <w:t>Check</w:t>
      </w:r>
      <w:proofErr w:type="spellEnd"/>
      <w:r w:rsidRPr="00546B56">
        <w:rPr>
          <w:rFonts w:ascii="Arial" w:hAnsi="Arial" w:cs="Arial"/>
          <w:i/>
          <w:iCs/>
          <w:lang w:val="es-PA" w:eastAsia="es-CR"/>
        </w:rPr>
        <w:t>-</w:t>
      </w:r>
      <w:proofErr w:type="spellStart"/>
      <w:r w:rsidRPr="00546B56">
        <w:rPr>
          <w:rFonts w:ascii="Arial" w:hAnsi="Arial" w:cs="Arial"/>
          <w:i/>
          <w:iCs/>
          <w:lang w:val="es-PA" w:eastAsia="es-CR"/>
        </w:rPr>
        <w:t>Act</w:t>
      </w:r>
      <w:proofErr w:type="spellEnd"/>
      <w:r w:rsidRPr="00546B56">
        <w:rPr>
          <w:rFonts w:ascii="Arial" w:hAnsi="Arial" w:cs="Arial"/>
          <w:lang w:val="es-PA" w:eastAsia="es-CR"/>
        </w:rPr>
        <w:t>), que propone un modelo de mejora </w:t>
      </w:r>
      <w:proofErr w:type="spellStart"/>
      <w:r w:rsidRPr="00546B56">
        <w:rPr>
          <w:rFonts w:ascii="Arial" w:hAnsi="Arial" w:cs="Arial"/>
          <w:lang w:val="es-PA" w:eastAsia="es-CR"/>
        </w:rPr>
        <w:t>continúa</w:t>
      </w:r>
      <w:proofErr w:type="spellEnd"/>
      <w:r w:rsidRPr="00546B56">
        <w:rPr>
          <w:rFonts w:ascii="Arial" w:hAnsi="Arial" w:cs="Arial"/>
          <w:lang w:val="es-PA" w:eastAsia="es-CR"/>
        </w:rPr>
        <w:t> basado en la planificación, ejecución, evaluación y ajuste de los procesos organizacionales (García-Vargas &amp; Azofeifa-Lizano, 2024).</w:t>
      </w:r>
      <w:r w:rsidRPr="00546B56">
        <w:rPr>
          <w:rFonts w:ascii="Arial" w:hAnsi="Arial" w:cs="Arial"/>
          <w:lang w:eastAsia="es-CR"/>
        </w:rPr>
        <w:t> </w:t>
      </w:r>
    </w:p>
    <w:p w14:paraId="05626E0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C24BAD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el ámbito universitario, este ciclo se operacionaliza mediante la definición de objetivos e indicadores de calidad (</w:t>
      </w:r>
      <w:r w:rsidRPr="00546B56">
        <w:rPr>
          <w:rFonts w:ascii="Arial" w:hAnsi="Arial" w:cs="Arial"/>
          <w:i/>
          <w:iCs/>
          <w:lang w:val="es-PA" w:eastAsia="es-CR"/>
        </w:rPr>
        <w:t>Plan</w:t>
      </w:r>
      <w:r w:rsidRPr="00546B56">
        <w:rPr>
          <w:rFonts w:ascii="Arial" w:hAnsi="Arial" w:cs="Arial"/>
          <w:lang w:val="es-PA" w:eastAsia="es-CR"/>
        </w:rPr>
        <w:t>), la implementación de procesos académicos y administrativos (</w:t>
      </w:r>
      <w:r w:rsidRPr="00546B56">
        <w:rPr>
          <w:rFonts w:ascii="Arial" w:hAnsi="Arial" w:cs="Arial"/>
          <w:i/>
          <w:iCs/>
          <w:lang w:val="es-PA" w:eastAsia="es-CR"/>
        </w:rPr>
        <w:t>Do</w:t>
      </w:r>
      <w:r w:rsidRPr="00546B56">
        <w:rPr>
          <w:rFonts w:ascii="Arial" w:hAnsi="Arial" w:cs="Arial"/>
          <w:lang w:val="es-PA" w:eastAsia="es-CR"/>
        </w:rPr>
        <w:t>), el seguimiento y la evaluación de resultados (</w:t>
      </w:r>
      <w:proofErr w:type="spellStart"/>
      <w:r w:rsidRPr="00546B56">
        <w:rPr>
          <w:rFonts w:ascii="Arial" w:hAnsi="Arial" w:cs="Arial"/>
          <w:i/>
          <w:iCs/>
          <w:lang w:val="es-PA" w:eastAsia="es-CR"/>
        </w:rPr>
        <w:t>Check</w:t>
      </w:r>
      <w:proofErr w:type="spellEnd"/>
      <w:r w:rsidRPr="00546B56">
        <w:rPr>
          <w:rFonts w:ascii="Arial" w:hAnsi="Arial" w:cs="Arial"/>
          <w:lang w:val="es-PA" w:eastAsia="es-CR"/>
        </w:rPr>
        <w:t>), y la formulación de acciones correctivas o de mejora (</w:t>
      </w:r>
      <w:proofErr w:type="spellStart"/>
      <w:r w:rsidRPr="00546B56">
        <w:rPr>
          <w:rFonts w:ascii="Arial" w:hAnsi="Arial" w:cs="Arial"/>
          <w:i/>
          <w:iCs/>
          <w:lang w:val="es-PA" w:eastAsia="es-CR"/>
        </w:rPr>
        <w:t>Act</w:t>
      </w:r>
      <w:proofErr w:type="spellEnd"/>
      <w:r w:rsidRPr="00546B56">
        <w:rPr>
          <w:rFonts w:ascii="Arial" w:hAnsi="Arial" w:cs="Arial"/>
          <w:lang w:val="es-PA" w:eastAsia="es-CR"/>
        </w:rPr>
        <w:t xml:space="preserve">). La aplicación sistemática del PDCA permite transformar la autoevaluación en un proceso continuo y no meramente reactivo, fortaleciendo la toma de decisiones basada en evidencia (Samuel &amp; </w:t>
      </w:r>
      <w:proofErr w:type="spellStart"/>
      <w:r w:rsidRPr="00546B56">
        <w:rPr>
          <w:rFonts w:ascii="Arial" w:hAnsi="Arial" w:cs="Arial"/>
          <w:lang w:val="es-PA" w:eastAsia="es-CR"/>
        </w:rPr>
        <w:t>Farrer</w:t>
      </w:r>
      <w:proofErr w:type="spellEnd"/>
      <w:r w:rsidRPr="00546B56">
        <w:rPr>
          <w:rFonts w:ascii="Arial" w:hAnsi="Arial" w:cs="Arial"/>
          <w:lang w:val="es-PA" w:eastAsia="es-CR"/>
        </w:rPr>
        <w:t>, 2025).</w:t>
      </w:r>
      <w:r w:rsidRPr="00546B56">
        <w:rPr>
          <w:rFonts w:ascii="Arial" w:hAnsi="Arial" w:cs="Arial"/>
          <w:lang w:eastAsia="es-CR"/>
        </w:rPr>
        <w:t> </w:t>
      </w:r>
    </w:p>
    <w:p w14:paraId="1820CD4F"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3D710533"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Complementariamente, las normas internacionales ISO 9001 e ISO 21001 han sido adoptadas por diversas instituciones de educación superior como marcos de referencia para estructurar sus sistemas de gestión de la calidad. Mientras que la ISO 9001 establece principios generales de gestión orientados a la mejora continua y la satisfacción del cliente, la ISO 21001 se enfoca en organizaciones educativas, incorporando las necesidades de estudiantes y otros grupos de interés en el diseño de los procesos institucionales (Quimi Franco, 2019).</w:t>
      </w:r>
      <w:r w:rsidRPr="00546B56">
        <w:rPr>
          <w:rFonts w:ascii="Arial" w:hAnsi="Arial" w:cs="Arial"/>
          <w:lang w:eastAsia="es-CR"/>
        </w:rPr>
        <w:t> </w:t>
      </w:r>
    </w:p>
    <w:p w14:paraId="33E1438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3E86F4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lastRenderedPageBreak/>
        <w:t>La integración del ciclo PDCA con los estándares ISO permite a las universidades fortalecer la coherencia entre sus procesos internos, optimizar la gestión de recursos y garantizar la calidad de sus servicios educativos en un entorno cada vez más exigente.</w:t>
      </w:r>
      <w:r w:rsidRPr="00546B56">
        <w:rPr>
          <w:rFonts w:ascii="Arial" w:hAnsi="Arial" w:cs="Arial"/>
          <w:lang w:eastAsia="es-CR"/>
        </w:rPr>
        <w:t> </w:t>
      </w:r>
    </w:p>
    <w:p w14:paraId="6700E8F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04FE8017" w14:textId="224AE814"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Modelo de calidad del CONEAUPA</w:t>
      </w:r>
      <w:r w:rsidRPr="00546B56">
        <w:rPr>
          <w:rFonts w:ascii="Arial" w:hAnsi="Arial" w:cs="Arial"/>
          <w:lang w:eastAsia="es-CR"/>
        </w:rPr>
        <w:t> </w:t>
      </w:r>
    </w:p>
    <w:p w14:paraId="75B00023"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CONEAUPA forma parte integral del Sistema Nacional de Evaluación y Acreditación para el Mejoramiento de la Calidad de la Educación Superior Universitaria (CONEAUPA, 2020). Se estableció con la intención de fomentar y desarrollar una cultura de evaluación que asegurara la calidad de la educación superior universitaria en el país. Este modelo tiene un enfoque sistémico y fue concebido “sobre los principios de mejoramiento continuo de la calidad, el respeto a la autonomía universitaria, el reconocimiento de la diversidad de las instituciones universitarias y sus diferentes programas y modalidades de enseñanza…” (CONEAUPA, 2020, p. 5). Consta de tres fases: autoevaluación, evaluación externa y evaluación de acreditación.</w:t>
      </w:r>
      <w:r w:rsidRPr="00546B56">
        <w:rPr>
          <w:rFonts w:ascii="Arial" w:hAnsi="Arial" w:cs="Arial"/>
          <w:lang w:eastAsia="es-CR"/>
        </w:rPr>
        <w:t> </w:t>
      </w:r>
    </w:p>
    <w:p w14:paraId="7C022BCF"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7A57900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modelo tiene cuatro factores, 13 componentes, 29 subcomponentes, 9 criterios de calidad, 2 categorías, 109 indicadores y estándares para la acreditación, y 103 para los procesos de reacreditación. Los cuatro factores son: Proyecto Institucional, Proyecto Académico, Comunidad Universitaria e Infraestructura. </w:t>
      </w:r>
      <w:r w:rsidRPr="00546B56">
        <w:rPr>
          <w:rFonts w:ascii="Arial" w:hAnsi="Arial" w:cs="Arial"/>
          <w:lang w:eastAsia="es-CR"/>
        </w:rPr>
        <w:t> </w:t>
      </w:r>
    </w:p>
    <w:p w14:paraId="0C3CF85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4314131" w14:textId="09166C3E"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lastRenderedPageBreak/>
        <w:t>Procesos de acreditación y reacreditación en Panamá</w:t>
      </w:r>
      <w:r w:rsidRPr="00546B56">
        <w:rPr>
          <w:rFonts w:ascii="Arial" w:hAnsi="Arial" w:cs="Arial"/>
          <w:lang w:eastAsia="es-CR"/>
        </w:rPr>
        <w:t> </w:t>
      </w:r>
    </w:p>
    <w:p w14:paraId="746CFC3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Las universidades de reciente creación deben acreditarse por primera vez a los 8 años de funcionamiento; luego, deben </w:t>
      </w:r>
      <w:proofErr w:type="spellStart"/>
      <w:r w:rsidRPr="00546B56">
        <w:rPr>
          <w:rFonts w:ascii="Arial" w:hAnsi="Arial" w:cs="Arial"/>
          <w:lang w:val="es-PA" w:eastAsia="es-CR"/>
        </w:rPr>
        <w:t>reacreditarse</w:t>
      </w:r>
      <w:proofErr w:type="spellEnd"/>
      <w:r w:rsidRPr="00546B56">
        <w:rPr>
          <w:rFonts w:ascii="Arial" w:hAnsi="Arial" w:cs="Arial"/>
          <w:lang w:val="es-PA" w:eastAsia="es-CR"/>
        </w:rPr>
        <w:t> según el tiempo de acreditación alcanzado en el proceso anterior. Los procesos de acreditación y reacreditación son similares en su estructura y en el modelo, pero varía la matriz de autoevaluación. La escala de valoración para la evaluación de los indicadores es del 1 al 5; 5 indica que el indicador se cumple en todos sus aspectos y 1 que no se cumple o no se presentan evidencias que permitan emitir un juicio.</w:t>
      </w:r>
      <w:r w:rsidRPr="00546B56">
        <w:rPr>
          <w:rFonts w:ascii="Arial" w:hAnsi="Arial" w:cs="Arial"/>
          <w:lang w:eastAsia="es-CR"/>
        </w:rPr>
        <w:t> </w:t>
      </w:r>
    </w:p>
    <w:p w14:paraId="1414DD8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7F82DD7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La decisión de otorgar o no la acreditación es discrecional del Pleno de CONEAUPA, con base en el informe de autoevaluación y el plan de desarrollo institucional presentados por la universidad, así como en el informe de evaluación externa y en la valoración expresada en votación por cada miembro del Pleno. La universidad puede obtener una acreditación por seis años si alcanza un puntaje mínimo total de 512 puntos y 288 puntos en los indicadores básicos. Si logra 496 puntos en total y 276 en indicadores básicos, recibe una acreditación por cinco años; mientras que una puntuación de 480 puntos totales y 270 en indicadores básicos corresponde a una acreditación por cuatro años. En caso de no alcanzar los valores mínimos establecidos, la institución debe solicitar al Pleno de CONEAUPA una prórroga de un año para participar nuevamente en el proceso. Si tras esta segunda oportunidad la acreditación es negada, el Ministerio de </w:t>
      </w:r>
      <w:r w:rsidRPr="00546B56">
        <w:rPr>
          <w:rFonts w:ascii="Arial" w:hAnsi="Arial" w:cs="Arial"/>
          <w:lang w:val="es-PA" w:eastAsia="es-CR"/>
        </w:rPr>
        <w:lastRenderedPageBreak/>
        <w:t>Educación cancela la autorización definitiva de funcionamiento, lo que implica el cierre de la universidad al no poder continuar operando en el país.</w:t>
      </w:r>
      <w:r w:rsidRPr="00546B56">
        <w:rPr>
          <w:rFonts w:ascii="Arial" w:hAnsi="Arial" w:cs="Arial"/>
          <w:lang w:eastAsia="es-CR"/>
        </w:rPr>
        <w:t> </w:t>
      </w:r>
    </w:p>
    <w:p w14:paraId="5A76967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36C382C0" w14:textId="431F64C6"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Matriz de acreditación y sus componentes</w:t>
      </w:r>
      <w:r w:rsidRPr="00546B56">
        <w:rPr>
          <w:rFonts w:ascii="Arial" w:hAnsi="Arial" w:cs="Arial"/>
          <w:lang w:eastAsia="es-CR"/>
        </w:rPr>
        <w:t> </w:t>
      </w:r>
    </w:p>
    <w:p w14:paraId="596BA57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matriz de acreditación está descrita en la Resolución </w:t>
      </w:r>
      <w:proofErr w:type="spellStart"/>
      <w:r w:rsidRPr="00546B56">
        <w:rPr>
          <w:rFonts w:ascii="Arial" w:hAnsi="Arial" w:cs="Arial"/>
          <w:lang w:val="es-PA" w:eastAsia="es-CR"/>
        </w:rPr>
        <w:t>N°</w:t>
      </w:r>
      <w:proofErr w:type="spellEnd"/>
      <w:r w:rsidRPr="00546B56">
        <w:rPr>
          <w:rFonts w:ascii="Arial" w:hAnsi="Arial" w:cs="Arial"/>
          <w:lang w:val="es-PA" w:eastAsia="es-CR"/>
        </w:rPr>
        <w:t> 6 de 5 de marzo de 2020 (CONEAUPA, 2020). En la Tabla 1 se presentan sus componentes y los números que los integran.</w:t>
      </w:r>
      <w:r w:rsidRPr="00546B56">
        <w:rPr>
          <w:rFonts w:ascii="Arial" w:hAnsi="Arial" w:cs="Arial"/>
          <w:lang w:eastAsia="es-CR"/>
        </w:rPr>
        <w:t> </w:t>
      </w:r>
    </w:p>
    <w:p w14:paraId="11B7EBC0"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3CF17073" w14:textId="2CF4E700" w:rsidR="00BD3499" w:rsidRPr="00546B56" w:rsidRDefault="00546B56" w:rsidP="00546B56">
      <w:pPr>
        <w:jc w:val="both"/>
        <w:textAlignment w:val="baseline"/>
        <w:rPr>
          <w:rFonts w:ascii="Segoe UI" w:hAnsi="Segoe UI" w:cs="Segoe UI"/>
          <w:sz w:val="18"/>
          <w:szCs w:val="18"/>
          <w:lang w:eastAsia="es-CR"/>
        </w:rPr>
      </w:pPr>
      <w:r w:rsidRPr="00546B56">
        <w:rPr>
          <w:rFonts w:ascii="Arial" w:hAnsi="Arial" w:cs="Arial"/>
          <w:b/>
          <w:bCs/>
          <w:lang w:val="es-PA" w:eastAsia="es-CR"/>
        </w:rPr>
        <w:t>Tabla 1</w:t>
      </w:r>
      <w:r w:rsidRPr="00546B56">
        <w:rPr>
          <w:rFonts w:ascii="Arial" w:hAnsi="Arial" w:cs="Arial"/>
          <w:lang w:eastAsia="es-CR"/>
        </w:rPr>
        <w:t> </w:t>
      </w:r>
    </w:p>
    <w:p w14:paraId="296A4A94" w14:textId="6966912C" w:rsidR="00546B56" w:rsidRDefault="00C10630" w:rsidP="00C10630">
      <w:pPr>
        <w:spacing w:line="360" w:lineRule="auto"/>
        <w:jc w:val="both"/>
        <w:textAlignment w:val="baseline"/>
        <w:rPr>
          <w:rFonts w:ascii="Arial" w:hAnsi="Arial" w:cs="Arial"/>
          <w:lang w:eastAsia="es-CR"/>
        </w:rPr>
      </w:pPr>
      <w:r>
        <w:rPr>
          <w:rFonts w:ascii="Arial" w:hAnsi="Arial" w:cs="Arial"/>
          <w:i/>
          <w:iCs/>
          <w:lang w:val="es-PA" w:eastAsia="es-CR"/>
        </w:rPr>
        <w:t>Cantidad</w:t>
      </w:r>
      <w:r w:rsidR="00546B56" w:rsidRPr="00546B56">
        <w:rPr>
          <w:rFonts w:ascii="Arial" w:hAnsi="Arial" w:cs="Arial"/>
          <w:i/>
          <w:iCs/>
          <w:lang w:val="es-PA" w:eastAsia="es-CR"/>
        </w:rPr>
        <w:t xml:space="preserve"> y componentes de la matriz de evaluación y acreditación institucional (CONEAUPA, 2020)</w:t>
      </w:r>
      <w:r w:rsidR="00546B56" w:rsidRPr="00546B56">
        <w:rPr>
          <w:rFonts w:ascii="Arial" w:hAnsi="Arial" w:cs="Arial"/>
          <w:lang w:eastAsia="es-CR"/>
        </w:rPr>
        <w:t> </w:t>
      </w:r>
    </w:p>
    <w:p w14:paraId="406DF643" w14:textId="77777777" w:rsidR="00376397" w:rsidRPr="00546B56" w:rsidRDefault="00376397" w:rsidP="00546B56">
      <w:pPr>
        <w:jc w:val="both"/>
        <w:textAlignment w:val="baseline"/>
        <w:rPr>
          <w:rFonts w:ascii="Segoe UI" w:hAnsi="Segoe UI" w:cs="Segoe UI"/>
          <w:sz w:val="18"/>
          <w:szCs w:val="18"/>
          <w:lang w:eastAsia="es-CR"/>
        </w:rPr>
      </w:pPr>
    </w:p>
    <w:tbl>
      <w:tblPr>
        <w:tblW w:w="0" w:type="dxa"/>
        <w:tblCellMar>
          <w:left w:w="0" w:type="dxa"/>
          <w:right w:w="0" w:type="dxa"/>
        </w:tblCellMar>
        <w:tblLook w:val="04A0" w:firstRow="1" w:lastRow="0" w:firstColumn="1" w:lastColumn="0" w:noHBand="0" w:noVBand="1"/>
      </w:tblPr>
      <w:tblGrid>
        <w:gridCol w:w="2434"/>
        <w:gridCol w:w="4807"/>
        <w:gridCol w:w="1548"/>
      </w:tblGrid>
      <w:tr w:rsidR="00546B56" w:rsidRPr="00546B56" w14:paraId="320B45E0" w14:textId="77777777" w:rsidTr="00C10630">
        <w:trPr>
          <w:trHeight w:val="300"/>
          <w:tblHeader/>
        </w:trPr>
        <w:tc>
          <w:tcPr>
            <w:tcW w:w="2745" w:type="dxa"/>
            <w:tcBorders>
              <w:top w:val="single" w:sz="4" w:space="0" w:color="auto"/>
              <w:bottom w:val="single" w:sz="4" w:space="0" w:color="auto"/>
            </w:tcBorders>
            <w:vAlign w:val="center"/>
            <w:hideMark/>
          </w:tcPr>
          <w:p w14:paraId="6DBBD8BE"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Tipo</w:t>
            </w:r>
            <w:r w:rsidRPr="00546B56">
              <w:rPr>
                <w:rFonts w:ascii="Arial" w:hAnsi="Arial" w:cs="Arial"/>
                <w:lang w:eastAsia="es-CR"/>
              </w:rPr>
              <w:t> </w:t>
            </w:r>
          </w:p>
        </w:tc>
        <w:tc>
          <w:tcPr>
            <w:tcW w:w="5535" w:type="dxa"/>
            <w:tcBorders>
              <w:top w:val="single" w:sz="4" w:space="0" w:color="auto"/>
              <w:bottom w:val="single" w:sz="4" w:space="0" w:color="auto"/>
            </w:tcBorders>
            <w:vAlign w:val="center"/>
            <w:hideMark/>
          </w:tcPr>
          <w:p w14:paraId="5A76EE14"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Descripción</w:t>
            </w:r>
            <w:r w:rsidRPr="00546B56">
              <w:rPr>
                <w:rFonts w:ascii="Arial" w:hAnsi="Arial" w:cs="Arial"/>
                <w:lang w:eastAsia="es-CR"/>
              </w:rPr>
              <w:t> </w:t>
            </w:r>
          </w:p>
        </w:tc>
        <w:tc>
          <w:tcPr>
            <w:tcW w:w="1710" w:type="dxa"/>
            <w:tcBorders>
              <w:top w:val="single" w:sz="4" w:space="0" w:color="auto"/>
              <w:bottom w:val="single" w:sz="4" w:space="0" w:color="auto"/>
            </w:tcBorders>
            <w:vAlign w:val="center"/>
            <w:hideMark/>
          </w:tcPr>
          <w:p w14:paraId="1F985540"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Cantidad</w:t>
            </w:r>
            <w:r w:rsidRPr="00546B56">
              <w:rPr>
                <w:rFonts w:ascii="Arial" w:hAnsi="Arial" w:cs="Arial"/>
                <w:lang w:eastAsia="es-CR"/>
              </w:rPr>
              <w:t> </w:t>
            </w:r>
          </w:p>
        </w:tc>
      </w:tr>
      <w:tr w:rsidR="00546B56" w:rsidRPr="00546B56" w14:paraId="47963325" w14:textId="77777777" w:rsidTr="0098096A">
        <w:trPr>
          <w:trHeight w:val="300"/>
        </w:trPr>
        <w:tc>
          <w:tcPr>
            <w:tcW w:w="2745" w:type="dxa"/>
            <w:tcBorders>
              <w:top w:val="single" w:sz="4" w:space="0" w:color="auto"/>
            </w:tcBorders>
            <w:hideMark/>
          </w:tcPr>
          <w:p w14:paraId="7584831B" w14:textId="77777777" w:rsidR="00546B56" w:rsidRPr="00546B56" w:rsidRDefault="00546B56" w:rsidP="00546B56">
            <w:pPr>
              <w:textAlignment w:val="baseline"/>
              <w:rPr>
                <w:lang w:eastAsia="es-CR"/>
              </w:rPr>
            </w:pPr>
            <w:r w:rsidRPr="00546B56">
              <w:rPr>
                <w:rFonts w:ascii="Arial" w:hAnsi="Arial" w:cs="Arial"/>
                <w:lang w:val="es-PA" w:eastAsia="es-CR"/>
              </w:rPr>
              <w:t>Factores</w:t>
            </w:r>
            <w:r w:rsidRPr="00546B56">
              <w:rPr>
                <w:rFonts w:ascii="Arial" w:hAnsi="Arial" w:cs="Arial"/>
                <w:lang w:eastAsia="es-CR"/>
              </w:rPr>
              <w:t> </w:t>
            </w:r>
          </w:p>
        </w:tc>
        <w:tc>
          <w:tcPr>
            <w:tcW w:w="5535" w:type="dxa"/>
            <w:tcBorders>
              <w:top w:val="single" w:sz="4" w:space="0" w:color="auto"/>
            </w:tcBorders>
            <w:hideMark/>
          </w:tcPr>
          <w:p w14:paraId="77A68FC0" w14:textId="77777777" w:rsidR="00546B56" w:rsidRPr="00546B56" w:rsidRDefault="00546B56" w:rsidP="00546B56">
            <w:pPr>
              <w:textAlignment w:val="baseline"/>
              <w:rPr>
                <w:lang w:eastAsia="es-CR"/>
              </w:rPr>
            </w:pPr>
            <w:r w:rsidRPr="00546B56">
              <w:rPr>
                <w:rFonts w:ascii="Arial" w:hAnsi="Arial" w:cs="Arial"/>
                <w:lang w:val="es-PA" w:eastAsia="es-CR"/>
              </w:rPr>
              <w:t>Elementos que facilitan el proceso de acreditación.</w:t>
            </w:r>
            <w:r w:rsidRPr="00546B56">
              <w:rPr>
                <w:rFonts w:ascii="Arial" w:hAnsi="Arial" w:cs="Arial"/>
                <w:lang w:eastAsia="es-CR"/>
              </w:rPr>
              <w:t> </w:t>
            </w:r>
          </w:p>
        </w:tc>
        <w:tc>
          <w:tcPr>
            <w:tcW w:w="1710" w:type="dxa"/>
            <w:tcBorders>
              <w:top w:val="single" w:sz="4" w:space="0" w:color="auto"/>
            </w:tcBorders>
            <w:hideMark/>
          </w:tcPr>
          <w:p w14:paraId="4BE5BD26" w14:textId="77777777" w:rsidR="00546B56" w:rsidRPr="00546B56" w:rsidRDefault="00546B56" w:rsidP="00546B56">
            <w:pPr>
              <w:jc w:val="center"/>
              <w:textAlignment w:val="baseline"/>
              <w:rPr>
                <w:lang w:eastAsia="es-CR"/>
              </w:rPr>
            </w:pPr>
            <w:r w:rsidRPr="00546B56">
              <w:rPr>
                <w:rFonts w:ascii="Arial" w:hAnsi="Arial" w:cs="Arial"/>
                <w:lang w:val="es-PA" w:eastAsia="es-CR"/>
              </w:rPr>
              <w:t>4</w:t>
            </w:r>
            <w:r w:rsidRPr="00546B56">
              <w:rPr>
                <w:rFonts w:ascii="Arial" w:hAnsi="Arial" w:cs="Arial"/>
                <w:lang w:eastAsia="es-CR"/>
              </w:rPr>
              <w:t> </w:t>
            </w:r>
          </w:p>
        </w:tc>
      </w:tr>
      <w:tr w:rsidR="00546B56" w:rsidRPr="00546B56" w14:paraId="5BB2D906" w14:textId="77777777" w:rsidTr="0098096A">
        <w:trPr>
          <w:trHeight w:val="300"/>
        </w:trPr>
        <w:tc>
          <w:tcPr>
            <w:tcW w:w="2745" w:type="dxa"/>
            <w:hideMark/>
          </w:tcPr>
          <w:p w14:paraId="6834F233" w14:textId="77777777" w:rsidR="00546B56" w:rsidRPr="00546B56" w:rsidRDefault="00546B56" w:rsidP="00546B56">
            <w:pPr>
              <w:textAlignment w:val="baseline"/>
              <w:rPr>
                <w:lang w:eastAsia="es-CR"/>
              </w:rPr>
            </w:pPr>
            <w:r w:rsidRPr="00546B56">
              <w:rPr>
                <w:rFonts w:ascii="Arial" w:hAnsi="Arial" w:cs="Arial"/>
                <w:lang w:val="es-PA" w:eastAsia="es-CR"/>
              </w:rPr>
              <w:t>Componentes</w:t>
            </w:r>
            <w:r w:rsidRPr="00546B56">
              <w:rPr>
                <w:rFonts w:ascii="Arial" w:hAnsi="Arial" w:cs="Arial"/>
                <w:lang w:eastAsia="es-CR"/>
              </w:rPr>
              <w:t> </w:t>
            </w:r>
          </w:p>
        </w:tc>
        <w:tc>
          <w:tcPr>
            <w:tcW w:w="5535" w:type="dxa"/>
            <w:hideMark/>
          </w:tcPr>
          <w:p w14:paraId="523C6D9C" w14:textId="77777777" w:rsidR="00546B56" w:rsidRPr="00546B56" w:rsidRDefault="00546B56" w:rsidP="00546B56">
            <w:pPr>
              <w:textAlignment w:val="baseline"/>
              <w:rPr>
                <w:lang w:eastAsia="es-CR"/>
              </w:rPr>
            </w:pPr>
            <w:r w:rsidRPr="00546B56">
              <w:rPr>
                <w:rFonts w:ascii="Arial" w:hAnsi="Arial" w:cs="Arial"/>
                <w:lang w:val="es-PA" w:eastAsia="es-CR"/>
              </w:rPr>
              <w:t>Elementos en los que se divide cada factor.</w:t>
            </w:r>
            <w:r w:rsidRPr="00546B56">
              <w:rPr>
                <w:rFonts w:ascii="Arial" w:hAnsi="Arial" w:cs="Arial"/>
                <w:lang w:eastAsia="es-CR"/>
              </w:rPr>
              <w:t> </w:t>
            </w:r>
          </w:p>
        </w:tc>
        <w:tc>
          <w:tcPr>
            <w:tcW w:w="1710" w:type="dxa"/>
            <w:hideMark/>
          </w:tcPr>
          <w:p w14:paraId="7345E6C4" w14:textId="77777777" w:rsidR="00546B56" w:rsidRPr="00546B56" w:rsidRDefault="00546B56" w:rsidP="00546B56">
            <w:pPr>
              <w:jc w:val="center"/>
              <w:textAlignment w:val="baseline"/>
              <w:rPr>
                <w:lang w:eastAsia="es-CR"/>
              </w:rPr>
            </w:pPr>
            <w:r w:rsidRPr="00546B56">
              <w:rPr>
                <w:rFonts w:ascii="Arial" w:hAnsi="Arial" w:cs="Arial"/>
                <w:lang w:val="es-PA" w:eastAsia="es-CR"/>
              </w:rPr>
              <w:t>13</w:t>
            </w:r>
            <w:r w:rsidRPr="00546B56">
              <w:rPr>
                <w:rFonts w:ascii="Arial" w:hAnsi="Arial" w:cs="Arial"/>
                <w:lang w:eastAsia="es-CR"/>
              </w:rPr>
              <w:t> </w:t>
            </w:r>
          </w:p>
        </w:tc>
      </w:tr>
      <w:tr w:rsidR="00546B56" w:rsidRPr="00546B56" w14:paraId="145A3442" w14:textId="77777777" w:rsidTr="0098096A">
        <w:trPr>
          <w:trHeight w:val="300"/>
        </w:trPr>
        <w:tc>
          <w:tcPr>
            <w:tcW w:w="2745" w:type="dxa"/>
            <w:hideMark/>
          </w:tcPr>
          <w:p w14:paraId="773CA3B4" w14:textId="77777777" w:rsidR="00546B56" w:rsidRPr="00546B56" w:rsidRDefault="00546B56" w:rsidP="00546B56">
            <w:pPr>
              <w:textAlignment w:val="baseline"/>
              <w:rPr>
                <w:lang w:eastAsia="es-CR"/>
              </w:rPr>
            </w:pPr>
            <w:proofErr w:type="spellStart"/>
            <w:r w:rsidRPr="00546B56">
              <w:rPr>
                <w:rFonts w:ascii="Arial" w:hAnsi="Arial" w:cs="Arial"/>
                <w:lang w:val="es-PA" w:eastAsia="es-CR"/>
              </w:rPr>
              <w:t>Sub-componentes</w:t>
            </w:r>
            <w:proofErr w:type="spellEnd"/>
            <w:r w:rsidRPr="00546B56">
              <w:rPr>
                <w:rFonts w:ascii="Arial" w:hAnsi="Arial" w:cs="Arial"/>
                <w:lang w:eastAsia="es-CR"/>
              </w:rPr>
              <w:t> </w:t>
            </w:r>
          </w:p>
        </w:tc>
        <w:tc>
          <w:tcPr>
            <w:tcW w:w="5535" w:type="dxa"/>
            <w:hideMark/>
          </w:tcPr>
          <w:p w14:paraId="6C611923" w14:textId="77777777" w:rsidR="00546B56" w:rsidRPr="00546B56" w:rsidRDefault="00546B56" w:rsidP="00546B56">
            <w:pPr>
              <w:textAlignment w:val="baseline"/>
              <w:rPr>
                <w:lang w:eastAsia="es-CR"/>
              </w:rPr>
            </w:pPr>
            <w:r w:rsidRPr="00546B56">
              <w:rPr>
                <w:rFonts w:ascii="Arial" w:hAnsi="Arial" w:cs="Arial"/>
                <w:lang w:val="es-PA" w:eastAsia="es-CR"/>
              </w:rPr>
              <w:t>División de los componentes para facilitar su comprensión y análisis.</w:t>
            </w:r>
            <w:r w:rsidRPr="00546B56">
              <w:rPr>
                <w:rFonts w:ascii="Arial" w:hAnsi="Arial" w:cs="Arial"/>
                <w:lang w:eastAsia="es-CR"/>
              </w:rPr>
              <w:t> </w:t>
            </w:r>
          </w:p>
        </w:tc>
        <w:tc>
          <w:tcPr>
            <w:tcW w:w="1710" w:type="dxa"/>
            <w:hideMark/>
          </w:tcPr>
          <w:p w14:paraId="640E5184" w14:textId="77777777" w:rsidR="00546B56" w:rsidRPr="00546B56" w:rsidRDefault="00546B56" w:rsidP="00546B56">
            <w:pPr>
              <w:jc w:val="center"/>
              <w:textAlignment w:val="baseline"/>
              <w:rPr>
                <w:lang w:eastAsia="es-CR"/>
              </w:rPr>
            </w:pPr>
            <w:r w:rsidRPr="00546B56">
              <w:rPr>
                <w:rFonts w:ascii="Arial" w:hAnsi="Arial" w:cs="Arial"/>
                <w:lang w:val="es-PA" w:eastAsia="es-CR"/>
              </w:rPr>
              <w:t>29</w:t>
            </w:r>
            <w:r w:rsidRPr="00546B56">
              <w:rPr>
                <w:rFonts w:ascii="Arial" w:hAnsi="Arial" w:cs="Arial"/>
                <w:lang w:eastAsia="es-CR"/>
              </w:rPr>
              <w:t> </w:t>
            </w:r>
          </w:p>
        </w:tc>
      </w:tr>
      <w:tr w:rsidR="00546B56" w:rsidRPr="00546B56" w14:paraId="32D2B3ED" w14:textId="77777777" w:rsidTr="0098096A">
        <w:trPr>
          <w:trHeight w:val="300"/>
        </w:trPr>
        <w:tc>
          <w:tcPr>
            <w:tcW w:w="2745" w:type="dxa"/>
            <w:hideMark/>
          </w:tcPr>
          <w:p w14:paraId="639392C1" w14:textId="77777777" w:rsidR="00546B56" w:rsidRPr="00546B56" w:rsidRDefault="00546B56" w:rsidP="00546B56">
            <w:pPr>
              <w:textAlignment w:val="baseline"/>
              <w:rPr>
                <w:lang w:eastAsia="es-CR"/>
              </w:rPr>
            </w:pPr>
            <w:r w:rsidRPr="00546B56">
              <w:rPr>
                <w:rFonts w:ascii="Arial" w:hAnsi="Arial" w:cs="Arial"/>
                <w:lang w:val="es-PA" w:eastAsia="es-CR"/>
              </w:rPr>
              <w:t>Criterios de calidad</w:t>
            </w:r>
            <w:r w:rsidRPr="00546B56">
              <w:rPr>
                <w:rFonts w:ascii="Arial" w:hAnsi="Arial" w:cs="Arial"/>
                <w:lang w:eastAsia="es-CR"/>
              </w:rPr>
              <w:t> </w:t>
            </w:r>
          </w:p>
        </w:tc>
        <w:tc>
          <w:tcPr>
            <w:tcW w:w="5535" w:type="dxa"/>
            <w:hideMark/>
          </w:tcPr>
          <w:p w14:paraId="2F71DA98" w14:textId="77777777" w:rsidR="00546B56" w:rsidRPr="00546B56" w:rsidRDefault="00546B56" w:rsidP="00546B56">
            <w:pPr>
              <w:textAlignment w:val="baseline"/>
              <w:rPr>
                <w:lang w:eastAsia="es-CR"/>
              </w:rPr>
            </w:pPr>
            <w:r w:rsidRPr="00546B56">
              <w:rPr>
                <w:rFonts w:ascii="Arial" w:hAnsi="Arial" w:cs="Arial"/>
                <w:lang w:val="es-PA" w:eastAsia="es-CR"/>
              </w:rPr>
              <w:t>Variables que orientan la evaluación de la calidad manifestadas a través de los indicadores.</w:t>
            </w:r>
            <w:r w:rsidRPr="00546B56">
              <w:rPr>
                <w:rFonts w:ascii="Arial" w:hAnsi="Arial" w:cs="Arial"/>
                <w:lang w:eastAsia="es-CR"/>
              </w:rPr>
              <w:t> </w:t>
            </w:r>
          </w:p>
        </w:tc>
        <w:tc>
          <w:tcPr>
            <w:tcW w:w="1710" w:type="dxa"/>
            <w:hideMark/>
          </w:tcPr>
          <w:p w14:paraId="3DDBC2F3" w14:textId="77777777" w:rsidR="00546B56" w:rsidRPr="00546B56" w:rsidRDefault="00546B56" w:rsidP="00546B56">
            <w:pPr>
              <w:jc w:val="center"/>
              <w:textAlignment w:val="baseline"/>
              <w:rPr>
                <w:lang w:eastAsia="es-CR"/>
              </w:rPr>
            </w:pPr>
            <w:r w:rsidRPr="00546B56">
              <w:rPr>
                <w:rFonts w:ascii="Arial" w:hAnsi="Arial" w:cs="Arial"/>
                <w:lang w:val="es-PA" w:eastAsia="es-CR"/>
              </w:rPr>
              <w:t>9</w:t>
            </w:r>
            <w:r w:rsidRPr="00546B56">
              <w:rPr>
                <w:rFonts w:ascii="Arial" w:hAnsi="Arial" w:cs="Arial"/>
                <w:lang w:eastAsia="es-CR"/>
              </w:rPr>
              <w:t> </w:t>
            </w:r>
          </w:p>
        </w:tc>
      </w:tr>
      <w:tr w:rsidR="00546B56" w:rsidRPr="00546B56" w14:paraId="062D2D03" w14:textId="77777777" w:rsidTr="0098096A">
        <w:trPr>
          <w:trHeight w:val="300"/>
        </w:trPr>
        <w:tc>
          <w:tcPr>
            <w:tcW w:w="2745" w:type="dxa"/>
            <w:hideMark/>
          </w:tcPr>
          <w:p w14:paraId="584D6828" w14:textId="77777777" w:rsidR="00546B56" w:rsidRPr="00546B56" w:rsidRDefault="00546B56" w:rsidP="00546B56">
            <w:pPr>
              <w:textAlignment w:val="baseline"/>
              <w:rPr>
                <w:lang w:eastAsia="es-CR"/>
              </w:rPr>
            </w:pPr>
            <w:r w:rsidRPr="00546B56">
              <w:rPr>
                <w:rFonts w:ascii="Arial" w:hAnsi="Arial" w:cs="Arial"/>
                <w:lang w:val="es-PA" w:eastAsia="es-CR"/>
              </w:rPr>
              <w:t>Categorías</w:t>
            </w:r>
            <w:r w:rsidRPr="00546B56">
              <w:rPr>
                <w:rFonts w:ascii="Arial" w:hAnsi="Arial" w:cs="Arial"/>
                <w:lang w:eastAsia="es-CR"/>
              </w:rPr>
              <w:t> </w:t>
            </w:r>
          </w:p>
        </w:tc>
        <w:tc>
          <w:tcPr>
            <w:tcW w:w="5535" w:type="dxa"/>
            <w:hideMark/>
          </w:tcPr>
          <w:p w14:paraId="2CA1B74D" w14:textId="77777777" w:rsidR="00546B56" w:rsidRPr="00546B56" w:rsidRDefault="00546B56" w:rsidP="00546B56">
            <w:pPr>
              <w:textAlignment w:val="baseline"/>
              <w:rPr>
                <w:lang w:eastAsia="es-CR"/>
              </w:rPr>
            </w:pPr>
            <w:r w:rsidRPr="00546B56">
              <w:rPr>
                <w:rFonts w:ascii="Arial" w:hAnsi="Arial" w:cs="Arial"/>
                <w:lang w:val="es-PA" w:eastAsia="es-CR"/>
              </w:rPr>
              <w:t>Se clasifican en básicos y secundarios. Los básicos son de cumplimiento obligatorio.</w:t>
            </w:r>
            <w:r w:rsidRPr="00546B56">
              <w:rPr>
                <w:rFonts w:ascii="Arial" w:hAnsi="Arial" w:cs="Arial"/>
                <w:lang w:eastAsia="es-CR"/>
              </w:rPr>
              <w:t> </w:t>
            </w:r>
          </w:p>
        </w:tc>
        <w:tc>
          <w:tcPr>
            <w:tcW w:w="1710" w:type="dxa"/>
            <w:hideMark/>
          </w:tcPr>
          <w:p w14:paraId="5301C69C" w14:textId="77777777" w:rsidR="00546B56" w:rsidRPr="00546B56" w:rsidRDefault="00546B56" w:rsidP="00546B56">
            <w:pPr>
              <w:jc w:val="center"/>
              <w:textAlignment w:val="baseline"/>
              <w:rPr>
                <w:lang w:eastAsia="es-CR"/>
              </w:rPr>
            </w:pPr>
            <w:r w:rsidRPr="00546B56">
              <w:rPr>
                <w:rFonts w:ascii="Arial" w:hAnsi="Arial" w:cs="Arial"/>
                <w:lang w:val="es-PA" w:eastAsia="es-CR"/>
              </w:rPr>
              <w:t>2</w:t>
            </w:r>
            <w:r w:rsidRPr="00546B56">
              <w:rPr>
                <w:rFonts w:ascii="Arial" w:hAnsi="Arial" w:cs="Arial"/>
                <w:lang w:eastAsia="es-CR"/>
              </w:rPr>
              <w:t> </w:t>
            </w:r>
          </w:p>
        </w:tc>
      </w:tr>
      <w:tr w:rsidR="00546B56" w:rsidRPr="00546B56" w14:paraId="7E1190C9" w14:textId="77777777" w:rsidTr="0098096A">
        <w:trPr>
          <w:trHeight w:val="300"/>
        </w:trPr>
        <w:tc>
          <w:tcPr>
            <w:tcW w:w="2745" w:type="dxa"/>
            <w:hideMark/>
          </w:tcPr>
          <w:p w14:paraId="0E247381" w14:textId="77777777" w:rsidR="00546B56" w:rsidRPr="00546B56" w:rsidRDefault="00546B56" w:rsidP="00546B56">
            <w:pPr>
              <w:textAlignment w:val="baseline"/>
              <w:rPr>
                <w:lang w:eastAsia="es-CR"/>
              </w:rPr>
            </w:pPr>
            <w:r w:rsidRPr="00546B56">
              <w:rPr>
                <w:rFonts w:ascii="Arial" w:hAnsi="Arial" w:cs="Arial"/>
                <w:lang w:val="es-PA" w:eastAsia="es-CR"/>
              </w:rPr>
              <w:t>Indicadores</w:t>
            </w:r>
            <w:r w:rsidRPr="00546B56">
              <w:rPr>
                <w:rFonts w:ascii="Arial" w:hAnsi="Arial" w:cs="Arial"/>
                <w:lang w:eastAsia="es-CR"/>
              </w:rPr>
              <w:t> </w:t>
            </w:r>
          </w:p>
        </w:tc>
        <w:tc>
          <w:tcPr>
            <w:tcW w:w="5535" w:type="dxa"/>
            <w:hideMark/>
          </w:tcPr>
          <w:p w14:paraId="276FE42C" w14:textId="77777777" w:rsidR="00546B56" w:rsidRPr="00546B56" w:rsidRDefault="00546B56" w:rsidP="00546B56">
            <w:pPr>
              <w:textAlignment w:val="baseline"/>
              <w:rPr>
                <w:lang w:eastAsia="es-CR"/>
              </w:rPr>
            </w:pPr>
            <w:r w:rsidRPr="00546B56">
              <w:rPr>
                <w:rFonts w:ascii="Arial" w:hAnsi="Arial" w:cs="Arial"/>
                <w:lang w:val="es-PA" w:eastAsia="es-CR"/>
              </w:rPr>
              <w:t>Características observables y/o susceptibles de medir, cualitativa o cuantitativamente, que permiten determinar el nivel de cumplimiento de los estándares establecidos.</w:t>
            </w:r>
            <w:r w:rsidRPr="00546B56">
              <w:rPr>
                <w:rFonts w:ascii="Arial" w:hAnsi="Arial" w:cs="Arial"/>
                <w:lang w:eastAsia="es-CR"/>
              </w:rPr>
              <w:t> </w:t>
            </w:r>
          </w:p>
        </w:tc>
        <w:tc>
          <w:tcPr>
            <w:tcW w:w="1710" w:type="dxa"/>
            <w:hideMark/>
          </w:tcPr>
          <w:p w14:paraId="0A912A54" w14:textId="77777777" w:rsidR="00546B56" w:rsidRPr="00546B56" w:rsidRDefault="00546B56" w:rsidP="00546B56">
            <w:pPr>
              <w:jc w:val="center"/>
              <w:textAlignment w:val="baseline"/>
              <w:rPr>
                <w:lang w:eastAsia="es-CR"/>
              </w:rPr>
            </w:pPr>
            <w:r w:rsidRPr="00546B56">
              <w:rPr>
                <w:rFonts w:ascii="Arial" w:hAnsi="Arial" w:cs="Arial"/>
                <w:lang w:val="es-PA" w:eastAsia="es-CR"/>
              </w:rPr>
              <w:t>109</w:t>
            </w:r>
            <w:r w:rsidRPr="00546B56">
              <w:rPr>
                <w:rFonts w:ascii="Arial" w:hAnsi="Arial" w:cs="Arial"/>
                <w:lang w:eastAsia="es-CR"/>
              </w:rPr>
              <w:t> </w:t>
            </w:r>
          </w:p>
        </w:tc>
      </w:tr>
      <w:tr w:rsidR="00546B56" w:rsidRPr="00546B56" w14:paraId="6F7D8D76" w14:textId="77777777" w:rsidTr="00940AEF">
        <w:trPr>
          <w:trHeight w:val="300"/>
        </w:trPr>
        <w:tc>
          <w:tcPr>
            <w:tcW w:w="2745" w:type="dxa"/>
            <w:hideMark/>
          </w:tcPr>
          <w:p w14:paraId="02EC58AC" w14:textId="77777777" w:rsidR="00546B56" w:rsidRPr="00546B56" w:rsidRDefault="00546B56" w:rsidP="00546B56">
            <w:pPr>
              <w:textAlignment w:val="baseline"/>
              <w:rPr>
                <w:lang w:eastAsia="es-CR"/>
              </w:rPr>
            </w:pPr>
            <w:r w:rsidRPr="00546B56">
              <w:rPr>
                <w:rFonts w:ascii="Arial" w:hAnsi="Arial" w:cs="Arial"/>
                <w:lang w:val="es-PA" w:eastAsia="es-CR"/>
              </w:rPr>
              <w:lastRenderedPageBreak/>
              <w:t>Estándares</w:t>
            </w:r>
            <w:r w:rsidRPr="00546B56">
              <w:rPr>
                <w:rFonts w:ascii="Arial" w:hAnsi="Arial" w:cs="Arial"/>
                <w:lang w:eastAsia="es-CR"/>
              </w:rPr>
              <w:t> </w:t>
            </w:r>
          </w:p>
        </w:tc>
        <w:tc>
          <w:tcPr>
            <w:tcW w:w="5535" w:type="dxa"/>
            <w:hideMark/>
          </w:tcPr>
          <w:p w14:paraId="40127675" w14:textId="77777777" w:rsidR="00546B56" w:rsidRPr="00546B56" w:rsidRDefault="00546B56" w:rsidP="00546B56">
            <w:pPr>
              <w:textAlignment w:val="baseline"/>
              <w:rPr>
                <w:lang w:eastAsia="es-CR"/>
              </w:rPr>
            </w:pPr>
            <w:r w:rsidRPr="00546B56">
              <w:rPr>
                <w:rFonts w:ascii="Arial" w:hAnsi="Arial" w:cs="Arial"/>
                <w:lang w:val="es-PA" w:eastAsia="es-CR"/>
              </w:rPr>
              <w:t>Patrones de referencia que permiten valorar en qué medida los resultados de la evaluación se acercan al modelo empleado.</w:t>
            </w:r>
            <w:r w:rsidRPr="00546B56">
              <w:rPr>
                <w:rFonts w:ascii="Arial" w:hAnsi="Arial" w:cs="Arial"/>
                <w:lang w:eastAsia="es-CR"/>
              </w:rPr>
              <w:t> </w:t>
            </w:r>
          </w:p>
        </w:tc>
        <w:tc>
          <w:tcPr>
            <w:tcW w:w="1710" w:type="dxa"/>
            <w:hideMark/>
          </w:tcPr>
          <w:p w14:paraId="1F573449" w14:textId="77777777" w:rsidR="00546B56" w:rsidRPr="00546B56" w:rsidRDefault="00546B56" w:rsidP="00546B56">
            <w:pPr>
              <w:jc w:val="center"/>
              <w:textAlignment w:val="baseline"/>
              <w:rPr>
                <w:lang w:eastAsia="es-CR"/>
              </w:rPr>
            </w:pPr>
            <w:r w:rsidRPr="00546B56">
              <w:rPr>
                <w:rFonts w:ascii="Arial" w:hAnsi="Arial" w:cs="Arial"/>
                <w:lang w:val="es-PA" w:eastAsia="es-CR"/>
              </w:rPr>
              <w:t>109</w:t>
            </w:r>
            <w:r w:rsidRPr="00546B56">
              <w:rPr>
                <w:rFonts w:ascii="Arial" w:hAnsi="Arial" w:cs="Arial"/>
                <w:lang w:eastAsia="es-CR"/>
              </w:rPr>
              <w:t> </w:t>
            </w:r>
          </w:p>
        </w:tc>
      </w:tr>
      <w:tr w:rsidR="00546B56" w:rsidRPr="00546B56" w14:paraId="610BC2DB" w14:textId="77777777" w:rsidTr="00940AEF">
        <w:trPr>
          <w:trHeight w:val="300"/>
        </w:trPr>
        <w:tc>
          <w:tcPr>
            <w:tcW w:w="2745" w:type="dxa"/>
            <w:tcBorders>
              <w:bottom w:val="single" w:sz="4" w:space="0" w:color="auto"/>
            </w:tcBorders>
            <w:hideMark/>
          </w:tcPr>
          <w:p w14:paraId="3EA8E9DE" w14:textId="77777777" w:rsidR="00546B56" w:rsidRPr="00546B56" w:rsidRDefault="00546B56" w:rsidP="00546B56">
            <w:pPr>
              <w:textAlignment w:val="baseline"/>
              <w:rPr>
                <w:lang w:eastAsia="es-CR"/>
              </w:rPr>
            </w:pPr>
            <w:r w:rsidRPr="00546B56">
              <w:rPr>
                <w:rFonts w:ascii="Arial" w:hAnsi="Arial" w:cs="Arial"/>
                <w:lang w:val="es-PA" w:eastAsia="es-CR"/>
              </w:rPr>
              <w:t>Guías de verificación</w:t>
            </w:r>
            <w:r w:rsidRPr="00546B56">
              <w:rPr>
                <w:rFonts w:ascii="Arial" w:hAnsi="Arial" w:cs="Arial"/>
                <w:lang w:eastAsia="es-CR"/>
              </w:rPr>
              <w:t> </w:t>
            </w:r>
          </w:p>
        </w:tc>
        <w:tc>
          <w:tcPr>
            <w:tcW w:w="5535" w:type="dxa"/>
            <w:tcBorders>
              <w:bottom w:val="single" w:sz="4" w:space="0" w:color="auto"/>
            </w:tcBorders>
            <w:hideMark/>
          </w:tcPr>
          <w:p w14:paraId="7120C92E" w14:textId="77777777" w:rsidR="00546B56" w:rsidRPr="00546B56" w:rsidRDefault="00546B56" w:rsidP="00546B56">
            <w:pPr>
              <w:textAlignment w:val="baseline"/>
              <w:rPr>
                <w:lang w:eastAsia="es-CR"/>
              </w:rPr>
            </w:pPr>
            <w:r w:rsidRPr="00546B56">
              <w:rPr>
                <w:rFonts w:ascii="Arial" w:hAnsi="Arial" w:cs="Arial"/>
                <w:lang w:val="es-PA" w:eastAsia="es-CR"/>
              </w:rPr>
              <w:t>Conjunto de información, física o digital, que orienta tanto a la universidad como a los pares académicos externos en la emisión de juicios de valor durante el proceso de evaluación.</w:t>
            </w:r>
            <w:r w:rsidRPr="00546B56">
              <w:rPr>
                <w:rFonts w:ascii="Arial" w:hAnsi="Arial" w:cs="Arial"/>
                <w:lang w:eastAsia="es-CR"/>
              </w:rPr>
              <w:t> </w:t>
            </w:r>
          </w:p>
        </w:tc>
        <w:tc>
          <w:tcPr>
            <w:tcW w:w="1710" w:type="dxa"/>
            <w:tcBorders>
              <w:bottom w:val="single" w:sz="4" w:space="0" w:color="auto"/>
            </w:tcBorders>
            <w:hideMark/>
          </w:tcPr>
          <w:p w14:paraId="11D2DA42" w14:textId="77777777" w:rsidR="00546B56" w:rsidRPr="00546B56" w:rsidRDefault="00546B56" w:rsidP="00546B56">
            <w:pPr>
              <w:jc w:val="center"/>
              <w:textAlignment w:val="baseline"/>
              <w:rPr>
                <w:lang w:eastAsia="es-CR"/>
              </w:rPr>
            </w:pPr>
            <w:r w:rsidRPr="00546B56">
              <w:rPr>
                <w:rFonts w:ascii="Arial" w:hAnsi="Arial" w:cs="Arial"/>
                <w:lang w:val="es-PA" w:eastAsia="es-CR"/>
              </w:rPr>
              <w:t>244</w:t>
            </w:r>
            <w:r w:rsidRPr="00546B56">
              <w:rPr>
                <w:rFonts w:ascii="Arial" w:hAnsi="Arial" w:cs="Arial"/>
                <w:lang w:eastAsia="es-CR"/>
              </w:rPr>
              <w:t> </w:t>
            </w:r>
          </w:p>
        </w:tc>
      </w:tr>
    </w:tbl>
    <w:p w14:paraId="1B3F4432"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i/>
          <w:iCs/>
          <w:lang w:val="es-PA" w:eastAsia="es-CR"/>
        </w:rPr>
        <w:t>Nota.</w:t>
      </w:r>
      <w:r w:rsidRPr="00546B56">
        <w:rPr>
          <w:rFonts w:ascii="Arial" w:hAnsi="Arial" w:cs="Arial"/>
          <w:lang w:val="es-PA" w:eastAsia="es-CR"/>
        </w:rPr>
        <w:t> Las definiciones fueron tomadas de la Resolución N°5, del 5 de marzo de 2020 (CONEAUPA, 2020).</w:t>
      </w:r>
      <w:r w:rsidRPr="00546B56">
        <w:rPr>
          <w:rFonts w:ascii="Arial" w:hAnsi="Arial" w:cs="Arial"/>
          <w:lang w:eastAsia="es-CR"/>
        </w:rPr>
        <w:t> </w:t>
      </w:r>
    </w:p>
    <w:p w14:paraId="6527F692" w14:textId="77777777" w:rsidR="00546B56" w:rsidRPr="00546B56" w:rsidRDefault="00546B56" w:rsidP="00546B56">
      <w:pPr>
        <w:textAlignment w:val="baseline"/>
        <w:rPr>
          <w:rFonts w:ascii="Segoe UI" w:hAnsi="Segoe UI" w:cs="Segoe UI"/>
          <w:sz w:val="18"/>
          <w:szCs w:val="18"/>
          <w:lang w:eastAsia="es-CR"/>
        </w:rPr>
      </w:pPr>
      <w:r w:rsidRPr="00546B56">
        <w:rPr>
          <w:rFonts w:ascii="Arial" w:hAnsi="Arial" w:cs="Arial"/>
          <w:lang w:eastAsia="es-CR"/>
        </w:rPr>
        <w:t> </w:t>
      </w:r>
    </w:p>
    <w:p w14:paraId="492B3906" w14:textId="77777777" w:rsidR="00546B56" w:rsidRPr="00546B56" w:rsidRDefault="00546B56" w:rsidP="00546B56">
      <w:pPr>
        <w:textAlignment w:val="baseline"/>
        <w:rPr>
          <w:rFonts w:ascii="Segoe UI" w:hAnsi="Segoe UI" w:cs="Segoe UI"/>
          <w:sz w:val="18"/>
          <w:szCs w:val="18"/>
          <w:lang w:eastAsia="es-CR"/>
        </w:rPr>
      </w:pPr>
      <w:r w:rsidRPr="00546B56">
        <w:rPr>
          <w:rFonts w:ascii="Arial" w:hAnsi="Arial" w:cs="Arial"/>
          <w:lang w:val="es-PA" w:eastAsia="es-CR"/>
        </w:rPr>
        <w:t>En la Tabla 2 se muestra, por factor, el número de indicadores básicos y complementarios.</w:t>
      </w:r>
      <w:r w:rsidRPr="00546B56">
        <w:rPr>
          <w:rFonts w:ascii="Arial" w:hAnsi="Arial" w:cs="Arial"/>
          <w:lang w:eastAsia="es-CR"/>
        </w:rPr>
        <w:t> </w:t>
      </w:r>
    </w:p>
    <w:p w14:paraId="1A3769EF" w14:textId="057BE1FC" w:rsidR="00546B56" w:rsidRDefault="00546B56" w:rsidP="00546B56">
      <w:pPr>
        <w:textAlignment w:val="baseline"/>
        <w:rPr>
          <w:rFonts w:ascii="Arial" w:hAnsi="Arial" w:cs="Arial"/>
          <w:lang w:eastAsia="es-CR"/>
        </w:rPr>
      </w:pPr>
      <w:r w:rsidRPr="00546B56">
        <w:rPr>
          <w:rFonts w:ascii="Arial" w:hAnsi="Arial" w:cs="Arial"/>
          <w:lang w:eastAsia="es-CR"/>
        </w:rPr>
        <w:t> </w:t>
      </w:r>
    </w:p>
    <w:p w14:paraId="5AE7A5A1" w14:textId="77777777" w:rsidR="00546B56" w:rsidRDefault="00546B56" w:rsidP="00546B56">
      <w:pPr>
        <w:textAlignment w:val="baseline"/>
        <w:rPr>
          <w:rFonts w:ascii="Arial" w:hAnsi="Arial" w:cs="Arial"/>
          <w:lang w:eastAsia="es-CR"/>
        </w:rPr>
      </w:pPr>
      <w:r w:rsidRPr="00546B56">
        <w:rPr>
          <w:rFonts w:ascii="Arial" w:hAnsi="Arial" w:cs="Arial"/>
          <w:b/>
          <w:bCs/>
          <w:lang w:val="es-PA" w:eastAsia="es-CR"/>
        </w:rPr>
        <w:t>Tabla 2</w:t>
      </w:r>
      <w:r w:rsidRPr="00546B56">
        <w:rPr>
          <w:rFonts w:ascii="Arial" w:hAnsi="Arial" w:cs="Arial"/>
          <w:lang w:eastAsia="es-CR"/>
        </w:rPr>
        <w:t> </w:t>
      </w:r>
    </w:p>
    <w:p w14:paraId="03C9E6FC" w14:textId="5990FAB7" w:rsidR="00546B56" w:rsidRDefault="00C10630" w:rsidP="00C10630">
      <w:pPr>
        <w:spacing w:line="360" w:lineRule="auto"/>
        <w:textAlignment w:val="baseline"/>
        <w:rPr>
          <w:rFonts w:ascii="Arial" w:hAnsi="Arial" w:cs="Arial"/>
          <w:lang w:eastAsia="es-CR"/>
        </w:rPr>
      </w:pPr>
      <w:r>
        <w:rPr>
          <w:rFonts w:ascii="Arial" w:hAnsi="Arial" w:cs="Arial"/>
          <w:i/>
          <w:iCs/>
          <w:lang w:val="es-PA" w:eastAsia="es-CR"/>
        </w:rPr>
        <w:t>Cantidad</w:t>
      </w:r>
      <w:r w:rsidR="00546B56" w:rsidRPr="00546B56">
        <w:rPr>
          <w:rFonts w:ascii="Arial" w:hAnsi="Arial" w:cs="Arial"/>
          <w:i/>
          <w:iCs/>
          <w:lang w:val="es-PA" w:eastAsia="es-CR"/>
        </w:rPr>
        <w:t xml:space="preserve"> y tipo de indicadores por factor</w:t>
      </w:r>
      <w:r w:rsidR="00546B56" w:rsidRPr="00546B56">
        <w:rPr>
          <w:rFonts w:ascii="Arial" w:hAnsi="Arial" w:cs="Arial"/>
          <w:lang w:eastAsia="es-CR"/>
        </w:rPr>
        <w:t> </w:t>
      </w:r>
    </w:p>
    <w:p w14:paraId="68634660" w14:textId="77777777" w:rsidR="00C10630" w:rsidRPr="00546B56" w:rsidRDefault="00C10630" w:rsidP="00546B56">
      <w:pPr>
        <w:textAlignment w:val="baseline"/>
        <w:rPr>
          <w:rFonts w:ascii="Segoe UI" w:hAnsi="Segoe UI" w:cs="Segoe UI"/>
          <w:sz w:val="18"/>
          <w:szCs w:val="18"/>
          <w:lang w:eastAsia="es-CR"/>
        </w:rPr>
      </w:pPr>
    </w:p>
    <w:tbl>
      <w:tblPr>
        <w:tblW w:w="0" w:type="dxa"/>
        <w:tblCellMar>
          <w:left w:w="0" w:type="dxa"/>
          <w:right w:w="0" w:type="dxa"/>
        </w:tblCellMar>
        <w:tblLook w:val="04A0" w:firstRow="1" w:lastRow="0" w:firstColumn="1" w:lastColumn="0" w:noHBand="0" w:noVBand="1"/>
      </w:tblPr>
      <w:tblGrid>
        <w:gridCol w:w="3007"/>
        <w:gridCol w:w="1907"/>
        <w:gridCol w:w="2019"/>
        <w:gridCol w:w="1856"/>
      </w:tblGrid>
      <w:tr w:rsidR="00546B56" w:rsidRPr="00546B56" w14:paraId="4FEA488E" w14:textId="77777777" w:rsidTr="00940AEF">
        <w:trPr>
          <w:trHeight w:val="435"/>
        </w:trPr>
        <w:tc>
          <w:tcPr>
            <w:tcW w:w="3390" w:type="dxa"/>
            <w:vMerge w:val="restart"/>
            <w:tcBorders>
              <w:top w:val="single" w:sz="4" w:space="0" w:color="auto"/>
            </w:tcBorders>
            <w:vAlign w:val="center"/>
            <w:hideMark/>
          </w:tcPr>
          <w:p w14:paraId="73AF0EAF"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Factor</w:t>
            </w:r>
            <w:r w:rsidRPr="00546B56">
              <w:rPr>
                <w:rFonts w:ascii="Arial" w:hAnsi="Arial" w:cs="Arial"/>
                <w:lang w:eastAsia="es-CR"/>
              </w:rPr>
              <w:t> </w:t>
            </w:r>
          </w:p>
        </w:tc>
        <w:tc>
          <w:tcPr>
            <w:tcW w:w="6510" w:type="dxa"/>
            <w:gridSpan w:val="3"/>
            <w:tcBorders>
              <w:top w:val="single" w:sz="4" w:space="0" w:color="auto"/>
            </w:tcBorders>
            <w:vAlign w:val="center"/>
            <w:hideMark/>
          </w:tcPr>
          <w:p w14:paraId="1DD3582C"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Indicadores</w:t>
            </w:r>
            <w:r w:rsidRPr="00546B56">
              <w:rPr>
                <w:rFonts w:ascii="Arial" w:hAnsi="Arial" w:cs="Arial"/>
                <w:lang w:eastAsia="es-CR"/>
              </w:rPr>
              <w:t> </w:t>
            </w:r>
          </w:p>
        </w:tc>
      </w:tr>
      <w:tr w:rsidR="00546B56" w:rsidRPr="00546B56" w14:paraId="6E24D6F5" w14:textId="77777777" w:rsidTr="00EF681B">
        <w:trPr>
          <w:trHeight w:val="435"/>
        </w:trPr>
        <w:tc>
          <w:tcPr>
            <w:tcW w:w="0" w:type="auto"/>
            <w:vMerge/>
            <w:tcBorders>
              <w:bottom w:val="single" w:sz="4" w:space="0" w:color="auto"/>
            </w:tcBorders>
            <w:vAlign w:val="center"/>
            <w:hideMark/>
          </w:tcPr>
          <w:p w14:paraId="69EE4EBE" w14:textId="77777777" w:rsidR="00546B56" w:rsidRPr="00546B56" w:rsidRDefault="00546B56" w:rsidP="00546B56">
            <w:pPr>
              <w:rPr>
                <w:lang w:eastAsia="es-CR"/>
              </w:rPr>
            </w:pPr>
          </w:p>
        </w:tc>
        <w:tc>
          <w:tcPr>
            <w:tcW w:w="2160" w:type="dxa"/>
            <w:tcBorders>
              <w:bottom w:val="single" w:sz="4" w:space="0" w:color="auto"/>
            </w:tcBorders>
            <w:vAlign w:val="center"/>
            <w:hideMark/>
          </w:tcPr>
          <w:p w14:paraId="764FC316"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Básicos</w:t>
            </w:r>
            <w:r w:rsidRPr="00546B56">
              <w:rPr>
                <w:rFonts w:ascii="Arial" w:hAnsi="Arial" w:cs="Arial"/>
                <w:lang w:eastAsia="es-CR"/>
              </w:rPr>
              <w:t> </w:t>
            </w:r>
          </w:p>
        </w:tc>
        <w:tc>
          <w:tcPr>
            <w:tcW w:w="2160" w:type="dxa"/>
            <w:tcBorders>
              <w:bottom w:val="single" w:sz="4" w:space="0" w:color="auto"/>
            </w:tcBorders>
            <w:vAlign w:val="center"/>
            <w:hideMark/>
          </w:tcPr>
          <w:p w14:paraId="6CFC0AB1"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Secundarios</w:t>
            </w:r>
            <w:r w:rsidRPr="00546B56">
              <w:rPr>
                <w:rFonts w:ascii="Arial" w:hAnsi="Arial" w:cs="Arial"/>
                <w:lang w:eastAsia="es-CR"/>
              </w:rPr>
              <w:t> </w:t>
            </w:r>
          </w:p>
        </w:tc>
        <w:tc>
          <w:tcPr>
            <w:tcW w:w="2160" w:type="dxa"/>
            <w:tcBorders>
              <w:bottom w:val="single" w:sz="4" w:space="0" w:color="auto"/>
            </w:tcBorders>
            <w:vAlign w:val="center"/>
            <w:hideMark/>
          </w:tcPr>
          <w:p w14:paraId="1C331121"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Total</w:t>
            </w:r>
            <w:r w:rsidRPr="00546B56">
              <w:rPr>
                <w:rFonts w:ascii="Arial" w:hAnsi="Arial" w:cs="Arial"/>
                <w:lang w:eastAsia="es-CR"/>
              </w:rPr>
              <w:t> </w:t>
            </w:r>
          </w:p>
        </w:tc>
      </w:tr>
      <w:tr w:rsidR="00546B56" w:rsidRPr="00546B56" w14:paraId="22747FF7" w14:textId="77777777" w:rsidTr="00EF681B">
        <w:trPr>
          <w:trHeight w:val="300"/>
        </w:trPr>
        <w:tc>
          <w:tcPr>
            <w:tcW w:w="3390" w:type="dxa"/>
            <w:tcBorders>
              <w:top w:val="single" w:sz="4" w:space="0" w:color="auto"/>
            </w:tcBorders>
            <w:hideMark/>
          </w:tcPr>
          <w:p w14:paraId="16576925" w14:textId="77777777" w:rsidR="00546B56" w:rsidRPr="00546B56" w:rsidRDefault="00546B56" w:rsidP="00546B56">
            <w:pPr>
              <w:textAlignment w:val="baseline"/>
              <w:rPr>
                <w:lang w:eastAsia="es-CR"/>
              </w:rPr>
            </w:pPr>
            <w:r w:rsidRPr="00546B56">
              <w:rPr>
                <w:rFonts w:ascii="Arial" w:hAnsi="Arial" w:cs="Arial"/>
                <w:lang w:val="es-PA" w:eastAsia="es-CR"/>
              </w:rPr>
              <w:t>Proyecto Institucional</w:t>
            </w:r>
            <w:r w:rsidRPr="00546B56">
              <w:rPr>
                <w:rFonts w:ascii="Arial" w:hAnsi="Arial" w:cs="Arial"/>
                <w:lang w:eastAsia="es-CR"/>
              </w:rPr>
              <w:t> </w:t>
            </w:r>
          </w:p>
        </w:tc>
        <w:tc>
          <w:tcPr>
            <w:tcW w:w="2160" w:type="dxa"/>
            <w:tcBorders>
              <w:top w:val="single" w:sz="4" w:space="0" w:color="auto"/>
            </w:tcBorders>
            <w:hideMark/>
          </w:tcPr>
          <w:p w14:paraId="326978E6" w14:textId="77777777" w:rsidR="00546B56" w:rsidRPr="00546B56" w:rsidRDefault="00546B56" w:rsidP="00546B56">
            <w:pPr>
              <w:jc w:val="center"/>
              <w:textAlignment w:val="baseline"/>
              <w:rPr>
                <w:lang w:eastAsia="es-CR"/>
              </w:rPr>
            </w:pPr>
            <w:r w:rsidRPr="00546B56">
              <w:rPr>
                <w:rFonts w:ascii="Arial" w:hAnsi="Arial" w:cs="Arial"/>
                <w:lang w:val="es-PA" w:eastAsia="es-CR"/>
              </w:rPr>
              <w:t>15</w:t>
            </w:r>
            <w:r w:rsidRPr="00546B56">
              <w:rPr>
                <w:rFonts w:ascii="Arial" w:hAnsi="Arial" w:cs="Arial"/>
                <w:lang w:eastAsia="es-CR"/>
              </w:rPr>
              <w:t> </w:t>
            </w:r>
          </w:p>
        </w:tc>
        <w:tc>
          <w:tcPr>
            <w:tcW w:w="2160" w:type="dxa"/>
            <w:tcBorders>
              <w:top w:val="single" w:sz="4" w:space="0" w:color="auto"/>
            </w:tcBorders>
            <w:hideMark/>
          </w:tcPr>
          <w:p w14:paraId="134FDBD6" w14:textId="77777777" w:rsidR="00546B56" w:rsidRPr="00546B56" w:rsidRDefault="00546B56" w:rsidP="00546B56">
            <w:pPr>
              <w:jc w:val="center"/>
              <w:textAlignment w:val="baseline"/>
              <w:rPr>
                <w:lang w:eastAsia="es-CR"/>
              </w:rPr>
            </w:pPr>
            <w:r w:rsidRPr="00546B56">
              <w:rPr>
                <w:rFonts w:ascii="Arial" w:hAnsi="Arial" w:cs="Arial"/>
                <w:lang w:val="es-PA" w:eastAsia="es-CR"/>
              </w:rPr>
              <w:t>7</w:t>
            </w:r>
            <w:r w:rsidRPr="00546B56">
              <w:rPr>
                <w:rFonts w:ascii="Arial" w:hAnsi="Arial" w:cs="Arial"/>
                <w:lang w:eastAsia="es-CR"/>
              </w:rPr>
              <w:t> </w:t>
            </w:r>
          </w:p>
        </w:tc>
        <w:tc>
          <w:tcPr>
            <w:tcW w:w="2160" w:type="dxa"/>
            <w:tcBorders>
              <w:top w:val="single" w:sz="4" w:space="0" w:color="auto"/>
            </w:tcBorders>
            <w:hideMark/>
          </w:tcPr>
          <w:p w14:paraId="79B150C5" w14:textId="77777777" w:rsidR="00546B56" w:rsidRPr="00546B56" w:rsidRDefault="00546B56" w:rsidP="00546B56">
            <w:pPr>
              <w:jc w:val="center"/>
              <w:textAlignment w:val="baseline"/>
              <w:rPr>
                <w:lang w:eastAsia="es-CR"/>
              </w:rPr>
            </w:pPr>
            <w:r w:rsidRPr="00546B56">
              <w:rPr>
                <w:rFonts w:ascii="Arial" w:hAnsi="Arial" w:cs="Arial"/>
                <w:lang w:val="es-PA" w:eastAsia="es-CR"/>
              </w:rPr>
              <w:t>22</w:t>
            </w:r>
            <w:r w:rsidRPr="00546B56">
              <w:rPr>
                <w:rFonts w:ascii="Arial" w:hAnsi="Arial" w:cs="Arial"/>
                <w:lang w:eastAsia="es-CR"/>
              </w:rPr>
              <w:t> </w:t>
            </w:r>
          </w:p>
        </w:tc>
      </w:tr>
      <w:tr w:rsidR="00546B56" w:rsidRPr="00546B56" w14:paraId="65EF3A9B" w14:textId="77777777" w:rsidTr="00940AEF">
        <w:trPr>
          <w:trHeight w:val="300"/>
        </w:trPr>
        <w:tc>
          <w:tcPr>
            <w:tcW w:w="3390" w:type="dxa"/>
            <w:hideMark/>
          </w:tcPr>
          <w:p w14:paraId="6A5DFDDF" w14:textId="77777777" w:rsidR="00546B56" w:rsidRPr="00546B56" w:rsidRDefault="00546B56" w:rsidP="00546B56">
            <w:pPr>
              <w:textAlignment w:val="baseline"/>
              <w:rPr>
                <w:lang w:eastAsia="es-CR"/>
              </w:rPr>
            </w:pPr>
            <w:r w:rsidRPr="00546B56">
              <w:rPr>
                <w:rFonts w:ascii="Arial" w:hAnsi="Arial" w:cs="Arial"/>
                <w:lang w:val="es-PA" w:eastAsia="es-CR"/>
              </w:rPr>
              <w:t>Proyecto Académico</w:t>
            </w:r>
            <w:r w:rsidRPr="00546B56">
              <w:rPr>
                <w:rFonts w:ascii="Arial" w:hAnsi="Arial" w:cs="Arial"/>
                <w:lang w:eastAsia="es-CR"/>
              </w:rPr>
              <w:t> </w:t>
            </w:r>
          </w:p>
        </w:tc>
        <w:tc>
          <w:tcPr>
            <w:tcW w:w="2160" w:type="dxa"/>
            <w:hideMark/>
          </w:tcPr>
          <w:p w14:paraId="32E1375E" w14:textId="77777777" w:rsidR="00546B56" w:rsidRPr="00546B56" w:rsidRDefault="00546B56" w:rsidP="00546B56">
            <w:pPr>
              <w:jc w:val="center"/>
              <w:textAlignment w:val="baseline"/>
              <w:rPr>
                <w:lang w:eastAsia="es-CR"/>
              </w:rPr>
            </w:pPr>
            <w:r w:rsidRPr="00546B56">
              <w:rPr>
                <w:rFonts w:ascii="Arial" w:hAnsi="Arial" w:cs="Arial"/>
                <w:lang w:val="es-PA" w:eastAsia="es-CR"/>
              </w:rPr>
              <w:t>19</w:t>
            </w:r>
            <w:r w:rsidRPr="00546B56">
              <w:rPr>
                <w:rFonts w:ascii="Arial" w:hAnsi="Arial" w:cs="Arial"/>
                <w:lang w:eastAsia="es-CR"/>
              </w:rPr>
              <w:t> </w:t>
            </w:r>
          </w:p>
        </w:tc>
        <w:tc>
          <w:tcPr>
            <w:tcW w:w="2160" w:type="dxa"/>
            <w:hideMark/>
          </w:tcPr>
          <w:p w14:paraId="0515E572" w14:textId="77777777" w:rsidR="00546B56" w:rsidRPr="00546B56" w:rsidRDefault="00546B56" w:rsidP="00546B56">
            <w:pPr>
              <w:jc w:val="center"/>
              <w:textAlignment w:val="baseline"/>
              <w:rPr>
                <w:lang w:eastAsia="es-CR"/>
              </w:rPr>
            </w:pPr>
            <w:r w:rsidRPr="00546B56">
              <w:rPr>
                <w:rFonts w:ascii="Arial" w:hAnsi="Arial" w:cs="Arial"/>
                <w:lang w:val="es-PA" w:eastAsia="es-CR"/>
              </w:rPr>
              <w:t>21</w:t>
            </w:r>
            <w:r w:rsidRPr="00546B56">
              <w:rPr>
                <w:rFonts w:ascii="Arial" w:hAnsi="Arial" w:cs="Arial"/>
                <w:lang w:eastAsia="es-CR"/>
              </w:rPr>
              <w:t> </w:t>
            </w:r>
          </w:p>
        </w:tc>
        <w:tc>
          <w:tcPr>
            <w:tcW w:w="2160" w:type="dxa"/>
            <w:hideMark/>
          </w:tcPr>
          <w:p w14:paraId="34100727" w14:textId="77777777" w:rsidR="00546B56" w:rsidRPr="00546B56" w:rsidRDefault="00546B56" w:rsidP="00546B56">
            <w:pPr>
              <w:jc w:val="center"/>
              <w:textAlignment w:val="baseline"/>
              <w:rPr>
                <w:lang w:eastAsia="es-CR"/>
              </w:rPr>
            </w:pPr>
            <w:r w:rsidRPr="00546B56">
              <w:rPr>
                <w:rFonts w:ascii="Arial" w:hAnsi="Arial" w:cs="Arial"/>
                <w:lang w:val="es-PA" w:eastAsia="es-CR"/>
              </w:rPr>
              <w:t>40</w:t>
            </w:r>
            <w:r w:rsidRPr="00546B56">
              <w:rPr>
                <w:rFonts w:ascii="Arial" w:hAnsi="Arial" w:cs="Arial"/>
                <w:lang w:eastAsia="es-CR"/>
              </w:rPr>
              <w:t> </w:t>
            </w:r>
          </w:p>
        </w:tc>
      </w:tr>
      <w:tr w:rsidR="00546B56" w:rsidRPr="00546B56" w14:paraId="59388AD9" w14:textId="77777777" w:rsidTr="00940AEF">
        <w:trPr>
          <w:trHeight w:val="300"/>
        </w:trPr>
        <w:tc>
          <w:tcPr>
            <w:tcW w:w="3390" w:type="dxa"/>
            <w:hideMark/>
          </w:tcPr>
          <w:p w14:paraId="25A84B8A" w14:textId="77777777" w:rsidR="00546B56" w:rsidRPr="00546B56" w:rsidRDefault="00546B56" w:rsidP="00546B56">
            <w:pPr>
              <w:textAlignment w:val="baseline"/>
              <w:rPr>
                <w:lang w:eastAsia="es-CR"/>
              </w:rPr>
            </w:pPr>
            <w:r w:rsidRPr="00546B56">
              <w:rPr>
                <w:rFonts w:ascii="Arial" w:hAnsi="Arial" w:cs="Arial"/>
                <w:lang w:val="es-PA" w:eastAsia="es-CR"/>
              </w:rPr>
              <w:t>Comunidad Universitaria</w:t>
            </w:r>
            <w:r w:rsidRPr="00546B56">
              <w:rPr>
                <w:rFonts w:ascii="Arial" w:hAnsi="Arial" w:cs="Arial"/>
                <w:lang w:eastAsia="es-CR"/>
              </w:rPr>
              <w:t> </w:t>
            </w:r>
          </w:p>
        </w:tc>
        <w:tc>
          <w:tcPr>
            <w:tcW w:w="2160" w:type="dxa"/>
            <w:hideMark/>
          </w:tcPr>
          <w:p w14:paraId="4466B0F1" w14:textId="77777777" w:rsidR="00546B56" w:rsidRPr="00546B56" w:rsidRDefault="00546B56" w:rsidP="00546B56">
            <w:pPr>
              <w:jc w:val="center"/>
              <w:textAlignment w:val="baseline"/>
              <w:rPr>
                <w:lang w:eastAsia="es-CR"/>
              </w:rPr>
            </w:pPr>
            <w:r w:rsidRPr="00546B56">
              <w:rPr>
                <w:rFonts w:ascii="Arial" w:hAnsi="Arial" w:cs="Arial"/>
                <w:lang w:val="es-PA" w:eastAsia="es-CR"/>
              </w:rPr>
              <w:t>19</w:t>
            </w:r>
            <w:r w:rsidRPr="00546B56">
              <w:rPr>
                <w:rFonts w:ascii="Arial" w:hAnsi="Arial" w:cs="Arial"/>
                <w:lang w:eastAsia="es-CR"/>
              </w:rPr>
              <w:t> </w:t>
            </w:r>
          </w:p>
        </w:tc>
        <w:tc>
          <w:tcPr>
            <w:tcW w:w="2160" w:type="dxa"/>
            <w:hideMark/>
          </w:tcPr>
          <w:p w14:paraId="329EF627" w14:textId="77777777" w:rsidR="00546B56" w:rsidRPr="00546B56" w:rsidRDefault="00546B56" w:rsidP="00546B56">
            <w:pPr>
              <w:jc w:val="center"/>
              <w:textAlignment w:val="baseline"/>
              <w:rPr>
                <w:lang w:eastAsia="es-CR"/>
              </w:rPr>
            </w:pPr>
            <w:r w:rsidRPr="00546B56">
              <w:rPr>
                <w:rFonts w:ascii="Arial" w:hAnsi="Arial" w:cs="Arial"/>
                <w:lang w:val="es-PA" w:eastAsia="es-CR"/>
              </w:rPr>
              <w:t>11</w:t>
            </w:r>
            <w:r w:rsidRPr="00546B56">
              <w:rPr>
                <w:rFonts w:ascii="Arial" w:hAnsi="Arial" w:cs="Arial"/>
                <w:lang w:eastAsia="es-CR"/>
              </w:rPr>
              <w:t> </w:t>
            </w:r>
          </w:p>
        </w:tc>
        <w:tc>
          <w:tcPr>
            <w:tcW w:w="2160" w:type="dxa"/>
            <w:hideMark/>
          </w:tcPr>
          <w:p w14:paraId="1755FF87" w14:textId="77777777" w:rsidR="00546B56" w:rsidRPr="00546B56" w:rsidRDefault="00546B56" w:rsidP="00546B56">
            <w:pPr>
              <w:jc w:val="center"/>
              <w:textAlignment w:val="baseline"/>
              <w:rPr>
                <w:lang w:eastAsia="es-CR"/>
              </w:rPr>
            </w:pPr>
            <w:r w:rsidRPr="00546B56">
              <w:rPr>
                <w:rFonts w:ascii="Arial" w:hAnsi="Arial" w:cs="Arial"/>
                <w:lang w:val="es-PA" w:eastAsia="es-CR"/>
              </w:rPr>
              <w:t>30</w:t>
            </w:r>
            <w:r w:rsidRPr="00546B56">
              <w:rPr>
                <w:rFonts w:ascii="Arial" w:hAnsi="Arial" w:cs="Arial"/>
                <w:lang w:eastAsia="es-CR"/>
              </w:rPr>
              <w:t> </w:t>
            </w:r>
          </w:p>
        </w:tc>
      </w:tr>
      <w:tr w:rsidR="00546B56" w:rsidRPr="00546B56" w14:paraId="0373F656" w14:textId="77777777" w:rsidTr="00EF681B">
        <w:trPr>
          <w:trHeight w:val="300"/>
        </w:trPr>
        <w:tc>
          <w:tcPr>
            <w:tcW w:w="3390" w:type="dxa"/>
            <w:hideMark/>
          </w:tcPr>
          <w:p w14:paraId="6933987F" w14:textId="77777777" w:rsidR="00546B56" w:rsidRPr="00546B56" w:rsidRDefault="00546B56" w:rsidP="00546B56">
            <w:pPr>
              <w:textAlignment w:val="baseline"/>
              <w:rPr>
                <w:lang w:eastAsia="es-CR"/>
              </w:rPr>
            </w:pPr>
            <w:r w:rsidRPr="00546B56">
              <w:rPr>
                <w:rFonts w:ascii="Arial" w:hAnsi="Arial" w:cs="Arial"/>
                <w:lang w:val="es-PA" w:eastAsia="es-CR"/>
              </w:rPr>
              <w:t>Infraestructura</w:t>
            </w:r>
            <w:r w:rsidRPr="00546B56">
              <w:rPr>
                <w:rFonts w:ascii="Arial" w:hAnsi="Arial" w:cs="Arial"/>
                <w:lang w:eastAsia="es-CR"/>
              </w:rPr>
              <w:t> </w:t>
            </w:r>
          </w:p>
        </w:tc>
        <w:tc>
          <w:tcPr>
            <w:tcW w:w="2160" w:type="dxa"/>
            <w:hideMark/>
          </w:tcPr>
          <w:p w14:paraId="7B6E2F07" w14:textId="77777777" w:rsidR="00546B56" w:rsidRPr="00546B56" w:rsidRDefault="00546B56" w:rsidP="00546B56">
            <w:pPr>
              <w:jc w:val="center"/>
              <w:textAlignment w:val="baseline"/>
              <w:rPr>
                <w:lang w:eastAsia="es-CR"/>
              </w:rPr>
            </w:pPr>
            <w:r w:rsidRPr="00546B56">
              <w:rPr>
                <w:rFonts w:ascii="Arial" w:hAnsi="Arial" w:cs="Arial"/>
                <w:lang w:val="es-PA" w:eastAsia="es-CR"/>
              </w:rPr>
              <w:t>7</w:t>
            </w:r>
            <w:r w:rsidRPr="00546B56">
              <w:rPr>
                <w:rFonts w:ascii="Arial" w:hAnsi="Arial" w:cs="Arial"/>
                <w:lang w:eastAsia="es-CR"/>
              </w:rPr>
              <w:t> </w:t>
            </w:r>
          </w:p>
        </w:tc>
        <w:tc>
          <w:tcPr>
            <w:tcW w:w="2160" w:type="dxa"/>
            <w:hideMark/>
          </w:tcPr>
          <w:p w14:paraId="4D0F1927" w14:textId="77777777" w:rsidR="00546B56" w:rsidRPr="00546B56" w:rsidRDefault="00546B56" w:rsidP="00546B56">
            <w:pPr>
              <w:jc w:val="center"/>
              <w:textAlignment w:val="baseline"/>
              <w:rPr>
                <w:lang w:eastAsia="es-CR"/>
              </w:rPr>
            </w:pPr>
            <w:r w:rsidRPr="00546B56">
              <w:rPr>
                <w:rFonts w:ascii="Arial" w:hAnsi="Arial" w:cs="Arial"/>
                <w:lang w:val="es-PA" w:eastAsia="es-CR"/>
              </w:rPr>
              <w:t>10</w:t>
            </w:r>
            <w:r w:rsidRPr="00546B56">
              <w:rPr>
                <w:rFonts w:ascii="Arial" w:hAnsi="Arial" w:cs="Arial"/>
                <w:lang w:eastAsia="es-CR"/>
              </w:rPr>
              <w:t> </w:t>
            </w:r>
          </w:p>
        </w:tc>
        <w:tc>
          <w:tcPr>
            <w:tcW w:w="2160" w:type="dxa"/>
            <w:hideMark/>
          </w:tcPr>
          <w:p w14:paraId="5744BF83" w14:textId="77777777" w:rsidR="00546B56" w:rsidRPr="00546B56" w:rsidRDefault="00546B56" w:rsidP="00546B56">
            <w:pPr>
              <w:jc w:val="center"/>
              <w:textAlignment w:val="baseline"/>
              <w:rPr>
                <w:lang w:eastAsia="es-CR"/>
              </w:rPr>
            </w:pPr>
            <w:r w:rsidRPr="00546B56">
              <w:rPr>
                <w:rFonts w:ascii="Arial" w:hAnsi="Arial" w:cs="Arial"/>
                <w:lang w:val="es-PA" w:eastAsia="es-CR"/>
              </w:rPr>
              <w:t>17</w:t>
            </w:r>
            <w:r w:rsidRPr="00546B56">
              <w:rPr>
                <w:rFonts w:ascii="Arial" w:hAnsi="Arial" w:cs="Arial"/>
                <w:lang w:eastAsia="es-CR"/>
              </w:rPr>
              <w:t> </w:t>
            </w:r>
          </w:p>
        </w:tc>
      </w:tr>
      <w:tr w:rsidR="00546B56" w:rsidRPr="00546B56" w14:paraId="7B2B07FE" w14:textId="77777777" w:rsidTr="00EF681B">
        <w:trPr>
          <w:trHeight w:val="300"/>
        </w:trPr>
        <w:tc>
          <w:tcPr>
            <w:tcW w:w="3390" w:type="dxa"/>
            <w:tcBorders>
              <w:bottom w:val="single" w:sz="4" w:space="0" w:color="auto"/>
            </w:tcBorders>
            <w:hideMark/>
          </w:tcPr>
          <w:p w14:paraId="12BDEA62" w14:textId="77777777" w:rsidR="00546B56" w:rsidRPr="00546B56" w:rsidRDefault="00546B56" w:rsidP="00546B56">
            <w:pPr>
              <w:textAlignment w:val="baseline"/>
              <w:rPr>
                <w:lang w:eastAsia="es-CR"/>
              </w:rPr>
            </w:pPr>
            <w:r w:rsidRPr="00546B56">
              <w:rPr>
                <w:rFonts w:ascii="Arial" w:hAnsi="Arial" w:cs="Arial"/>
                <w:lang w:val="es-PA" w:eastAsia="es-CR"/>
              </w:rPr>
              <w:t>Total</w:t>
            </w:r>
            <w:r w:rsidRPr="00546B56">
              <w:rPr>
                <w:rFonts w:ascii="Arial" w:hAnsi="Arial" w:cs="Arial"/>
                <w:lang w:eastAsia="es-CR"/>
              </w:rPr>
              <w:t> </w:t>
            </w:r>
          </w:p>
        </w:tc>
        <w:tc>
          <w:tcPr>
            <w:tcW w:w="2160" w:type="dxa"/>
            <w:tcBorders>
              <w:bottom w:val="single" w:sz="4" w:space="0" w:color="auto"/>
            </w:tcBorders>
            <w:hideMark/>
          </w:tcPr>
          <w:p w14:paraId="1AD55A5D" w14:textId="77777777" w:rsidR="00546B56" w:rsidRPr="00546B56" w:rsidRDefault="00546B56" w:rsidP="00546B56">
            <w:pPr>
              <w:jc w:val="center"/>
              <w:textAlignment w:val="baseline"/>
              <w:rPr>
                <w:lang w:eastAsia="es-CR"/>
              </w:rPr>
            </w:pPr>
            <w:r w:rsidRPr="00546B56">
              <w:rPr>
                <w:rFonts w:ascii="Arial" w:hAnsi="Arial" w:cs="Arial"/>
                <w:lang w:val="es-PA" w:eastAsia="es-CR"/>
              </w:rPr>
              <w:t>60</w:t>
            </w:r>
            <w:r w:rsidRPr="00546B56">
              <w:rPr>
                <w:rFonts w:ascii="Arial" w:hAnsi="Arial" w:cs="Arial"/>
                <w:lang w:eastAsia="es-CR"/>
              </w:rPr>
              <w:t> </w:t>
            </w:r>
          </w:p>
        </w:tc>
        <w:tc>
          <w:tcPr>
            <w:tcW w:w="2160" w:type="dxa"/>
            <w:tcBorders>
              <w:bottom w:val="single" w:sz="4" w:space="0" w:color="auto"/>
            </w:tcBorders>
            <w:hideMark/>
          </w:tcPr>
          <w:p w14:paraId="05F8746F" w14:textId="77777777" w:rsidR="00546B56" w:rsidRPr="00546B56" w:rsidRDefault="00546B56" w:rsidP="00546B56">
            <w:pPr>
              <w:jc w:val="center"/>
              <w:textAlignment w:val="baseline"/>
              <w:rPr>
                <w:lang w:eastAsia="es-CR"/>
              </w:rPr>
            </w:pPr>
            <w:r w:rsidRPr="00546B56">
              <w:rPr>
                <w:rFonts w:ascii="Arial" w:hAnsi="Arial" w:cs="Arial"/>
                <w:lang w:val="es-PA" w:eastAsia="es-CR"/>
              </w:rPr>
              <w:t>49</w:t>
            </w:r>
            <w:r w:rsidRPr="00546B56">
              <w:rPr>
                <w:rFonts w:ascii="Arial" w:hAnsi="Arial" w:cs="Arial"/>
                <w:lang w:eastAsia="es-CR"/>
              </w:rPr>
              <w:t> </w:t>
            </w:r>
          </w:p>
        </w:tc>
        <w:tc>
          <w:tcPr>
            <w:tcW w:w="2160" w:type="dxa"/>
            <w:tcBorders>
              <w:bottom w:val="single" w:sz="4" w:space="0" w:color="auto"/>
            </w:tcBorders>
            <w:hideMark/>
          </w:tcPr>
          <w:p w14:paraId="27978737" w14:textId="77777777" w:rsidR="00546B56" w:rsidRPr="00546B56" w:rsidRDefault="00546B56" w:rsidP="00546B56">
            <w:pPr>
              <w:jc w:val="center"/>
              <w:textAlignment w:val="baseline"/>
              <w:rPr>
                <w:lang w:eastAsia="es-CR"/>
              </w:rPr>
            </w:pPr>
            <w:r w:rsidRPr="00546B56">
              <w:rPr>
                <w:rFonts w:ascii="Arial" w:hAnsi="Arial" w:cs="Arial"/>
                <w:lang w:val="es-PA" w:eastAsia="es-CR"/>
              </w:rPr>
              <w:t>109</w:t>
            </w:r>
            <w:r w:rsidRPr="00546B56">
              <w:rPr>
                <w:rFonts w:ascii="Arial" w:hAnsi="Arial" w:cs="Arial"/>
                <w:lang w:eastAsia="es-CR"/>
              </w:rPr>
              <w:t> </w:t>
            </w:r>
          </w:p>
        </w:tc>
      </w:tr>
    </w:tbl>
    <w:p w14:paraId="3CDE9243" w14:textId="77777777" w:rsidR="00546B56" w:rsidRPr="00546B56" w:rsidRDefault="00546B56" w:rsidP="00546B56">
      <w:pPr>
        <w:textAlignment w:val="baseline"/>
        <w:rPr>
          <w:rFonts w:ascii="Segoe UI" w:hAnsi="Segoe UI" w:cs="Segoe UI"/>
          <w:sz w:val="18"/>
          <w:szCs w:val="18"/>
          <w:lang w:eastAsia="es-CR"/>
        </w:rPr>
      </w:pPr>
      <w:r w:rsidRPr="00546B56">
        <w:rPr>
          <w:rFonts w:ascii="Arial" w:hAnsi="Arial" w:cs="Arial"/>
          <w:i/>
          <w:iCs/>
          <w:lang w:val="es-PA" w:eastAsia="es-CR"/>
        </w:rPr>
        <w:t>Nota.</w:t>
      </w:r>
      <w:r w:rsidRPr="00546B56">
        <w:rPr>
          <w:rFonts w:ascii="Arial" w:hAnsi="Arial" w:cs="Arial"/>
          <w:lang w:val="es-PA" w:eastAsia="es-CR"/>
        </w:rPr>
        <w:t> Las cifras fueron tomadas de la Resolución N°5, del 5 de marzo de 2020 (CONEAUPA, 2020).</w:t>
      </w:r>
      <w:r w:rsidRPr="00546B56">
        <w:rPr>
          <w:rFonts w:ascii="Arial" w:hAnsi="Arial" w:cs="Arial"/>
          <w:lang w:eastAsia="es-CR"/>
        </w:rPr>
        <w:t> </w:t>
      </w:r>
    </w:p>
    <w:p w14:paraId="419DD8E6"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5F96D11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La gestión de la calidad en las instituciones de educación superior es fundamental para asegurar la mejora continua de los procesos académicos y administrativos, así </w:t>
      </w:r>
      <w:r w:rsidRPr="00546B56">
        <w:rPr>
          <w:rFonts w:ascii="Arial" w:hAnsi="Arial" w:cs="Arial"/>
          <w:lang w:val="es-PA" w:eastAsia="es-CR"/>
        </w:rPr>
        <w:lastRenderedPageBreak/>
        <w:t>como para cumplir con los estándares de calidad tanto a nivel nacional como internacional. La norma ISO 9001 proporciona un marco sólido para la gestión eficiente de la calidad en todos los procesos institucionales, de modo que garantiza el cumplimiento de los requisitos legales y la mejora continua. Por su parte, la norma ISO 21001, diseñada específicamente para organizaciones educativas, se enfoca en optimizar la experiencia de aprendizaje y en satisfacer las necesidades de todas las partes interesadas, incluidos los estudiantes y el personal académico. Estas normas son esenciales para asegurar la eficacia en la gestión institucional, desde la evaluación continua de la calidad educativa hasta la optimización de los procesos administrativos. </w:t>
      </w:r>
      <w:r w:rsidRPr="00546B56">
        <w:rPr>
          <w:rFonts w:ascii="Arial" w:hAnsi="Arial" w:cs="Arial"/>
          <w:lang w:eastAsia="es-CR"/>
        </w:rPr>
        <w:t> </w:t>
      </w:r>
    </w:p>
    <w:p w14:paraId="37E10C0B" w14:textId="7777777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lang w:eastAsia="es-CR"/>
        </w:rPr>
        <w:t> </w:t>
      </w:r>
    </w:p>
    <w:p w14:paraId="4F97D8EA" w14:textId="0986CFE5" w:rsidR="00546B56" w:rsidRDefault="00546B56" w:rsidP="00E06486">
      <w:pPr>
        <w:spacing w:line="360" w:lineRule="auto"/>
        <w:textAlignment w:val="baseline"/>
        <w:rPr>
          <w:rFonts w:ascii="Arial" w:hAnsi="Arial" w:cs="Arial"/>
          <w:lang w:eastAsia="es-CR"/>
        </w:rPr>
      </w:pPr>
      <w:r w:rsidRPr="00546B56">
        <w:rPr>
          <w:rFonts w:ascii="Arial" w:hAnsi="Arial" w:cs="Arial"/>
          <w:b/>
          <w:bCs/>
          <w:lang w:val="es-PA" w:eastAsia="es-CR"/>
        </w:rPr>
        <w:t>A</w:t>
      </w:r>
      <w:r w:rsidR="00EF681B">
        <w:rPr>
          <w:rFonts w:ascii="Arial" w:hAnsi="Arial" w:cs="Arial"/>
          <w:b/>
          <w:bCs/>
          <w:lang w:val="es-PA" w:eastAsia="es-CR"/>
        </w:rPr>
        <w:t>bordaje metodológico</w:t>
      </w:r>
    </w:p>
    <w:p w14:paraId="55F373BE" w14:textId="77777777" w:rsidR="00556276" w:rsidRDefault="00546B56" w:rsidP="00E06486">
      <w:pPr>
        <w:spacing w:line="360" w:lineRule="auto"/>
        <w:jc w:val="both"/>
        <w:textAlignment w:val="baseline"/>
        <w:rPr>
          <w:rFonts w:ascii="Arial" w:hAnsi="Arial" w:cs="Arial"/>
          <w:lang w:val="es-PA" w:eastAsia="es-CR"/>
        </w:rPr>
      </w:pPr>
      <w:r w:rsidRPr="00546B56">
        <w:rPr>
          <w:rFonts w:ascii="Arial" w:hAnsi="Arial" w:cs="Arial"/>
          <w:lang w:val="es-PA" w:eastAsia="es-CR"/>
        </w:rPr>
        <w:t>La presente investigación documenta la experiencia de autoevaluación institucional de la </w:t>
      </w:r>
      <w:proofErr w:type="spellStart"/>
      <w:r w:rsidRPr="00546B56">
        <w:rPr>
          <w:rFonts w:ascii="Arial" w:hAnsi="Arial" w:cs="Arial"/>
          <w:lang w:val="es-PA" w:eastAsia="es-CR"/>
        </w:rPr>
        <w:t>UNICyT</w:t>
      </w:r>
      <w:proofErr w:type="spellEnd"/>
      <w:r w:rsidRPr="00546B56">
        <w:rPr>
          <w:rFonts w:ascii="Arial" w:hAnsi="Arial" w:cs="Arial"/>
          <w:lang w:val="es-PA" w:eastAsia="es-CR"/>
        </w:rPr>
        <w:t xml:space="preserve"> durante el periodo 2022-2023. Se enmarca en un enfoque documental-descriptivo: Documental, por cuanto se analizan documentos institucionales, cronologías de trabajo, registros de reuniones, entre otros; descriptivo, puesto que se analiza la experiencia institucional de la universidad en su proceso de acreditación universitaria y se propone la estructura del sistema integrado de gestión. </w:t>
      </w:r>
    </w:p>
    <w:p w14:paraId="220CB214" w14:textId="77777777" w:rsidR="00556276" w:rsidRDefault="00556276" w:rsidP="00E06486">
      <w:pPr>
        <w:spacing w:line="360" w:lineRule="auto"/>
        <w:jc w:val="both"/>
        <w:textAlignment w:val="baseline"/>
        <w:rPr>
          <w:rFonts w:ascii="Arial" w:hAnsi="Arial" w:cs="Arial"/>
          <w:lang w:val="es-PA" w:eastAsia="es-CR"/>
        </w:rPr>
      </w:pPr>
    </w:p>
    <w:p w14:paraId="0F695776" w14:textId="77AC24CD"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También se detallan la implementación de herramientas digitales para la recopilación y sistematización de datos, así como el proceso de gestión y </w:t>
      </w:r>
      <w:r w:rsidRPr="00546B56">
        <w:rPr>
          <w:rFonts w:ascii="Arial" w:hAnsi="Arial" w:cs="Arial"/>
          <w:lang w:val="es-PA" w:eastAsia="es-CR"/>
        </w:rPr>
        <w:lastRenderedPageBreak/>
        <w:t>las dinámicas de acreditación. Este enfoque facilita la comprensión profunda de un fenómeno específico —la acreditación universitaria— desde la perspectiva de una institución que ha transitado dicho proceso, lo que permite identificar buenas prácticas, los desafíos enfrentados y las estrategias implementadas.</w:t>
      </w:r>
      <w:r w:rsidRPr="00546B56">
        <w:rPr>
          <w:rFonts w:ascii="Arial" w:hAnsi="Arial" w:cs="Arial"/>
          <w:lang w:eastAsia="es-CR"/>
        </w:rPr>
        <w:t> </w:t>
      </w:r>
    </w:p>
    <w:p w14:paraId="574D0429" w14:textId="77777777" w:rsidR="00546B56" w:rsidRDefault="00546B56" w:rsidP="00E06486">
      <w:pPr>
        <w:spacing w:line="360" w:lineRule="auto"/>
        <w:textAlignment w:val="baseline"/>
        <w:rPr>
          <w:rFonts w:ascii="Arial" w:hAnsi="Arial" w:cs="Arial"/>
          <w:lang w:eastAsia="es-CR"/>
        </w:rPr>
      </w:pPr>
      <w:r w:rsidRPr="00546B56">
        <w:rPr>
          <w:rFonts w:ascii="Arial" w:hAnsi="Arial" w:cs="Arial"/>
          <w:lang w:eastAsia="es-CR"/>
        </w:rPr>
        <w:t> </w:t>
      </w:r>
    </w:p>
    <w:p w14:paraId="40A57EDF" w14:textId="48BB2055" w:rsidR="00546B56" w:rsidRDefault="00546B56" w:rsidP="00E06486">
      <w:pPr>
        <w:spacing w:line="360" w:lineRule="auto"/>
        <w:textAlignment w:val="baseline"/>
        <w:rPr>
          <w:rFonts w:ascii="Arial" w:hAnsi="Arial" w:cs="Arial"/>
          <w:lang w:eastAsia="es-CR"/>
        </w:rPr>
      </w:pPr>
      <w:r w:rsidRPr="00546B56">
        <w:rPr>
          <w:rFonts w:ascii="Arial" w:hAnsi="Arial" w:cs="Arial"/>
          <w:b/>
          <w:bCs/>
          <w:lang w:val="es-PA" w:eastAsia="es-CR"/>
        </w:rPr>
        <w:t>Estrategia analítica</w:t>
      </w:r>
      <w:r w:rsidRPr="00546B56">
        <w:rPr>
          <w:rFonts w:ascii="Arial" w:hAnsi="Arial" w:cs="Arial"/>
          <w:lang w:eastAsia="es-CR"/>
        </w:rPr>
        <w:t> </w:t>
      </w:r>
    </w:p>
    <w:p w14:paraId="2801130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análisis de los datos se realiza mediante la técnica de </w:t>
      </w:r>
      <w:proofErr w:type="spellStart"/>
      <w:r w:rsidRPr="00546B56">
        <w:rPr>
          <w:rFonts w:ascii="Arial" w:hAnsi="Arial" w:cs="Arial"/>
          <w:i/>
          <w:iCs/>
          <w:lang w:val="es-PA" w:eastAsia="es-CR"/>
        </w:rPr>
        <w:t>pattern</w:t>
      </w:r>
      <w:proofErr w:type="spellEnd"/>
      <w:r w:rsidRPr="00546B56">
        <w:rPr>
          <w:rFonts w:ascii="Arial" w:hAnsi="Arial" w:cs="Arial"/>
          <w:i/>
          <w:iCs/>
          <w:lang w:val="es-PA" w:eastAsia="es-CR"/>
        </w:rPr>
        <w:t> </w:t>
      </w:r>
      <w:proofErr w:type="spellStart"/>
      <w:r w:rsidRPr="00546B56">
        <w:rPr>
          <w:rFonts w:ascii="Arial" w:hAnsi="Arial" w:cs="Arial"/>
          <w:i/>
          <w:iCs/>
          <w:lang w:val="es-PA" w:eastAsia="es-CR"/>
        </w:rPr>
        <w:t>matching</w:t>
      </w:r>
      <w:proofErr w:type="spellEnd"/>
      <w:r w:rsidRPr="00546B56">
        <w:rPr>
          <w:rFonts w:ascii="Arial" w:hAnsi="Arial" w:cs="Arial"/>
          <w:lang w:val="es-PA" w:eastAsia="es-CR"/>
        </w:rPr>
        <w:t> (comparación de patrones, Yin, 2018), contrastando los patrones observados en la gestión institucional con los criterios de calidad establecidos por el CONEAUPA. En este estudio, los resultados obtenidos del sistema </w:t>
      </w:r>
      <w:proofErr w:type="spellStart"/>
      <w:r w:rsidRPr="00546B56">
        <w:rPr>
          <w:rFonts w:ascii="Arial" w:hAnsi="Arial" w:cs="Arial"/>
          <w:lang w:val="es-PA" w:eastAsia="es-CR"/>
        </w:rPr>
        <w:t>SIGUNICyT</w:t>
      </w:r>
      <w:proofErr w:type="spellEnd"/>
      <w:r w:rsidRPr="00546B56">
        <w:rPr>
          <w:rFonts w:ascii="Arial" w:hAnsi="Arial" w:cs="Arial"/>
          <w:lang w:val="es-PA" w:eastAsia="es-CR"/>
        </w:rPr>
        <w:t> se contrastan con los estándares de gestión establecidos por el CONEAUPA a fin de determinar el grado de correspondencia entre la práctica institucional y las proposiciones teóricas sobre eficiencia y transparencia en los procesos de autoevaluación universitaria (Tabla 3).</w:t>
      </w:r>
      <w:r w:rsidRPr="00546B56">
        <w:rPr>
          <w:rFonts w:ascii="Arial" w:hAnsi="Arial" w:cs="Arial"/>
          <w:lang w:eastAsia="es-CR"/>
        </w:rPr>
        <w:t> </w:t>
      </w:r>
    </w:p>
    <w:p w14:paraId="4C4370C5" w14:textId="101220A2"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227A93E3" w14:textId="5388254F" w:rsidR="002E41A1" w:rsidRDefault="002E41A1" w:rsidP="00546B56">
      <w:pPr>
        <w:jc w:val="both"/>
        <w:textAlignment w:val="baseline"/>
        <w:rPr>
          <w:rFonts w:ascii="Segoe UI" w:hAnsi="Segoe UI" w:cs="Segoe UI"/>
          <w:sz w:val="18"/>
          <w:szCs w:val="18"/>
          <w:lang w:eastAsia="es-CR"/>
        </w:rPr>
      </w:pPr>
    </w:p>
    <w:p w14:paraId="290C2A3B" w14:textId="52BCEDCD" w:rsidR="002E41A1" w:rsidRDefault="002E41A1" w:rsidP="00546B56">
      <w:pPr>
        <w:jc w:val="both"/>
        <w:textAlignment w:val="baseline"/>
        <w:rPr>
          <w:rFonts w:ascii="Segoe UI" w:hAnsi="Segoe UI" w:cs="Segoe UI"/>
          <w:sz w:val="18"/>
          <w:szCs w:val="18"/>
          <w:lang w:eastAsia="es-CR"/>
        </w:rPr>
      </w:pPr>
    </w:p>
    <w:p w14:paraId="34FBBF8B" w14:textId="38F00AD1" w:rsidR="002E41A1" w:rsidRDefault="002E41A1" w:rsidP="00546B56">
      <w:pPr>
        <w:jc w:val="both"/>
        <w:textAlignment w:val="baseline"/>
        <w:rPr>
          <w:rFonts w:ascii="Segoe UI" w:hAnsi="Segoe UI" w:cs="Segoe UI"/>
          <w:sz w:val="18"/>
          <w:szCs w:val="18"/>
          <w:lang w:eastAsia="es-CR"/>
        </w:rPr>
      </w:pPr>
    </w:p>
    <w:p w14:paraId="6BDBCD2A" w14:textId="6A5AAAE8" w:rsidR="002E41A1" w:rsidRDefault="002E41A1" w:rsidP="00546B56">
      <w:pPr>
        <w:jc w:val="both"/>
        <w:textAlignment w:val="baseline"/>
        <w:rPr>
          <w:rFonts w:ascii="Segoe UI" w:hAnsi="Segoe UI" w:cs="Segoe UI"/>
          <w:sz w:val="18"/>
          <w:szCs w:val="18"/>
          <w:lang w:eastAsia="es-CR"/>
        </w:rPr>
      </w:pPr>
    </w:p>
    <w:p w14:paraId="335B80CA" w14:textId="58689E8C" w:rsidR="002E41A1" w:rsidRDefault="002E41A1" w:rsidP="00546B56">
      <w:pPr>
        <w:jc w:val="both"/>
        <w:textAlignment w:val="baseline"/>
        <w:rPr>
          <w:rFonts w:ascii="Segoe UI" w:hAnsi="Segoe UI" w:cs="Segoe UI"/>
          <w:sz w:val="18"/>
          <w:szCs w:val="18"/>
          <w:lang w:eastAsia="es-CR"/>
        </w:rPr>
      </w:pPr>
    </w:p>
    <w:p w14:paraId="4097408B" w14:textId="0593EC9E" w:rsidR="002E41A1" w:rsidRDefault="002E41A1" w:rsidP="00546B56">
      <w:pPr>
        <w:jc w:val="both"/>
        <w:textAlignment w:val="baseline"/>
        <w:rPr>
          <w:rFonts w:ascii="Segoe UI" w:hAnsi="Segoe UI" w:cs="Segoe UI"/>
          <w:sz w:val="18"/>
          <w:szCs w:val="18"/>
          <w:lang w:eastAsia="es-CR"/>
        </w:rPr>
      </w:pPr>
    </w:p>
    <w:p w14:paraId="16E90DE4" w14:textId="05C6A8EA" w:rsidR="002E41A1" w:rsidRDefault="002E41A1" w:rsidP="00546B56">
      <w:pPr>
        <w:jc w:val="both"/>
        <w:textAlignment w:val="baseline"/>
        <w:rPr>
          <w:rFonts w:ascii="Segoe UI" w:hAnsi="Segoe UI" w:cs="Segoe UI"/>
          <w:sz w:val="18"/>
          <w:szCs w:val="18"/>
          <w:lang w:eastAsia="es-CR"/>
        </w:rPr>
      </w:pPr>
    </w:p>
    <w:p w14:paraId="314ADE9E" w14:textId="204B236D" w:rsidR="002E41A1" w:rsidRDefault="002E41A1" w:rsidP="00546B56">
      <w:pPr>
        <w:jc w:val="both"/>
        <w:textAlignment w:val="baseline"/>
        <w:rPr>
          <w:rFonts w:ascii="Segoe UI" w:hAnsi="Segoe UI" w:cs="Segoe UI"/>
          <w:sz w:val="18"/>
          <w:szCs w:val="18"/>
          <w:lang w:eastAsia="es-CR"/>
        </w:rPr>
      </w:pPr>
    </w:p>
    <w:p w14:paraId="7D9ABFC5" w14:textId="34BBEB18" w:rsidR="002E41A1" w:rsidRDefault="002E41A1" w:rsidP="00546B56">
      <w:pPr>
        <w:jc w:val="both"/>
        <w:textAlignment w:val="baseline"/>
        <w:rPr>
          <w:rFonts w:ascii="Segoe UI" w:hAnsi="Segoe UI" w:cs="Segoe UI"/>
          <w:sz w:val="18"/>
          <w:szCs w:val="18"/>
          <w:lang w:eastAsia="es-CR"/>
        </w:rPr>
      </w:pPr>
    </w:p>
    <w:p w14:paraId="2836BB61" w14:textId="56BF52E7" w:rsidR="002E41A1" w:rsidRDefault="002E41A1" w:rsidP="00546B56">
      <w:pPr>
        <w:jc w:val="both"/>
        <w:textAlignment w:val="baseline"/>
        <w:rPr>
          <w:rFonts w:ascii="Segoe UI" w:hAnsi="Segoe UI" w:cs="Segoe UI"/>
          <w:sz w:val="18"/>
          <w:szCs w:val="18"/>
          <w:lang w:eastAsia="es-CR"/>
        </w:rPr>
      </w:pPr>
    </w:p>
    <w:p w14:paraId="04DC3985" w14:textId="0F974F61" w:rsidR="002E41A1" w:rsidRDefault="002E41A1" w:rsidP="00546B56">
      <w:pPr>
        <w:jc w:val="both"/>
        <w:textAlignment w:val="baseline"/>
        <w:rPr>
          <w:rFonts w:ascii="Segoe UI" w:hAnsi="Segoe UI" w:cs="Segoe UI"/>
          <w:sz w:val="18"/>
          <w:szCs w:val="18"/>
          <w:lang w:eastAsia="es-CR"/>
        </w:rPr>
      </w:pPr>
    </w:p>
    <w:p w14:paraId="3ACCE839" w14:textId="77777777" w:rsidR="002E41A1" w:rsidRPr="00546B56" w:rsidRDefault="002E41A1" w:rsidP="00546B56">
      <w:pPr>
        <w:jc w:val="both"/>
        <w:textAlignment w:val="baseline"/>
        <w:rPr>
          <w:rFonts w:ascii="Segoe UI" w:hAnsi="Segoe UI" w:cs="Segoe UI"/>
          <w:sz w:val="18"/>
          <w:szCs w:val="18"/>
          <w:lang w:eastAsia="es-CR"/>
        </w:rPr>
      </w:pPr>
    </w:p>
    <w:p w14:paraId="5647A818" w14:textId="17EF23D0" w:rsidR="00396E4D" w:rsidRDefault="00546B56" w:rsidP="00546B56">
      <w:pPr>
        <w:jc w:val="both"/>
        <w:textAlignment w:val="baseline"/>
        <w:rPr>
          <w:rFonts w:ascii="Arial" w:hAnsi="Arial" w:cs="Arial"/>
          <w:lang w:eastAsia="es-CR"/>
        </w:rPr>
      </w:pPr>
      <w:r w:rsidRPr="00546B56">
        <w:rPr>
          <w:rFonts w:ascii="Arial" w:hAnsi="Arial" w:cs="Arial"/>
          <w:b/>
          <w:bCs/>
          <w:lang w:val="es-PA" w:eastAsia="es-CR"/>
        </w:rPr>
        <w:lastRenderedPageBreak/>
        <w:t>Tabla 3</w:t>
      </w:r>
      <w:r w:rsidRPr="00546B56">
        <w:rPr>
          <w:rFonts w:ascii="Arial" w:hAnsi="Arial" w:cs="Arial"/>
          <w:lang w:eastAsia="es-CR"/>
        </w:rPr>
        <w:t> </w:t>
      </w:r>
    </w:p>
    <w:p w14:paraId="7FD8E7F5" w14:textId="77777777" w:rsidR="00546B56" w:rsidRDefault="00546B56" w:rsidP="002E41A1">
      <w:pPr>
        <w:spacing w:line="360" w:lineRule="auto"/>
        <w:jc w:val="both"/>
        <w:textAlignment w:val="baseline"/>
        <w:rPr>
          <w:rFonts w:ascii="Arial" w:hAnsi="Arial" w:cs="Arial"/>
          <w:lang w:eastAsia="es-CR"/>
        </w:rPr>
      </w:pPr>
      <w:r w:rsidRPr="00546B56">
        <w:rPr>
          <w:rFonts w:ascii="Arial" w:hAnsi="Arial" w:cs="Arial"/>
          <w:i/>
          <w:iCs/>
          <w:lang w:val="es-PA" w:eastAsia="es-CR"/>
        </w:rPr>
        <w:t>Aplicación del </w:t>
      </w:r>
      <w:proofErr w:type="spellStart"/>
      <w:r w:rsidRPr="00546B56">
        <w:rPr>
          <w:rFonts w:ascii="Arial" w:hAnsi="Arial" w:cs="Arial"/>
          <w:i/>
          <w:iCs/>
          <w:lang w:val="es-PA" w:eastAsia="es-CR"/>
        </w:rPr>
        <w:t>pattern</w:t>
      </w:r>
      <w:proofErr w:type="spellEnd"/>
      <w:r w:rsidRPr="00546B56">
        <w:rPr>
          <w:rFonts w:ascii="Arial" w:hAnsi="Arial" w:cs="Arial"/>
          <w:i/>
          <w:iCs/>
          <w:lang w:val="es-PA" w:eastAsia="es-CR"/>
        </w:rPr>
        <w:t> </w:t>
      </w:r>
      <w:proofErr w:type="spellStart"/>
      <w:r w:rsidRPr="00546B56">
        <w:rPr>
          <w:rFonts w:ascii="Arial" w:hAnsi="Arial" w:cs="Arial"/>
          <w:i/>
          <w:iCs/>
          <w:lang w:val="es-PA" w:eastAsia="es-CR"/>
        </w:rPr>
        <w:t>matching</w:t>
      </w:r>
      <w:proofErr w:type="spellEnd"/>
      <w:r w:rsidRPr="00546B56">
        <w:rPr>
          <w:rFonts w:ascii="Arial" w:hAnsi="Arial" w:cs="Arial"/>
          <w:i/>
          <w:iCs/>
          <w:lang w:val="es-PA" w:eastAsia="es-CR"/>
        </w:rPr>
        <w:t> en el proceso de autoevaluación institucional mediante </w:t>
      </w:r>
      <w:proofErr w:type="spellStart"/>
      <w:r w:rsidRPr="00546B56">
        <w:rPr>
          <w:rFonts w:ascii="Arial" w:hAnsi="Arial" w:cs="Arial"/>
          <w:i/>
          <w:iCs/>
          <w:lang w:val="es-PA" w:eastAsia="es-CR"/>
        </w:rPr>
        <w:t>SIGUNICyT</w:t>
      </w:r>
      <w:proofErr w:type="spellEnd"/>
      <w:r w:rsidRPr="00546B56">
        <w:rPr>
          <w:rFonts w:ascii="Arial" w:hAnsi="Arial" w:cs="Arial"/>
          <w:lang w:eastAsia="es-CR"/>
        </w:rPr>
        <w:t> </w:t>
      </w:r>
    </w:p>
    <w:p w14:paraId="5E49F202" w14:textId="77777777" w:rsidR="00556276" w:rsidRPr="00546B56" w:rsidRDefault="00556276" w:rsidP="00546B56">
      <w:pPr>
        <w:jc w:val="both"/>
        <w:textAlignment w:val="baseline"/>
        <w:rPr>
          <w:rFonts w:ascii="Segoe UI" w:hAnsi="Segoe UI" w:cs="Segoe UI"/>
          <w:sz w:val="18"/>
          <w:szCs w:val="18"/>
          <w:lang w:eastAsia="es-CR"/>
        </w:rPr>
      </w:pPr>
    </w:p>
    <w:tbl>
      <w:tblPr>
        <w:tblW w:w="0" w:type="dxa"/>
        <w:tblCellMar>
          <w:left w:w="0" w:type="dxa"/>
          <w:right w:w="0" w:type="dxa"/>
        </w:tblCellMar>
        <w:tblLook w:val="04A0" w:firstRow="1" w:lastRow="0" w:firstColumn="1" w:lastColumn="0" w:noHBand="0" w:noVBand="1"/>
      </w:tblPr>
      <w:tblGrid>
        <w:gridCol w:w="2006"/>
        <w:gridCol w:w="6783"/>
      </w:tblGrid>
      <w:tr w:rsidR="00546B56" w:rsidRPr="00F727E6" w14:paraId="2FD6085F" w14:textId="77777777" w:rsidTr="00F727E6">
        <w:trPr>
          <w:trHeight w:val="500"/>
        </w:trPr>
        <w:tc>
          <w:tcPr>
            <w:tcW w:w="2145" w:type="dxa"/>
            <w:tcBorders>
              <w:top w:val="single" w:sz="4" w:space="0" w:color="auto"/>
              <w:bottom w:val="single" w:sz="4" w:space="0" w:color="auto"/>
            </w:tcBorders>
            <w:vAlign w:val="center"/>
            <w:hideMark/>
          </w:tcPr>
          <w:p w14:paraId="3F4793E5" w14:textId="77777777" w:rsidR="00546B56" w:rsidRPr="00F727E6" w:rsidRDefault="00546B56" w:rsidP="00546B56">
            <w:pPr>
              <w:jc w:val="center"/>
              <w:textAlignment w:val="baseline"/>
              <w:rPr>
                <w:sz w:val="20"/>
                <w:lang w:eastAsia="es-CR"/>
              </w:rPr>
            </w:pPr>
            <w:r w:rsidRPr="00F727E6">
              <w:rPr>
                <w:rFonts w:ascii="Arial" w:hAnsi="Arial" w:cs="Arial"/>
                <w:b/>
                <w:bCs/>
                <w:sz w:val="20"/>
                <w:lang w:val="es-PA" w:eastAsia="es-CR"/>
              </w:rPr>
              <w:t>Elemento del análisis</w:t>
            </w:r>
            <w:r w:rsidRPr="00F727E6">
              <w:rPr>
                <w:rFonts w:ascii="Arial" w:hAnsi="Arial" w:cs="Arial"/>
                <w:sz w:val="20"/>
                <w:lang w:eastAsia="es-CR"/>
              </w:rPr>
              <w:t> </w:t>
            </w:r>
          </w:p>
        </w:tc>
        <w:tc>
          <w:tcPr>
            <w:tcW w:w="7815" w:type="dxa"/>
            <w:tcBorders>
              <w:top w:val="single" w:sz="4" w:space="0" w:color="auto"/>
              <w:bottom w:val="single" w:sz="4" w:space="0" w:color="auto"/>
            </w:tcBorders>
            <w:vAlign w:val="center"/>
            <w:hideMark/>
          </w:tcPr>
          <w:p w14:paraId="380195A1" w14:textId="77777777" w:rsidR="00546B56" w:rsidRPr="00F727E6" w:rsidRDefault="00546B56" w:rsidP="00546B56">
            <w:pPr>
              <w:jc w:val="center"/>
              <w:textAlignment w:val="baseline"/>
              <w:rPr>
                <w:sz w:val="20"/>
                <w:lang w:eastAsia="es-CR"/>
              </w:rPr>
            </w:pPr>
            <w:r w:rsidRPr="00F727E6">
              <w:rPr>
                <w:rFonts w:ascii="Arial" w:hAnsi="Arial" w:cs="Arial"/>
                <w:b/>
                <w:bCs/>
                <w:sz w:val="20"/>
                <w:lang w:val="es-PA" w:eastAsia="es-CR"/>
              </w:rPr>
              <w:t>Descripción</w:t>
            </w:r>
            <w:r w:rsidRPr="00F727E6">
              <w:rPr>
                <w:rFonts w:ascii="Arial" w:hAnsi="Arial" w:cs="Arial"/>
                <w:sz w:val="20"/>
                <w:lang w:eastAsia="es-CR"/>
              </w:rPr>
              <w:t> </w:t>
            </w:r>
          </w:p>
        </w:tc>
      </w:tr>
      <w:tr w:rsidR="00546B56" w:rsidRPr="00F727E6" w14:paraId="3E8620F1" w14:textId="77777777" w:rsidTr="00F727E6">
        <w:trPr>
          <w:trHeight w:val="1545"/>
        </w:trPr>
        <w:tc>
          <w:tcPr>
            <w:tcW w:w="2145" w:type="dxa"/>
            <w:tcBorders>
              <w:top w:val="single" w:sz="4" w:space="0" w:color="auto"/>
            </w:tcBorders>
            <w:vAlign w:val="center"/>
            <w:hideMark/>
          </w:tcPr>
          <w:p w14:paraId="410BF7E8" w14:textId="77777777" w:rsidR="00546B56" w:rsidRPr="00F727E6" w:rsidRDefault="00546B56" w:rsidP="00361DCB">
            <w:pPr>
              <w:textAlignment w:val="baseline"/>
              <w:rPr>
                <w:sz w:val="20"/>
                <w:lang w:eastAsia="es-CR"/>
              </w:rPr>
            </w:pPr>
            <w:r w:rsidRPr="00F727E6">
              <w:rPr>
                <w:rFonts w:ascii="Arial" w:hAnsi="Arial" w:cs="Arial"/>
                <w:b/>
                <w:bCs/>
                <w:sz w:val="20"/>
                <w:lang w:val="es-PA" w:eastAsia="es-CR"/>
              </w:rPr>
              <w:t>Patrón teórico esperado</w:t>
            </w:r>
            <w:r w:rsidRPr="00F727E6">
              <w:rPr>
                <w:rFonts w:ascii="Arial" w:hAnsi="Arial" w:cs="Arial"/>
                <w:sz w:val="20"/>
                <w:lang w:eastAsia="es-CR"/>
              </w:rPr>
              <w:t> </w:t>
            </w:r>
          </w:p>
        </w:tc>
        <w:tc>
          <w:tcPr>
            <w:tcW w:w="7815" w:type="dxa"/>
            <w:tcBorders>
              <w:top w:val="single" w:sz="4" w:space="0" w:color="auto"/>
            </w:tcBorders>
            <w:vAlign w:val="center"/>
            <w:hideMark/>
          </w:tcPr>
          <w:p w14:paraId="03325F7E" w14:textId="77777777" w:rsidR="00546B56" w:rsidRPr="00F727E6" w:rsidRDefault="00546B56" w:rsidP="00546B56">
            <w:pPr>
              <w:jc w:val="both"/>
              <w:textAlignment w:val="baseline"/>
              <w:rPr>
                <w:sz w:val="20"/>
                <w:lang w:eastAsia="es-CR"/>
              </w:rPr>
            </w:pPr>
            <w:r w:rsidRPr="00F727E6">
              <w:rPr>
                <w:rFonts w:ascii="Arial" w:hAnsi="Arial" w:cs="Arial"/>
                <w:sz w:val="20"/>
                <w:lang w:val="es-PA" w:eastAsia="es-CR"/>
              </w:rPr>
              <w:t>La Matriz de Evaluación Institucional del CONEAUPA, compuesta por 109 indicadores para los procesos de acreditación y 103 para los de reacreditación, organizados en factores, componentes y subcomponentes, constituye el patrón teórico de referencia. Cada indicador define un estándar de calidad que la institución debe cumplir para garantizar el aseguramiento de la calidad y optar por la acreditación institucional.</w:t>
            </w:r>
            <w:r w:rsidRPr="00F727E6">
              <w:rPr>
                <w:rFonts w:ascii="Arial" w:hAnsi="Arial" w:cs="Arial"/>
                <w:sz w:val="20"/>
                <w:lang w:eastAsia="es-CR"/>
              </w:rPr>
              <w:t> </w:t>
            </w:r>
          </w:p>
        </w:tc>
      </w:tr>
      <w:tr w:rsidR="00546B56" w:rsidRPr="00F727E6" w14:paraId="508484AB" w14:textId="77777777" w:rsidTr="00F727E6">
        <w:trPr>
          <w:trHeight w:val="1546"/>
        </w:trPr>
        <w:tc>
          <w:tcPr>
            <w:tcW w:w="2145" w:type="dxa"/>
            <w:vAlign w:val="center"/>
            <w:hideMark/>
          </w:tcPr>
          <w:p w14:paraId="3AAA91EC" w14:textId="77777777" w:rsidR="00546B56" w:rsidRPr="00F727E6" w:rsidRDefault="00546B56" w:rsidP="00361DCB">
            <w:pPr>
              <w:textAlignment w:val="baseline"/>
              <w:rPr>
                <w:sz w:val="20"/>
                <w:lang w:eastAsia="es-CR"/>
              </w:rPr>
            </w:pPr>
            <w:r w:rsidRPr="00F727E6">
              <w:rPr>
                <w:rFonts w:ascii="Arial" w:hAnsi="Arial" w:cs="Arial"/>
                <w:b/>
                <w:bCs/>
                <w:sz w:val="20"/>
                <w:lang w:val="es-PA" w:eastAsia="es-CR"/>
              </w:rPr>
              <w:t>Patrón empírico observado</w:t>
            </w:r>
            <w:r w:rsidRPr="00F727E6">
              <w:rPr>
                <w:rFonts w:ascii="Arial" w:hAnsi="Arial" w:cs="Arial"/>
                <w:sz w:val="20"/>
                <w:lang w:eastAsia="es-CR"/>
              </w:rPr>
              <w:t> </w:t>
            </w:r>
          </w:p>
        </w:tc>
        <w:tc>
          <w:tcPr>
            <w:tcW w:w="7815" w:type="dxa"/>
            <w:vAlign w:val="center"/>
            <w:hideMark/>
          </w:tcPr>
          <w:p w14:paraId="3CACE972" w14:textId="77777777" w:rsidR="00546B56" w:rsidRPr="00F727E6" w:rsidRDefault="00546B56" w:rsidP="00546B56">
            <w:pPr>
              <w:jc w:val="both"/>
              <w:textAlignment w:val="baseline"/>
              <w:rPr>
                <w:sz w:val="20"/>
                <w:lang w:eastAsia="es-CR"/>
              </w:rPr>
            </w:pPr>
            <w:r w:rsidRPr="00F727E6">
              <w:rPr>
                <w:rFonts w:ascii="Arial" w:hAnsi="Arial" w:cs="Arial"/>
                <w:sz w:val="20"/>
                <w:lang w:val="es-PA" w:eastAsia="es-CR"/>
              </w:rPr>
              <w:t>El </w:t>
            </w:r>
            <w:proofErr w:type="spellStart"/>
            <w:r w:rsidRPr="00F727E6">
              <w:rPr>
                <w:rFonts w:ascii="Arial" w:hAnsi="Arial" w:cs="Arial"/>
                <w:sz w:val="20"/>
                <w:lang w:val="es-PA" w:eastAsia="es-CR"/>
              </w:rPr>
              <w:t>SIGUNICyT</w:t>
            </w:r>
            <w:proofErr w:type="spellEnd"/>
            <w:r w:rsidRPr="00F727E6">
              <w:rPr>
                <w:rFonts w:ascii="Arial" w:hAnsi="Arial" w:cs="Arial"/>
                <w:sz w:val="20"/>
                <w:lang w:val="es-PA" w:eastAsia="es-CR"/>
              </w:rPr>
              <w:t> genera informes sistematizados por cada indicador de la matriz del CONEAUPA, integrando las respectivas guías de verificación y las evidencias documentales asociadas. Estos informes permiten visualizar, por indicador, el nivel de cumplimiento alcanzado por la institución, asegurando la trazabilidad entre el estándar, la evidencia presentada y la unidad responsable.</w:t>
            </w:r>
            <w:r w:rsidRPr="00F727E6">
              <w:rPr>
                <w:rFonts w:ascii="Arial" w:hAnsi="Arial" w:cs="Arial"/>
                <w:sz w:val="20"/>
                <w:lang w:eastAsia="es-CR"/>
              </w:rPr>
              <w:t> </w:t>
            </w:r>
          </w:p>
        </w:tc>
      </w:tr>
      <w:tr w:rsidR="00546B56" w:rsidRPr="00F727E6" w14:paraId="0C28BEB3" w14:textId="77777777" w:rsidTr="00000062">
        <w:trPr>
          <w:trHeight w:val="1890"/>
        </w:trPr>
        <w:tc>
          <w:tcPr>
            <w:tcW w:w="2145" w:type="dxa"/>
            <w:vAlign w:val="center"/>
            <w:hideMark/>
          </w:tcPr>
          <w:p w14:paraId="06E26E30" w14:textId="77777777" w:rsidR="00546B56" w:rsidRPr="00F727E6" w:rsidRDefault="00546B56" w:rsidP="00361DCB">
            <w:pPr>
              <w:textAlignment w:val="baseline"/>
              <w:rPr>
                <w:sz w:val="20"/>
                <w:lang w:eastAsia="es-CR"/>
              </w:rPr>
            </w:pPr>
            <w:r w:rsidRPr="00F727E6">
              <w:rPr>
                <w:rFonts w:ascii="Arial" w:hAnsi="Arial" w:cs="Arial"/>
                <w:b/>
                <w:bCs/>
                <w:sz w:val="20"/>
                <w:lang w:val="es-PA" w:eastAsia="es-CR"/>
              </w:rPr>
              <w:t>Evaluación del cumplimiento</w:t>
            </w:r>
            <w:r w:rsidRPr="00F727E6">
              <w:rPr>
                <w:rFonts w:ascii="Arial" w:hAnsi="Arial" w:cs="Arial"/>
                <w:sz w:val="20"/>
                <w:lang w:eastAsia="es-CR"/>
              </w:rPr>
              <w:t> </w:t>
            </w:r>
          </w:p>
        </w:tc>
        <w:tc>
          <w:tcPr>
            <w:tcW w:w="7815" w:type="dxa"/>
            <w:vAlign w:val="center"/>
            <w:hideMark/>
          </w:tcPr>
          <w:p w14:paraId="37A9E7A7" w14:textId="77777777" w:rsidR="00546B56" w:rsidRPr="00F727E6" w:rsidRDefault="00546B56" w:rsidP="00546B56">
            <w:pPr>
              <w:jc w:val="both"/>
              <w:textAlignment w:val="baseline"/>
              <w:rPr>
                <w:sz w:val="20"/>
                <w:lang w:eastAsia="es-CR"/>
              </w:rPr>
            </w:pPr>
            <w:r w:rsidRPr="00F727E6">
              <w:rPr>
                <w:rFonts w:ascii="Arial" w:hAnsi="Arial" w:cs="Arial"/>
                <w:sz w:val="20"/>
                <w:lang w:val="es-PA" w:eastAsia="es-CR"/>
              </w:rPr>
              <w:t>El cumplimiento de cada indicador se evalúa según la escala de valoración establecida por el CONEAUPA, que va de 1 a 5, donde 5 representa el cumplimiento total del estándar y 1 la ausencia de evidencias suficientes para emitir un juicio. Esta evaluación se realiza de manera sistemática dentro del </w:t>
            </w:r>
            <w:proofErr w:type="spellStart"/>
            <w:r w:rsidRPr="00F727E6">
              <w:rPr>
                <w:rFonts w:ascii="Arial" w:hAnsi="Arial" w:cs="Arial"/>
                <w:sz w:val="20"/>
                <w:lang w:val="es-PA" w:eastAsia="es-CR"/>
              </w:rPr>
              <w:t>SIGUNICyT</w:t>
            </w:r>
            <w:proofErr w:type="spellEnd"/>
            <w:r w:rsidRPr="00F727E6">
              <w:rPr>
                <w:rFonts w:ascii="Arial" w:hAnsi="Arial" w:cs="Arial"/>
                <w:sz w:val="20"/>
                <w:lang w:val="es-PA" w:eastAsia="es-CR"/>
              </w:rPr>
              <w:t>, consolidando los resultados por factor y por componente.</w:t>
            </w:r>
            <w:r w:rsidRPr="00F727E6">
              <w:rPr>
                <w:rFonts w:ascii="Arial" w:hAnsi="Arial" w:cs="Arial"/>
                <w:sz w:val="20"/>
                <w:lang w:eastAsia="es-CR"/>
              </w:rPr>
              <w:t> </w:t>
            </w:r>
          </w:p>
        </w:tc>
      </w:tr>
      <w:tr w:rsidR="00546B56" w:rsidRPr="00F727E6" w14:paraId="12233278" w14:textId="77777777" w:rsidTr="00F727E6">
        <w:trPr>
          <w:trHeight w:val="1666"/>
        </w:trPr>
        <w:tc>
          <w:tcPr>
            <w:tcW w:w="2145" w:type="dxa"/>
            <w:tcBorders>
              <w:bottom w:val="single" w:sz="4" w:space="0" w:color="auto"/>
            </w:tcBorders>
            <w:vAlign w:val="center"/>
            <w:hideMark/>
          </w:tcPr>
          <w:p w14:paraId="12288204" w14:textId="77777777" w:rsidR="00546B56" w:rsidRPr="00F727E6" w:rsidRDefault="00546B56" w:rsidP="00361DCB">
            <w:pPr>
              <w:textAlignment w:val="baseline"/>
              <w:rPr>
                <w:sz w:val="20"/>
                <w:lang w:eastAsia="es-CR"/>
              </w:rPr>
            </w:pPr>
            <w:r w:rsidRPr="00F727E6">
              <w:rPr>
                <w:rFonts w:ascii="Arial" w:hAnsi="Arial" w:cs="Arial"/>
                <w:b/>
                <w:bCs/>
                <w:sz w:val="20"/>
                <w:lang w:val="es-PA" w:eastAsia="es-CR"/>
              </w:rPr>
              <w:t>Comparación y verificación del resultado</w:t>
            </w:r>
            <w:r w:rsidRPr="00F727E6">
              <w:rPr>
                <w:rFonts w:ascii="Arial" w:hAnsi="Arial" w:cs="Arial"/>
                <w:sz w:val="20"/>
                <w:lang w:eastAsia="es-CR"/>
              </w:rPr>
              <w:t> </w:t>
            </w:r>
          </w:p>
        </w:tc>
        <w:tc>
          <w:tcPr>
            <w:tcW w:w="7815" w:type="dxa"/>
            <w:tcBorders>
              <w:bottom w:val="single" w:sz="4" w:space="0" w:color="auto"/>
            </w:tcBorders>
            <w:vAlign w:val="center"/>
            <w:hideMark/>
          </w:tcPr>
          <w:p w14:paraId="371094A4" w14:textId="77777777" w:rsidR="00546B56" w:rsidRPr="00F727E6" w:rsidRDefault="00546B56" w:rsidP="00546B56">
            <w:pPr>
              <w:jc w:val="both"/>
              <w:textAlignment w:val="baseline"/>
              <w:rPr>
                <w:sz w:val="20"/>
                <w:lang w:eastAsia="es-CR"/>
              </w:rPr>
            </w:pPr>
            <w:r w:rsidRPr="00F727E6">
              <w:rPr>
                <w:rFonts w:ascii="Arial" w:hAnsi="Arial" w:cs="Arial"/>
                <w:sz w:val="20"/>
                <w:lang w:val="es-PA" w:eastAsia="es-CR"/>
              </w:rPr>
              <w:t>La comparación entre el patrón teórico (estándares de la matriz del CONEAUPA) y el patrón empírico (resultados del </w:t>
            </w:r>
            <w:proofErr w:type="spellStart"/>
            <w:r w:rsidRPr="00F727E6">
              <w:rPr>
                <w:rFonts w:ascii="Arial" w:hAnsi="Arial" w:cs="Arial"/>
                <w:sz w:val="20"/>
                <w:lang w:val="es-PA" w:eastAsia="es-CR"/>
              </w:rPr>
              <w:t>SIGUNICyT</w:t>
            </w:r>
            <w:proofErr w:type="spellEnd"/>
            <w:r w:rsidRPr="00F727E6">
              <w:rPr>
                <w:rFonts w:ascii="Arial" w:hAnsi="Arial" w:cs="Arial"/>
                <w:sz w:val="20"/>
                <w:lang w:val="es-PA" w:eastAsia="es-CR"/>
              </w:rPr>
              <w:t>) permite verificar si la institución alcanza el puntaje mínimo requerido para la acreditación institucional. Cuando los resultados consolidados cumplen con los umbrales definidos por el CONEAUPA, se confirma que la gestión tecnológica del proceso de autoevaluación contribuye, de manera efectiva, al aseguramiento de la calidad institucional.</w:t>
            </w:r>
            <w:r w:rsidRPr="00F727E6">
              <w:rPr>
                <w:rFonts w:ascii="Arial" w:hAnsi="Arial" w:cs="Arial"/>
                <w:sz w:val="20"/>
                <w:lang w:eastAsia="es-CR"/>
              </w:rPr>
              <w:t> </w:t>
            </w:r>
          </w:p>
        </w:tc>
      </w:tr>
    </w:tbl>
    <w:p w14:paraId="6B53E5BB" w14:textId="52DB9501"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4CF033A2" w14:textId="77777777" w:rsidR="00F727E6" w:rsidRPr="00546B56" w:rsidRDefault="00F727E6" w:rsidP="00546B56">
      <w:pPr>
        <w:jc w:val="both"/>
        <w:textAlignment w:val="baseline"/>
        <w:rPr>
          <w:rFonts w:ascii="Segoe UI" w:hAnsi="Segoe UI" w:cs="Segoe UI"/>
          <w:sz w:val="18"/>
          <w:szCs w:val="18"/>
          <w:lang w:eastAsia="es-CR"/>
        </w:rPr>
      </w:pPr>
    </w:p>
    <w:p w14:paraId="0CA1235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lastRenderedPageBreak/>
        <w:t>En este estudio, el patrón teórico está constituido por:</w:t>
      </w:r>
      <w:r w:rsidRPr="00546B56">
        <w:rPr>
          <w:rFonts w:ascii="Arial" w:hAnsi="Arial" w:cs="Arial"/>
          <w:lang w:eastAsia="es-CR"/>
        </w:rPr>
        <w:t> </w:t>
      </w:r>
    </w:p>
    <w:p w14:paraId="1CD62D9B" w14:textId="77777777" w:rsidR="00546B56" w:rsidRPr="00546B56" w:rsidRDefault="00546B56" w:rsidP="00F727E6">
      <w:pPr>
        <w:numPr>
          <w:ilvl w:val="0"/>
          <w:numId w:val="23"/>
        </w:numPr>
        <w:spacing w:line="360" w:lineRule="auto"/>
        <w:textAlignment w:val="baseline"/>
        <w:rPr>
          <w:rFonts w:ascii="Arial" w:hAnsi="Arial" w:cs="Arial"/>
          <w:lang w:eastAsia="es-CR"/>
        </w:rPr>
      </w:pPr>
      <w:r w:rsidRPr="00546B56">
        <w:rPr>
          <w:rFonts w:ascii="Arial" w:hAnsi="Arial" w:cs="Arial"/>
          <w:lang w:val="es-PA" w:eastAsia="es-CR"/>
        </w:rPr>
        <w:t>Los estándares e indicadores del modelo de evaluación del CONEAUPA.</w:t>
      </w:r>
      <w:r w:rsidRPr="00546B56">
        <w:rPr>
          <w:rFonts w:ascii="Arial" w:hAnsi="Arial" w:cs="Arial"/>
          <w:lang w:eastAsia="es-CR"/>
        </w:rPr>
        <w:t> </w:t>
      </w:r>
    </w:p>
    <w:p w14:paraId="5FA05B17" w14:textId="68DCCCAC" w:rsidR="00546B56" w:rsidRPr="00546B56" w:rsidRDefault="00546B56" w:rsidP="00F727E6">
      <w:pPr>
        <w:numPr>
          <w:ilvl w:val="0"/>
          <w:numId w:val="23"/>
        </w:numPr>
        <w:spacing w:line="360" w:lineRule="auto"/>
        <w:textAlignment w:val="baseline"/>
        <w:rPr>
          <w:rFonts w:ascii="Arial" w:hAnsi="Arial" w:cs="Arial"/>
          <w:lang w:eastAsia="es-CR"/>
        </w:rPr>
      </w:pPr>
      <w:r w:rsidRPr="00546B56">
        <w:rPr>
          <w:rFonts w:ascii="Arial" w:hAnsi="Arial" w:cs="Arial"/>
          <w:lang w:val="es-PA" w:eastAsia="es-CR"/>
        </w:rPr>
        <w:t>El enfoque de mejora </w:t>
      </w:r>
      <w:proofErr w:type="gramStart"/>
      <w:r w:rsidR="00E06486" w:rsidRPr="00546B56">
        <w:rPr>
          <w:rFonts w:ascii="Arial" w:hAnsi="Arial" w:cs="Arial"/>
          <w:lang w:val="es-PA" w:eastAsia="es-CR"/>
        </w:rPr>
        <w:t>contin</w:t>
      </w:r>
      <w:r w:rsidR="00F727E6">
        <w:rPr>
          <w:rFonts w:ascii="Arial" w:hAnsi="Arial" w:cs="Arial"/>
          <w:lang w:val="es-PA" w:eastAsia="es-CR"/>
        </w:rPr>
        <w:t>u</w:t>
      </w:r>
      <w:r w:rsidR="00E06486" w:rsidRPr="00546B56">
        <w:rPr>
          <w:rFonts w:ascii="Arial" w:hAnsi="Arial" w:cs="Arial"/>
          <w:lang w:val="es-PA" w:eastAsia="es-CR"/>
        </w:rPr>
        <w:t>a</w:t>
      </w:r>
      <w:proofErr w:type="gramEnd"/>
      <w:r w:rsidRPr="00546B56">
        <w:rPr>
          <w:rFonts w:ascii="Arial" w:hAnsi="Arial" w:cs="Arial"/>
          <w:lang w:val="es-PA" w:eastAsia="es-CR"/>
        </w:rPr>
        <w:t> basado en el ciclo PDCA.</w:t>
      </w:r>
      <w:r w:rsidRPr="00546B56">
        <w:rPr>
          <w:rFonts w:ascii="Arial" w:hAnsi="Arial" w:cs="Arial"/>
          <w:lang w:eastAsia="es-CR"/>
        </w:rPr>
        <w:t> </w:t>
      </w:r>
    </w:p>
    <w:p w14:paraId="25D35BA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386F9E1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Por su parte, el patrón empírico corresponde a los resultados obtenidos a partir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en la gestión de evidencias, el seguimiento de indicadores y la organización del proceso de autoevaluación institucional.</w:t>
      </w:r>
      <w:r w:rsidRPr="00546B56">
        <w:rPr>
          <w:rFonts w:ascii="Arial" w:hAnsi="Arial" w:cs="Arial"/>
          <w:lang w:eastAsia="es-CR"/>
        </w:rPr>
        <w:t> </w:t>
      </w:r>
    </w:p>
    <w:p w14:paraId="2D0F8C7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488CF4C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Las categorías analíticas se estructuran en torno de tres dimensiones principales:</w:t>
      </w:r>
      <w:r w:rsidRPr="00546B56">
        <w:rPr>
          <w:rFonts w:ascii="Arial" w:hAnsi="Arial" w:cs="Arial"/>
          <w:lang w:eastAsia="es-CR"/>
        </w:rPr>
        <w:t> </w:t>
      </w:r>
    </w:p>
    <w:p w14:paraId="6297ECBB" w14:textId="77777777" w:rsidR="00546B56" w:rsidRPr="00546B56" w:rsidRDefault="00546B56" w:rsidP="00F727E6">
      <w:pPr>
        <w:numPr>
          <w:ilvl w:val="0"/>
          <w:numId w:val="24"/>
        </w:numPr>
        <w:spacing w:line="360" w:lineRule="auto"/>
        <w:textAlignment w:val="baseline"/>
        <w:rPr>
          <w:rFonts w:ascii="Arial" w:hAnsi="Arial" w:cs="Arial"/>
          <w:lang w:eastAsia="es-CR"/>
        </w:rPr>
      </w:pPr>
      <w:r w:rsidRPr="00546B56">
        <w:rPr>
          <w:rFonts w:ascii="Arial" w:hAnsi="Arial" w:cs="Arial"/>
          <w:lang w:val="es-PA" w:eastAsia="es-CR"/>
        </w:rPr>
        <w:t>Gestión de evidencias y trazabilidad.</w:t>
      </w:r>
      <w:r w:rsidRPr="00546B56">
        <w:rPr>
          <w:rFonts w:ascii="Arial" w:hAnsi="Arial" w:cs="Arial"/>
          <w:lang w:eastAsia="es-CR"/>
        </w:rPr>
        <w:t> </w:t>
      </w:r>
    </w:p>
    <w:p w14:paraId="7961ABBB" w14:textId="77777777" w:rsidR="00546B56" w:rsidRPr="00546B56" w:rsidRDefault="00546B56" w:rsidP="00F727E6">
      <w:pPr>
        <w:numPr>
          <w:ilvl w:val="0"/>
          <w:numId w:val="24"/>
        </w:numPr>
        <w:spacing w:line="360" w:lineRule="auto"/>
        <w:textAlignment w:val="baseline"/>
        <w:rPr>
          <w:rFonts w:ascii="Arial" w:hAnsi="Arial" w:cs="Arial"/>
          <w:lang w:eastAsia="es-CR"/>
        </w:rPr>
      </w:pPr>
      <w:r w:rsidRPr="00546B56">
        <w:rPr>
          <w:rFonts w:ascii="Arial" w:hAnsi="Arial" w:cs="Arial"/>
          <w:lang w:val="es-PA" w:eastAsia="es-CR"/>
        </w:rPr>
        <w:t>Seguimiento y cumplimiento de indicadores de calidad.</w:t>
      </w:r>
      <w:r w:rsidRPr="00546B56">
        <w:rPr>
          <w:rFonts w:ascii="Arial" w:hAnsi="Arial" w:cs="Arial"/>
          <w:lang w:eastAsia="es-CR"/>
        </w:rPr>
        <w:t> </w:t>
      </w:r>
    </w:p>
    <w:p w14:paraId="3306110E" w14:textId="77777777" w:rsidR="00546B56" w:rsidRPr="00546B56" w:rsidRDefault="00546B56" w:rsidP="00F727E6">
      <w:pPr>
        <w:numPr>
          <w:ilvl w:val="0"/>
          <w:numId w:val="24"/>
        </w:numPr>
        <w:spacing w:line="360" w:lineRule="auto"/>
        <w:textAlignment w:val="baseline"/>
        <w:rPr>
          <w:rFonts w:ascii="Arial" w:hAnsi="Arial" w:cs="Arial"/>
          <w:lang w:eastAsia="es-CR"/>
        </w:rPr>
      </w:pPr>
      <w:r w:rsidRPr="00546B56">
        <w:rPr>
          <w:rFonts w:ascii="Arial" w:hAnsi="Arial" w:cs="Arial"/>
          <w:lang w:val="es-PA" w:eastAsia="es-CR"/>
        </w:rPr>
        <w:t>Soporte a la toma de decisiones y mejora continua.</w:t>
      </w:r>
      <w:r w:rsidRPr="00546B56">
        <w:rPr>
          <w:rFonts w:ascii="Arial" w:hAnsi="Arial" w:cs="Arial"/>
          <w:lang w:eastAsia="es-CR"/>
        </w:rPr>
        <w:t> </w:t>
      </w:r>
    </w:p>
    <w:p w14:paraId="0AC9242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617B918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Las unidades de análisis corresponden a documentos institucionales generados en el marco del proceso de autoevaluación y acreditación, incluyendo informes de autoevaluación, matrices de evaluación institucional, registros de seguimiento de indicadores, actas de reuniones, cronogramas de trabajo y reportes generados por 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w:t>
      </w:r>
      <w:r w:rsidRPr="00546B56">
        <w:rPr>
          <w:rFonts w:ascii="Arial" w:hAnsi="Arial" w:cs="Arial"/>
          <w:lang w:eastAsia="es-CR"/>
        </w:rPr>
        <w:t> </w:t>
      </w:r>
    </w:p>
    <w:p w14:paraId="5C8AC0D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2148E9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Los documentos se seleccionan con base en criterios de pertinencia, relevancia y temporalidad. Se consideran aquellos documentos directamente vinculados al proceso de autoevaluación institucional que contengan información verificable </w:t>
      </w:r>
      <w:r w:rsidRPr="00546B56">
        <w:rPr>
          <w:rFonts w:ascii="Arial" w:hAnsi="Arial" w:cs="Arial"/>
          <w:lang w:val="es-PA" w:eastAsia="es-CR"/>
        </w:rPr>
        <w:lastRenderedPageBreak/>
        <w:t>sobre el cumplimiento de indicadores, la gestión de evidencias y la implementación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El análisis comprende un conjunto de 730 documentos institucionales producidos entre enero de 2022 y diciembre de 2023, lo que corresponde al período completo del proceso de autoevaluación y acreditación institucional.</w:t>
      </w:r>
      <w:r w:rsidRPr="00546B56">
        <w:rPr>
          <w:rFonts w:ascii="Arial" w:hAnsi="Arial" w:cs="Arial"/>
          <w:lang w:eastAsia="es-CR"/>
        </w:rPr>
        <w:t> </w:t>
      </w:r>
    </w:p>
    <w:p w14:paraId="79AED6D9" w14:textId="7777777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lang w:eastAsia="es-CR"/>
        </w:rPr>
        <w:t> </w:t>
      </w:r>
    </w:p>
    <w:p w14:paraId="0212BF32" w14:textId="3A2A9798"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análisis se desarrolla en tres fases:</w:t>
      </w:r>
      <w:r w:rsidRPr="00546B56">
        <w:rPr>
          <w:rFonts w:ascii="Arial" w:hAnsi="Arial" w:cs="Arial"/>
          <w:lang w:eastAsia="es-CR"/>
        </w:rPr>
        <w:t>  </w:t>
      </w:r>
    </w:p>
    <w:p w14:paraId="243D8249" w14:textId="77777777" w:rsidR="00546B56" w:rsidRPr="00546B56" w:rsidRDefault="00546B56" w:rsidP="00927F65">
      <w:pPr>
        <w:numPr>
          <w:ilvl w:val="0"/>
          <w:numId w:val="25"/>
        </w:numPr>
        <w:spacing w:line="360" w:lineRule="auto"/>
        <w:textAlignment w:val="baseline"/>
        <w:rPr>
          <w:rFonts w:ascii="Arial" w:hAnsi="Arial" w:cs="Arial"/>
          <w:lang w:eastAsia="es-CR"/>
        </w:rPr>
      </w:pPr>
      <w:r w:rsidRPr="00546B56">
        <w:rPr>
          <w:rFonts w:ascii="Arial" w:hAnsi="Arial" w:cs="Arial"/>
          <w:lang w:val="es-PA" w:eastAsia="es-CR"/>
        </w:rPr>
        <w:t>Organización y sistematización de la información mediante la revisión y la clasificación de los documentos institucionales, según su tipo y función en el proceso de autoevaluación.</w:t>
      </w:r>
      <w:r w:rsidRPr="00546B56">
        <w:rPr>
          <w:rFonts w:ascii="Arial" w:hAnsi="Arial" w:cs="Arial"/>
          <w:lang w:eastAsia="es-CR"/>
        </w:rPr>
        <w:t> </w:t>
      </w:r>
    </w:p>
    <w:p w14:paraId="66BBE8EF" w14:textId="77777777" w:rsidR="00546B56" w:rsidRPr="00546B56" w:rsidRDefault="00546B56" w:rsidP="00927F65">
      <w:pPr>
        <w:numPr>
          <w:ilvl w:val="0"/>
          <w:numId w:val="25"/>
        </w:numPr>
        <w:spacing w:line="360" w:lineRule="auto"/>
        <w:textAlignment w:val="baseline"/>
        <w:rPr>
          <w:rFonts w:ascii="Arial" w:hAnsi="Arial" w:cs="Arial"/>
          <w:lang w:eastAsia="es-CR"/>
        </w:rPr>
      </w:pPr>
      <w:r w:rsidRPr="00546B56">
        <w:rPr>
          <w:rFonts w:ascii="Arial" w:hAnsi="Arial" w:cs="Arial"/>
          <w:lang w:val="es-PA" w:eastAsia="es-CR"/>
        </w:rPr>
        <w:t>Identificación de patrones empíricos a partir del análisis de la información contenida en los documentos y en los reportes generados por el </w:t>
      </w:r>
      <w:proofErr w:type="spellStart"/>
      <w:r w:rsidRPr="00546B56">
        <w:rPr>
          <w:rFonts w:ascii="Arial" w:hAnsi="Arial" w:cs="Arial"/>
          <w:lang w:val="es-PA" w:eastAsia="es-CR"/>
        </w:rPr>
        <w:t>SIGUNICyT</w:t>
      </w:r>
      <w:proofErr w:type="spellEnd"/>
      <w:r w:rsidRPr="00546B56">
        <w:rPr>
          <w:rFonts w:ascii="Arial" w:hAnsi="Arial" w:cs="Arial"/>
          <w:lang w:val="es-PA" w:eastAsia="es-CR"/>
        </w:rPr>
        <w:t>.</w:t>
      </w:r>
      <w:r w:rsidRPr="00546B56">
        <w:rPr>
          <w:rFonts w:ascii="Arial" w:hAnsi="Arial" w:cs="Arial"/>
          <w:lang w:eastAsia="es-CR"/>
        </w:rPr>
        <w:t> </w:t>
      </w:r>
    </w:p>
    <w:p w14:paraId="51E4156E" w14:textId="77777777" w:rsidR="00546B56" w:rsidRPr="00546B56" w:rsidRDefault="00546B56" w:rsidP="00927F65">
      <w:pPr>
        <w:numPr>
          <w:ilvl w:val="0"/>
          <w:numId w:val="25"/>
        </w:numPr>
        <w:spacing w:line="360" w:lineRule="auto"/>
        <w:textAlignment w:val="baseline"/>
        <w:rPr>
          <w:rFonts w:ascii="Arial" w:hAnsi="Arial" w:cs="Arial"/>
          <w:lang w:eastAsia="es-CR"/>
        </w:rPr>
      </w:pPr>
      <w:r w:rsidRPr="00546B56">
        <w:rPr>
          <w:rFonts w:ascii="Arial" w:hAnsi="Arial" w:cs="Arial"/>
          <w:lang w:val="es-PA" w:eastAsia="es-CR"/>
        </w:rPr>
        <w:t>Comparación entre patrones teóricos y empíricos mediante la técnica de </w:t>
      </w:r>
      <w:proofErr w:type="spellStart"/>
      <w:r w:rsidRPr="00546B56">
        <w:rPr>
          <w:rFonts w:ascii="Arial" w:hAnsi="Arial" w:cs="Arial"/>
          <w:i/>
          <w:iCs/>
          <w:lang w:val="es-PA" w:eastAsia="es-CR"/>
        </w:rPr>
        <w:t>pattern</w:t>
      </w:r>
      <w:proofErr w:type="spellEnd"/>
      <w:r w:rsidRPr="00546B56">
        <w:rPr>
          <w:rFonts w:ascii="Arial" w:hAnsi="Arial" w:cs="Arial"/>
          <w:lang w:val="es-PA" w:eastAsia="es-CR"/>
        </w:rPr>
        <w:t> </w:t>
      </w:r>
      <w:proofErr w:type="spellStart"/>
      <w:r w:rsidRPr="00546B56">
        <w:rPr>
          <w:rFonts w:ascii="Arial" w:hAnsi="Arial" w:cs="Arial"/>
          <w:i/>
          <w:iCs/>
          <w:lang w:val="es-PA" w:eastAsia="es-CR"/>
        </w:rPr>
        <w:t>matching</w:t>
      </w:r>
      <w:proofErr w:type="spellEnd"/>
      <w:r w:rsidRPr="00546B56">
        <w:rPr>
          <w:rFonts w:ascii="Arial" w:hAnsi="Arial" w:cs="Arial"/>
          <w:lang w:val="es-PA" w:eastAsia="es-CR"/>
        </w:rPr>
        <w:t>, con el fin de evaluar el grado de correspondencia entre los estándares de calidad establecidos y los resultados institucionales observados.</w:t>
      </w:r>
      <w:r w:rsidRPr="00546B56">
        <w:rPr>
          <w:rFonts w:ascii="Arial" w:hAnsi="Arial" w:cs="Arial"/>
          <w:lang w:eastAsia="es-CR"/>
        </w:rPr>
        <w:t> </w:t>
      </w:r>
    </w:p>
    <w:p w14:paraId="3616F96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2A6B839F"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Validez y confiabilidad</w:t>
      </w:r>
      <w:r w:rsidRPr="00546B56">
        <w:rPr>
          <w:rFonts w:ascii="Arial" w:hAnsi="Arial" w:cs="Arial"/>
          <w:lang w:eastAsia="es-CR"/>
        </w:rPr>
        <w:t> </w:t>
      </w:r>
    </w:p>
    <w:p w14:paraId="79A5270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validez del estudio se sustenta en la coherencia entre el marco teórico, el diseño metodológico y la estrategia analítica empleada. Asimismo, se recurre a la triangulación de fuentes documentales, lo que permite contrastar la información de distintos tipos de registros institucionales.</w:t>
      </w:r>
      <w:r w:rsidRPr="00546B56">
        <w:rPr>
          <w:rFonts w:ascii="Arial" w:hAnsi="Arial" w:cs="Arial"/>
          <w:lang w:eastAsia="es-CR"/>
        </w:rPr>
        <w:t> </w:t>
      </w:r>
    </w:p>
    <w:p w14:paraId="4FD62CB3"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lastRenderedPageBreak/>
        <w:t> </w:t>
      </w:r>
    </w:p>
    <w:p w14:paraId="667DB90D"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cuanto a la confiabilidad, se garantiza mediante la sistematización del proceso de análisis y el uso de criterios explícitos para la selección y clasificación de los documentos, lo que favorece la consistencia del análisis. No obstante, al tratarse de un estudio de caso, los resultados no son estadísticamente generalizables, sino transferibles a contextos institucionales similares.</w:t>
      </w:r>
      <w:r w:rsidRPr="00546B56">
        <w:rPr>
          <w:rFonts w:ascii="Arial" w:hAnsi="Arial" w:cs="Arial"/>
          <w:lang w:eastAsia="es-CR"/>
        </w:rPr>
        <w:t> </w:t>
      </w:r>
    </w:p>
    <w:p w14:paraId="0031026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7335618F" w14:textId="0323478B"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Dado que el presente estudio analiza un proceso desarrollado en la propia institución, es importante reconocer la posibilidad de sesgos asociados a la proximidad de las </w:t>
      </w:r>
      <w:r w:rsidR="00927F65" w:rsidRPr="00546B56">
        <w:rPr>
          <w:rFonts w:ascii="Arial" w:hAnsi="Arial" w:cs="Arial"/>
          <w:lang w:val="es-PA" w:eastAsia="es-CR"/>
        </w:rPr>
        <w:t>personas investigadoras</w:t>
      </w:r>
      <w:r w:rsidRPr="00546B56">
        <w:rPr>
          <w:rFonts w:ascii="Arial" w:hAnsi="Arial" w:cs="Arial"/>
          <w:lang w:val="es-PA" w:eastAsia="es-CR"/>
        </w:rPr>
        <w:t> con el objeto de estudio. Este riesgo se relaciona con la interpretación de la información y la valoración de los resultados obtenidos.</w:t>
      </w:r>
      <w:r w:rsidRPr="00546B56">
        <w:rPr>
          <w:rFonts w:ascii="Arial" w:hAnsi="Arial" w:cs="Arial"/>
          <w:lang w:eastAsia="es-CR"/>
        </w:rPr>
        <w:t> </w:t>
      </w:r>
    </w:p>
    <w:p w14:paraId="61ECA3B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color w:val="EE0000"/>
          <w:lang w:eastAsia="es-CR"/>
        </w:rPr>
        <w:t> </w:t>
      </w:r>
    </w:p>
    <w:p w14:paraId="4E524407"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este estudio, se parte de la hipótesis teórica de que la integración de sistemas tecnológicos de gestión contribuye a aumentar la eficiencia, la transparencia y la sostenibilidad de los procesos de autoevaluación universitaria.</w:t>
      </w:r>
      <w:r w:rsidRPr="00546B56">
        <w:rPr>
          <w:rFonts w:ascii="Arial" w:hAnsi="Arial" w:cs="Arial"/>
          <w:lang w:eastAsia="es-CR"/>
        </w:rPr>
        <w:t> </w:t>
      </w:r>
    </w:p>
    <w:p w14:paraId="4508AD7D" w14:textId="7777777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lang w:eastAsia="es-CR"/>
        </w:rPr>
        <w:t> </w:t>
      </w:r>
    </w:p>
    <w:p w14:paraId="78F4724B" w14:textId="4BC307D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b/>
          <w:bCs/>
          <w:lang w:val="es-PA" w:eastAsia="es-CR"/>
        </w:rPr>
        <w:t>R</w:t>
      </w:r>
      <w:r w:rsidR="00284C2D">
        <w:rPr>
          <w:rFonts w:ascii="Arial" w:hAnsi="Arial" w:cs="Arial"/>
          <w:b/>
          <w:bCs/>
          <w:lang w:val="es-PA" w:eastAsia="es-CR"/>
        </w:rPr>
        <w:t>esultados y discusión</w:t>
      </w:r>
    </w:p>
    <w:p w14:paraId="54D197F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Implementación del </w:t>
      </w:r>
      <w:proofErr w:type="spellStart"/>
      <w:r w:rsidRPr="00546B56">
        <w:rPr>
          <w:rFonts w:ascii="Arial" w:hAnsi="Arial" w:cs="Arial"/>
          <w:b/>
          <w:bCs/>
          <w:lang w:val="es-PA" w:eastAsia="es-CR"/>
        </w:rPr>
        <w:t>SIGUNICyT</w:t>
      </w:r>
      <w:proofErr w:type="spellEnd"/>
      <w:r w:rsidRPr="00546B56">
        <w:rPr>
          <w:rFonts w:ascii="Arial" w:hAnsi="Arial" w:cs="Arial"/>
          <w:b/>
          <w:bCs/>
          <w:lang w:val="es-PA" w:eastAsia="es-CR"/>
        </w:rPr>
        <w:t> como estrategia institucional de aseguramiento de la calidad</w:t>
      </w:r>
      <w:r w:rsidRPr="00546B56">
        <w:rPr>
          <w:rFonts w:ascii="Arial" w:hAnsi="Arial" w:cs="Arial"/>
          <w:lang w:eastAsia="es-CR"/>
        </w:rPr>
        <w:t> </w:t>
      </w:r>
    </w:p>
    <w:p w14:paraId="07BEB33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implementación de </w:t>
      </w:r>
      <w:proofErr w:type="spellStart"/>
      <w:r w:rsidRPr="00546B56">
        <w:rPr>
          <w:rFonts w:ascii="Arial" w:hAnsi="Arial" w:cs="Arial"/>
          <w:lang w:val="es-PA" w:eastAsia="es-CR"/>
        </w:rPr>
        <w:t>SIGUNICyT</w:t>
      </w:r>
      <w:proofErr w:type="spellEnd"/>
      <w:r w:rsidRPr="00546B56">
        <w:rPr>
          <w:rFonts w:ascii="Arial" w:hAnsi="Arial" w:cs="Arial"/>
          <w:lang w:val="es-PA" w:eastAsia="es-CR"/>
        </w:rPr>
        <w:t xml:space="preserve"> se desarrolla como una estrategia institucional orientada a fortalecer la autoevaluación universitaria y garantizar la trazabilidad de </w:t>
      </w:r>
      <w:r w:rsidRPr="00546B56">
        <w:rPr>
          <w:rFonts w:ascii="Arial" w:hAnsi="Arial" w:cs="Arial"/>
          <w:lang w:val="es-PA" w:eastAsia="es-CR"/>
        </w:rPr>
        <w:lastRenderedPageBreak/>
        <w:t>los indicadores exigidos por el modelo de acreditación del CONEAUPA. Este proceso no se limita a la adopción de una herramienta tecnológica, sino que implica una reorganización progresiva de la gestión institucional, alineando el Plan de Desarrollo Institucional (PDI), el Plan Operativo Anual (POA) y los estándares nacionales e internacionales de calidad.</w:t>
      </w:r>
      <w:r w:rsidRPr="00546B56">
        <w:rPr>
          <w:rFonts w:ascii="Arial" w:hAnsi="Arial" w:cs="Arial"/>
          <w:lang w:eastAsia="es-CR"/>
        </w:rPr>
        <w:t> </w:t>
      </w:r>
    </w:p>
    <w:p w14:paraId="39EE4DCD" w14:textId="77777777" w:rsidR="00546B56" w:rsidRPr="00546B56" w:rsidRDefault="00546B56" w:rsidP="00E06486">
      <w:pPr>
        <w:spacing w:line="360" w:lineRule="auto"/>
        <w:textAlignment w:val="baseline"/>
        <w:rPr>
          <w:rFonts w:ascii="Segoe UI" w:hAnsi="Segoe UI" w:cs="Segoe UI"/>
          <w:sz w:val="18"/>
          <w:szCs w:val="18"/>
          <w:lang w:eastAsia="es-CR"/>
        </w:rPr>
      </w:pPr>
      <w:r w:rsidRPr="00546B56">
        <w:rPr>
          <w:rFonts w:ascii="Arial" w:hAnsi="Arial" w:cs="Arial"/>
          <w:lang w:eastAsia="es-CR"/>
        </w:rPr>
        <w:t> </w:t>
      </w:r>
    </w:p>
    <w:p w14:paraId="062B7EE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una perspectiva analítica, esta experiencia confirma la proposición teórica de que la integración de sistemas tecnológicos de gestión contribuye a mejorar la eficiencia, la transparencia y la sostenibilidad de los procesos de autoevaluación institucional, tal como lo plantea el enfoque de mejora </w:t>
      </w:r>
      <w:proofErr w:type="gramStart"/>
      <w:r w:rsidRPr="00546B56">
        <w:rPr>
          <w:rFonts w:ascii="Arial" w:hAnsi="Arial" w:cs="Arial"/>
          <w:lang w:val="es-PA" w:eastAsia="es-CR"/>
        </w:rPr>
        <w:t>continua</w:t>
      </w:r>
      <w:proofErr w:type="gramEnd"/>
      <w:r w:rsidRPr="00546B56">
        <w:rPr>
          <w:rFonts w:ascii="Arial" w:hAnsi="Arial" w:cs="Arial"/>
          <w:lang w:val="es-PA" w:eastAsia="es-CR"/>
        </w:rPr>
        <w:t xml:space="preserve"> basado en el ciclo PDCA y en las normas ISO 9001 e ISO 21001. Este hallazgo es consistente con estudios recientes que evidencian que la integración de sistemas de gestión de la calidad en la educación superior contribuye a fortalecer la gobernanza institucional y la transparencia en los procesos de evaluación, especialmente cuando se articulan con modelos de mejora continua (Samuel &amp; </w:t>
      </w:r>
      <w:proofErr w:type="spellStart"/>
      <w:r w:rsidRPr="00546B56">
        <w:rPr>
          <w:rFonts w:ascii="Arial" w:hAnsi="Arial" w:cs="Arial"/>
          <w:lang w:val="es-PA" w:eastAsia="es-CR"/>
        </w:rPr>
        <w:t>Farrer</w:t>
      </w:r>
      <w:proofErr w:type="spellEnd"/>
      <w:r w:rsidRPr="00546B56">
        <w:rPr>
          <w:rFonts w:ascii="Arial" w:hAnsi="Arial" w:cs="Arial"/>
          <w:lang w:val="es-PA" w:eastAsia="es-CR"/>
        </w:rPr>
        <w:t>, 2025; </w:t>
      </w:r>
      <w:proofErr w:type="spellStart"/>
      <w:r w:rsidRPr="00546B56">
        <w:rPr>
          <w:rFonts w:ascii="Arial" w:hAnsi="Arial" w:cs="Arial"/>
          <w:lang w:val="es-PA" w:eastAsia="es-CR"/>
        </w:rPr>
        <w:t>Guil</w:t>
      </w:r>
      <w:proofErr w:type="spellEnd"/>
      <w:r w:rsidRPr="00546B56">
        <w:rPr>
          <w:rFonts w:ascii="Arial" w:hAnsi="Arial" w:cs="Arial"/>
          <w:lang w:val="es-PA" w:eastAsia="es-CR"/>
        </w:rPr>
        <w:t xml:space="preserve"> Gorostidi &amp; Rubio-</w:t>
      </w:r>
      <w:proofErr w:type="spellStart"/>
      <w:r w:rsidRPr="00546B56">
        <w:rPr>
          <w:rFonts w:ascii="Arial" w:hAnsi="Arial" w:cs="Arial"/>
          <w:lang w:val="es-PA" w:eastAsia="es-CR"/>
        </w:rPr>
        <w:t>Arostegui</w:t>
      </w:r>
      <w:proofErr w:type="spellEnd"/>
      <w:r w:rsidRPr="00546B56">
        <w:rPr>
          <w:rFonts w:ascii="Arial" w:hAnsi="Arial" w:cs="Arial"/>
          <w:lang w:val="es-PA" w:eastAsia="es-CR"/>
        </w:rPr>
        <w:t>, 2026).</w:t>
      </w:r>
      <w:r w:rsidRPr="00546B56">
        <w:rPr>
          <w:rFonts w:ascii="Arial" w:hAnsi="Arial" w:cs="Arial"/>
          <w:lang w:eastAsia="es-CR"/>
        </w:rPr>
        <w:t> </w:t>
      </w:r>
    </w:p>
    <w:p w14:paraId="4DAF233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2E654D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Etapas de implementación del </w:t>
      </w:r>
      <w:proofErr w:type="spellStart"/>
      <w:r w:rsidRPr="00546B56">
        <w:rPr>
          <w:rFonts w:ascii="Arial" w:hAnsi="Arial" w:cs="Arial"/>
          <w:b/>
          <w:bCs/>
          <w:lang w:val="es-PA" w:eastAsia="es-CR"/>
        </w:rPr>
        <w:t>SIGUNICyT</w:t>
      </w:r>
      <w:proofErr w:type="spellEnd"/>
      <w:r w:rsidRPr="00546B56">
        <w:rPr>
          <w:rFonts w:ascii="Arial" w:hAnsi="Arial" w:cs="Arial"/>
          <w:lang w:eastAsia="es-CR"/>
        </w:rPr>
        <w:t> </w:t>
      </w:r>
    </w:p>
    <w:p w14:paraId="6951728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proceso de implementación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se estructura en cuatro etapas secuenciales e interdependientes, que permiten una transición progresiva desde un modelo fragmentado de gestión de evidencias hacia un sistema integrado y sistematizado (Fig. 1).</w:t>
      </w:r>
      <w:r w:rsidRPr="00546B56">
        <w:rPr>
          <w:rFonts w:ascii="Arial" w:hAnsi="Arial" w:cs="Arial"/>
          <w:lang w:eastAsia="es-CR"/>
        </w:rPr>
        <w:t> </w:t>
      </w:r>
    </w:p>
    <w:p w14:paraId="74A293C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lastRenderedPageBreak/>
        <w:t> </w:t>
      </w:r>
    </w:p>
    <w:p w14:paraId="1C0B4B9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 1. Diagnóstico institucional inicial</w:t>
      </w:r>
      <w:r w:rsidRPr="00546B56">
        <w:rPr>
          <w:rFonts w:ascii="Arial" w:hAnsi="Arial" w:cs="Arial"/>
          <w:lang w:eastAsia="es-CR"/>
        </w:rPr>
        <w:t> </w:t>
      </w:r>
    </w:p>
    <w:p w14:paraId="7860096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primera etapa consiste en un diagnóstico exhaustivo de los procesos académicos y administrativos, con el objetivo de identificar brechas entre las prácticas institucionales vigentes y los estándares definidos por el CONEAUPA. Este análisis evidencia dificultades en la dispersión de evidencias, la duplicidad de información y la ausencia de mecanismos de seguimiento en tiempo real, lo que justifica la necesidad de un sistema integrado de gestión. Estas dificultades coinciden con lo reportado en la literatura internacional, donde se identifican la fragmentación de la información y la limitada trazabilidad como barreras recurrentes en los procesos de autoevaluación institucional en la educación superior (García-Domingo et al., 2023; Prado et al., 2020).</w:t>
      </w:r>
      <w:r w:rsidRPr="00546B56">
        <w:rPr>
          <w:rFonts w:ascii="Arial" w:hAnsi="Arial" w:cs="Arial"/>
          <w:lang w:eastAsia="es-CR"/>
        </w:rPr>
        <w:t> </w:t>
      </w:r>
    </w:p>
    <w:p w14:paraId="175629B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F8BDF7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el enfoque de </w:t>
      </w:r>
      <w:proofErr w:type="spellStart"/>
      <w:r w:rsidRPr="00546B56">
        <w:rPr>
          <w:rFonts w:ascii="Arial" w:hAnsi="Arial" w:cs="Arial"/>
          <w:i/>
          <w:iCs/>
          <w:lang w:val="es-PA" w:eastAsia="es-CR"/>
        </w:rPr>
        <w:t>pattern</w:t>
      </w:r>
      <w:proofErr w:type="spellEnd"/>
      <w:r w:rsidRPr="00546B56">
        <w:rPr>
          <w:rFonts w:ascii="Arial" w:hAnsi="Arial" w:cs="Arial"/>
          <w:i/>
          <w:iCs/>
          <w:lang w:val="es-PA" w:eastAsia="es-CR"/>
        </w:rPr>
        <w:t> </w:t>
      </w:r>
      <w:proofErr w:type="spellStart"/>
      <w:r w:rsidRPr="00546B56">
        <w:rPr>
          <w:rFonts w:ascii="Arial" w:hAnsi="Arial" w:cs="Arial"/>
          <w:i/>
          <w:iCs/>
          <w:lang w:val="es-PA" w:eastAsia="es-CR"/>
        </w:rPr>
        <w:t>matching</w:t>
      </w:r>
      <w:proofErr w:type="spellEnd"/>
      <w:r w:rsidRPr="00546B56">
        <w:rPr>
          <w:rFonts w:ascii="Arial" w:hAnsi="Arial" w:cs="Arial"/>
          <w:lang w:val="es-PA" w:eastAsia="es-CR"/>
        </w:rPr>
        <w:t>, esta etapa permite establecer el punto de partida empírico frente al patrón teórico esperado de eficiencia y transparencia en los procesos de autoevaluación.</w:t>
      </w:r>
      <w:r w:rsidRPr="00546B56">
        <w:rPr>
          <w:rFonts w:ascii="Arial" w:hAnsi="Arial" w:cs="Arial"/>
          <w:lang w:eastAsia="es-CR"/>
        </w:rPr>
        <w:t> </w:t>
      </w:r>
    </w:p>
    <w:p w14:paraId="1408039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127D7B6A"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 2. Diseño y desarrollo del sistema </w:t>
      </w:r>
      <w:proofErr w:type="spellStart"/>
      <w:r w:rsidRPr="00546B56">
        <w:rPr>
          <w:rFonts w:ascii="Arial" w:hAnsi="Arial" w:cs="Arial"/>
          <w:b/>
          <w:bCs/>
          <w:lang w:val="es-PA" w:eastAsia="es-CR"/>
        </w:rPr>
        <w:t>SIGUNICyT</w:t>
      </w:r>
      <w:proofErr w:type="spellEnd"/>
      <w:r w:rsidRPr="00546B56">
        <w:rPr>
          <w:rFonts w:ascii="Arial" w:hAnsi="Arial" w:cs="Arial"/>
          <w:lang w:eastAsia="es-CR"/>
        </w:rPr>
        <w:t> </w:t>
      </w:r>
    </w:p>
    <w:p w14:paraId="72F44BA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Con base en los hallazgos del diagnóstico, se procede al diseño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xml:space="preserve">, se incorporan módulos funcionales orientados específicamente a los requerimientos del modelo de acreditación institucional. El sistema se concibe como una plataforma flexible, capaz de integrar matrices de </w:t>
      </w:r>
      <w:r w:rsidRPr="00546B56">
        <w:rPr>
          <w:rFonts w:ascii="Arial" w:hAnsi="Arial" w:cs="Arial"/>
          <w:lang w:val="es-PA" w:eastAsia="es-CR"/>
        </w:rPr>
        <w:lastRenderedPageBreak/>
        <w:t>evaluación, formatos estandarizados de evidencia y mecanismos automatizados de reporte. Esta etapa corresponde a las fases “</w:t>
      </w:r>
      <w:r w:rsidRPr="00546B56">
        <w:rPr>
          <w:rFonts w:ascii="Arial" w:hAnsi="Arial" w:cs="Arial"/>
          <w:i/>
          <w:iCs/>
          <w:lang w:val="es-PA" w:eastAsia="es-CR"/>
        </w:rPr>
        <w:t>Plan</w:t>
      </w:r>
      <w:r w:rsidRPr="00546B56">
        <w:rPr>
          <w:rFonts w:ascii="Arial" w:hAnsi="Arial" w:cs="Arial"/>
          <w:lang w:val="es-PA" w:eastAsia="es-CR"/>
        </w:rPr>
        <w:t>” y “</w:t>
      </w:r>
      <w:r w:rsidRPr="00546B56">
        <w:rPr>
          <w:rFonts w:ascii="Arial" w:hAnsi="Arial" w:cs="Arial"/>
          <w:i/>
          <w:iCs/>
          <w:lang w:val="es-PA" w:eastAsia="es-CR"/>
        </w:rPr>
        <w:t>Do</w:t>
      </w:r>
      <w:r w:rsidRPr="00546B56">
        <w:rPr>
          <w:rFonts w:ascii="Arial" w:hAnsi="Arial" w:cs="Arial"/>
          <w:lang w:val="es-PA" w:eastAsia="es-CR"/>
        </w:rPr>
        <w:t>” del ciclo PDCA, al traducir los estándares de calidad en estructuras operativas concretas.</w:t>
      </w:r>
      <w:r w:rsidRPr="00546B56">
        <w:rPr>
          <w:rFonts w:ascii="Arial" w:hAnsi="Arial" w:cs="Arial"/>
          <w:lang w:eastAsia="es-CR"/>
        </w:rPr>
        <w:t> </w:t>
      </w:r>
    </w:p>
    <w:p w14:paraId="21071DB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90B9314" w14:textId="3674E4B6"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Este resultado se alinea con investigaciones que destacan que la formalización de los estándares de calidad en sistemas digitales facilita su operacionalización, a su vez, mejora la coherencia entre la planificación y la ejecución en contextos universitarios (Quimi Franco, </w:t>
      </w:r>
      <w:r w:rsidRPr="00927F65">
        <w:rPr>
          <w:rFonts w:ascii="Arial" w:hAnsi="Arial" w:cs="Arial"/>
          <w:lang w:val="es-PA" w:eastAsia="es-CR"/>
        </w:rPr>
        <w:t>2019;</w:t>
      </w:r>
      <w:r w:rsidR="00927F65">
        <w:rPr>
          <w:rFonts w:ascii="Arial" w:hAnsi="Arial" w:cs="Arial"/>
          <w:lang w:val="es-PA" w:eastAsia="es-CR"/>
        </w:rPr>
        <w:t xml:space="preserve"> </w:t>
      </w:r>
      <w:r w:rsidRPr="00927F65">
        <w:rPr>
          <w:rFonts w:ascii="Arial" w:hAnsi="Arial" w:cs="Arial"/>
          <w:lang w:val="es-PA" w:eastAsia="es-CR"/>
        </w:rPr>
        <w:t>Samuel</w:t>
      </w:r>
      <w:r w:rsidRPr="00546B56">
        <w:rPr>
          <w:rFonts w:ascii="Arial" w:hAnsi="Arial" w:cs="Arial"/>
          <w:lang w:val="es-PA" w:eastAsia="es-CR"/>
        </w:rPr>
        <w:t xml:space="preserve"> &amp; </w:t>
      </w:r>
      <w:proofErr w:type="spellStart"/>
      <w:r w:rsidRPr="00546B56">
        <w:rPr>
          <w:rFonts w:ascii="Arial" w:hAnsi="Arial" w:cs="Arial"/>
          <w:lang w:val="es-PA" w:eastAsia="es-CR"/>
        </w:rPr>
        <w:t>Farrer</w:t>
      </w:r>
      <w:proofErr w:type="spellEnd"/>
      <w:r w:rsidRPr="00546B56">
        <w:rPr>
          <w:rFonts w:ascii="Arial" w:hAnsi="Arial" w:cs="Arial"/>
          <w:lang w:val="es-PA" w:eastAsia="es-CR"/>
        </w:rPr>
        <w:t>, 2025).</w:t>
      </w:r>
      <w:r w:rsidRPr="00546B56">
        <w:rPr>
          <w:rFonts w:ascii="Arial" w:hAnsi="Arial" w:cs="Arial"/>
          <w:lang w:eastAsia="es-CR"/>
        </w:rPr>
        <w:t> </w:t>
      </w:r>
    </w:p>
    <w:p w14:paraId="3C163671" w14:textId="3D76FA07"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1862B2D7" w14:textId="1D73A2D9" w:rsidR="00927F65" w:rsidRDefault="00927F65" w:rsidP="00546B56">
      <w:pPr>
        <w:jc w:val="both"/>
        <w:textAlignment w:val="baseline"/>
        <w:rPr>
          <w:rFonts w:ascii="Segoe UI" w:hAnsi="Segoe UI" w:cs="Segoe UI"/>
          <w:sz w:val="18"/>
          <w:szCs w:val="18"/>
          <w:lang w:eastAsia="es-CR"/>
        </w:rPr>
      </w:pPr>
    </w:p>
    <w:p w14:paraId="783B0FE8" w14:textId="0CDE3683" w:rsidR="00927F65" w:rsidRDefault="00927F65" w:rsidP="00546B56">
      <w:pPr>
        <w:jc w:val="both"/>
        <w:textAlignment w:val="baseline"/>
        <w:rPr>
          <w:rFonts w:ascii="Segoe UI" w:hAnsi="Segoe UI" w:cs="Segoe UI"/>
          <w:sz w:val="18"/>
          <w:szCs w:val="18"/>
          <w:lang w:eastAsia="es-CR"/>
        </w:rPr>
      </w:pPr>
    </w:p>
    <w:p w14:paraId="43DE038D" w14:textId="373B0866" w:rsidR="00927F65" w:rsidRDefault="00927F65" w:rsidP="00546B56">
      <w:pPr>
        <w:jc w:val="both"/>
        <w:textAlignment w:val="baseline"/>
        <w:rPr>
          <w:rFonts w:ascii="Segoe UI" w:hAnsi="Segoe UI" w:cs="Segoe UI"/>
          <w:sz w:val="18"/>
          <w:szCs w:val="18"/>
          <w:lang w:eastAsia="es-CR"/>
        </w:rPr>
      </w:pPr>
    </w:p>
    <w:p w14:paraId="6EBDF22A" w14:textId="08002F8B" w:rsidR="00927F65" w:rsidRDefault="00927F65" w:rsidP="00546B56">
      <w:pPr>
        <w:jc w:val="both"/>
        <w:textAlignment w:val="baseline"/>
        <w:rPr>
          <w:rFonts w:ascii="Segoe UI" w:hAnsi="Segoe UI" w:cs="Segoe UI"/>
          <w:sz w:val="18"/>
          <w:szCs w:val="18"/>
          <w:lang w:eastAsia="es-CR"/>
        </w:rPr>
      </w:pPr>
    </w:p>
    <w:p w14:paraId="0A2CABC2" w14:textId="6EC5F728" w:rsidR="00927F65" w:rsidRDefault="00927F65" w:rsidP="00546B56">
      <w:pPr>
        <w:jc w:val="both"/>
        <w:textAlignment w:val="baseline"/>
        <w:rPr>
          <w:rFonts w:ascii="Segoe UI" w:hAnsi="Segoe UI" w:cs="Segoe UI"/>
          <w:sz w:val="18"/>
          <w:szCs w:val="18"/>
          <w:lang w:eastAsia="es-CR"/>
        </w:rPr>
      </w:pPr>
    </w:p>
    <w:p w14:paraId="3BA7B6E3" w14:textId="2C1FF7F6" w:rsidR="00927F65" w:rsidRDefault="00927F65" w:rsidP="00546B56">
      <w:pPr>
        <w:jc w:val="both"/>
        <w:textAlignment w:val="baseline"/>
        <w:rPr>
          <w:rFonts w:ascii="Segoe UI" w:hAnsi="Segoe UI" w:cs="Segoe UI"/>
          <w:sz w:val="18"/>
          <w:szCs w:val="18"/>
          <w:lang w:eastAsia="es-CR"/>
        </w:rPr>
      </w:pPr>
    </w:p>
    <w:p w14:paraId="61785582" w14:textId="60753E75" w:rsidR="00927F65" w:rsidRDefault="00927F65" w:rsidP="00546B56">
      <w:pPr>
        <w:jc w:val="both"/>
        <w:textAlignment w:val="baseline"/>
        <w:rPr>
          <w:rFonts w:ascii="Segoe UI" w:hAnsi="Segoe UI" w:cs="Segoe UI"/>
          <w:sz w:val="18"/>
          <w:szCs w:val="18"/>
          <w:lang w:eastAsia="es-CR"/>
        </w:rPr>
      </w:pPr>
    </w:p>
    <w:p w14:paraId="0CE9ED5E" w14:textId="0543E0FB" w:rsidR="00927F65" w:rsidRDefault="00927F65" w:rsidP="00546B56">
      <w:pPr>
        <w:jc w:val="both"/>
        <w:textAlignment w:val="baseline"/>
        <w:rPr>
          <w:rFonts w:ascii="Segoe UI" w:hAnsi="Segoe UI" w:cs="Segoe UI"/>
          <w:sz w:val="18"/>
          <w:szCs w:val="18"/>
          <w:lang w:eastAsia="es-CR"/>
        </w:rPr>
      </w:pPr>
    </w:p>
    <w:p w14:paraId="181AA8A5" w14:textId="51C482E7" w:rsidR="00927F65" w:rsidRDefault="00927F65" w:rsidP="00546B56">
      <w:pPr>
        <w:jc w:val="both"/>
        <w:textAlignment w:val="baseline"/>
        <w:rPr>
          <w:rFonts w:ascii="Segoe UI" w:hAnsi="Segoe UI" w:cs="Segoe UI"/>
          <w:sz w:val="18"/>
          <w:szCs w:val="18"/>
          <w:lang w:eastAsia="es-CR"/>
        </w:rPr>
      </w:pPr>
    </w:p>
    <w:p w14:paraId="7ADEC443" w14:textId="4F1C3134" w:rsidR="00927F65" w:rsidRDefault="00927F65" w:rsidP="00546B56">
      <w:pPr>
        <w:jc w:val="both"/>
        <w:textAlignment w:val="baseline"/>
        <w:rPr>
          <w:rFonts w:ascii="Segoe UI" w:hAnsi="Segoe UI" w:cs="Segoe UI"/>
          <w:sz w:val="18"/>
          <w:szCs w:val="18"/>
          <w:lang w:eastAsia="es-CR"/>
        </w:rPr>
      </w:pPr>
    </w:p>
    <w:p w14:paraId="07988344" w14:textId="00F08659" w:rsidR="00927F65" w:rsidRDefault="00927F65" w:rsidP="00546B56">
      <w:pPr>
        <w:jc w:val="both"/>
        <w:textAlignment w:val="baseline"/>
        <w:rPr>
          <w:rFonts w:ascii="Segoe UI" w:hAnsi="Segoe UI" w:cs="Segoe UI"/>
          <w:sz w:val="18"/>
          <w:szCs w:val="18"/>
          <w:lang w:eastAsia="es-CR"/>
        </w:rPr>
      </w:pPr>
    </w:p>
    <w:p w14:paraId="265EB21D" w14:textId="19E3DBB4" w:rsidR="00927F65" w:rsidRDefault="00927F65" w:rsidP="00546B56">
      <w:pPr>
        <w:jc w:val="both"/>
        <w:textAlignment w:val="baseline"/>
        <w:rPr>
          <w:rFonts w:ascii="Segoe UI" w:hAnsi="Segoe UI" w:cs="Segoe UI"/>
          <w:sz w:val="18"/>
          <w:szCs w:val="18"/>
          <w:lang w:eastAsia="es-CR"/>
        </w:rPr>
      </w:pPr>
    </w:p>
    <w:p w14:paraId="55704D36" w14:textId="504EF761" w:rsidR="00927F65" w:rsidRDefault="00927F65" w:rsidP="00546B56">
      <w:pPr>
        <w:jc w:val="both"/>
        <w:textAlignment w:val="baseline"/>
        <w:rPr>
          <w:rFonts w:ascii="Segoe UI" w:hAnsi="Segoe UI" w:cs="Segoe UI"/>
          <w:sz w:val="18"/>
          <w:szCs w:val="18"/>
          <w:lang w:eastAsia="es-CR"/>
        </w:rPr>
      </w:pPr>
    </w:p>
    <w:p w14:paraId="007535D5" w14:textId="2B9EEDF1" w:rsidR="00927F65" w:rsidRDefault="00927F65" w:rsidP="00546B56">
      <w:pPr>
        <w:jc w:val="both"/>
        <w:textAlignment w:val="baseline"/>
        <w:rPr>
          <w:rFonts w:ascii="Segoe UI" w:hAnsi="Segoe UI" w:cs="Segoe UI"/>
          <w:sz w:val="18"/>
          <w:szCs w:val="18"/>
          <w:lang w:eastAsia="es-CR"/>
        </w:rPr>
      </w:pPr>
    </w:p>
    <w:p w14:paraId="0B1B0DEC" w14:textId="27F1CDC5" w:rsidR="00927F65" w:rsidRDefault="00927F65" w:rsidP="00546B56">
      <w:pPr>
        <w:jc w:val="both"/>
        <w:textAlignment w:val="baseline"/>
        <w:rPr>
          <w:rFonts w:ascii="Segoe UI" w:hAnsi="Segoe UI" w:cs="Segoe UI"/>
          <w:sz w:val="18"/>
          <w:szCs w:val="18"/>
          <w:lang w:eastAsia="es-CR"/>
        </w:rPr>
      </w:pPr>
    </w:p>
    <w:p w14:paraId="026FD526" w14:textId="1750D515" w:rsidR="00927F65" w:rsidRDefault="00927F65" w:rsidP="00546B56">
      <w:pPr>
        <w:jc w:val="both"/>
        <w:textAlignment w:val="baseline"/>
        <w:rPr>
          <w:rFonts w:ascii="Segoe UI" w:hAnsi="Segoe UI" w:cs="Segoe UI"/>
          <w:sz w:val="18"/>
          <w:szCs w:val="18"/>
          <w:lang w:eastAsia="es-CR"/>
        </w:rPr>
      </w:pPr>
    </w:p>
    <w:p w14:paraId="130B404B" w14:textId="31AE2BD1" w:rsidR="00927F65" w:rsidRDefault="00927F65" w:rsidP="00546B56">
      <w:pPr>
        <w:jc w:val="both"/>
        <w:textAlignment w:val="baseline"/>
        <w:rPr>
          <w:rFonts w:ascii="Segoe UI" w:hAnsi="Segoe UI" w:cs="Segoe UI"/>
          <w:sz w:val="18"/>
          <w:szCs w:val="18"/>
          <w:lang w:eastAsia="es-CR"/>
        </w:rPr>
      </w:pPr>
    </w:p>
    <w:p w14:paraId="01D3B35B" w14:textId="31944B4A" w:rsidR="00927F65" w:rsidRDefault="00927F65" w:rsidP="00546B56">
      <w:pPr>
        <w:jc w:val="both"/>
        <w:textAlignment w:val="baseline"/>
        <w:rPr>
          <w:rFonts w:ascii="Segoe UI" w:hAnsi="Segoe UI" w:cs="Segoe UI"/>
          <w:sz w:val="18"/>
          <w:szCs w:val="18"/>
          <w:lang w:eastAsia="es-CR"/>
        </w:rPr>
      </w:pPr>
    </w:p>
    <w:p w14:paraId="211931F0" w14:textId="5E9D8111" w:rsidR="00927F65" w:rsidRDefault="00927F65" w:rsidP="00546B56">
      <w:pPr>
        <w:jc w:val="both"/>
        <w:textAlignment w:val="baseline"/>
        <w:rPr>
          <w:rFonts w:ascii="Segoe UI" w:hAnsi="Segoe UI" w:cs="Segoe UI"/>
          <w:sz w:val="18"/>
          <w:szCs w:val="18"/>
          <w:lang w:eastAsia="es-CR"/>
        </w:rPr>
      </w:pPr>
    </w:p>
    <w:p w14:paraId="5B6D4633" w14:textId="0A2AEC98" w:rsidR="00927F65" w:rsidRDefault="00927F65" w:rsidP="00546B56">
      <w:pPr>
        <w:jc w:val="both"/>
        <w:textAlignment w:val="baseline"/>
        <w:rPr>
          <w:rFonts w:ascii="Segoe UI" w:hAnsi="Segoe UI" w:cs="Segoe UI"/>
          <w:sz w:val="18"/>
          <w:szCs w:val="18"/>
          <w:lang w:eastAsia="es-CR"/>
        </w:rPr>
      </w:pPr>
    </w:p>
    <w:p w14:paraId="2BC3436F" w14:textId="7CFEC659" w:rsidR="00927F65" w:rsidRDefault="00927F65" w:rsidP="00546B56">
      <w:pPr>
        <w:jc w:val="both"/>
        <w:textAlignment w:val="baseline"/>
        <w:rPr>
          <w:rFonts w:ascii="Segoe UI" w:hAnsi="Segoe UI" w:cs="Segoe UI"/>
          <w:sz w:val="18"/>
          <w:szCs w:val="18"/>
          <w:lang w:eastAsia="es-CR"/>
        </w:rPr>
      </w:pPr>
    </w:p>
    <w:p w14:paraId="550C3A0B" w14:textId="77777777" w:rsidR="00927F65" w:rsidRPr="00546B56" w:rsidRDefault="00927F65" w:rsidP="00546B56">
      <w:pPr>
        <w:jc w:val="both"/>
        <w:textAlignment w:val="baseline"/>
        <w:rPr>
          <w:rFonts w:ascii="Segoe UI" w:hAnsi="Segoe UI" w:cs="Segoe UI"/>
          <w:sz w:val="18"/>
          <w:szCs w:val="18"/>
          <w:lang w:eastAsia="es-CR"/>
        </w:rPr>
      </w:pPr>
    </w:p>
    <w:p w14:paraId="3B334E2A"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b/>
          <w:bCs/>
          <w:lang w:val="es-PA" w:eastAsia="es-CR"/>
        </w:rPr>
        <w:lastRenderedPageBreak/>
        <w:t>Figura 1</w:t>
      </w:r>
      <w:r w:rsidRPr="00546B56">
        <w:rPr>
          <w:rFonts w:ascii="Arial" w:hAnsi="Arial" w:cs="Arial"/>
          <w:lang w:eastAsia="es-CR"/>
        </w:rPr>
        <w:t> </w:t>
      </w:r>
    </w:p>
    <w:p w14:paraId="3A4A752E" w14:textId="2BC7789F" w:rsidR="00546B56" w:rsidRDefault="00546B56" w:rsidP="00546B56">
      <w:pPr>
        <w:jc w:val="both"/>
        <w:textAlignment w:val="baseline"/>
        <w:rPr>
          <w:rFonts w:ascii="Arial" w:hAnsi="Arial" w:cs="Arial"/>
          <w:lang w:eastAsia="es-CR"/>
        </w:rPr>
      </w:pPr>
      <w:r w:rsidRPr="00546B56">
        <w:rPr>
          <w:rFonts w:ascii="Arial" w:hAnsi="Arial" w:cs="Arial"/>
          <w:i/>
          <w:iCs/>
          <w:lang w:val="es-PA" w:eastAsia="es-CR"/>
        </w:rPr>
        <w:t>Etapas de implementación del </w:t>
      </w:r>
      <w:proofErr w:type="spellStart"/>
      <w:r w:rsidRPr="00546B56">
        <w:rPr>
          <w:rFonts w:ascii="Arial" w:hAnsi="Arial" w:cs="Arial"/>
          <w:i/>
          <w:iCs/>
          <w:lang w:val="es-PA" w:eastAsia="es-CR"/>
        </w:rPr>
        <w:t>SIGUNICyT</w:t>
      </w:r>
      <w:proofErr w:type="spellEnd"/>
      <w:r w:rsidRPr="00546B56">
        <w:rPr>
          <w:rFonts w:ascii="Arial" w:hAnsi="Arial" w:cs="Arial"/>
          <w:lang w:eastAsia="es-CR"/>
        </w:rPr>
        <w:t> </w:t>
      </w:r>
    </w:p>
    <w:p w14:paraId="1E6B27C8" w14:textId="77777777" w:rsidR="00927F65" w:rsidRPr="00546B56" w:rsidRDefault="00927F65" w:rsidP="00546B56">
      <w:pPr>
        <w:jc w:val="both"/>
        <w:textAlignment w:val="baseline"/>
        <w:rPr>
          <w:rFonts w:ascii="Segoe UI" w:hAnsi="Segoe UI" w:cs="Segoe UI"/>
          <w:sz w:val="18"/>
          <w:szCs w:val="18"/>
          <w:lang w:eastAsia="es-CR"/>
        </w:rPr>
      </w:pPr>
    </w:p>
    <w:p w14:paraId="557E29F8" w14:textId="511B9F9F" w:rsidR="00546B56" w:rsidRPr="00546B56" w:rsidRDefault="00546B56" w:rsidP="00927F65">
      <w:pPr>
        <w:jc w:val="center"/>
        <w:textAlignment w:val="baseline"/>
        <w:rPr>
          <w:rFonts w:ascii="Segoe UI" w:hAnsi="Segoe UI" w:cs="Segoe UI"/>
          <w:sz w:val="18"/>
          <w:szCs w:val="18"/>
          <w:lang w:eastAsia="es-CR"/>
        </w:rPr>
      </w:pPr>
      <w:r w:rsidRPr="00546B56">
        <w:rPr>
          <w:rFonts w:ascii="Arial" w:hAnsi="Arial" w:cs="Arial"/>
          <w:b/>
          <w:bCs/>
          <w:noProof/>
        </w:rPr>
        <w:drawing>
          <wp:inline distT="0" distB="0" distL="0" distR="0" wp14:anchorId="05038B84" wp14:editId="5A477398">
            <wp:extent cx="4819650" cy="3390525"/>
            <wp:effectExtent l="0" t="0" r="0" b="0"/>
            <wp:docPr id="3" name="Imagen 3" descr="C:\Users\micastro\AppData\Local\Microsoft\Windows\INetCache\Content.MSO\29C9C1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29C9C14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4818" cy="3394160"/>
                    </a:xfrm>
                    <a:prstGeom prst="rect">
                      <a:avLst/>
                    </a:prstGeom>
                    <a:noFill/>
                    <a:ln>
                      <a:noFill/>
                    </a:ln>
                  </pic:spPr>
                </pic:pic>
              </a:graphicData>
            </a:graphic>
          </wp:inline>
        </w:drawing>
      </w:r>
    </w:p>
    <w:p w14:paraId="641CFB23"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46DB6B1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 3. Capacitación y apropiación institucional</w:t>
      </w:r>
      <w:r w:rsidRPr="00546B56">
        <w:rPr>
          <w:rFonts w:ascii="Arial" w:hAnsi="Arial" w:cs="Arial"/>
          <w:lang w:eastAsia="es-CR"/>
        </w:rPr>
        <w:t> </w:t>
      </w:r>
    </w:p>
    <w:p w14:paraId="6AA766F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La tercera etapa está orientada a la capacitación del personal académico y administrativo involucrado en los procesos de autoevaluación. Más allá del entrenamiento técnico, este proceso busca fomentar una cultura institucional de calidad, con la promoción de la corresponsabilidad en la gestión de los indicadores y el uso sistemático de la evidencia en la toma de decisiones. La participación del </w:t>
      </w:r>
      <w:r w:rsidRPr="00546B56">
        <w:rPr>
          <w:rFonts w:ascii="Arial" w:hAnsi="Arial" w:cs="Arial"/>
          <w:lang w:val="es-PA" w:eastAsia="es-CR"/>
        </w:rPr>
        <w:lastRenderedPageBreak/>
        <w:t>personal se convierte en un factor crítico para la sostenibilidad del sistema, al reducir la resistencia al cambio. Este aspecto ha sido ampliamente documentado en la literatura, donde la capacitación del personal y la apropiación institucional se reconocen como factores críticos para la sostenibilidad de los sistemas de gestión de la calidad en la educación superior (García-Vargas &amp; Azofeifa-Lizano, 2024).</w:t>
      </w:r>
      <w:r w:rsidRPr="00546B56">
        <w:rPr>
          <w:rFonts w:ascii="Arial" w:hAnsi="Arial" w:cs="Arial"/>
          <w:lang w:eastAsia="es-CR"/>
        </w:rPr>
        <w:t> </w:t>
      </w:r>
    </w:p>
    <w:p w14:paraId="3325A18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45B3117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Etapa 4. Evaluación continua y mejora institucional</w:t>
      </w:r>
      <w:r w:rsidRPr="00546B56">
        <w:rPr>
          <w:rFonts w:ascii="Arial" w:hAnsi="Arial" w:cs="Arial"/>
          <w:lang w:eastAsia="es-CR"/>
        </w:rPr>
        <w:t> </w:t>
      </w:r>
    </w:p>
    <w:p w14:paraId="01B2A089"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Finalmente, el </w:t>
      </w:r>
      <w:proofErr w:type="spellStart"/>
      <w:r w:rsidRPr="00546B56">
        <w:rPr>
          <w:rFonts w:ascii="Arial" w:hAnsi="Arial" w:cs="Arial"/>
          <w:lang w:val="es-PA" w:eastAsia="es-CR"/>
        </w:rPr>
        <w:t>SIGUNICyT</w:t>
      </w:r>
      <w:proofErr w:type="spellEnd"/>
      <w:r w:rsidRPr="00546B56">
        <w:rPr>
          <w:rFonts w:ascii="Arial" w:hAnsi="Arial" w:cs="Arial"/>
          <w:lang w:val="es-PA" w:eastAsia="es-CR"/>
        </w:rPr>
        <w:t> incorpora mecanismos de evaluación continua que permiten el monitoreo periódico de los indicadores de calidad y la actualización permanente de las evidencias. Esta etapa consolida las fases “</w:t>
      </w:r>
      <w:proofErr w:type="spellStart"/>
      <w:r w:rsidRPr="00546B56">
        <w:rPr>
          <w:rFonts w:ascii="Arial" w:hAnsi="Arial" w:cs="Arial"/>
          <w:i/>
          <w:iCs/>
          <w:lang w:val="es-PA" w:eastAsia="es-CR"/>
        </w:rPr>
        <w:t>Check</w:t>
      </w:r>
      <w:proofErr w:type="spellEnd"/>
      <w:r w:rsidRPr="00546B56">
        <w:rPr>
          <w:rFonts w:ascii="Arial" w:hAnsi="Arial" w:cs="Arial"/>
          <w:lang w:val="es-PA" w:eastAsia="es-CR"/>
        </w:rPr>
        <w:t>” y “</w:t>
      </w:r>
      <w:proofErr w:type="spellStart"/>
      <w:r w:rsidRPr="00546B56">
        <w:rPr>
          <w:rFonts w:ascii="Arial" w:hAnsi="Arial" w:cs="Arial"/>
          <w:i/>
          <w:iCs/>
          <w:lang w:val="es-PA" w:eastAsia="es-CR"/>
        </w:rPr>
        <w:t>Act</w:t>
      </w:r>
      <w:proofErr w:type="spellEnd"/>
      <w:r w:rsidRPr="00546B56">
        <w:rPr>
          <w:rFonts w:ascii="Arial" w:hAnsi="Arial" w:cs="Arial"/>
          <w:lang w:val="es-PA" w:eastAsia="es-CR"/>
        </w:rPr>
        <w:t xml:space="preserve">” del ciclo PDCA, asegura que los resultados de la autoevaluación se traduzcan en planes de mejora institucional con seguimiento sistemático. Este resultado coincide con estudios que señalan que la implementación de ciclos continuos de evaluación fortalece la retroalimentación organizacional y consolida procesos de mejora sostenida en instituciones educativas (Samuel &amp; </w:t>
      </w:r>
      <w:proofErr w:type="spellStart"/>
      <w:r w:rsidRPr="00546B56">
        <w:rPr>
          <w:rFonts w:ascii="Arial" w:hAnsi="Arial" w:cs="Arial"/>
          <w:lang w:val="es-PA" w:eastAsia="es-CR"/>
        </w:rPr>
        <w:t>Farrer</w:t>
      </w:r>
      <w:proofErr w:type="spellEnd"/>
      <w:r w:rsidRPr="00546B56">
        <w:rPr>
          <w:rFonts w:ascii="Arial" w:hAnsi="Arial" w:cs="Arial"/>
          <w:lang w:val="es-PA" w:eastAsia="es-CR"/>
        </w:rPr>
        <w:t>, 2025).</w:t>
      </w:r>
      <w:r w:rsidRPr="00546B56">
        <w:rPr>
          <w:rFonts w:ascii="Arial" w:hAnsi="Arial" w:cs="Arial"/>
          <w:lang w:eastAsia="es-CR"/>
        </w:rPr>
        <w:t> </w:t>
      </w:r>
    </w:p>
    <w:p w14:paraId="3CC55D1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7A922E53"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Componentes estructurales del </w:t>
      </w:r>
      <w:proofErr w:type="spellStart"/>
      <w:r w:rsidRPr="00546B56">
        <w:rPr>
          <w:rFonts w:ascii="Arial" w:hAnsi="Arial" w:cs="Arial"/>
          <w:b/>
          <w:bCs/>
          <w:lang w:val="es-PA" w:eastAsia="es-CR"/>
        </w:rPr>
        <w:t>SIGUNICyT</w:t>
      </w:r>
      <w:proofErr w:type="spellEnd"/>
      <w:r w:rsidRPr="00546B56">
        <w:rPr>
          <w:rFonts w:ascii="Arial" w:hAnsi="Arial" w:cs="Arial"/>
          <w:lang w:eastAsia="es-CR"/>
        </w:rPr>
        <w:t> </w:t>
      </w:r>
    </w:p>
    <w:p w14:paraId="5508229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el punto de vista estructural, el </w:t>
      </w:r>
      <w:proofErr w:type="spellStart"/>
      <w:r w:rsidRPr="00546B56">
        <w:rPr>
          <w:rFonts w:ascii="Arial" w:hAnsi="Arial" w:cs="Arial"/>
          <w:lang w:val="es-PA" w:eastAsia="es-CR"/>
        </w:rPr>
        <w:t>SIGUNICyT</w:t>
      </w:r>
      <w:proofErr w:type="spellEnd"/>
      <w:r w:rsidRPr="00546B56">
        <w:rPr>
          <w:rFonts w:ascii="Arial" w:hAnsi="Arial" w:cs="Arial"/>
          <w:lang w:val="es-PA" w:eastAsia="es-CR"/>
        </w:rPr>
        <w:t xml:space="preserve"> se integra de seis componentes estratégicos, diseñados para articular la gestión académica y administrativa con los requerimientos de acreditación (Fig. 2). En línea con la literatura internacional, la integración de módulos funcionales para la gestión de evidencias y el seguimiento de indicadores ha demostrado ser una estrategia efectiva para mejorar la eficiencia </w:t>
      </w:r>
      <w:r w:rsidRPr="00546B56">
        <w:rPr>
          <w:rFonts w:ascii="Arial" w:hAnsi="Arial" w:cs="Arial"/>
          <w:lang w:val="es-PA" w:eastAsia="es-CR"/>
        </w:rPr>
        <w:lastRenderedPageBreak/>
        <w:t>organizacional y la toma de decisiones basada en datos en universidades (Rivera Gutiérrez et al., 2023; </w:t>
      </w:r>
      <w:proofErr w:type="spellStart"/>
      <w:r w:rsidRPr="00546B56">
        <w:rPr>
          <w:rFonts w:ascii="Arial" w:hAnsi="Arial" w:cs="Arial"/>
          <w:lang w:val="es-PA" w:eastAsia="es-CR"/>
        </w:rPr>
        <w:t>Guil</w:t>
      </w:r>
      <w:proofErr w:type="spellEnd"/>
      <w:r w:rsidRPr="00546B56">
        <w:rPr>
          <w:rFonts w:ascii="Arial" w:hAnsi="Arial" w:cs="Arial"/>
          <w:lang w:val="es-PA" w:eastAsia="es-CR"/>
        </w:rPr>
        <w:t xml:space="preserve"> Gorostidi &amp; Rubio-</w:t>
      </w:r>
      <w:proofErr w:type="spellStart"/>
      <w:r w:rsidRPr="00546B56">
        <w:rPr>
          <w:rFonts w:ascii="Arial" w:hAnsi="Arial" w:cs="Arial"/>
          <w:lang w:val="es-PA" w:eastAsia="es-CR"/>
        </w:rPr>
        <w:t>Arostegui</w:t>
      </w:r>
      <w:proofErr w:type="spellEnd"/>
      <w:r w:rsidRPr="00546B56">
        <w:rPr>
          <w:rFonts w:ascii="Arial" w:hAnsi="Arial" w:cs="Arial"/>
          <w:lang w:val="es-PA" w:eastAsia="es-CR"/>
        </w:rPr>
        <w:t>, 2026).</w:t>
      </w:r>
      <w:r w:rsidRPr="00546B56">
        <w:rPr>
          <w:rFonts w:ascii="Arial" w:hAnsi="Arial" w:cs="Arial"/>
          <w:lang w:eastAsia="es-CR"/>
        </w:rPr>
        <w:t> </w:t>
      </w:r>
    </w:p>
    <w:p w14:paraId="3424894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78B30AA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primer lugar, el formato estandarizado de presentación de evidencias permite documentar, de manera homogénea, el cumplimiento de los indicadores, y asegurar la coherencia entre los criterios de calidad, los medios de verificación y las guías del CONEAUPA.</w:t>
      </w:r>
      <w:r w:rsidRPr="00546B56">
        <w:rPr>
          <w:rFonts w:ascii="Arial" w:hAnsi="Arial" w:cs="Arial"/>
          <w:lang w:eastAsia="es-CR"/>
        </w:rPr>
        <w:t> </w:t>
      </w:r>
    </w:p>
    <w:p w14:paraId="07ACD32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0C2C7BD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segundo lugar, el</w:t>
      </w:r>
      <w:r w:rsidRPr="00546B56">
        <w:rPr>
          <w:rFonts w:ascii="Arial" w:hAnsi="Arial" w:cs="Arial"/>
          <w:i/>
          <w:iCs/>
          <w:lang w:val="es-PA" w:eastAsia="es-CR"/>
        </w:rPr>
        <w:t> </w:t>
      </w:r>
      <w:proofErr w:type="spellStart"/>
      <w:r w:rsidRPr="00546B56">
        <w:rPr>
          <w:rFonts w:ascii="Arial" w:hAnsi="Arial" w:cs="Arial"/>
          <w:i/>
          <w:iCs/>
          <w:lang w:val="es-PA" w:eastAsia="es-CR"/>
        </w:rPr>
        <w:t>dashboard</w:t>
      </w:r>
      <w:proofErr w:type="spellEnd"/>
      <w:r w:rsidRPr="00546B56">
        <w:rPr>
          <w:rFonts w:ascii="Arial" w:hAnsi="Arial" w:cs="Arial"/>
          <w:lang w:val="es-PA" w:eastAsia="es-CR"/>
        </w:rPr>
        <w:t> del sistema, basado en un esquema de semáforos, facilita el seguimiento en tiempo real del nivel de cumplimiento de los indicadores, lo que fortalece la toma de decisiones basada en datos y la gestión preventiva de riesgos. Este tipo de herramientas coincide con tendencias recientes en la digitalización de la gestión universitaria, donde los sistemas de visualización de datos en tiempo real permiten anticipar desviaciones y fortalecer la gestión estratégica institucional (</w:t>
      </w:r>
      <w:proofErr w:type="spellStart"/>
      <w:r w:rsidRPr="00546B56">
        <w:rPr>
          <w:rFonts w:ascii="Arial" w:hAnsi="Arial" w:cs="Arial"/>
          <w:lang w:val="es-PA" w:eastAsia="es-CR"/>
        </w:rPr>
        <w:t>Guil</w:t>
      </w:r>
      <w:proofErr w:type="spellEnd"/>
      <w:r w:rsidRPr="00546B56">
        <w:rPr>
          <w:rFonts w:ascii="Arial" w:hAnsi="Arial" w:cs="Arial"/>
          <w:lang w:val="es-PA" w:eastAsia="es-CR"/>
        </w:rPr>
        <w:t xml:space="preserve"> Gorostidi &amp; Rubio-</w:t>
      </w:r>
      <w:proofErr w:type="spellStart"/>
      <w:r w:rsidRPr="00546B56">
        <w:rPr>
          <w:rFonts w:ascii="Arial" w:hAnsi="Arial" w:cs="Arial"/>
          <w:lang w:val="es-PA" w:eastAsia="es-CR"/>
        </w:rPr>
        <w:t>Arostegui</w:t>
      </w:r>
      <w:proofErr w:type="spellEnd"/>
      <w:r w:rsidRPr="00546B56">
        <w:rPr>
          <w:rFonts w:ascii="Arial" w:hAnsi="Arial" w:cs="Arial"/>
          <w:lang w:val="es-PA" w:eastAsia="es-CR"/>
        </w:rPr>
        <w:t>, 2026).</w:t>
      </w:r>
      <w:r w:rsidRPr="00546B56">
        <w:rPr>
          <w:rFonts w:ascii="Arial" w:hAnsi="Arial" w:cs="Arial"/>
          <w:lang w:eastAsia="es-CR"/>
        </w:rPr>
        <w:t> </w:t>
      </w:r>
    </w:p>
    <w:p w14:paraId="2196F12C"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36AEDC3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El módulo de asignación y gestión de responsables garantiza la claridad organizativa al vincular cada indicador con las unidades académicas o administrativas responsables de su cumplimiento, lo que reduce la dispersión de funciones. Este hallazgo se relaciona con estudios que destacan la importancia de la claridad en la asignación de responsabilidades para mejorar la eficiencia </w:t>
      </w:r>
      <w:r w:rsidRPr="00546B56">
        <w:rPr>
          <w:rFonts w:ascii="Arial" w:hAnsi="Arial" w:cs="Arial"/>
          <w:lang w:val="es-PA" w:eastAsia="es-CR"/>
        </w:rPr>
        <w:lastRenderedPageBreak/>
        <w:t>organizacional y el cumplimiento de los estándares en los procesos de acreditación (Medina Chalco et al., 2022).</w:t>
      </w:r>
      <w:r w:rsidRPr="00546B56">
        <w:rPr>
          <w:rFonts w:ascii="Arial" w:hAnsi="Arial" w:cs="Arial"/>
          <w:lang w:eastAsia="es-CR"/>
        </w:rPr>
        <w:t> </w:t>
      </w:r>
    </w:p>
    <w:p w14:paraId="6D42B212"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32B64E0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Asimismo, el módulo de gestión de matrices de evaluación permite administrar, de forma dinámica, las matrices correspondientes a procesos de acreditación y reacreditación, adaptándose a los cambios normativos sin afectar la estructura del sistema.</w:t>
      </w:r>
      <w:r w:rsidRPr="00546B56">
        <w:rPr>
          <w:rFonts w:ascii="Arial" w:hAnsi="Arial" w:cs="Arial"/>
          <w:lang w:eastAsia="es-CR"/>
        </w:rPr>
        <w:t> </w:t>
      </w:r>
    </w:p>
    <w:p w14:paraId="16DD501F"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4357715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El módulo de evaluación de evidencias posibilita una revisión sistemática y documentada del avance institucional, mientras que el módulo de generación automatizada de informes de autoevaluación reduce significativamente los tiempos de elaboración de los reportes exigidos por el CONEAUPA. La automatización de reportes ha sido identificada como un factor clave para optimizar los procesos de aseguramiento de la calidad, al disminuir la carga operativa y mejorar la consistencia de la información generada (Rivera Gutiérrez et al., 2023).</w:t>
      </w:r>
      <w:r w:rsidRPr="00546B56">
        <w:rPr>
          <w:rFonts w:ascii="Arial" w:hAnsi="Arial" w:cs="Arial"/>
          <w:lang w:eastAsia="es-CR"/>
        </w:rPr>
        <w:t> </w:t>
      </w:r>
    </w:p>
    <w:p w14:paraId="0CA47D77" w14:textId="31EF36E8"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411A4290" w14:textId="277877D0" w:rsidR="00927F65" w:rsidRDefault="00927F65" w:rsidP="00546B56">
      <w:pPr>
        <w:jc w:val="both"/>
        <w:textAlignment w:val="baseline"/>
        <w:rPr>
          <w:rFonts w:ascii="Segoe UI" w:hAnsi="Segoe UI" w:cs="Segoe UI"/>
          <w:sz w:val="18"/>
          <w:szCs w:val="18"/>
          <w:lang w:eastAsia="es-CR"/>
        </w:rPr>
      </w:pPr>
    </w:p>
    <w:p w14:paraId="539936CF" w14:textId="37D891A5" w:rsidR="00927F65" w:rsidRDefault="00927F65" w:rsidP="00546B56">
      <w:pPr>
        <w:jc w:val="both"/>
        <w:textAlignment w:val="baseline"/>
        <w:rPr>
          <w:rFonts w:ascii="Segoe UI" w:hAnsi="Segoe UI" w:cs="Segoe UI"/>
          <w:sz w:val="18"/>
          <w:szCs w:val="18"/>
          <w:lang w:eastAsia="es-CR"/>
        </w:rPr>
      </w:pPr>
    </w:p>
    <w:p w14:paraId="0A5836BE" w14:textId="7538DBA8" w:rsidR="00927F65" w:rsidRDefault="00927F65" w:rsidP="00546B56">
      <w:pPr>
        <w:jc w:val="both"/>
        <w:textAlignment w:val="baseline"/>
        <w:rPr>
          <w:rFonts w:ascii="Segoe UI" w:hAnsi="Segoe UI" w:cs="Segoe UI"/>
          <w:sz w:val="18"/>
          <w:szCs w:val="18"/>
          <w:lang w:eastAsia="es-CR"/>
        </w:rPr>
      </w:pPr>
    </w:p>
    <w:p w14:paraId="214FA48F" w14:textId="0768C46A" w:rsidR="00927F65" w:rsidRDefault="00927F65" w:rsidP="00546B56">
      <w:pPr>
        <w:jc w:val="both"/>
        <w:textAlignment w:val="baseline"/>
        <w:rPr>
          <w:rFonts w:ascii="Segoe UI" w:hAnsi="Segoe UI" w:cs="Segoe UI"/>
          <w:sz w:val="18"/>
          <w:szCs w:val="18"/>
          <w:lang w:eastAsia="es-CR"/>
        </w:rPr>
      </w:pPr>
    </w:p>
    <w:p w14:paraId="5943CE67" w14:textId="19523297" w:rsidR="00927F65" w:rsidRDefault="00927F65" w:rsidP="00546B56">
      <w:pPr>
        <w:jc w:val="both"/>
        <w:textAlignment w:val="baseline"/>
        <w:rPr>
          <w:rFonts w:ascii="Segoe UI" w:hAnsi="Segoe UI" w:cs="Segoe UI"/>
          <w:sz w:val="18"/>
          <w:szCs w:val="18"/>
          <w:lang w:eastAsia="es-CR"/>
        </w:rPr>
      </w:pPr>
    </w:p>
    <w:p w14:paraId="016B9749" w14:textId="1797897D" w:rsidR="00927F65" w:rsidRDefault="00927F65" w:rsidP="00546B56">
      <w:pPr>
        <w:jc w:val="both"/>
        <w:textAlignment w:val="baseline"/>
        <w:rPr>
          <w:rFonts w:ascii="Segoe UI" w:hAnsi="Segoe UI" w:cs="Segoe UI"/>
          <w:sz w:val="18"/>
          <w:szCs w:val="18"/>
          <w:lang w:eastAsia="es-CR"/>
        </w:rPr>
      </w:pPr>
    </w:p>
    <w:p w14:paraId="2B823C35" w14:textId="3E4C7A49" w:rsidR="00927F65" w:rsidRDefault="00927F65" w:rsidP="00546B56">
      <w:pPr>
        <w:jc w:val="both"/>
        <w:textAlignment w:val="baseline"/>
        <w:rPr>
          <w:rFonts w:ascii="Segoe UI" w:hAnsi="Segoe UI" w:cs="Segoe UI"/>
          <w:sz w:val="18"/>
          <w:szCs w:val="18"/>
          <w:lang w:eastAsia="es-CR"/>
        </w:rPr>
      </w:pPr>
    </w:p>
    <w:p w14:paraId="16FC071F" w14:textId="5DA9DBB8" w:rsidR="00927F65" w:rsidRDefault="00927F65" w:rsidP="00546B56">
      <w:pPr>
        <w:jc w:val="both"/>
        <w:textAlignment w:val="baseline"/>
        <w:rPr>
          <w:rFonts w:ascii="Segoe UI" w:hAnsi="Segoe UI" w:cs="Segoe UI"/>
          <w:sz w:val="18"/>
          <w:szCs w:val="18"/>
          <w:lang w:eastAsia="es-CR"/>
        </w:rPr>
      </w:pPr>
    </w:p>
    <w:p w14:paraId="585F092B" w14:textId="50EFA2F7" w:rsidR="00927F65" w:rsidRDefault="00927F65" w:rsidP="00546B56">
      <w:pPr>
        <w:jc w:val="both"/>
        <w:textAlignment w:val="baseline"/>
        <w:rPr>
          <w:rFonts w:ascii="Segoe UI" w:hAnsi="Segoe UI" w:cs="Segoe UI"/>
          <w:sz w:val="18"/>
          <w:szCs w:val="18"/>
          <w:lang w:eastAsia="es-CR"/>
        </w:rPr>
      </w:pPr>
    </w:p>
    <w:p w14:paraId="144BD099" w14:textId="77777777" w:rsidR="00927F65" w:rsidRPr="00546B56" w:rsidRDefault="00927F65" w:rsidP="00546B56">
      <w:pPr>
        <w:jc w:val="both"/>
        <w:textAlignment w:val="baseline"/>
        <w:rPr>
          <w:rFonts w:ascii="Segoe UI" w:hAnsi="Segoe UI" w:cs="Segoe UI"/>
          <w:sz w:val="18"/>
          <w:szCs w:val="18"/>
          <w:lang w:eastAsia="es-CR"/>
        </w:rPr>
      </w:pPr>
    </w:p>
    <w:p w14:paraId="1D6DE3B2"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b/>
          <w:bCs/>
          <w:lang w:val="es-PA" w:eastAsia="es-CR"/>
        </w:rPr>
        <w:lastRenderedPageBreak/>
        <w:t>Figura 2</w:t>
      </w:r>
      <w:r w:rsidRPr="00546B56">
        <w:rPr>
          <w:rFonts w:ascii="Arial" w:hAnsi="Arial" w:cs="Arial"/>
          <w:lang w:eastAsia="es-CR"/>
        </w:rPr>
        <w:t> </w:t>
      </w:r>
    </w:p>
    <w:p w14:paraId="1BC4F69D" w14:textId="3B8E4284" w:rsidR="00546B56" w:rsidRDefault="00546B56" w:rsidP="00546B56">
      <w:pPr>
        <w:jc w:val="both"/>
        <w:textAlignment w:val="baseline"/>
        <w:rPr>
          <w:rFonts w:ascii="Arial" w:hAnsi="Arial" w:cs="Arial"/>
          <w:lang w:eastAsia="es-CR"/>
        </w:rPr>
      </w:pPr>
      <w:r w:rsidRPr="00546B56">
        <w:rPr>
          <w:rFonts w:ascii="Arial" w:hAnsi="Arial" w:cs="Arial"/>
          <w:i/>
          <w:iCs/>
          <w:lang w:val="es-PA" w:eastAsia="es-CR"/>
        </w:rPr>
        <w:t>Componentes estructurales del </w:t>
      </w:r>
      <w:proofErr w:type="spellStart"/>
      <w:r w:rsidRPr="00546B56">
        <w:rPr>
          <w:rFonts w:ascii="Arial" w:hAnsi="Arial" w:cs="Arial"/>
          <w:i/>
          <w:iCs/>
          <w:lang w:val="es-PA" w:eastAsia="es-CR"/>
        </w:rPr>
        <w:t>SIGUNICyT</w:t>
      </w:r>
      <w:proofErr w:type="spellEnd"/>
      <w:r w:rsidRPr="00546B56">
        <w:rPr>
          <w:rFonts w:ascii="Arial" w:hAnsi="Arial" w:cs="Arial"/>
          <w:lang w:eastAsia="es-CR"/>
        </w:rPr>
        <w:t> </w:t>
      </w:r>
    </w:p>
    <w:p w14:paraId="5B9A9FFD" w14:textId="77777777" w:rsidR="00927F65" w:rsidRPr="00546B56" w:rsidRDefault="00927F65" w:rsidP="00546B56">
      <w:pPr>
        <w:jc w:val="both"/>
        <w:textAlignment w:val="baseline"/>
        <w:rPr>
          <w:rFonts w:ascii="Segoe UI" w:hAnsi="Segoe UI" w:cs="Segoe UI"/>
          <w:sz w:val="18"/>
          <w:szCs w:val="18"/>
          <w:lang w:eastAsia="es-CR"/>
        </w:rPr>
      </w:pPr>
    </w:p>
    <w:p w14:paraId="6E359B6E"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b/>
          <w:bCs/>
          <w:noProof/>
        </w:rPr>
        <w:drawing>
          <wp:inline distT="0" distB="0" distL="0" distR="0" wp14:anchorId="07C75FD7" wp14:editId="06B4648B">
            <wp:extent cx="6343650" cy="3800475"/>
            <wp:effectExtent l="0" t="0" r="0" b="0"/>
            <wp:docPr id="4" name="Imagen 4" descr="C:\Users\micastro\AppData\Local\Microsoft\Windows\INetCache\Content.MSO\91D6C8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astro\AppData\Local\Microsoft\Windows\INetCache\Content.MSO\91D6C89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3650" cy="3800475"/>
                    </a:xfrm>
                    <a:prstGeom prst="rect">
                      <a:avLst/>
                    </a:prstGeom>
                    <a:noFill/>
                    <a:ln>
                      <a:noFill/>
                    </a:ln>
                  </pic:spPr>
                </pic:pic>
              </a:graphicData>
            </a:graphic>
          </wp:inline>
        </w:drawing>
      </w:r>
      <w:r w:rsidRPr="00546B56">
        <w:rPr>
          <w:rFonts w:ascii="Arial" w:hAnsi="Arial" w:cs="Arial"/>
          <w:lang w:eastAsia="es-CR"/>
        </w:rPr>
        <w:t> </w:t>
      </w:r>
    </w:p>
    <w:p w14:paraId="1998C638"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14F9248B"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Tabla 4 presenta el mapeo explícito entre el ciclo PDCA y los módulos funcionales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lo que evidencia la forma en que el sistema operacionaliza el enfoque de mejora continua en el proceso de autoevaluación institucional.</w:t>
      </w:r>
      <w:r w:rsidRPr="00546B56">
        <w:rPr>
          <w:rFonts w:ascii="Arial" w:hAnsi="Arial" w:cs="Arial"/>
          <w:lang w:eastAsia="es-CR"/>
        </w:rPr>
        <w:t> </w:t>
      </w:r>
    </w:p>
    <w:p w14:paraId="3519BFEE" w14:textId="67A62D91" w:rsidR="00546B56" w:rsidRPr="00927F65"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lastRenderedPageBreak/>
        <w:t> </w:t>
      </w:r>
      <w:r w:rsidRPr="00546B56">
        <w:rPr>
          <w:rFonts w:ascii="Arial" w:hAnsi="Arial" w:cs="Arial"/>
          <w:b/>
          <w:bCs/>
          <w:lang w:val="es-PA" w:eastAsia="es-CR"/>
        </w:rPr>
        <w:t>Tabla 4</w:t>
      </w:r>
      <w:r w:rsidRPr="00546B56">
        <w:rPr>
          <w:rFonts w:ascii="Arial" w:hAnsi="Arial" w:cs="Arial"/>
          <w:lang w:eastAsia="es-CR"/>
        </w:rPr>
        <w:t> </w:t>
      </w:r>
    </w:p>
    <w:p w14:paraId="37E4DBD6" w14:textId="72405975" w:rsidR="00546B56" w:rsidRDefault="00546B56" w:rsidP="00546B56">
      <w:pPr>
        <w:jc w:val="both"/>
        <w:textAlignment w:val="baseline"/>
        <w:rPr>
          <w:rFonts w:ascii="Arial" w:hAnsi="Arial" w:cs="Arial"/>
          <w:lang w:eastAsia="es-CR"/>
        </w:rPr>
      </w:pPr>
      <w:r w:rsidRPr="00546B56">
        <w:rPr>
          <w:rFonts w:ascii="Arial" w:hAnsi="Arial" w:cs="Arial"/>
          <w:i/>
          <w:iCs/>
          <w:lang w:val="es-PA" w:eastAsia="es-CR"/>
        </w:rPr>
        <w:t>Correspondencia entre el ciclo PDCA y los módulos del </w:t>
      </w:r>
      <w:proofErr w:type="spellStart"/>
      <w:r w:rsidRPr="00546B56">
        <w:rPr>
          <w:rFonts w:ascii="Arial" w:hAnsi="Arial" w:cs="Arial"/>
          <w:i/>
          <w:iCs/>
          <w:lang w:val="es-PA" w:eastAsia="es-CR"/>
        </w:rPr>
        <w:t>SIGUNICyT</w:t>
      </w:r>
      <w:proofErr w:type="spellEnd"/>
      <w:r w:rsidRPr="00546B56">
        <w:rPr>
          <w:rFonts w:ascii="Arial" w:hAnsi="Arial" w:cs="Arial"/>
          <w:lang w:eastAsia="es-CR"/>
        </w:rPr>
        <w:t> </w:t>
      </w:r>
    </w:p>
    <w:p w14:paraId="29B4BF83" w14:textId="77777777" w:rsidR="00927F65" w:rsidRDefault="00927F65" w:rsidP="00546B56">
      <w:pPr>
        <w:jc w:val="both"/>
        <w:textAlignment w:val="baseline"/>
        <w:rPr>
          <w:rFonts w:ascii="Arial" w:hAnsi="Arial" w:cs="Arial"/>
          <w:lang w:eastAsia="es-CR"/>
        </w:rPr>
      </w:pPr>
    </w:p>
    <w:p w14:paraId="715BD4D2" w14:textId="77777777" w:rsidR="00284C2D" w:rsidRPr="00546B56" w:rsidRDefault="00284C2D" w:rsidP="00546B56">
      <w:pPr>
        <w:jc w:val="both"/>
        <w:textAlignment w:val="baseline"/>
        <w:rPr>
          <w:rFonts w:ascii="Segoe UI" w:hAnsi="Segoe UI" w:cs="Segoe UI"/>
          <w:sz w:val="18"/>
          <w:szCs w:val="18"/>
          <w:lang w:eastAsia="es-CR"/>
        </w:rPr>
      </w:pPr>
    </w:p>
    <w:tbl>
      <w:tblPr>
        <w:tblW w:w="0" w:type="dxa"/>
        <w:tblCellMar>
          <w:left w:w="0" w:type="dxa"/>
          <w:right w:w="0" w:type="dxa"/>
        </w:tblCellMar>
        <w:tblLook w:val="04A0" w:firstRow="1" w:lastRow="0" w:firstColumn="1" w:lastColumn="0" w:noHBand="0" w:noVBand="1"/>
      </w:tblPr>
      <w:tblGrid>
        <w:gridCol w:w="1407"/>
        <w:gridCol w:w="1589"/>
        <w:gridCol w:w="2890"/>
        <w:gridCol w:w="2903"/>
      </w:tblGrid>
      <w:tr w:rsidR="00546B56" w:rsidRPr="00546B56" w14:paraId="345AA69B" w14:textId="77777777" w:rsidTr="00927F65">
        <w:trPr>
          <w:trHeight w:val="915"/>
          <w:tblHeader/>
        </w:trPr>
        <w:tc>
          <w:tcPr>
            <w:tcW w:w="1485" w:type="dxa"/>
            <w:tcBorders>
              <w:top w:val="single" w:sz="4" w:space="0" w:color="auto"/>
              <w:bottom w:val="single" w:sz="4" w:space="0" w:color="auto"/>
            </w:tcBorders>
            <w:vAlign w:val="center"/>
            <w:hideMark/>
          </w:tcPr>
          <w:p w14:paraId="61D27A6E"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Fase del ciclo PDCA</w:t>
            </w:r>
            <w:r w:rsidRPr="00546B56">
              <w:rPr>
                <w:rFonts w:ascii="Arial" w:hAnsi="Arial" w:cs="Arial"/>
                <w:lang w:eastAsia="es-CR"/>
              </w:rPr>
              <w:t> </w:t>
            </w:r>
          </w:p>
        </w:tc>
        <w:tc>
          <w:tcPr>
            <w:tcW w:w="1830" w:type="dxa"/>
            <w:tcBorders>
              <w:top w:val="single" w:sz="4" w:space="0" w:color="auto"/>
              <w:bottom w:val="single" w:sz="4" w:space="0" w:color="auto"/>
            </w:tcBorders>
            <w:vAlign w:val="center"/>
            <w:hideMark/>
          </w:tcPr>
          <w:p w14:paraId="62AFB80F"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Propósito en gestión de calidad</w:t>
            </w:r>
            <w:r w:rsidRPr="00546B56">
              <w:rPr>
                <w:rFonts w:ascii="Arial" w:hAnsi="Arial" w:cs="Arial"/>
                <w:lang w:eastAsia="es-CR"/>
              </w:rPr>
              <w:t> </w:t>
            </w:r>
          </w:p>
        </w:tc>
        <w:tc>
          <w:tcPr>
            <w:tcW w:w="3075" w:type="dxa"/>
            <w:tcBorders>
              <w:top w:val="single" w:sz="4" w:space="0" w:color="auto"/>
              <w:bottom w:val="single" w:sz="4" w:space="0" w:color="auto"/>
            </w:tcBorders>
            <w:vAlign w:val="center"/>
            <w:hideMark/>
          </w:tcPr>
          <w:p w14:paraId="0A34F916"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Módulos / funcionalidades del </w:t>
            </w:r>
            <w:proofErr w:type="spellStart"/>
            <w:r w:rsidRPr="00546B56">
              <w:rPr>
                <w:rFonts w:ascii="Arial" w:hAnsi="Arial" w:cs="Arial"/>
                <w:b/>
                <w:bCs/>
                <w:lang w:val="es-PA" w:eastAsia="es-CR"/>
              </w:rPr>
              <w:t>SIGUNICyT</w:t>
            </w:r>
            <w:proofErr w:type="spellEnd"/>
            <w:r w:rsidRPr="00546B56">
              <w:rPr>
                <w:rFonts w:ascii="Arial" w:hAnsi="Arial" w:cs="Arial"/>
                <w:lang w:eastAsia="es-CR"/>
              </w:rPr>
              <w:t> </w:t>
            </w:r>
          </w:p>
        </w:tc>
        <w:tc>
          <w:tcPr>
            <w:tcW w:w="3600" w:type="dxa"/>
            <w:tcBorders>
              <w:top w:val="single" w:sz="4" w:space="0" w:color="auto"/>
              <w:bottom w:val="single" w:sz="4" w:space="0" w:color="auto"/>
            </w:tcBorders>
            <w:vAlign w:val="center"/>
            <w:hideMark/>
          </w:tcPr>
          <w:p w14:paraId="2D44681B" w14:textId="77777777" w:rsidR="00546B56" w:rsidRPr="00546B56" w:rsidRDefault="00546B56" w:rsidP="00546B56">
            <w:pPr>
              <w:jc w:val="center"/>
              <w:textAlignment w:val="baseline"/>
              <w:rPr>
                <w:lang w:eastAsia="es-CR"/>
              </w:rPr>
            </w:pPr>
            <w:r w:rsidRPr="00546B56">
              <w:rPr>
                <w:rFonts w:ascii="Arial" w:hAnsi="Arial" w:cs="Arial"/>
                <w:b/>
                <w:bCs/>
                <w:lang w:val="es-PA" w:eastAsia="es-CR"/>
              </w:rPr>
              <w:t>Función analítica en el proceso de autoevaluación</w:t>
            </w:r>
            <w:r w:rsidRPr="00546B56">
              <w:rPr>
                <w:rFonts w:ascii="Arial" w:hAnsi="Arial" w:cs="Arial"/>
                <w:lang w:eastAsia="es-CR"/>
              </w:rPr>
              <w:t> </w:t>
            </w:r>
          </w:p>
        </w:tc>
      </w:tr>
      <w:tr w:rsidR="00546B56" w:rsidRPr="00546B56" w14:paraId="7A353E3E" w14:textId="77777777" w:rsidTr="00284C2D">
        <w:trPr>
          <w:trHeight w:val="1830"/>
        </w:trPr>
        <w:tc>
          <w:tcPr>
            <w:tcW w:w="1485" w:type="dxa"/>
            <w:tcBorders>
              <w:top w:val="single" w:sz="4" w:space="0" w:color="auto"/>
            </w:tcBorders>
            <w:hideMark/>
          </w:tcPr>
          <w:p w14:paraId="7B8C36DD" w14:textId="77777777" w:rsidR="00534143" w:rsidRDefault="00546B56" w:rsidP="00546B56">
            <w:pPr>
              <w:textAlignment w:val="baseline"/>
              <w:rPr>
                <w:rFonts w:ascii="Arial" w:hAnsi="Arial" w:cs="Arial"/>
                <w:b/>
                <w:bCs/>
                <w:lang w:val="es-PA" w:eastAsia="es-CR"/>
              </w:rPr>
            </w:pPr>
            <w:r w:rsidRPr="00546B56">
              <w:rPr>
                <w:rFonts w:ascii="Arial" w:hAnsi="Arial" w:cs="Arial"/>
                <w:b/>
                <w:bCs/>
                <w:i/>
                <w:iCs/>
                <w:lang w:val="es-PA" w:eastAsia="es-CR"/>
              </w:rPr>
              <w:t>Plan</w:t>
            </w:r>
            <w:r w:rsidRPr="00546B56">
              <w:rPr>
                <w:rFonts w:ascii="Arial" w:hAnsi="Arial" w:cs="Arial"/>
                <w:b/>
                <w:bCs/>
                <w:lang w:val="es-PA" w:eastAsia="es-CR"/>
              </w:rPr>
              <w:t> </w:t>
            </w:r>
          </w:p>
          <w:p w14:paraId="14B65723" w14:textId="56E3C869" w:rsidR="00546B56" w:rsidRPr="00546B56" w:rsidRDefault="00546B56" w:rsidP="00546B56">
            <w:pPr>
              <w:textAlignment w:val="baseline"/>
              <w:rPr>
                <w:lang w:eastAsia="es-CR"/>
              </w:rPr>
            </w:pPr>
            <w:r w:rsidRPr="00546B56">
              <w:rPr>
                <w:rFonts w:ascii="Arial" w:hAnsi="Arial" w:cs="Arial"/>
                <w:b/>
                <w:bCs/>
                <w:lang w:val="es-PA" w:eastAsia="es-CR"/>
              </w:rPr>
              <w:t>(Planificar)</w:t>
            </w:r>
            <w:r w:rsidRPr="00546B56">
              <w:rPr>
                <w:rFonts w:ascii="Arial" w:hAnsi="Arial" w:cs="Arial"/>
                <w:lang w:eastAsia="es-CR"/>
              </w:rPr>
              <w:t> </w:t>
            </w:r>
          </w:p>
        </w:tc>
        <w:tc>
          <w:tcPr>
            <w:tcW w:w="1830" w:type="dxa"/>
            <w:tcBorders>
              <w:top w:val="single" w:sz="4" w:space="0" w:color="auto"/>
            </w:tcBorders>
            <w:hideMark/>
          </w:tcPr>
          <w:p w14:paraId="3239907D" w14:textId="77777777" w:rsidR="00546B56" w:rsidRPr="00546B56" w:rsidRDefault="00546B56" w:rsidP="00546B56">
            <w:pPr>
              <w:textAlignment w:val="baseline"/>
              <w:rPr>
                <w:lang w:eastAsia="es-CR"/>
              </w:rPr>
            </w:pPr>
            <w:r w:rsidRPr="00546B56">
              <w:rPr>
                <w:rFonts w:ascii="Arial" w:hAnsi="Arial" w:cs="Arial"/>
                <w:lang w:val="es-PA" w:eastAsia="es-CR"/>
              </w:rPr>
              <w:t>Definir objetivos, estándares, indicadores y criterios de evaluación.</w:t>
            </w:r>
            <w:r w:rsidRPr="00546B56">
              <w:rPr>
                <w:rFonts w:ascii="Arial" w:hAnsi="Arial" w:cs="Arial"/>
                <w:lang w:eastAsia="es-CR"/>
              </w:rPr>
              <w:t> </w:t>
            </w:r>
          </w:p>
        </w:tc>
        <w:tc>
          <w:tcPr>
            <w:tcW w:w="3075" w:type="dxa"/>
            <w:tcBorders>
              <w:top w:val="single" w:sz="4" w:space="0" w:color="auto"/>
            </w:tcBorders>
            <w:hideMark/>
          </w:tcPr>
          <w:p w14:paraId="6568DCC8"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Módulo de carga y gestión de matrices de evaluación.</w:t>
            </w:r>
            <w:r w:rsidRPr="00546B56">
              <w:rPr>
                <w:rFonts w:ascii="Arial" w:hAnsi="Arial" w:cs="Arial"/>
                <w:lang w:eastAsia="es-CR"/>
              </w:rPr>
              <w:t> </w:t>
            </w:r>
          </w:p>
          <w:p w14:paraId="02EAC88A"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Integración PDI-POA-modelo CONEAUPA.</w:t>
            </w:r>
            <w:r w:rsidRPr="00546B56">
              <w:rPr>
                <w:rFonts w:ascii="Arial" w:hAnsi="Arial" w:cs="Arial"/>
                <w:lang w:eastAsia="es-CR"/>
              </w:rPr>
              <w:t> </w:t>
            </w:r>
          </w:p>
          <w:p w14:paraId="041C0E7C"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Formato estandarizado de presentación de evidencias.</w:t>
            </w:r>
            <w:r w:rsidRPr="00546B56">
              <w:rPr>
                <w:rFonts w:ascii="Arial" w:hAnsi="Arial" w:cs="Arial"/>
                <w:lang w:eastAsia="es-CR"/>
              </w:rPr>
              <w:t> </w:t>
            </w:r>
          </w:p>
        </w:tc>
        <w:tc>
          <w:tcPr>
            <w:tcW w:w="3600" w:type="dxa"/>
            <w:tcBorders>
              <w:top w:val="single" w:sz="4" w:space="0" w:color="auto"/>
            </w:tcBorders>
            <w:hideMark/>
          </w:tcPr>
          <w:p w14:paraId="43644EF1" w14:textId="77777777" w:rsidR="00546B56" w:rsidRPr="00546B56" w:rsidRDefault="00546B56" w:rsidP="00EB4B09">
            <w:pPr>
              <w:jc w:val="right"/>
              <w:textAlignment w:val="baseline"/>
              <w:rPr>
                <w:lang w:eastAsia="es-CR"/>
              </w:rPr>
            </w:pPr>
            <w:r w:rsidRPr="00546B56">
              <w:rPr>
                <w:rFonts w:ascii="Arial" w:hAnsi="Arial" w:cs="Arial"/>
                <w:lang w:val="es-PA" w:eastAsia="es-CR"/>
              </w:rPr>
              <w:t>Traduce los estándares de acreditación en estructuras operativas institucionales, asegurando alineación estratégica y coherencia entre planificación, indicadores y evidencias.</w:t>
            </w:r>
            <w:r w:rsidRPr="00546B56">
              <w:rPr>
                <w:rFonts w:ascii="Arial" w:hAnsi="Arial" w:cs="Arial"/>
                <w:lang w:eastAsia="es-CR"/>
              </w:rPr>
              <w:t> </w:t>
            </w:r>
          </w:p>
        </w:tc>
      </w:tr>
      <w:tr w:rsidR="00546B56" w:rsidRPr="00546B56" w14:paraId="67493277" w14:textId="77777777" w:rsidTr="00284C2D">
        <w:trPr>
          <w:trHeight w:val="1005"/>
        </w:trPr>
        <w:tc>
          <w:tcPr>
            <w:tcW w:w="1485" w:type="dxa"/>
            <w:hideMark/>
          </w:tcPr>
          <w:p w14:paraId="1F96F833" w14:textId="77777777" w:rsidR="00534143" w:rsidRDefault="00546B56" w:rsidP="00546B56">
            <w:pPr>
              <w:textAlignment w:val="baseline"/>
              <w:rPr>
                <w:rFonts w:ascii="Arial" w:hAnsi="Arial" w:cs="Arial"/>
                <w:b/>
                <w:bCs/>
                <w:lang w:val="es-PA" w:eastAsia="es-CR"/>
              </w:rPr>
            </w:pPr>
            <w:r w:rsidRPr="00546B56">
              <w:rPr>
                <w:rFonts w:ascii="Arial" w:hAnsi="Arial" w:cs="Arial"/>
                <w:b/>
                <w:bCs/>
                <w:i/>
                <w:iCs/>
                <w:lang w:val="es-PA" w:eastAsia="es-CR"/>
              </w:rPr>
              <w:t>Do</w:t>
            </w:r>
            <w:r w:rsidRPr="00546B56">
              <w:rPr>
                <w:rFonts w:ascii="Arial" w:hAnsi="Arial" w:cs="Arial"/>
                <w:b/>
                <w:bCs/>
                <w:lang w:val="es-PA" w:eastAsia="es-CR"/>
              </w:rPr>
              <w:t> </w:t>
            </w:r>
          </w:p>
          <w:p w14:paraId="67A1C51C" w14:textId="4D21AA81" w:rsidR="00546B56" w:rsidRPr="00546B56" w:rsidRDefault="00546B56" w:rsidP="00546B56">
            <w:pPr>
              <w:textAlignment w:val="baseline"/>
              <w:rPr>
                <w:lang w:eastAsia="es-CR"/>
              </w:rPr>
            </w:pPr>
            <w:r w:rsidRPr="00546B56">
              <w:rPr>
                <w:rFonts w:ascii="Arial" w:hAnsi="Arial" w:cs="Arial"/>
                <w:b/>
                <w:bCs/>
                <w:lang w:val="es-PA" w:eastAsia="es-CR"/>
              </w:rPr>
              <w:t>(Hacer)</w:t>
            </w:r>
            <w:r w:rsidRPr="00546B56">
              <w:rPr>
                <w:rFonts w:ascii="Arial" w:hAnsi="Arial" w:cs="Arial"/>
                <w:lang w:eastAsia="es-CR"/>
              </w:rPr>
              <w:t> </w:t>
            </w:r>
          </w:p>
        </w:tc>
        <w:tc>
          <w:tcPr>
            <w:tcW w:w="1830" w:type="dxa"/>
            <w:hideMark/>
          </w:tcPr>
          <w:p w14:paraId="4413B54A" w14:textId="77777777" w:rsidR="00546B56" w:rsidRPr="00546B56" w:rsidRDefault="00546B56" w:rsidP="00546B56">
            <w:pPr>
              <w:textAlignment w:val="baseline"/>
              <w:rPr>
                <w:lang w:eastAsia="es-CR"/>
              </w:rPr>
            </w:pPr>
            <w:r w:rsidRPr="00546B56">
              <w:rPr>
                <w:rFonts w:ascii="Arial" w:hAnsi="Arial" w:cs="Arial"/>
                <w:lang w:val="es-PA" w:eastAsia="es-CR"/>
              </w:rPr>
              <w:t>Ejecutar los procesos y recolectar evidencias conforme a lo planificado.</w:t>
            </w:r>
            <w:r w:rsidRPr="00546B56">
              <w:rPr>
                <w:rFonts w:ascii="Arial" w:hAnsi="Arial" w:cs="Arial"/>
                <w:lang w:eastAsia="es-CR"/>
              </w:rPr>
              <w:t> </w:t>
            </w:r>
          </w:p>
        </w:tc>
        <w:tc>
          <w:tcPr>
            <w:tcW w:w="3075" w:type="dxa"/>
            <w:hideMark/>
          </w:tcPr>
          <w:p w14:paraId="431EA3DC"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Módulo de asignación y gestión de responsables.</w:t>
            </w:r>
            <w:r w:rsidRPr="00546B56">
              <w:rPr>
                <w:rFonts w:ascii="Arial" w:hAnsi="Arial" w:cs="Arial"/>
                <w:lang w:eastAsia="es-CR"/>
              </w:rPr>
              <w:t> </w:t>
            </w:r>
          </w:p>
          <w:p w14:paraId="09810FCF"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Módulo de carga y gestión de evidencias.</w:t>
            </w:r>
            <w:r w:rsidRPr="00546B56">
              <w:rPr>
                <w:rFonts w:ascii="Arial" w:hAnsi="Arial" w:cs="Arial"/>
                <w:lang w:eastAsia="es-CR"/>
              </w:rPr>
              <w:t> </w:t>
            </w:r>
          </w:p>
          <w:p w14:paraId="3748265B"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Capacitación del personal en uso del sistema.</w:t>
            </w:r>
            <w:r w:rsidRPr="00546B56">
              <w:rPr>
                <w:rFonts w:ascii="Arial" w:hAnsi="Arial" w:cs="Arial"/>
                <w:lang w:eastAsia="es-CR"/>
              </w:rPr>
              <w:t> </w:t>
            </w:r>
          </w:p>
        </w:tc>
        <w:tc>
          <w:tcPr>
            <w:tcW w:w="3600" w:type="dxa"/>
            <w:hideMark/>
          </w:tcPr>
          <w:p w14:paraId="65F446B3" w14:textId="77777777" w:rsidR="00546B56" w:rsidRPr="00546B56" w:rsidRDefault="00546B56" w:rsidP="00EB4B09">
            <w:pPr>
              <w:jc w:val="right"/>
              <w:textAlignment w:val="baseline"/>
              <w:rPr>
                <w:lang w:eastAsia="es-CR"/>
              </w:rPr>
            </w:pPr>
            <w:r w:rsidRPr="00546B56">
              <w:rPr>
                <w:rFonts w:ascii="Arial" w:hAnsi="Arial" w:cs="Arial"/>
                <w:lang w:val="es-PA" w:eastAsia="es-CR"/>
              </w:rPr>
              <w:t>Permite la implementación efectiva de los procesos académicos y administrativos, asegurando corresponsabilidad institucional y trazabilidad de la ejecución.</w:t>
            </w:r>
            <w:r w:rsidRPr="00546B56">
              <w:rPr>
                <w:rFonts w:ascii="Arial" w:hAnsi="Arial" w:cs="Arial"/>
                <w:lang w:eastAsia="es-CR"/>
              </w:rPr>
              <w:t> </w:t>
            </w:r>
          </w:p>
        </w:tc>
      </w:tr>
      <w:tr w:rsidR="00546B56" w:rsidRPr="00546B56" w14:paraId="3ECFFA99" w14:textId="77777777" w:rsidTr="00284C2D">
        <w:trPr>
          <w:trHeight w:val="1530"/>
        </w:trPr>
        <w:tc>
          <w:tcPr>
            <w:tcW w:w="1485" w:type="dxa"/>
            <w:hideMark/>
          </w:tcPr>
          <w:p w14:paraId="40D9CB45" w14:textId="77777777" w:rsidR="00534143" w:rsidRDefault="00546B56" w:rsidP="00546B56">
            <w:pPr>
              <w:textAlignment w:val="baseline"/>
              <w:rPr>
                <w:rFonts w:ascii="Arial" w:hAnsi="Arial" w:cs="Arial"/>
                <w:b/>
                <w:bCs/>
                <w:lang w:val="es-PA" w:eastAsia="es-CR"/>
              </w:rPr>
            </w:pPr>
            <w:proofErr w:type="spellStart"/>
            <w:r w:rsidRPr="00546B56">
              <w:rPr>
                <w:rFonts w:ascii="Arial" w:hAnsi="Arial" w:cs="Arial"/>
                <w:b/>
                <w:bCs/>
                <w:i/>
                <w:iCs/>
                <w:lang w:val="es-PA" w:eastAsia="es-CR"/>
              </w:rPr>
              <w:lastRenderedPageBreak/>
              <w:t>Check</w:t>
            </w:r>
            <w:proofErr w:type="spellEnd"/>
            <w:r w:rsidRPr="00546B56">
              <w:rPr>
                <w:rFonts w:ascii="Arial" w:hAnsi="Arial" w:cs="Arial"/>
                <w:b/>
                <w:bCs/>
                <w:lang w:val="es-PA" w:eastAsia="es-CR"/>
              </w:rPr>
              <w:t> </w:t>
            </w:r>
          </w:p>
          <w:p w14:paraId="7E21FF94" w14:textId="7DBC6E20" w:rsidR="00546B56" w:rsidRPr="00546B56" w:rsidRDefault="00546B56" w:rsidP="00546B56">
            <w:pPr>
              <w:textAlignment w:val="baseline"/>
              <w:rPr>
                <w:lang w:eastAsia="es-CR"/>
              </w:rPr>
            </w:pPr>
            <w:r w:rsidRPr="00546B56">
              <w:rPr>
                <w:rFonts w:ascii="Arial" w:hAnsi="Arial" w:cs="Arial"/>
                <w:b/>
                <w:bCs/>
                <w:lang w:val="es-PA" w:eastAsia="es-CR"/>
              </w:rPr>
              <w:t>(Verificar)</w:t>
            </w:r>
            <w:r w:rsidRPr="00546B56">
              <w:rPr>
                <w:rFonts w:ascii="Arial" w:hAnsi="Arial" w:cs="Arial"/>
                <w:lang w:eastAsia="es-CR"/>
              </w:rPr>
              <w:t> </w:t>
            </w:r>
          </w:p>
        </w:tc>
        <w:tc>
          <w:tcPr>
            <w:tcW w:w="1830" w:type="dxa"/>
            <w:hideMark/>
          </w:tcPr>
          <w:p w14:paraId="7956D6BC" w14:textId="77777777" w:rsidR="00546B56" w:rsidRPr="00546B56" w:rsidRDefault="00546B56" w:rsidP="00546B56">
            <w:pPr>
              <w:textAlignment w:val="baseline"/>
              <w:rPr>
                <w:lang w:eastAsia="es-CR"/>
              </w:rPr>
            </w:pPr>
            <w:r w:rsidRPr="00546B56">
              <w:rPr>
                <w:rFonts w:ascii="Arial" w:hAnsi="Arial" w:cs="Arial"/>
                <w:lang w:val="es-PA" w:eastAsia="es-CR"/>
              </w:rPr>
              <w:t>Monitorear, medir y evaluar el desempeño respecto a los estándares definidos.</w:t>
            </w:r>
            <w:r w:rsidRPr="00546B56">
              <w:rPr>
                <w:rFonts w:ascii="Arial" w:hAnsi="Arial" w:cs="Arial"/>
                <w:lang w:eastAsia="es-CR"/>
              </w:rPr>
              <w:t> </w:t>
            </w:r>
          </w:p>
        </w:tc>
        <w:tc>
          <w:tcPr>
            <w:tcW w:w="3075" w:type="dxa"/>
            <w:hideMark/>
          </w:tcPr>
          <w:p w14:paraId="1378E1D0" w14:textId="77777777" w:rsidR="00546B56" w:rsidRPr="00546B56" w:rsidRDefault="00546B56" w:rsidP="00EB4B09">
            <w:pPr>
              <w:numPr>
                <w:ilvl w:val="0"/>
                <w:numId w:val="21"/>
              </w:numPr>
              <w:textAlignment w:val="baseline"/>
              <w:rPr>
                <w:rFonts w:ascii="Arial" w:hAnsi="Arial" w:cs="Arial"/>
                <w:lang w:eastAsia="es-CR"/>
              </w:rPr>
            </w:pPr>
            <w:proofErr w:type="spellStart"/>
            <w:r w:rsidRPr="00546B56">
              <w:rPr>
                <w:rFonts w:ascii="Arial" w:hAnsi="Arial" w:cs="Arial"/>
                <w:i/>
                <w:iCs/>
                <w:lang w:val="es-PA" w:eastAsia="es-CR"/>
              </w:rPr>
              <w:t>Dashboard</w:t>
            </w:r>
            <w:proofErr w:type="spellEnd"/>
            <w:r w:rsidRPr="00546B56">
              <w:rPr>
                <w:rFonts w:ascii="Arial" w:hAnsi="Arial" w:cs="Arial"/>
                <w:lang w:val="es-PA" w:eastAsia="es-CR"/>
              </w:rPr>
              <w:t> del sistema (semáforos).</w:t>
            </w:r>
            <w:r w:rsidRPr="00546B56">
              <w:rPr>
                <w:rFonts w:ascii="Arial" w:hAnsi="Arial" w:cs="Arial"/>
                <w:lang w:eastAsia="es-CR"/>
              </w:rPr>
              <w:t> </w:t>
            </w:r>
          </w:p>
          <w:p w14:paraId="1F7B9140"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Módulo de evaluación de evidencias.</w:t>
            </w:r>
            <w:r w:rsidRPr="00546B56">
              <w:rPr>
                <w:rFonts w:ascii="Arial" w:hAnsi="Arial" w:cs="Arial"/>
                <w:lang w:eastAsia="es-CR"/>
              </w:rPr>
              <w:t> </w:t>
            </w:r>
          </w:p>
          <w:p w14:paraId="62800FED" w14:textId="77777777" w:rsidR="00546B56" w:rsidRPr="00546B56" w:rsidRDefault="00546B56" w:rsidP="00EB4B09">
            <w:pPr>
              <w:numPr>
                <w:ilvl w:val="0"/>
                <w:numId w:val="21"/>
              </w:numPr>
              <w:textAlignment w:val="baseline"/>
              <w:rPr>
                <w:rFonts w:ascii="Arial" w:hAnsi="Arial" w:cs="Arial"/>
                <w:lang w:eastAsia="es-CR"/>
              </w:rPr>
            </w:pPr>
            <w:r w:rsidRPr="00546B56">
              <w:rPr>
                <w:rFonts w:ascii="Arial" w:hAnsi="Arial" w:cs="Arial"/>
                <w:lang w:val="es-PA" w:eastAsia="es-CR"/>
              </w:rPr>
              <w:t>Generación automatizada del informe de autoevaluación.</w:t>
            </w:r>
            <w:r w:rsidRPr="00546B56">
              <w:rPr>
                <w:rFonts w:ascii="Arial" w:hAnsi="Arial" w:cs="Arial"/>
                <w:lang w:eastAsia="es-CR"/>
              </w:rPr>
              <w:t> </w:t>
            </w:r>
          </w:p>
        </w:tc>
        <w:tc>
          <w:tcPr>
            <w:tcW w:w="3600" w:type="dxa"/>
            <w:hideMark/>
          </w:tcPr>
          <w:p w14:paraId="65EFE278" w14:textId="77777777" w:rsidR="00546B56" w:rsidRPr="00546B56" w:rsidRDefault="00546B56" w:rsidP="00546B56">
            <w:pPr>
              <w:textAlignment w:val="baseline"/>
              <w:rPr>
                <w:lang w:eastAsia="es-CR"/>
              </w:rPr>
            </w:pPr>
            <w:r w:rsidRPr="00546B56">
              <w:rPr>
                <w:rFonts w:ascii="Arial" w:hAnsi="Arial" w:cs="Arial"/>
                <w:lang w:val="es-PA" w:eastAsia="es-CR"/>
              </w:rPr>
              <w:t>Facilita el análisis comparativo entre desempeño esperado y observado, fortaleciendo la toma de decisiones basada en datos y la transparencia del proceso.</w:t>
            </w:r>
            <w:r w:rsidRPr="00546B56">
              <w:rPr>
                <w:rFonts w:ascii="Arial" w:hAnsi="Arial" w:cs="Arial"/>
                <w:lang w:eastAsia="es-CR"/>
              </w:rPr>
              <w:t> </w:t>
            </w:r>
          </w:p>
        </w:tc>
      </w:tr>
      <w:tr w:rsidR="00546B56" w:rsidRPr="00546B56" w14:paraId="5A8497EC" w14:textId="77777777" w:rsidTr="00284C2D">
        <w:trPr>
          <w:trHeight w:val="1620"/>
        </w:trPr>
        <w:tc>
          <w:tcPr>
            <w:tcW w:w="1485" w:type="dxa"/>
            <w:tcBorders>
              <w:bottom w:val="single" w:sz="4" w:space="0" w:color="auto"/>
            </w:tcBorders>
            <w:hideMark/>
          </w:tcPr>
          <w:p w14:paraId="4BCD93BA" w14:textId="77777777" w:rsidR="00546B56" w:rsidRPr="00546B56" w:rsidRDefault="00546B56" w:rsidP="00546B56">
            <w:pPr>
              <w:textAlignment w:val="baseline"/>
              <w:rPr>
                <w:lang w:eastAsia="es-CR"/>
              </w:rPr>
            </w:pPr>
            <w:proofErr w:type="spellStart"/>
            <w:r w:rsidRPr="00546B56">
              <w:rPr>
                <w:rFonts w:ascii="Arial" w:hAnsi="Arial" w:cs="Arial"/>
                <w:b/>
                <w:bCs/>
                <w:i/>
                <w:iCs/>
                <w:lang w:val="es-PA" w:eastAsia="es-CR"/>
              </w:rPr>
              <w:t>Act</w:t>
            </w:r>
            <w:proofErr w:type="spellEnd"/>
            <w:r w:rsidRPr="00546B56">
              <w:rPr>
                <w:rFonts w:ascii="Arial" w:hAnsi="Arial" w:cs="Arial"/>
                <w:b/>
                <w:bCs/>
                <w:lang w:val="es-PA" w:eastAsia="es-CR"/>
              </w:rPr>
              <w:t> (Actuar / Ajustar)</w:t>
            </w:r>
            <w:r w:rsidRPr="00546B56">
              <w:rPr>
                <w:rFonts w:ascii="Arial" w:hAnsi="Arial" w:cs="Arial"/>
                <w:lang w:eastAsia="es-CR"/>
              </w:rPr>
              <w:t> </w:t>
            </w:r>
          </w:p>
        </w:tc>
        <w:tc>
          <w:tcPr>
            <w:tcW w:w="1830" w:type="dxa"/>
            <w:tcBorders>
              <w:bottom w:val="single" w:sz="4" w:space="0" w:color="auto"/>
            </w:tcBorders>
            <w:hideMark/>
          </w:tcPr>
          <w:p w14:paraId="28A91FBD" w14:textId="77777777" w:rsidR="00546B56" w:rsidRPr="00546B56" w:rsidRDefault="00546B56" w:rsidP="00546B56">
            <w:pPr>
              <w:textAlignment w:val="baseline"/>
              <w:rPr>
                <w:lang w:eastAsia="es-CR"/>
              </w:rPr>
            </w:pPr>
            <w:r w:rsidRPr="00546B56">
              <w:rPr>
                <w:rFonts w:ascii="Arial" w:hAnsi="Arial" w:cs="Arial"/>
                <w:lang w:val="es-PA" w:eastAsia="es-CR"/>
              </w:rPr>
              <w:t>Tomar decisiones correctivas y definir acciones de mejora.</w:t>
            </w:r>
            <w:r w:rsidRPr="00546B56">
              <w:rPr>
                <w:rFonts w:ascii="Arial" w:hAnsi="Arial" w:cs="Arial"/>
                <w:lang w:eastAsia="es-CR"/>
              </w:rPr>
              <w:t> </w:t>
            </w:r>
          </w:p>
        </w:tc>
        <w:tc>
          <w:tcPr>
            <w:tcW w:w="3075" w:type="dxa"/>
            <w:tcBorders>
              <w:bottom w:val="single" w:sz="4" w:space="0" w:color="auto"/>
            </w:tcBorders>
            <w:hideMark/>
          </w:tcPr>
          <w:p w14:paraId="7B334EFA" w14:textId="77777777" w:rsidR="00546B56" w:rsidRPr="00546B56" w:rsidRDefault="00546B56" w:rsidP="00EB4B09">
            <w:pPr>
              <w:numPr>
                <w:ilvl w:val="0"/>
                <w:numId w:val="22"/>
              </w:numPr>
              <w:textAlignment w:val="baseline"/>
              <w:rPr>
                <w:rFonts w:ascii="Arial" w:hAnsi="Arial" w:cs="Arial"/>
                <w:lang w:eastAsia="es-CR"/>
              </w:rPr>
            </w:pPr>
            <w:r w:rsidRPr="00546B56">
              <w:rPr>
                <w:rFonts w:ascii="Arial" w:hAnsi="Arial" w:cs="Arial"/>
                <w:lang w:val="es-PA" w:eastAsia="es-CR"/>
              </w:rPr>
              <w:t>Módulo de gestión de planes de mejoramiento.</w:t>
            </w:r>
            <w:r w:rsidRPr="00546B56">
              <w:rPr>
                <w:rFonts w:ascii="Arial" w:hAnsi="Arial" w:cs="Arial"/>
                <w:lang w:eastAsia="es-CR"/>
              </w:rPr>
              <w:t> </w:t>
            </w:r>
          </w:p>
          <w:p w14:paraId="7A69CB4C" w14:textId="77777777" w:rsidR="00546B56" w:rsidRPr="00546B56" w:rsidRDefault="00546B56" w:rsidP="00EB4B09">
            <w:pPr>
              <w:numPr>
                <w:ilvl w:val="0"/>
                <w:numId w:val="22"/>
              </w:numPr>
              <w:textAlignment w:val="baseline"/>
              <w:rPr>
                <w:rFonts w:ascii="Arial" w:hAnsi="Arial" w:cs="Arial"/>
                <w:lang w:eastAsia="es-CR"/>
              </w:rPr>
            </w:pPr>
            <w:r w:rsidRPr="00546B56">
              <w:rPr>
                <w:rFonts w:ascii="Arial" w:hAnsi="Arial" w:cs="Arial"/>
                <w:lang w:val="es-PA" w:eastAsia="es-CR"/>
              </w:rPr>
              <w:t>Retroalimentación institucional a unidades académicas y administrativas.</w:t>
            </w:r>
            <w:r w:rsidRPr="00546B56">
              <w:rPr>
                <w:rFonts w:ascii="Arial" w:hAnsi="Arial" w:cs="Arial"/>
                <w:lang w:eastAsia="es-CR"/>
              </w:rPr>
              <w:t> </w:t>
            </w:r>
          </w:p>
          <w:p w14:paraId="47A913D3" w14:textId="77777777" w:rsidR="00546B56" w:rsidRPr="00546B56" w:rsidRDefault="00546B56" w:rsidP="00EB4B09">
            <w:pPr>
              <w:numPr>
                <w:ilvl w:val="0"/>
                <w:numId w:val="22"/>
              </w:numPr>
              <w:textAlignment w:val="baseline"/>
              <w:rPr>
                <w:rFonts w:ascii="Arial" w:hAnsi="Arial" w:cs="Arial"/>
                <w:lang w:eastAsia="es-CR"/>
              </w:rPr>
            </w:pPr>
            <w:r w:rsidRPr="00546B56">
              <w:rPr>
                <w:rFonts w:ascii="Arial" w:hAnsi="Arial" w:cs="Arial"/>
                <w:lang w:val="es-PA" w:eastAsia="es-CR"/>
              </w:rPr>
              <w:t>Actualización de indicadores y evidencias.</w:t>
            </w:r>
            <w:r w:rsidRPr="00546B56">
              <w:rPr>
                <w:rFonts w:ascii="Arial" w:hAnsi="Arial" w:cs="Arial"/>
                <w:lang w:eastAsia="es-CR"/>
              </w:rPr>
              <w:t> </w:t>
            </w:r>
          </w:p>
        </w:tc>
        <w:tc>
          <w:tcPr>
            <w:tcW w:w="3600" w:type="dxa"/>
            <w:tcBorders>
              <w:bottom w:val="single" w:sz="4" w:space="0" w:color="auto"/>
            </w:tcBorders>
            <w:hideMark/>
          </w:tcPr>
          <w:p w14:paraId="3C6A712D" w14:textId="77777777" w:rsidR="00546B56" w:rsidRPr="00546B56" w:rsidRDefault="00546B56" w:rsidP="00546B56">
            <w:pPr>
              <w:textAlignment w:val="baseline"/>
              <w:rPr>
                <w:lang w:eastAsia="es-CR"/>
              </w:rPr>
            </w:pPr>
            <w:r w:rsidRPr="00546B56">
              <w:rPr>
                <w:rFonts w:ascii="Arial" w:hAnsi="Arial" w:cs="Arial"/>
                <w:lang w:val="es-PA" w:eastAsia="es-CR"/>
              </w:rPr>
              <w:t>Convierte los resultados de la evaluación en acciones concretas de mejora, cerrando el ciclo de calidad y retroalimentando un nuevo proceso de planificación.</w:t>
            </w:r>
            <w:r w:rsidRPr="00546B56">
              <w:rPr>
                <w:rFonts w:ascii="Arial" w:hAnsi="Arial" w:cs="Arial"/>
                <w:lang w:eastAsia="es-CR"/>
              </w:rPr>
              <w:t> </w:t>
            </w:r>
          </w:p>
        </w:tc>
      </w:tr>
    </w:tbl>
    <w:p w14:paraId="2BC52B00" w14:textId="0C1E18D7" w:rsidR="00546B56" w:rsidRDefault="00546B56" w:rsidP="00546B56">
      <w:pPr>
        <w:jc w:val="both"/>
        <w:textAlignment w:val="baseline"/>
        <w:rPr>
          <w:rFonts w:ascii="Arial" w:hAnsi="Arial" w:cs="Arial"/>
          <w:lang w:eastAsia="es-CR"/>
        </w:rPr>
      </w:pPr>
      <w:r w:rsidRPr="00546B56">
        <w:rPr>
          <w:rFonts w:ascii="Arial" w:hAnsi="Arial" w:cs="Arial"/>
          <w:lang w:eastAsia="es-CR"/>
        </w:rPr>
        <w:t> </w:t>
      </w:r>
    </w:p>
    <w:p w14:paraId="79ABAE38" w14:textId="77777777" w:rsidR="00927F65" w:rsidRPr="00546B56" w:rsidRDefault="00927F65" w:rsidP="00546B56">
      <w:pPr>
        <w:jc w:val="both"/>
        <w:textAlignment w:val="baseline"/>
        <w:rPr>
          <w:rFonts w:ascii="Segoe UI" w:hAnsi="Segoe UI" w:cs="Segoe UI"/>
          <w:sz w:val="18"/>
          <w:szCs w:val="18"/>
          <w:lang w:eastAsia="es-CR"/>
        </w:rPr>
      </w:pPr>
    </w:p>
    <w:p w14:paraId="561D903B" w14:textId="7AF7B66B"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Resultados del proceso de acreditación</w:t>
      </w:r>
      <w:r w:rsidRPr="00546B56">
        <w:rPr>
          <w:rFonts w:ascii="Arial" w:hAnsi="Arial" w:cs="Arial"/>
          <w:lang w:eastAsia="es-CR"/>
        </w:rPr>
        <w:t> </w:t>
      </w:r>
    </w:p>
    <w:p w14:paraId="5A9E81A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Como resultado del proceso de autoevaluación institucional desarrollado durante un período aproximado de 18 meses, y de la posterior evaluación externa, la Universidad Internacional de Ciencia y Tecnología (</w:t>
      </w:r>
      <w:proofErr w:type="spellStart"/>
      <w:r w:rsidRPr="00546B56">
        <w:rPr>
          <w:rFonts w:ascii="Arial" w:hAnsi="Arial" w:cs="Arial"/>
          <w:lang w:val="es-PA" w:eastAsia="es-CR"/>
        </w:rPr>
        <w:t>UNICyT</w:t>
      </w:r>
      <w:proofErr w:type="spellEnd"/>
      <w:r w:rsidRPr="00546B56">
        <w:rPr>
          <w:rFonts w:ascii="Arial" w:hAnsi="Arial" w:cs="Arial"/>
          <w:lang w:val="es-PA" w:eastAsia="es-CR"/>
        </w:rPr>
        <w:t xml:space="preserve">) obtiene la acreditación </w:t>
      </w:r>
      <w:r w:rsidRPr="00546B56">
        <w:rPr>
          <w:rFonts w:ascii="Arial" w:hAnsi="Arial" w:cs="Arial"/>
          <w:lang w:val="es-PA" w:eastAsia="es-CR"/>
        </w:rPr>
        <w:lastRenderedPageBreak/>
        <w:t>institucional por un período máximo de seis años, conforme con los criterios y umbrales establecidos por el CONEAUPA. Este resultado refleja el alto nivel de cumplimiento alcanzado en los indicadores de la matriz de evaluación institucional y valida la eficacia del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 como herramienta para la gestión sistemática de evidencias y el aseguramiento de la calidad institucional. Este tipo de resultados respalda lo planteado en la literatura sobre el impacto positivo de los sistemas de gestión de la calidad en el desempeño institucional, y en los resultados de los procesos de acreditación (García-Domingo et al., 2023).</w:t>
      </w:r>
      <w:r w:rsidRPr="00546B56">
        <w:rPr>
          <w:rFonts w:ascii="Arial" w:hAnsi="Arial" w:cs="Arial"/>
          <w:lang w:eastAsia="es-CR"/>
        </w:rPr>
        <w:t> </w:t>
      </w:r>
    </w:p>
    <w:p w14:paraId="0DE0929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8657511" w14:textId="7277524D" w:rsidR="00E0648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b/>
          <w:bCs/>
          <w:lang w:val="es-PA" w:eastAsia="es-CR"/>
        </w:rPr>
        <w:t>C</w:t>
      </w:r>
      <w:r w:rsidR="00EB4B09">
        <w:rPr>
          <w:rFonts w:ascii="Arial" w:hAnsi="Arial" w:cs="Arial"/>
          <w:b/>
          <w:bCs/>
          <w:lang w:val="es-PA" w:eastAsia="es-CR"/>
        </w:rPr>
        <w:t>onclusiones</w:t>
      </w:r>
    </w:p>
    <w:p w14:paraId="41954E9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La sistematización del proceso de autoevaluación institucional en la Universidad Internacional de Ciencia y Tecnología (</w:t>
      </w:r>
      <w:proofErr w:type="spellStart"/>
      <w:r w:rsidRPr="00546B56">
        <w:rPr>
          <w:rFonts w:ascii="Arial" w:hAnsi="Arial" w:cs="Arial"/>
          <w:lang w:val="es-PA" w:eastAsia="es-CR"/>
        </w:rPr>
        <w:t>UNICyT</w:t>
      </w:r>
      <w:proofErr w:type="spellEnd"/>
      <w:r w:rsidRPr="00546B56">
        <w:rPr>
          <w:rFonts w:ascii="Arial" w:hAnsi="Arial" w:cs="Arial"/>
          <w:lang w:val="es-PA" w:eastAsia="es-CR"/>
        </w:rPr>
        <w:t>), mediante la implementación del Sistema Integrado de Gestión de la Calidad (</w:t>
      </w:r>
      <w:proofErr w:type="spellStart"/>
      <w:r w:rsidRPr="00546B56">
        <w:rPr>
          <w:rFonts w:ascii="Arial" w:hAnsi="Arial" w:cs="Arial"/>
          <w:lang w:val="es-PA" w:eastAsia="es-CR"/>
        </w:rPr>
        <w:t>SIGUNICyT</w:t>
      </w:r>
      <w:proofErr w:type="spellEnd"/>
      <w:r w:rsidRPr="00546B56">
        <w:rPr>
          <w:rFonts w:ascii="Arial" w:hAnsi="Arial" w:cs="Arial"/>
          <w:lang w:val="es-PA" w:eastAsia="es-CR"/>
        </w:rPr>
        <w:t>), constituye una experiencia relevante para el aseguramiento de la calidad educativa en el contexto de la educación superior panameña. La incorporación de un sistema de gestión basado en tecnología y alineado con estándares nacionales e internacionales permite transformar la autoevaluación en un proceso estructurado, continuo y orientado a la mejora institucional.</w:t>
      </w:r>
      <w:r w:rsidRPr="00546B56">
        <w:rPr>
          <w:rFonts w:ascii="Arial" w:hAnsi="Arial" w:cs="Arial"/>
          <w:lang w:eastAsia="es-CR"/>
        </w:rPr>
        <w:t> </w:t>
      </w:r>
    </w:p>
    <w:p w14:paraId="17F4FAF5"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C4C456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 xml:space="preserve">Los resultados del estudio indican que centralizar las evidencias de acreditación, estandarizar los formatos de presentación e integrar mecanismos de monitoreo en </w:t>
      </w:r>
      <w:r w:rsidRPr="00546B56">
        <w:rPr>
          <w:rFonts w:ascii="Arial" w:hAnsi="Arial" w:cs="Arial"/>
          <w:lang w:val="es-PA" w:eastAsia="es-CR"/>
        </w:rPr>
        <w:lastRenderedPageBreak/>
        <w:t>tiempo real ayudan a mejorar el acceso a la información y a fortalecer la trazabilidad de los indicadores requeridos por el modelo del CONEAUPA. Además, la disminución de los tiempos de revisión y la facilidad para que los evaluadores accedan de forma remota a la información evidencian avances concretos en la eficiencia y la transparencia del proceso de acreditación institucional.</w:t>
      </w:r>
      <w:r w:rsidRPr="00546B56">
        <w:rPr>
          <w:rFonts w:ascii="Arial" w:hAnsi="Arial" w:cs="Arial"/>
          <w:lang w:eastAsia="es-CR"/>
        </w:rPr>
        <w:t> </w:t>
      </w:r>
    </w:p>
    <w:p w14:paraId="050F1CF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2FD71170"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el punto de vista de la gestión, el uso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mejora la toma de decisiones fundamentadas en evidencia, al incorporar herramientas de monitoreo constante y alertas que facilitan la identificación a tiempo de las brechas de cumplimiento y la guía para la creación de planes de mejora. Este método promueve una mayor corresponsabilidad entre las unidades académicas y administrativas, a su vez, fortalecen una cultura institucional orientada a la calidad y la mejora continua.</w:t>
      </w:r>
      <w:r w:rsidRPr="00546B56">
        <w:rPr>
          <w:rFonts w:ascii="Arial" w:hAnsi="Arial" w:cs="Arial"/>
          <w:lang w:eastAsia="es-CR"/>
        </w:rPr>
        <w:t> </w:t>
      </w:r>
    </w:p>
    <w:p w14:paraId="68C4CA21"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608B4906"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Desde un enfoque analítico, la experiencia de </w:t>
      </w:r>
      <w:proofErr w:type="spellStart"/>
      <w:r w:rsidRPr="00546B56">
        <w:rPr>
          <w:rFonts w:ascii="Arial" w:hAnsi="Arial" w:cs="Arial"/>
          <w:lang w:val="es-PA" w:eastAsia="es-CR"/>
        </w:rPr>
        <w:t>UNICyT</w:t>
      </w:r>
      <w:proofErr w:type="spellEnd"/>
      <w:r w:rsidRPr="00546B56">
        <w:rPr>
          <w:rFonts w:ascii="Arial" w:hAnsi="Arial" w:cs="Arial"/>
          <w:lang w:val="es-PA" w:eastAsia="es-CR"/>
        </w:rPr>
        <w:t> reafirma la importancia del ciclo PDCA como marco para la gestión de la autoevaluación universitaria. La concordancia entre los patrones teóricos y los resultados empíricos avala la incorporación de sistemas tecnológicos de gestión como estrategia efectiva para mejorar la gobernanza institucional y asegurar la sostenibilidad de los procesos de calidad.</w:t>
      </w:r>
      <w:r w:rsidRPr="00546B56">
        <w:rPr>
          <w:rFonts w:ascii="Arial" w:hAnsi="Arial" w:cs="Arial"/>
          <w:lang w:eastAsia="es-CR"/>
        </w:rPr>
        <w:t> </w:t>
      </w:r>
    </w:p>
    <w:p w14:paraId="5A7D60BE"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16F532A4"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lastRenderedPageBreak/>
        <w:t>Finalmente, los resultados de este estudio indican que implementar sistemas integrados de gestión de la calidad puede ser una práctica útil que otras instituciones de educación superior que enfrentan desafíos similares en autoevaluación y acreditación podrían adoptar. Sin embargo, también se señala la importancia de seguir mejorando la formación del personal y la integración del sistema con otras plataformas institucionales para asegurar su sostenibilidad y su capacidad de adaptación a las dinámicas cambiantes del entorno educativo.</w:t>
      </w:r>
      <w:r w:rsidRPr="00546B56">
        <w:rPr>
          <w:rFonts w:ascii="Arial" w:hAnsi="Arial" w:cs="Arial"/>
          <w:lang w:eastAsia="es-CR"/>
        </w:rPr>
        <w:t> </w:t>
      </w:r>
    </w:p>
    <w:p w14:paraId="57A47A5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eastAsia="es-CR"/>
        </w:rPr>
        <w:t> </w:t>
      </w:r>
    </w:p>
    <w:p w14:paraId="5BF667B8" w14:textId="77777777" w:rsidR="00546B56" w:rsidRPr="00546B56" w:rsidRDefault="00546B56" w:rsidP="00E06486">
      <w:pPr>
        <w:spacing w:line="360" w:lineRule="auto"/>
        <w:jc w:val="both"/>
        <w:textAlignment w:val="baseline"/>
        <w:rPr>
          <w:rFonts w:ascii="Segoe UI" w:hAnsi="Segoe UI" w:cs="Segoe UI"/>
          <w:sz w:val="18"/>
          <w:szCs w:val="18"/>
          <w:lang w:eastAsia="es-CR"/>
        </w:rPr>
      </w:pPr>
      <w:r w:rsidRPr="00546B56">
        <w:rPr>
          <w:rFonts w:ascii="Arial" w:hAnsi="Arial" w:cs="Arial"/>
          <w:lang w:val="es-PA" w:eastAsia="es-CR"/>
        </w:rPr>
        <w:t>En general, estos resultados muestran que la implementación del </w:t>
      </w:r>
      <w:proofErr w:type="spellStart"/>
      <w:r w:rsidRPr="00546B56">
        <w:rPr>
          <w:rFonts w:ascii="Arial" w:hAnsi="Arial" w:cs="Arial"/>
          <w:lang w:val="es-PA" w:eastAsia="es-CR"/>
        </w:rPr>
        <w:t>SIGUNICyT</w:t>
      </w:r>
      <w:proofErr w:type="spellEnd"/>
      <w:r w:rsidRPr="00546B56">
        <w:rPr>
          <w:rFonts w:ascii="Arial" w:hAnsi="Arial" w:cs="Arial"/>
          <w:lang w:val="es-PA" w:eastAsia="es-CR"/>
        </w:rPr>
        <w:t> contribuyó significativamente a mejorar la gestión institucional y a fortalecer los mecanismos asociados al aseguramiento de la calidad educativa en </w:t>
      </w:r>
      <w:proofErr w:type="spellStart"/>
      <w:r w:rsidRPr="00546B56">
        <w:rPr>
          <w:rFonts w:ascii="Arial" w:hAnsi="Arial" w:cs="Arial"/>
          <w:lang w:val="es-PA" w:eastAsia="es-CR"/>
        </w:rPr>
        <w:t>UNICyT</w:t>
      </w:r>
      <w:proofErr w:type="spellEnd"/>
      <w:r w:rsidRPr="00546B56">
        <w:rPr>
          <w:rFonts w:ascii="Arial" w:hAnsi="Arial" w:cs="Arial"/>
          <w:lang w:val="es-PA" w:eastAsia="es-CR"/>
        </w:rPr>
        <w:t> durante el proceso de acreditación 2022-2023.</w:t>
      </w:r>
      <w:r w:rsidRPr="00546B56">
        <w:rPr>
          <w:rFonts w:ascii="Arial" w:hAnsi="Arial" w:cs="Arial"/>
          <w:lang w:eastAsia="es-CR"/>
        </w:rPr>
        <w:t> </w:t>
      </w:r>
    </w:p>
    <w:p w14:paraId="16F5F150" w14:textId="77777777" w:rsidR="00546B56" w:rsidRPr="00546B56" w:rsidRDefault="00546B56" w:rsidP="00546B56">
      <w:pPr>
        <w:jc w:val="both"/>
        <w:textAlignment w:val="baseline"/>
        <w:rPr>
          <w:rFonts w:ascii="Segoe UI" w:hAnsi="Segoe UI" w:cs="Segoe UI"/>
          <w:sz w:val="18"/>
          <w:szCs w:val="18"/>
          <w:lang w:eastAsia="es-CR"/>
        </w:rPr>
      </w:pPr>
      <w:r w:rsidRPr="00546B56">
        <w:rPr>
          <w:rFonts w:ascii="Arial" w:hAnsi="Arial" w:cs="Arial"/>
          <w:lang w:eastAsia="es-CR"/>
        </w:rPr>
        <w:t> </w:t>
      </w:r>
    </w:p>
    <w:p w14:paraId="0072F384" w14:textId="6A5F7B3B" w:rsidR="00546B56" w:rsidRPr="00E06A93" w:rsidRDefault="00546B56" w:rsidP="00927F65">
      <w:pPr>
        <w:spacing w:line="360" w:lineRule="auto"/>
        <w:ind w:left="709" w:hanging="709"/>
        <w:textAlignment w:val="baseline"/>
        <w:rPr>
          <w:rFonts w:ascii="Segoe UI" w:hAnsi="Segoe UI" w:cs="Segoe UI"/>
          <w:sz w:val="18"/>
          <w:szCs w:val="18"/>
          <w:lang w:eastAsia="es-CR"/>
        </w:rPr>
      </w:pPr>
      <w:r w:rsidRPr="00E06A93">
        <w:rPr>
          <w:rFonts w:ascii="Arial" w:hAnsi="Arial" w:cs="Arial"/>
          <w:b/>
          <w:bCs/>
          <w:lang w:eastAsia="es-CR"/>
        </w:rPr>
        <w:t>Referencias</w:t>
      </w:r>
      <w:r w:rsidRPr="00E06A93">
        <w:rPr>
          <w:rFonts w:ascii="Arial" w:hAnsi="Arial" w:cs="Arial"/>
          <w:lang w:eastAsia="es-CR"/>
        </w:rPr>
        <w:t> </w:t>
      </w:r>
    </w:p>
    <w:p w14:paraId="05B98EE3" w14:textId="77777777" w:rsidR="00546B56" w:rsidRPr="00927F65" w:rsidRDefault="00546B56" w:rsidP="00927F65">
      <w:pPr>
        <w:spacing w:line="360" w:lineRule="auto"/>
        <w:ind w:left="709" w:hanging="709"/>
        <w:textAlignment w:val="baseline"/>
        <w:rPr>
          <w:rFonts w:ascii="Segoe UI" w:hAnsi="Segoe UI" w:cs="Segoe UI"/>
          <w:bCs/>
          <w:sz w:val="18"/>
          <w:szCs w:val="18"/>
          <w:lang w:val="pt-BR" w:eastAsia="es-CR"/>
        </w:rPr>
      </w:pPr>
      <w:r w:rsidRPr="00E06A93">
        <w:rPr>
          <w:rFonts w:ascii="Arial" w:hAnsi="Arial" w:cs="Arial"/>
          <w:bCs/>
          <w:lang w:eastAsia="es-CR"/>
        </w:rPr>
        <w:t xml:space="preserve">Barcos, S. J. (2008). </w:t>
      </w:r>
      <w:r w:rsidRPr="00927F65">
        <w:rPr>
          <w:rFonts w:ascii="Arial" w:hAnsi="Arial" w:cs="Arial"/>
          <w:bCs/>
          <w:lang w:val="es-PA" w:eastAsia="es-CR"/>
        </w:rPr>
        <w:t>Reflexiones acerca de los sistemas de información universitarios ante los desafíos y cambios generados por los procesos de evaluación y acreditación. </w:t>
      </w:r>
      <w:r w:rsidRPr="00927F65">
        <w:rPr>
          <w:rFonts w:ascii="Arial" w:hAnsi="Arial" w:cs="Arial"/>
          <w:bCs/>
          <w:i/>
          <w:iCs/>
          <w:lang w:val="pt-BR" w:eastAsia="es-CR"/>
        </w:rPr>
        <w:t>Avaliação: Revista Da Avaliação Da Educação Superior</w:t>
      </w:r>
      <w:r w:rsidRPr="00927F65">
        <w:rPr>
          <w:rFonts w:ascii="Arial" w:hAnsi="Arial" w:cs="Arial"/>
          <w:bCs/>
          <w:lang w:val="pt-BR" w:eastAsia="es-CR"/>
        </w:rPr>
        <w:t> </w:t>
      </w:r>
      <w:r w:rsidRPr="00927F65">
        <w:rPr>
          <w:rFonts w:ascii="Arial" w:hAnsi="Arial" w:cs="Arial"/>
          <w:bCs/>
          <w:i/>
          <w:iCs/>
          <w:lang w:val="pt-BR" w:eastAsia="es-CR"/>
        </w:rPr>
        <w:t>(Campinas), 13</w:t>
      </w:r>
      <w:r w:rsidRPr="00927F65">
        <w:rPr>
          <w:rFonts w:ascii="Arial" w:hAnsi="Arial" w:cs="Arial"/>
          <w:bCs/>
          <w:lang w:val="pt-BR" w:eastAsia="es-CR"/>
        </w:rPr>
        <w:t>(1), 209-244. </w:t>
      </w:r>
      <w:hyperlink r:id="rId15" w:tgtFrame="_blank" w:history="1">
        <w:r w:rsidRPr="00927F65">
          <w:rPr>
            <w:rFonts w:ascii="Arial" w:hAnsi="Arial" w:cs="Arial"/>
            <w:bCs/>
            <w:lang w:val="pt-BR" w:eastAsia="es-CR"/>
          </w:rPr>
          <w:t>https://doi.org/10.1590/S1414-40772008000100012</w:t>
        </w:r>
      </w:hyperlink>
      <w:r w:rsidRPr="00927F65">
        <w:rPr>
          <w:rFonts w:ascii="Arial" w:hAnsi="Arial" w:cs="Arial"/>
          <w:bCs/>
          <w:sz w:val="22"/>
          <w:szCs w:val="22"/>
          <w:lang w:val="pt-BR" w:eastAsia="es-CR"/>
        </w:rPr>
        <w:t>  </w:t>
      </w:r>
      <w:r w:rsidRPr="00927F65">
        <w:rPr>
          <w:rFonts w:ascii="Arial" w:hAnsi="Arial" w:cs="Arial"/>
          <w:bCs/>
          <w:lang w:val="pt-BR" w:eastAsia="es-CR"/>
        </w:rPr>
        <w:t>  </w:t>
      </w:r>
    </w:p>
    <w:p w14:paraId="3AAB4F71"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proofErr w:type="spellStart"/>
      <w:r w:rsidRPr="00927F65">
        <w:rPr>
          <w:rFonts w:ascii="Arial" w:hAnsi="Arial" w:cs="Arial"/>
          <w:bCs/>
          <w:lang w:val="es-PA" w:eastAsia="es-CR"/>
        </w:rPr>
        <w:t>Buela</w:t>
      </w:r>
      <w:proofErr w:type="spellEnd"/>
      <w:r w:rsidRPr="00927F65">
        <w:rPr>
          <w:rFonts w:ascii="Arial" w:hAnsi="Arial" w:cs="Arial"/>
          <w:bCs/>
          <w:lang w:val="es-PA" w:eastAsia="es-CR"/>
        </w:rPr>
        <w:t>-Casal, G. &amp; Castro, Á. (2009). Evaluación de la calidad en la educación superior. RUSC. </w:t>
      </w:r>
      <w:r w:rsidRPr="00927F65">
        <w:rPr>
          <w:rFonts w:ascii="Arial" w:hAnsi="Arial" w:cs="Arial"/>
          <w:bCs/>
          <w:i/>
          <w:iCs/>
          <w:lang w:val="es-PA" w:eastAsia="es-CR"/>
        </w:rPr>
        <w:t>Revista de Universidad y Sociedad del Conocimiento, 6</w:t>
      </w:r>
      <w:r w:rsidRPr="00927F65">
        <w:rPr>
          <w:rFonts w:ascii="Arial" w:hAnsi="Arial" w:cs="Arial"/>
          <w:bCs/>
          <w:lang w:val="es-PA" w:eastAsia="es-CR"/>
        </w:rPr>
        <w:t>(2), 1-8.  </w:t>
      </w:r>
      <w:hyperlink r:id="rId16" w:tgtFrame="_blank" w:history="1">
        <w:r w:rsidRPr="00927F65">
          <w:rPr>
            <w:rFonts w:ascii="Arial" w:hAnsi="Arial" w:cs="Arial"/>
            <w:bCs/>
            <w:lang w:val="es-PA" w:eastAsia="es-CR"/>
          </w:rPr>
          <w:t>https://openaccess.uoc.edu/handle/10609/2991</w:t>
        </w:r>
      </w:hyperlink>
      <w:r w:rsidRPr="00927F65">
        <w:rPr>
          <w:rFonts w:ascii="Arial" w:hAnsi="Arial" w:cs="Arial"/>
          <w:bCs/>
          <w:lang w:val="es-PA" w:eastAsia="es-CR"/>
        </w:rPr>
        <w:t> </w:t>
      </w:r>
      <w:r w:rsidRPr="00927F65">
        <w:rPr>
          <w:rFonts w:ascii="Arial" w:hAnsi="Arial" w:cs="Arial"/>
          <w:bCs/>
          <w:lang w:eastAsia="es-CR"/>
        </w:rPr>
        <w:t> </w:t>
      </w:r>
    </w:p>
    <w:p w14:paraId="591365A3"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lastRenderedPageBreak/>
        <w:t>Cedeño-Suárez, A. C. &amp; Salazar, C. H. (2011). Autoevaluación y acreditación de carreras en la Universidad Nacional de Costa Rica: experiencias para la gestión de la calidad. </w:t>
      </w:r>
      <w:r w:rsidRPr="00927F65">
        <w:rPr>
          <w:rFonts w:ascii="Arial" w:hAnsi="Arial" w:cs="Arial"/>
          <w:bCs/>
          <w:i/>
          <w:iCs/>
          <w:lang w:val="es-PA" w:eastAsia="es-CR"/>
        </w:rPr>
        <w:t>Calidad en la Educación Superior, 2</w:t>
      </w:r>
      <w:r w:rsidRPr="00927F65">
        <w:rPr>
          <w:rFonts w:ascii="Arial" w:hAnsi="Arial" w:cs="Arial"/>
          <w:bCs/>
          <w:lang w:val="es-PA" w:eastAsia="es-CR"/>
        </w:rPr>
        <w:t>(2), 44-68. </w:t>
      </w:r>
      <w:hyperlink r:id="rId17" w:tgtFrame="_blank" w:history="1">
        <w:r w:rsidRPr="00927F65">
          <w:rPr>
            <w:rFonts w:ascii="Arial" w:hAnsi="Arial" w:cs="Arial"/>
            <w:bCs/>
            <w:lang w:val="es-PA" w:eastAsia="es-CR"/>
          </w:rPr>
          <w:t>https://doi.org/10.22458/caes.v2i2.423</w:t>
        </w:r>
      </w:hyperlink>
      <w:r w:rsidRPr="00927F65">
        <w:rPr>
          <w:rFonts w:ascii="Arial" w:hAnsi="Arial" w:cs="Arial"/>
          <w:bCs/>
          <w:lang w:val="es-PA" w:eastAsia="es-CR"/>
        </w:rPr>
        <w:t> </w:t>
      </w:r>
      <w:r w:rsidRPr="00927F65">
        <w:rPr>
          <w:rFonts w:ascii="Arial" w:hAnsi="Arial" w:cs="Arial"/>
          <w:bCs/>
          <w:lang w:eastAsia="es-CR"/>
        </w:rPr>
        <w:t> </w:t>
      </w:r>
    </w:p>
    <w:p w14:paraId="582EF1E9"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Chaves-Chaves, E. (2024). Lecciones aprendidas del proceso de autoevaluación de la licenciatura en Ingeniería Topográfica de la Universidad de Costa Rica. </w:t>
      </w:r>
      <w:r w:rsidRPr="00927F65">
        <w:rPr>
          <w:rFonts w:ascii="Arial" w:hAnsi="Arial" w:cs="Arial"/>
          <w:bCs/>
          <w:i/>
          <w:iCs/>
          <w:lang w:val="es-PA" w:eastAsia="es-CR"/>
        </w:rPr>
        <w:t>Revista Electrónica Calidad en la Educación Superior, 15</w:t>
      </w:r>
      <w:r w:rsidRPr="00927F65">
        <w:rPr>
          <w:rFonts w:ascii="Arial" w:hAnsi="Arial" w:cs="Arial"/>
          <w:bCs/>
          <w:lang w:val="es-PA" w:eastAsia="es-CR"/>
        </w:rPr>
        <w:t>(2), 137-161. </w:t>
      </w:r>
      <w:hyperlink r:id="rId18" w:tgtFrame="_blank" w:history="1">
        <w:r w:rsidRPr="00927F65">
          <w:rPr>
            <w:rFonts w:ascii="Arial" w:hAnsi="Arial" w:cs="Arial"/>
            <w:bCs/>
            <w:lang w:val="es-PA" w:eastAsia="es-CR"/>
          </w:rPr>
          <w:t>https://doi.org/10.22458/caes.v15i2.5402</w:t>
        </w:r>
      </w:hyperlink>
      <w:r w:rsidRPr="00927F65">
        <w:rPr>
          <w:rFonts w:ascii="Arial" w:hAnsi="Arial" w:cs="Arial"/>
          <w:bCs/>
          <w:lang w:val="es-PA" w:eastAsia="es-CR"/>
        </w:rPr>
        <w:t> </w:t>
      </w:r>
      <w:r w:rsidRPr="00927F65">
        <w:rPr>
          <w:rFonts w:ascii="Arial" w:hAnsi="Arial" w:cs="Arial"/>
          <w:bCs/>
          <w:lang w:eastAsia="es-CR"/>
        </w:rPr>
        <w:t> </w:t>
      </w:r>
    </w:p>
    <w:p w14:paraId="1C034D5D"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Consejo Nacional de Evaluación y Acreditación Universitaria. (2020). Resolución </w:t>
      </w:r>
      <w:proofErr w:type="spellStart"/>
      <w:r w:rsidRPr="00927F65">
        <w:rPr>
          <w:rFonts w:ascii="Arial" w:hAnsi="Arial" w:cs="Arial"/>
          <w:bCs/>
          <w:lang w:val="es-PA" w:eastAsia="es-CR"/>
        </w:rPr>
        <w:t>N.°</w:t>
      </w:r>
      <w:proofErr w:type="spellEnd"/>
      <w:r w:rsidRPr="00927F65">
        <w:rPr>
          <w:rFonts w:ascii="Arial" w:hAnsi="Arial" w:cs="Arial"/>
          <w:bCs/>
          <w:lang w:val="es-PA" w:eastAsia="es-CR"/>
        </w:rPr>
        <w:t> 5 del 5 de marzo de 2020 por la cual se aprueban los fundamentos del modelo de evaluación con fines de acreditación institucional. Gaceta Oficial Digital N.º 28977.</w:t>
      </w:r>
      <w:r w:rsidRPr="00927F65">
        <w:rPr>
          <w:rFonts w:ascii="Arial" w:hAnsi="Arial" w:cs="Arial"/>
          <w:bCs/>
          <w:lang w:eastAsia="es-CR"/>
        </w:rPr>
        <w:t> </w:t>
      </w:r>
    </w:p>
    <w:p w14:paraId="45BBBAD5"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García-Vargas, S. &amp; Azofeifa-Lizano, A. (2024). Sistematización del proceso de autoevaluación de la Licenciatura en Pedagogía con énfasis en Didáctica en el contexto de la pandemia por COVID-19 en Costa Rica. </w:t>
      </w:r>
      <w:r w:rsidRPr="00927F65">
        <w:rPr>
          <w:rFonts w:ascii="Arial" w:hAnsi="Arial" w:cs="Arial"/>
          <w:bCs/>
          <w:i/>
          <w:iCs/>
          <w:lang w:val="es-PA" w:eastAsia="es-CR"/>
        </w:rPr>
        <w:t>Revista Electrónica Calidad en la Educación Superior, 15</w:t>
      </w:r>
      <w:r w:rsidRPr="00927F65">
        <w:rPr>
          <w:rFonts w:ascii="Arial" w:hAnsi="Arial" w:cs="Arial"/>
          <w:bCs/>
          <w:lang w:val="es-PA" w:eastAsia="es-CR"/>
        </w:rPr>
        <w:t>(1), 268-307. </w:t>
      </w:r>
      <w:hyperlink r:id="rId19" w:tgtFrame="_blank" w:history="1">
        <w:r w:rsidRPr="00927F65">
          <w:rPr>
            <w:rFonts w:ascii="Arial" w:hAnsi="Arial" w:cs="Arial"/>
            <w:bCs/>
            <w:lang w:val="es-PA" w:eastAsia="es-CR"/>
          </w:rPr>
          <w:t>https://doi.org/10.22458/caes.v15i1.4735</w:t>
        </w:r>
      </w:hyperlink>
      <w:r w:rsidRPr="00927F65">
        <w:rPr>
          <w:rFonts w:ascii="Arial" w:hAnsi="Arial" w:cs="Arial"/>
          <w:bCs/>
          <w:lang w:val="es-PA" w:eastAsia="es-CR"/>
        </w:rPr>
        <w:t> </w:t>
      </w:r>
      <w:r w:rsidRPr="00927F65">
        <w:rPr>
          <w:rFonts w:ascii="Arial" w:hAnsi="Arial" w:cs="Arial"/>
          <w:bCs/>
          <w:lang w:eastAsia="es-CR"/>
        </w:rPr>
        <w:t> </w:t>
      </w:r>
    </w:p>
    <w:p w14:paraId="4DFB533F"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García-Domingo, B., Rodríguez-Mantilla, J. M. &amp; Martínez-</w:t>
      </w:r>
      <w:proofErr w:type="spellStart"/>
      <w:r w:rsidRPr="00927F65">
        <w:rPr>
          <w:rFonts w:ascii="Arial" w:hAnsi="Arial" w:cs="Arial"/>
          <w:bCs/>
          <w:lang w:val="es-PA" w:eastAsia="es-CR"/>
        </w:rPr>
        <w:t>Zarzuelo</w:t>
      </w:r>
      <w:proofErr w:type="spellEnd"/>
      <w:r w:rsidRPr="00927F65">
        <w:rPr>
          <w:rFonts w:ascii="Arial" w:hAnsi="Arial" w:cs="Arial"/>
          <w:bCs/>
          <w:lang w:val="es-PA" w:eastAsia="es-CR"/>
        </w:rPr>
        <w:t>, A. (2023). Instrumento para valorar el impacto del sistema de acreditación en educación superior: validación mediante análisis factorial exploratorio. </w:t>
      </w:r>
      <w:r w:rsidRPr="00927F65">
        <w:rPr>
          <w:rFonts w:ascii="Arial" w:hAnsi="Arial" w:cs="Arial"/>
          <w:bCs/>
          <w:i/>
          <w:iCs/>
          <w:lang w:val="es-PA" w:eastAsia="es-CR"/>
        </w:rPr>
        <w:t>Revista Española de Pedagogía, 81</w:t>
      </w:r>
      <w:r w:rsidRPr="00927F65">
        <w:rPr>
          <w:rFonts w:ascii="Arial" w:hAnsi="Arial" w:cs="Arial"/>
          <w:bCs/>
          <w:lang w:val="es-PA" w:eastAsia="es-CR"/>
        </w:rPr>
        <w:t>(286), 555-578. </w:t>
      </w:r>
      <w:hyperlink r:id="rId20" w:tgtFrame="_blank" w:history="1">
        <w:r w:rsidRPr="00927F65">
          <w:rPr>
            <w:rFonts w:ascii="Arial" w:hAnsi="Arial" w:cs="Arial"/>
            <w:bCs/>
            <w:lang w:val="es-PA" w:eastAsia="es-CR"/>
          </w:rPr>
          <w:t>https://doi.org/10.22550/REP81-3-2023-06</w:t>
        </w:r>
      </w:hyperlink>
      <w:r w:rsidRPr="00927F65">
        <w:rPr>
          <w:rFonts w:ascii="Arial" w:hAnsi="Arial" w:cs="Arial"/>
          <w:bCs/>
          <w:lang w:eastAsia="es-CR"/>
        </w:rPr>
        <w:t> </w:t>
      </w:r>
    </w:p>
    <w:p w14:paraId="3DB577DF"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lastRenderedPageBreak/>
        <w:t xml:space="preserve">Guerrero </w:t>
      </w:r>
      <w:proofErr w:type="spellStart"/>
      <w:r w:rsidRPr="00927F65">
        <w:rPr>
          <w:rFonts w:ascii="Arial" w:hAnsi="Arial" w:cs="Arial"/>
          <w:bCs/>
          <w:lang w:val="es-PA" w:eastAsia="es-CR"/>
        </w:rPr>
        <w:t>Ceh</w:t>
      </w:r>
      <w:proofErr w:type="spellEnd"/>
      <w:r w:rsidRPr="00927F65">
        <w:rPr>
          <w:rFonts w:ascii="Arial" w:hAnsi="Arial" w:cs="Arial"/>
          <w:bCs/>
          <w:lang w:val="es-PA" w:eastAsia="es-CR"/>
        </w:rPr>
        <w:t>, J.; Pérez Dzul, L.; Pacheco Alcocer, F. (2016). Impacto de la evaluación en la calidad educativa: propuesta de un análisis situacional. </w:t>
      </w:r>
      <w:r w:rsidRPr="00927F65">
        <w:rPr>
          <w:rFonts w:ascii="Arial" w:hAnsi="Arial" w:cs="Arial"/>
          <w:bCs/>
          <w:i/>
          <w:iCs/>
          <w:lang w:val="es-PA" w:eastAsia="es-CR"/>
        </w:rPr>
        <w:t>RICSH Revista Iberoamericana de las Ciencias Sociales y Humanísticas, 5</w:t>
      </w:r>
      <w:r w:rsidRPr="00927F65">
        <w:rPr>
          <w:rFonts w:ascii="Arial" w:hAnsi="Arial" w:cs="Arial"/>
          <w:bCs/>
          <w:lang w:val="es-PA" w:eastAsia="es-CR"/>
        </w:rPr>
        <w:t>(10), 41-54. </w:t>
      </w:r>
      <w:hyperlink r:id="rId21" w:tgtFrame="_blank" w:history="1">
        <w:r w:rsidRPr="00927F65">
          <w:rPr>
            <w:rFonts w:ascii="Arial" w:hAnsi="Arial" w:cs="Arial"/>
            <w:bCs/>
            <w:lang w:val="es-PA" w:eastAsia="es-CR"/>
          </w:rPr>
          <w:t>https://ricsh.org.mx/index.php/RICSH/article/view/95</w:t>
        </w:r>
      </w:hyperlink>
      <w:r w:rsidRPr="00927F65">
        <w:rPr>
          <w:rFonts w:ascii="Arial" w:hAnsi="Arial" w:cs="Arial"/>
          <w:bCs/>
          <w:lang w:val="es-PA" w:eastAsia="es-CR"/>
        </w:rPr>
        <w:t> </w:t>
      </w:r>
      <w:r w:rsidRPr="00927F65">
        <w:rPr>
          <w:rFonts w:ascii="Arial" w:hAnsi="Arial" w:cs="Arial"/>
          <w:bCs/>
          <w:lang w:eastAsia="es-CR"/>
        </w:rPr>
        <w:t> </w:t>
      </w:r>
    </w:p>
    <w:p w14:paraId="75C473A2"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proofErr w:type="spellStart"/>
      <w:r w:rsidRPr="00927F65">
        <w:rPr>
          <w:rFonts w:ascii="Arial" w:hAnsi="Arial" w:cs="Arial"/>
          <w:bCs/>
          <w:lang w:val="en-US" w:eastAsia="es-CR"/>
        </w:rPr>
        <w:t>Guil</w:t>
      </w:r>
      <w:proofErr w:type="spellEnd"/>
      <w:r w:rsidRPr="00927F65">
        <w:rPr>
          <w:rFonts w:ascii="Arial" w:hAnsi="Arial" w:cs="Arial"/>
          <w:bCs/>
          <w:lang w:val="en-US" w:eastAsia="es-CR"/>
        </w:rPr>
        <w:t xml:space="preserve"> </w:t>
      </w:r>
      <w:proofErr w:type="spellStart"/>
      <w:r w:rsidRPr="00927F65">
        <w:rPr>
          <w:rFonts w:ascii="Arial" w:hAnsi="Arial" w:cs="Arial"/>
          <w:bCs/>
          <w:lang w:val="en-US" w:eastAsia="es-CR"/>
        </w:rPr>
        <w:t>Gorostidi</w:t>
      </w:r>
      <w:proofErr w:type="spellEnd"/>
      <w:r w:rsidRPr="00927F65">
        <w:rPr>
          <w:rFonts w:ascii="Arial" w:hAnsi="Arial" w:cs="Arial"/>
          <w:bCs/>
          <w:lang w:val="en-US" w:eastAsia="es-CR"/>
        </w:rPr>
        <w:t>, S. C. &amp; Rubio-</w:t>
      </w:r>
      <w:proofErr w:type="spellStart"/>
      <w:r w:rsidRPr="00927F65">
        <w:rPr>
          <w:rFonts w:ascii="Arial" w:hAnsi="Arial" w:cs="Arial"/>
          <w:bCs/>
          <w:lang w:val="en-US" w:eastAsia="es-CR"/>
        </w:rPr>
        <w:t>Arostegui</w:t>
      </w:r>
      <w:proofErr w:type="spellEnd"/>
      <w:r w:rsidRPr="00927F65">
        <w:rPr>
          <w:rFonts w:ascii="Arial" w:hAnsi="Arial" w:cs="Arial"/>
          <w:bCs/>
          <w:lang w:val="en-US" w:eastAsia="es-CR"/>
        </w:rPr>
        <w:t>, J. A. (2026). Quality management in higher education from the perspective of institutional isomorphism: a scoping review. </w:t>
      </w:r>
      <w:proofErr w:type="spellStart"/>
      <w:r w:rsidRPr="00927F65">
        <w:rPr>
          <w:rFonts w:ascii="Arial" w:hAnsi="Arial" w:cs="Arial"/>
          <w:bCs/>
          <w:i/>
          <w:iCs/>
          <w:lang w:val="es-PA" w:eastAsia="es-CR"/>
        </w:rPr>
        <w:t>Frontiers</w:t>
      </w:r>
      <w:proofErr w:type="spellEnd"/>
      <w:r w:rsidRPr="00927F65">
        <w:rPr>
          <w:rFonts w:ascii="Arial" w:hAnsi="Arial" w:cs="Arial"/>
          <w:bCs/>
          <w:i/>
          <w:iCs/>
          <w:lang w:val="es-PA" w:eastAsia="es-CR"/>
        </w:rPr>
        <w:t> in </w:t>
      </w:r>
      <w:proofErr w:type="spellStart"/>
      <w:r w:rsidRPr="00927F65">
        <w:rPr>
          <w:rFonts w:ascii="Arial" w:hAnsi="Arial" w:cs="Arial"/>
          <w:bCs/>
          <w:i/>
          <w:iCs/>
          <w:lang w:val="es-PA" w:eastAsia="es-CR"/>
        </w:rPr>
        <w:t>Education</w:t>
      </w:r>
      <w:proofErr w:type="spellEnd"/>
      <w:r w:rsidRPr="00927F65">
        <w:rPr>
          <w:rFonts w:ascii="Arial" w:hAnsi="Arial" w:cs="Arial"/>
          <w:bCs/>
          <w:lang w:val="es-PA" w:eastAsia="es-CR"/>
        </w:rPr>
        <w:t>, </w:t>
      </w:r>
      <w:r w:rsidRPr="00927F65">
        <w:rPr>
          <w:rFonts w:ascii="Arial" w:hAnsi="Arial" w:cs="Arial"/>
          <w:bCs/>
          <w:i/>
          <w:iCs/>
          <w:lang w:val="es-PA" w:eastAsia="es-CR"/>
        </w:rPr>
        <w:t>10</w:t>
      </w:r>
      <w:r w:rsidRPr="00927F65">
        <w:rPr>
          <w:rFonts w:ascii="Arial" w:hAnsi="Arial" w:cs="Arial"/>
          <w:bCs/>
          <w:lang w:val="es-PA" w:eastAsia="es-CR"/>
        </w:rPr>
        <w:t>, 1720224. </w:t>
      </w:r>
      <w:hyperlink r:id="rId22" w:tgtFrame="_blank" w:history="1">
        <w:r w:rsidRPr="00927F65">
          <w:rPr>
            <w:rFonts w:ascii="Arial" w:hAnsi="Arial" w:cs="Arial"/>
            <w:bCs/>
            <w:lang w:val="es-PA" w:eastAsia="es-CR"/>
          </w:rPr>
          <w:t>https://doi.org/10.3389/feduc.2025.1720224</w:t>
        </w:r>
      </w:hyperlink>
      <w:r w:rsidRPr="00927F65">
        <w:rPr>
          <w:rFonts w:ascii="Arial" w:hAnsi="Arial" w:cs="Arial"/>
          <w:bCs/>
          <w:lang w:val="es-PA" w:eastAsia="es-CR"/>
        </w:rPr>
        <w:t> </w:t>
      </w:r>
      <w:r w:rsidRPr="00927F65">
        <w:rPr>
          <w:rFonts w:ascii="Arial" w:hAnsi="Arial" w:cs="Arial"/>
          <w:bCs/>
          <w:lang w:eastAsia="es-CR"/>
        </w:rPr>
        <w:t> </w:t>
      </w:r>
    </w:p>
    <w:p w14:paraId="0C9514F3" w14:textId="77777777" w:rsidR="00546B56" w:rsidRPr="00927F65" w:rsidRDefault="00546B56" w:rsidP="00927F65">
      <w:pPr>
        <w:spacing w:line="360" w:lineRule="auto"/>
        <w:ind w:left="709" w:hanging="709"/>
        <w:textAlignment w:val="baseline"/>
        <w:rPr>
          <w:rFonts w:ascii="Segoe UI" w:hAnsi="Segoe UI" w:cs="Segoe UI"/>
          <w:bCs/>
          <w:sz w:val="18"/>
          <w:szCs w:val="18"/>
          <w:lang w:val="pt-BR" w:eastAsia="es-CR"/>
        </w:rPr>
      </w:pPr>
      <w:r w:rsidRPr="00927F65">
        <w:rPr>
          <w:rFonts w:ascii="Arial" w:hAnsi="Arial" w:cs="Arial"/>
          <w:bCs/>
          <w:lang w:val="es-PA" w:eastAsia="es-CR"/>
        </w:rPr>
        <w:t>Ley 52 de 26 de junio de 2015 en Gaceta Oficial No. 27813-B de 30 de junio de 2015. </w:t>
      </w:r>
      <w:hyperlink r:id="rId23" w:tgtFrame="_blank" w:history="1">
        <w:r w:rsidRPr="00927F65">
          <w:rPr>
            <w:rFonts w:ascii="Arial" w:hAnsi="Arial" w:cs="Arial"/>
            <w:bCs/>
            <w:lang w:val="pt-BR" w:eastAsia="es-CR"/>
          </w:rPr>
          <w:t>https://www.gacetaoficial.gob.pa/pdfTemp/27813_B/51278.pdf</w:t>
        </w:r>
      </w:hyperlink>
      <w:r w:rsidRPr="00927F65">
        <w:rPr>
          <w:rFonts w:ascii="Arial" w:hAnsi="Arial" w:cs="Arial"/>
          <w:bCs/>
          <w:lang w:val="pt-BR" w:eastAsia="es-CR"/>
        </w:rPr>
        <w:t>  </w:t>
      </w:r>
    </w:p>
    <w:p w14:paraId="4E5174EF"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pt-BR" w:eastAsia="es-CR"/>
        </w:rPr>
        <w:t xml:space="preserve">López de Ramos, A. L. (2022). </w:t>
      </w:r>
      <w:r w:rsidRPr="00927F65">
        <w:rPr>
          <w:rFonts w:ascii="Arial" w:hAnsi="Arial" w:cs="Arial"/>
          <w:bCs/>
          <w:lang w:val="es-PA" w:eastAsia="es-CR"/>
        </w:rPr>
        <w:t>Evaluación institucional con fines de acreditación de las instituciones de Educación Superior en Panamá. </w:t>
      </w:r>
      <w:r w:rsidRPr="00927F65">
        <w:rPr>
          <w:rFonts w:ascii="Arial" w:hAnsi="Arial" w:cs="Arial"/>
          <w:bCs/>
          <w:i/>
          <w:iCs/>
          <w:lang w:val="es-PA" w:eastAsia="es-CR"/>
        </w:rPr>
        <w:t>Revista Pertinencia Académica, 6</w:t>
      </w:r>
      <w:r w:rsidRPr="00927F65">
        <w:rPr>
          <w:rFonts w:ascii="Arial" w:hAnsi="Arial" w:cs="Arial"/>
          <w:bCs/>
          <w:lang w:val="es-PA" w:eastAsia="es-CR"/>
        </w:rPr>
        <w:t>(1), 116–125. </w:t>
      </w:r>
      <w:hyperlink r:id="rId24" w:tgtFrame="_blank" w:history="1">
        <w:r w:rsidRPr="00927F65">
          <w:rPr>
            <w:rFonts w:ascii="Arial" w:hAnsi="Arial" w:cs="Arial"/>
            <w:bCs/>
            <w:lang w:val="es-PA" w:eastAsia="es-CR"/>
          </w:rPr>
          <w:t>https://revistas.utb.edu.ec/index.php/rpa/article/view/2635</w:t>
        </w:r>
      </w:hyperlink>
      <w:r w:rsidRPr="00927F65">
        <w:rPr>
          <w:rFonts w:ascii="Arial" w:hAnsi="Arial" w:cs="Arial"/>
          <w:bCs/>
          <w:lang w:val="es-PA" w:eastAsia="es-CR"/>
        </w:rPr>
        <w:t> </w:t>
      </w:r>
      <w:r w:rsidRPr="00927F65">
        <w:rPr>
          <w:rFonts w:ascii="Arial" w:hAnsi="Arial" w:cs="Arial"/>
          <w:bCs/>
          <w:lang w:eastAsia="es-CR"/>
        </w:rPr>
        <w:t> </w:t>
      </w:r>
    </w:p>
    <w:p w14:paraId="25FFD9AE"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eastAsia="es-CR"/>
        </w:rPr>
        <w:t>Medina Chalco, K. Y., Mamani Machaca, E. S. &amp; Barrientos Quintanilla, K. P. (2022). </w:t>
      </w:r>
      <w:r w:rsidRPr="00927F65">
        <w:rPr>
          <w:rFonts w:ascii="Arial" w:hAnsi="Arial" w:cs="Arial"/>
          <w:bCs/>
          <w:lang w:val="en-US" w:eastAsia="es-CR"/>
        </w:rPr>
        <w:t>Method for the Implementation of Standard 8 of the Accreditation Model SINEACE for Quality Assurance in the Accreditation Process of a Professional Program. En</w:t>
      </w:r>
      <w:r w:rsidRPr="00927F65">
        <w:rPr>
          <w:rFonts w:ascii="Arial" w:hAnsi="Arial" w:cs="Arial"/>
          <w:bCs/>
          <w:i/>
          <w:iCs/>
          <w:lang w:val="en-US" w:eastAsia="es-CR"/>
        </w:rPr>
        <w:t xml:space="preserve"> Proceedings of the LACCEI International Multi-Conference for Engineering, Education and Technology: "Education, Research and Leadership in Post-pandemic Engineering: Resilient, </w:t>
      </w:r>
      <w:r w:rsidRPr="00927F65">
        <w:rPr>
          <w:rFonts w:ascii="Arial" w:hAnsi="Arial" w:cs="Arial"/>
          <w:bCs/>
          <w:i/>
          <w:iCs/>
          <w:lang w:val="en-US" w:eastAsia="es-CR"/>
        </w:rPr>
        <w:lastRenderedPageBreak/>
        <w:t>Inclusive and Sustainable Actions"</w:t>
      </w:r>
      <w:r w:rsidRPr="00927F65">
        <w:rPr>
          <w:rFonts w:ascii="Arial" w:hAnsi="Arial" w:cs="Arial"/>
          <w:bCs/>
          <w:lang w:val="en-US" w:eastAsia="es-CR"/>
        </w:rPr>
        <w:t>. </w:t>
      </w:r>
      <w:hyperlink r:id="rId25" w:tgtFrame="_blank" w:history="1">
        <w:r w:rsidRPr="00927F65">
          <w:rPr>
            <w:rFonts w:ascii="Arial" w:hAnsi="Arial" w:cs="Arial"/>
            <w:bCs/>
            <w:lang w:eastAsia="es-CR"/>
          </w:rPr>
          <w:t>http://dx.doi.org/10.18687/LACCEI2022.1.1.273</w:t>
        </w:r>
      </w:hyperlink>
      <w:r w:rsidRPr="00927F65">
        <w:rPr>
          <w:rFonts w:ascii="Arial" w:hAnsi="Arial" w:cs="Arial"/>
          <w:bCs/>
          <w:lang w:eastAsia="es-CR"/>
        </w:rPr>
        <w:t>  </w:t>
      </w:r>
    </w:p>
    <w:p w14:paraId="634EAE6B"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Pesántez Avilés, J. M. (2011). La evaluación de la calidad en la educación superior: enfoques, modelos y tendencias. </w:t>
      </w:r>
      <w:r w:rsidRPr="00927F65">
        <w:rPr>
          <w:rFonts w:ascii="Arial" w:hAnsi="Arial" w:cs="Arial"/>
          <w:bCs/>
          <w:i/>
          <w:iCs/>
          <w:lang w:val="es-PA" w:eastAsia="es-CR"/>
        </w:rPr>
        <w:t>Revista Iberoamericana de Educación Superior, 2</w:t>
      </w:r>
      <w:r w:rsidRPr="00927F65">
        <w:rPr>
          <w:rFonts w:ascii="Arial" w:hAnsi="Arial" w:cs="Arial"/>
          <w:bCs/>
          <w:lang w:val="es-PA" w:eastAsia="es-CR"/>
        </w:rPr>
        <w:t>(4), 63-82. </w:t>
      </w:r>
      <w:hyperlink r:id="rId26" w:tgtFrame="_blank" w:history="1">
        <w:r w:rsidRPr="00927F65">
          <w:rPr>
            <w:rFonts w:ascii="Arial" w:hAnsi="Arial" w:cs="Arial"/>
            <w:bCs/>
            <w:lang w:val="es-PA" w:eastAsia="es-CR"/>
          </w:rPr>
          <w:t>https://doi.org/10.22201/iisue.20072872e.2011.4.35</w:t>
        </w:r>
      </w:hyperlink>
      <w:r w:rsidRPr="00927F65">
        <w:rPr>
          <w:rFonts w:ascii="Arial" w:hAnsi="Arial" w:cs="Arial"/>
          <w:bCs/>
          <w:lang w:val="es-PA" w:eastAsia="es-CR"/>
        </w:rPr>
        <w:t> </w:t>
      </w:r>
      <w:r w:rsidRPr="00927F65">
        <w:rPr>
          <w:rFonts w:ascii="Arial" w:hAnsi="Arial" w:cs="Arial"/>
          <w:bCs/>
          <w:lang w:eastAsia="es-CR"/>
        </w:rPr>
        <w:t> </w:t>
      </w:r>
    </w:p>
    <w:p w14:paraId="5C862047"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pt-BR" w:eastAsia="es-CR"/>
        </w:rPr>
        <w:t xml:space="preserve">Prado, J., Álvarez, A. &amp; Sousa, V. (2020). </w:t>
      </w:r>
      <w:r w:rsidRPr="00927F65">
        <w:rPr>
          <w:rFonts w:ascii="Arial" w:hAnsi="Arial" w:cs="Arial"/>
          <w:bCs/>
          <w:lang w:val="es-PA" w:eastAsia="es-CR"/>
        </w:rPr>
        <w:t>Estudio comparativo de los procesos de evaluación a nivel superior entre Panamá y Costa Rica. </w:t>
      </w:r>
      <w:r w:rsidRPr="00927F65">
        <w:rPr>
          <w:rFonts w:ascii="Arial" w:hAnsi="Arial" w:cs="Arial"/>
          <w:bCs/>
          <w:i/>
          <w:iCs/>
          <w:lang w:val="es-PA" w:eastAsia="es-CR"/>
        </w:rPr>
        <w:t>Revista Societas</w:t>
      </w:r>
      <w:r w:rsidRPr="00927F65">
        <w:rPr>
          <w:rFonts w:ascii="Arial" w:hAnsi="Arial" w:cs="Arial"/>
          <w:bCs/>
          <w:lang w:val="es-PA" w:eastAsia="es-CR"/>
        </w:rPr>
        <w:t>, </w:t>
      </w:r>
      <w:r w:rsidRPr="00927F65">
        <w:rPr>
          <w:rFonts w:ascii="Arial" w:hAnsi="Arial" w:cs="Arial"/>
          <w:bCs/>
          <w:i/>
          <w:iCs/>
          <w:lang w:val="es-PA" w:eastAsia="es-CR"/>
        </w:rPr>
        <w:t>1</w:t>
      </w:r>
      <w:r w:rsidRPr="00927F65">
        <w:rPr>
          <w:rFonts w:ascii="Arial" w:hAnsi="Arial" w:cs="Arial"/>
          <w:bCs/>
          <w:lang w:val="es-PA" w:eastAsia="es-CR"/>
        </w:rPr>
        <w:t>, 41-54. </w:t>
      </w:r>
      <w:hyperlink r:id="rId27" w:tgtFrame="_blank" w:history="1">
        <w:r w:rsidRPr="00927F65">
          <w:rPr>
            <w:rFonts w:ascii="Arial" w:hAnsi="Arial" w:cs="Arial"/>
            <w:bCs/>
            <w:lang w:val="es-PA" w:eastAsia="es-CR"/>
          </w:rPr>
          <w:t>https://revistas.up.ac.pa/index.php/societas/article/view/1906/1472</w:t>
        </w:r>
      </w:hyperlink>
      <w:r w:rsidRPr="00927F65">
        <w:rPr>
          <w:rFonts w:ascii="Arial" w:hAnsi="Arial" w:cs="Arial"/>
          <w:bCs/>
          <w:lang w:val="es-PA" w:eastAsia="es-CR"/>
        </w:rPr>
        <w:t>  </w:t>
      </w:r>
      <w:r w:rsidRPr="00927F65">
        <w:rPr>
          <w:rFonts w:ascii="Arial" w:hAnsi="Arial" w:cs="Arial"/>
          <w:bCs/>
          <w:lang w:eastAsia="es-CR"/>
        </w:rPr>
        <w:t> </w:t>
      </w:r>
    </w:p>
    <w:p w14:paraId="209122BB"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Quimi Franco, D. I. (2019). Sistemas de calidad enfocado a las normas ISO 9001 y 21001: caso Facultad de Ciencias Administrativas de la Universidad de Guayaquil. </w:t>
      </w:r>
      <w:r w:rsidRPr="00927F65">
        <w:rPr>
          <w:rFonts w:ascii="Arial" w:hAnsi="Arial" w:cs="Arial"/>
          <w:bCs/>
          <w:i/>
          <w:iCs/>
          <w:lang w:val="es-PA" w:eastAsia="es-CR"/>
        </w:rPr>
        <w:t>Universidad y Sociedad, 11</w:t>
      </w:r>
      <w:r w:rsidRPr="00927F65">
        <w:rPr>
          <w:rFonts w:ascii="Arial" w:hAnsi="Arial" w:cs="Arial"/>
          <w:bCs/>
          <w:lang w:val="es-PA" w:eastAsia="es-CR"/>
        </w:rPr>
        <w:t>(1), 279-288. </w:t>
      </w:r>
      <w:r w:rsidRPr="00927F65">
        <w:rPr>
          <w:rFonts w:ascii="Arial" w:hAnsi="Arial" w:cs="Arial"/>
          <w:bCs/>
          <w:lang w:eastAsia="es-CR"/>
        </w:rPr>
        <w:t> </w:t>
      </w:r>
    </w:p>
    <w:p w14:paraId="7AEE18BA" w14:textId="77777777" w:rsidR="00546B56" w:rsidRPr="00927F65" w:rsidRDefault="008D43BF" w:rsidP="00927F65">
      <w:pPr>
        <w:spacing w:line="360" w:lineRule="auto"/>
        <w:ind w:left="709" w:hanging="709"/>
        <w:textAlignment w:val="baseline"/>
        <w:rPr>
          <w:rFonts w:ascii="Segoe UI" w:hAnsi="Segoe UI" w:cs="Segoe UI"/>
          <w:bCs/>
          <w:sz w:val="18"/>
          <w:szCs w:val="18"/>
          <w:lang w:eastAsia="es-CR"/>
        </w:rPr>
      </w:pPr>
      <w:hyperlink r:id="rId28" w:tgtFrame="_blank" w:history="1">
        <w:r w:rsidR="00546B56" w:rsidRPr="00927F65">
          <w:rPr>
            <w:rFonts w:ascii="Arial" w:hAnsi="Arial" w:cs="Arial"/>
            <w:bCs/>
            <w:lang w:val="es-PA" w:eastAsia="es-CR"/>
          </w:rPr>
          <w:t>http://scielo.sld.cu/scielo.php?script=sci_arttext&amp;pid=S2218-36202019000100279</w:t>
        </w:r>
      </w:hyperlink>
      <w:r w:rsidR="00546B56" w:rsidRPr="00927F65">
        <w:rPr>
          <w:rFonts w:ascii="Arial" w:hAnsi="Arial" w:cs="Arial"/>
          <w:bCs/>
          <w:lang w:val="es-PA" w:eastAsia="es-CR"/>
        </w:rPr>
        <w:t> </w:t>
      </w:r>
      <w:r w:rsidR="00546B56" w:rsidRPr="00927F65">
        <w:rPr>
          <w:rFonts w:ascii="Arial" w:hAnsi="Arial" w:cs="Arial"/>
          <w:bCs/>
          <w:lang w:eastAsia="es-CR"/>
        </w:rPr>
        <w:t> </w:t>
      </w:r>
    </w:p>
    <w:p w14:paraId="1B378BA3"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s-PA" w:eastAsia="es-CR"/>
        </w:rPr>
        <w:t>Rivera Gutiérrez, E., Higuera Zimbrón, H. &amp; Santamaría Ortega, A. (2023). Sistematización de información para asegurar la calidad educativa. </w:t>
      </w:r>
      <w:r w:rsidRPr="00927F65">
        <w:rPr>
          <w:rFonts w:ascii="Arial" w:hAnsi="Arial" w:cs="Arial"/>
          <w:bCs/>
          <w:i/>
          <w:iCs/>
          <w:lang w:val="es-PA" w:eastAsia="es-CR"/>
        </w:rPr>
        <w:t>Actas de Diseño</w:t>
      </w:r>
      <w:r w:rsidRPr="00927F65">
        <w:rPr>
          <w:rFonts w:ascii="Arial" w:hAnsi="Arial" w:cs="Arial"/>
          <w:bCs/>
          <w:lang w:val="es-PA" w:eastAsia="es-CR"/>
        </w:rPr>
        <w:t>, </w:t>
      </w:r>
      <w:r w:rsidRPr="00927F65">
        <w:rPr>
          <w:rFonts w:ascii="Arial" w:hAnsi="Arial" w:cs="Arial"/>
          <w:bCs/>
          <w:i/>
          <w:iCs/>
          <w:lang w:val="es-PA" w:eastAsia="es-CR"/>
        </w:rPr>
        <w:t>43</w:t>
      </w:r>
      <w:r w:rsidRPr="00927F65">
        <w:rPr>
          <w:rFonts w:ascii="Arial" w:hAnsi="Arial" w:cs="Arial"/>
          <w:bCs/>
          <w:lang w:val="es-PA" w:eastAsia="es-CR"/>
        </w:rPr>
        <w:t>, 312-318. </w:t>
      </w:r>
      <w:hyperlink r:id="rId29" w:tgtFrame="_blank" w:history="1">
        <w:r w:rsidRPr="00927F65">
          <w:rPr>
            <w:rFonts w:ascii="Arial" w:hAnsi="Arial" w:cs="Arial"/>
            <w:bCs/>
            <w:lang w:val="es-PA" w:eastAsia="es-CR"/>
          </w:rPr>
          <w:t>https://dspace.palermo.edu/ojs/index.php/actas/article/view/9713/16377</w:t>
        </w:r>
      </w:hyperlink>
      <w:r w:rsidRPr="00927F65">
        <w:rPr>
          <w:rFonts w:ascii="Arial" w:hAnsi="Arial" w:cs="Arial"/>
          <w:bCs/>
          <w:lang w:val="es-PA" w:eastAsia="es-CR"/>
        </w:rPr>
        <w:t> </w:t>
      </w:r>
      <w:r w:rsidRPr="00927F65">
        <w:rPr>
          <w:rFonts w:ascii="Arial" w:hAnsi="Arial" w:cs="Arial"/>
          <w:bCs/>
          <w:lang w:eastAsia="es-CR"/>
        </w:rPr>
        <w:t> </w:t>
      </w:r>
    </w:p>
    <w:p w14:paraId="3CF4ADA1" w14:textId="77777777" w:rsidR="00546B56" w:rsidRPr="00927F65" w:rsidRDefault="00546B56" w:rsidP="00927F65">
      <w:pPr>
        <w:spacing w:line="360" w:lineRule="auto"/>
        <w:ind w:left="709" w:hanging="709"/>
        <w:textAlignment w:val="baseline"/>
        <w:rPr>
          <w:rFonts w:ascii="Segoe UI" w:hAnsi="Segoe UI" w:cs="Segoe UI"/>
          <w:bCs/>
          <w:sz w:val="18"/>
          <w:szCs w:val="18"/>
          <w:lang w:val="en-US" w:eastAsia="es-CR"/>
        </w:rPr>
      </w:pPr>
      <w:r w:rsidRPr="00927F65">
        <w:rPr>
          <w:rFonts w:ascii="Arial" w:hAnsi="Arial" w:cs="Arial"/>
          <w:bCs/>
          <w:lang w:val="en-US" w:eastAsia="es-CR"/>
        </w:rPr>
        <w:t xml:space="preserve">Samuel, S. &amp; Farrer, H. (2025). Integrating the PDCA Cycle for Continuous Improvement and Academic Quality Enhancement in Higher </w:t>
      </w:r>
      <w:r w:rsidRPr="00927F65">
        <w:rPr>
          <w:rFonts w:ascii="Arial" w:hAnsi="Arial" w:cs="Arial"/>
          <w:bCs/>
          <w:lang w:val="en-US" w:eastAsia="es-CR"/>
        </w:rPr>
        <w:lastRenderedPageBreak/>
        <w:t>Education. </w:t>
      </w:r>
      <w:r w:rsidRPr="00927F65">
        <w:rPr>
          <w:rFonts w:ascii="Arial" w:hAnsi="Arial" w:cs="Arial"/>
          <w:bCs/>
          <w:i/>
          <w:iCs/>
          <w:lang w:val="en-US" w:eastAsia="es-CR"/>
        </w:rPr>
        <w:t>Journal of Comparative &amp; International Higher Education</w:t>
      </w:r>
      <w:r w:rsidRPr="00927F65">
        <w:rPr>
          <w:rFonts w:ascii="Arial" w:hAnsi="Arial" w:cs="Arial"/>
          <w:bCs/>
          <w:lang w:val="en-US" w:eastAsia="es-CR"/>
        </w:rPr>
        <w:t>, </w:t>
      </w:r>
      <w:r w:rsidRPr="00927F65">
        <w:rPr>
          <w:rFonts w:ascii="Arial" w:hAnsi="Arial" w:cs="Arial"/>
          <w:bCs/>
          <w:i/>
          <w:iCs/>
          <w:lang w:val="en-US" w:eastAsia="es-CR"/>
        </w:rPr>
        <w:t>17</w:t>
      </w:r>
      <w:r w:rsidRPr="00927F65">
        <w:rPr>
          <w:rFonts w:ascii="Arial" w:hAnsi="Arial" w:cs="Arial"/>
          <w:bCs/>
          <w:lang w:val="en-US" w:eastAsia="es-CR"/>
        </w:rPr>
        <w:t>(2), 115-124. </w:t>
      </w:r>
      <w:hyperlink r:id="rId30" w:tgtFrame="_blank" w:history="1">
        <w:r w:rsidRPr="00927F65">
          <w:rPr>
            <w:rFonts w:ascii="Arial" w:hAnsi="Arial" w:cs="Arial"/>
            <w:bCs/>
            <w:lang w:val="en-US" w:eastAsia="es-CR"/>
          </w:rPr>
          <w:t>https://digitalcommons.lib.uconn.edu/jcihe/vol17/iss2/12</w:t>
        </w:r>
      </w:hyperlink>
      <w:r w:rsidRPr="00927F65">
        <w:rPr>
          <w:rFonts w:ascii="Arial" w:hAnsi="Arial" w:cs="Arial"/>
          <w:bCs/>
          <w:lang w:val="en-US" w:eastAsia="es-CR"/>
        </w:rPr>
        <w:t>   </w:t>
      </w:r>
    </w:p>
    <w:p w14:paraId="11B5C2EC" w14:textId="77777777" w:rsidR="00546B56" w:rsidRPr="00927F65" w:rsidRDefault="00546B56" w:rsidP="00927F65">
      <w:pPr>
        <w:spacing w:line="360" w:lineRule="auto"/>
        <w:ind w:left="709" w:hanging="709"/>
        <w:textAlignment w:val="baseline"/>
        <w:rPr>
          <w:rFonts w:ascii="Segoe UI" w:hAnsi="Segoe UI" w:cs="Segoe UI"/>
          <w:bCs/>
          <w:sz w:val="18"/>
          <w:szCs w:val="18"/>
          <w:lang w:eastAsia="es-CR"/>
        </w:rPr>
      </w:pPr>
      <w:r w:rsidRPr="00927F65">
        <w:rPr>
          <w:rFonts w:ascii="Arial" w:hAnsi="Arial" w:cs="Arial"/>
          <w:bCs/>
          <w:lang w:val="en-US" w:eastAsia="es-CR"/>
        </w:rPr>
        <w:t>Yin, R. K. (2018). </w:t>
      </w:r>
      <w:r w:rsidRPr="00927F65">
        <w:rPr>
          <w:rFonts w:ascii="Arial" w:hAnsi="Arial" w:cs="Arial"/>
          <w:bCs/>
          <w:i/>
          <w:iCs/>
          <w:lang w:val="en-US" w:eastAsia="es-CR"/>
        </w:rPr>
        <w:t>Case study research and applications: Design and methods</w:t>
      </w:r>
      <w:r w:rsidRPr="00927F65">
        <w:rPr>
          <w:rFonts w:ascii="Arial" w:hAnsi="Arial" w:cs="Arial"/>
          <w:bCs/>
          <w:lang w:val="en-US" w:eastAsia="es-CR"/>
        </w:rPr>
        <w:t>. SAGE Publications.</w:t>
      </w:r>
      <w:r w:rsidRPr="00927F65">
        <w:rPr>
          <w:rFonts w:ascii="Arial" w:hAnsi="Arial" w:cs="Arial"/>
          <w:bCs/>
          <w:lang w:eastAsia="es-CR"/>
        </w:rPr>
        <w:t> </w:t>
      </w:r>
    </w:p>
    <w:p w14:paraId="3BD5C038" w14:textId="1F0681C5" w:rsidR="00190DE8" w:rsidRPr="00927F65" w:rsidRDefault="00190DE8" w:rsidP="00927F65">
      <w:pPr>
        <w:spacing w:line="360" w:lineRule="auto"/>
        <w:ind w:left="709" w:hanging="709"/>
        <w:rPr>
          <w:rFonts w:ascii="Arial" w:hAnsi="Arial" w:cs="Arial"/>
          <w:b/>
        </w:rPr>
      </w:pPr>
    </w:p>
    <w:sectPr w:rsidR="00190DE8" w:rsidRPr="00927F65" w:rsidSect="00E06A93">
      <w:headerReference w:type="default" r:id="rId31"/>
      <w:footerReference w:type="default" r:id="rId32"/>
      <w:type w:val="continuous"/>
      <w:pgSz w:w="12240" w:h="15840"/>
      <w:pgMar w:top="1417" w:right="1750" w:bottom="1411" w:left="1701" w:header="708" w:footer="708" w:gutter="0"/>
      <w:pgNumType w:start="3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29B09" w14:textId="77777777" w:rsidR="00C91B9F" w:rsidRDefault="00C91B9F" w:rsidP="003C3F58">
      <w:r>
        <w:separator/>
      </w:r>
    </w:p>
  </w:endnote>
  <w:endnote w:type="continuationSeparator" w:id="0">
    <w:p w14:paraId="57E59A5B" w14:textId="77777777" w:rsidR="00C91B9F" w:rsidRDefault="00C91B9F"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546B56" w:rsidRPr="002E52DF" w:rsidRDefault="00546B56"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6073D77F" w14:textId="77777777" w:rsidR="00546B56" w:rsidRDefault="00546B56" w:rsidP="0020679D">
        <w:pPr>
          <w:pStyle w:val="Sinespaciado"/>
          <w:jc w:val="center"/>
          <w:rPr>
            <w:rFonts w:ascii="Agency FB" w:hAnsi="Agency FB"/>
            <w:b/>
            <w:color w:val="E36C0A"/>
          </w:rPr>
        </w:pPr>
        <w:r w:rsidRPr="003B132D">
          <w:rPr>
            <w:rFonts w:ascii="Agency FB" w:hAnsi="Agency FB"/>
            <w:b/>
            <w:color w:val="E36C0A"/>
          </w:rPr>
          <w:t>Sistematización de la autoevaluación institucional en la Universidad Internacional de Ciencia y Tecnología mediante un sistema de gestión de la calidad: Estudio de Caso</w:t>
        </w:r>
      </w:p>
      <w:p w14:paraId="2EF245E8" w14:textId="2ABE1DC8" w:rsidR="00546B56" w:rsidRPr="00BC0D99" w:rsidRDefault="00546B56" w:rsidP="0020679D">
        <w:pPr>
          <w:pStyle w:val="Sinespaciado"/>
          <w:jc w:val="center"/>
          <w:rPr>
            <w:rFonts w:ascii="Agency FB" w:hAnsi="Agency FB"/>
            <w:color w:val="E36C0A"/>
            <w:lang w:val="es-CR"/>
          </w:rPr>
        </w:pPr>
        <w:r w:rsidRPr="003B132D">
          <w:rPr>
            <w:rFonts w:ascii="Agency FB" w:hAnsi="Agency FB"/>
            <w:color w:val="E36C0A"/>
            <w:lang w:val="es-CR"/>
          </w:rPr>
          <w:t>Aurora</w:t>
        </w:r>
        <w:r w:rsidR="00C6192C">
          <w:rPr>
            <w:rFonts w:ascii="Agency FB" w:hAnsi="Agency FB"/>
            <w:color w:val="E36C0A"/>
            <w:lang w:val="es-CR"/>
          </w:rPr>
          <w:t>-</w:t>
        </w:r>
        <w:r w:rsidRPr="003B132D">
          <w:rPr>
            <w:rFonts w:ascii="Agency FB" w:hAnsi="Agency FB"/>
            <w:color w:val="E36C0A"/>
            <w:lang w:val="es-CR"/>
          </w:rPr>
          <w:t>L. López-de-Ramos</w:t>
        </w:r>
        <w:r>
          <w:rPr>
            <w:rFonts w:ascii="Agency FB" w:hAnsi="Agency FB"/>
            <w:color w:val="E36C0A"/>
            <w:lang w:val="es-CR"/>
          </w:rPr>
          <w:t xml:space="preserve">, </w:t>
        </w:r>
        <w:r w:rsidRPr="003B132D">
          <w:rPr>
            <w:rFonts w:ascii="Agency FB" w:hAnsi="Agency FB"/>
            <w:color w:val="E36C0A"/>
            <w:lang w:val="es-CR"/>
          </w:rPr>
          <w:t>Magaly Briceño y William Núñez-Alarcón</w:t>
        </w:r>
      </w:p>
      <w:p w14:paraId="1F70B1D2" w14:textId="350D1A19" w:rsidR="00546B56" w:rsidRPr="009A105E" w:rsidRDefault="00546B56" w:rsidP="0020679D">
        <w:pPr>
          <w:pStyle w:val="Sinespaciado"/>
          <w:jc w:val="center"/>
          <w:rPr>
            <w:rFonts w:ascii="Agency FB" w:hAnsi="Agency FB"/>
            <w:color w:val="E36C0A"/>
          </w:rPr>
        </w:pPr>
        <w:r w:rsidRPr="009A105E">
          <w:rPr>
            <w:rFonts w:ascii="Agency FB" w:hAnsi="Agency FB"/>
            <w:color w:val="E36C0A"/>
          </w:rPr>
          <w:t xml:space="preserve">DOI: </w:t>
        </w:r>
        <w:r w:rsidRPr="00C6192C">
          <w:rPr>
            <w:rFonts w:ascii="Agency FB" w:hAnsi="Agency FB"/>
            <w:color w:val="0070C0"/>
          </w:rPr>
          <w:t>http://dx.doi.org/10.22458/caes.v17i1.6355</w:t>
        </w:r>
      </w:p>
      <w:p w14:paraId="416290C8" w14:textId="17170D1B" w:rsidR="00546B56" w:rsidRPr="0066186F" w:rsidRDefault="00546B56" w:rsidP="0020679D">
        <w:pPr>
          <w:pStyle w:val="Sinespaciado"/>
          <w:tabs>
            <w:tab w:val="center" w:pos="4929"/>
            <w:tab w:val="left" w:pos="8661"/>
          </w:tabs>
          <w:rPr>
            <w:rFonts w:ascii="Agency FB" w:hAnsi="Agency FB"/>
            <w:color w:val="E36C0A"/>
          </w:rPr>
        </w:pPr>
        <w:r w:rsidRPr="009A105E">
          <w:rPr>
            <w:rFonts w:ascii="Agency FB" w:hAnsi="Agency FB"/>
            <w:color w:val="E36C0A"/>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546B56" w:rsidRPr="0066186F" w:rsidRDefault="00546B56" w:rsidP="0020679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w:t>
        </w:r>
        <w:proofErr w:type="spellStart"/>
        <w:r w:rsidRPr="0066186F">
          <w:rPr>
            <w:rFonts w:ascii="Agency FB" w:hAnsi="Agency FB"/>
            <w:color w:val="E36C0A"/>
          </w:rPr>
          <w:t>Commons</w:t>
        </w:r>
        <w:proofErr w:type="spellEnd"/>
      </w:p>
      <w:p w14:paraId="3F5133F0" w14:textId="6E2159C7" w:rsidR="00546B56" w:rsidRDefault="00546B56">
        <w:pPr>
          <w:pStyle w:val="Piedepgina"/>
          <w:jc w:val="right"/>
        </w:pPr>
        <w:r>
          <w:fldChar w:fldCharType="begin"/>
        </w:r>
        <w:r>
          <w:instrText>PAGE   \* MERGEFORMAT</w:instrText>
        </w:r>
        <w:r>
          <w:fldChar w:fldCharType="separate"/>
        </w:r>
        <w:r>
          <w:rPr>
            <w:lang w:val="es-ES"/>
          </w:rPr>
          <w:t>2</w:t>
        </w:r>
        <w:r>
          <w:fldChar w:fldCharType="end"/>
        </w:r>
      </w:p>
    </w:sdtContent>
  </w:sdt>
  <w:p w14:paraId="6947854C" w14:textId="058EA153" w:rsidR="00546B56" w:rsidRPr="0020679D" w:rsidRDefault="00C6192C" w:rsidP="00C6192C">
    <w:pPr>
      <w:pStyle w:val="Piedepgina"/>
      <w:tabs>
        <w:tab w:val="clear" w:pos="4419"/>
        <w:tab w:val="clear" w:pos="8838"/>
        <w:tab w:val="left" w:pos="1440"/>
      </w:tabs>
      <w:rPr>
        <w:lang w:val="es-ES_tradnl"/>
      </w:rPr>
    </w:pPr>
    <w:r>
      <w:rPr>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277CC" w14:textId="77777777" w:rsidR="00C91B9F" w:rsidRDefault="00C91B9F" w:rsidP="003C3F58">
      <w:r>
        <w:separator/>
      </w:r>
    </w:p>
  </w:footnote>
  <w:footnote w:type="continuationSeparator" w:id="0">
    <w:p w14:paraId="73652484" w14:textId="77777777" w:rsidR="00C91B9F" w:rsidRDefault="00C91B9F" w:rsidP="003C3F58">
      <w:r>
        <w:continuationSeparator/>
      </w:r>
    </w:p>
  </w:footnote>
  <w:footnote w:id="1">
    <w:p w14:paraId="3CA3C2B7" w14:textId="77777777" w:rsidR="00C567FF" w:rsidRPr="00F568E6" w:rsidRDefault="00C567FF" w:rsidP="00C567FF">
      <w:pPr>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436518">
        <w:rPr>
          <w:rFonts w:ascii="Arial" w:hAnsi="Arial" w:cs="Arial"/>
          <w:color w:val="000000" w:themeColor="text1"/>
          <w:sz w:val="18"/>
          <w:szCs w:val="18"/>
        </w:rPr>
        <w:t>Investigadora del Centro de Investigación Educativa (CIEDU AIP) y docente de la Universidad Internacional de Ciencia y Tecnología</w:t>
      </w:r>
      <w:r>
        <w:rPr>
          <w:rFonts w:ascii="Arial" w:hAnsi="Arial" w:cs="Arial"/>
          <w:color w:val="000000" w:themeColor="text1"/>
          <w:sz w:val="18"/>
          <w:szCs w:val="18"/>
        </w:rPr>
        <w:t>.</w:t>
      </w:r>
      <w:r w:rsidRPr="00A0245B">
        <w:rPr>
          <w:rFonts w:ascii="Arial" w:hAnsi="Arial" w:cs="Arial"/>
          <w:noProof/>
          <w:lang w:eastAsia="es-CR"/>
        </w:rPr>
        <w:drawing>
          <wp:inline distT="0" distB="0" distL="0" distR="0" wp14:anchorId="7171BE5E" wp14:editId="33A11ED3">
            <wp:extent cx="123825" cy="123825"/>
            <wp:effectExtent l="0" t="0" r="9525" b="9525"/>
            <wp:docPr id="537572850" name="Imagen 53757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436518">
        <w:t xml:space="preserve"> </w:t>
      </w:r>
      <w:hyperlink r:id="rId2" w:history="1">
        <w:r w:rsidRPr="002D7EA5">
          <w:rPr>
            <w:rStyle w:val="Hipervnculo"/>
            <w:rFonts w:ascii="Arial" w:hAnsi="Arial" w:cs="Arial"/>
            <w:sz w:val="20"/>
            <w:szCs w:val="20"/>
            <w:lang w:eastAsia="es-CR"/>
          </w:rPr>
          <w:t>https://orcid.org/0000-0002-8983-9704</w:t>
        </w:r>
      </w:hyperlink>
      <w:r>
        <w:rPr>
          <w:rFonts w:ascii="Arial" w:hAnsi="Arial" w:cs="Arial"/>
          <w:sz w:val="20"/>
          <w:szCs w:val="20"/>
          <w:lang w:eastAsia="es-CR"/>
        </w:rPr>
        <w:t xml:space="preserve"> </w:t>
      </w:r>
    </w:p>
  </w:footnote>
  <w:footnote w:id="2">
    <w:p w14:paraId="2CD8F1A2" w14:textId="77777777" w:rsidR="00C567FF" w:rsidRPr="003C3F58" w:rsidRDefault="00C567FF" w:rsidP="00C567FF">
      <w:pPr>
        <w:rPr>
          <w:lang w:val="es-ES"/>
        </w:rPr>
      </w:pPr>
      <w:r>
        <w:rPr>
          <w:rStyle w:val="Refdenotaalpie"/>
          <w:rFonts w:eastAsia="Arial"/>
        </w:rPr>
        <w:footnoteRef/>
      </w:r>
      <w:r>
        <w:t xml:space="preserve"> </w:t>
      </w:r>
      <w:r w:rsidRPr="00C241E6">
        <w:rPr>
          <w:rFonts w:ascii="Arial" w:hAnsi="Arial" w:cs="Arial"/>
          <w:color w:val="000000" w:themeColor="text1"/>
          <w:sz w:val="18"/>
          <w:szCs w:val="18"/>
        </w:rPr>
        <w:t>Docente e investigadora de la Universidad Internacional de Ciencia y Tecnología (</w:t>
      </w:r>
      <w:proofErr w:type="spellStart"/>
      <w:r w:rsidRPr="00C241E6">
        <w:rPr>
          <w:rFonts w:ascii="Arial" w:hAnsi="Arial" w:cs="Arial"/>
          <w:color w:val="000000" w:themeColor="text1"/>
          <w:sz w:val="18"/>
          <w:szCs w:val="18"/>
        </w:rPr>
        <w:t>UNICyT</w:t>
      </w:r>
      <w:proofErr w:type="spellEnd"/>
      <w:r w:rsidRPr="00C241E6">
        <w:rPr>
          <w:rFonts w:ascii="Arial" w:hAnsi="Arial" w:cs="Arial"/>
          <w:color w:val="000000" w:themeColor="text1"/>
          <w:sz w:val="18"/>
          <w:szCs w:val="18"/>
        </w:rPr>
        <w:t>).</w:t>
      </w:r>
      <w:r w:rsidRPr="00F568E6">
        <w:rPr>
          <w:rFonts w:ascii="Arial" w:hAnsi="Arial" w:cs="Arial"/>
          <w:color w:val="000000" w:themeColor="text1"/>
          <w:sz w:val="18"/>
          <w:szCs w:val="18"/>
        </w:rPr>
        <w:t xml:space="preserve"> </w:t>
      </w:r>
      <w:r w:rsidRPr="00A0245B">
        <w:rPr>
          <w:rFonts w:ascii="Arial" w:hAnsi="Arial" w:cs="Arial"/>
          <w:noProof/>
          <w:lang w:eastAsia="es-CR"/>
        </w:rPr>
        <w:drawing>
          <wp:inline distT="0" distB="0" distL="0" distR="0" wp14:anchorId="19BAA261" wp14:editId="27F42481">
            <wp:extent cx="123825" cy="123825"/>
            <wp:effectExtent l="0" t="0" r="9525" b="9525"/>
            <wp:docPr id="543906233" name="Imagen 543906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241E6">
        <w:t xml:space="preserve"> </w:t>
      </w:r>
      <w:hyperlink r:id="rId3" w:history="1">
        <w:r w:rsidRPr="002D7EA5">
          <w:rPr>
            <w:rStyle w:val="Hipervnculo"/>
            <w:rFonts w:ascii="Arial" w:hAnsi="Arial" w:cs="Arial"/>
            <w:sz w:val="20"/>
            <w:szCs w:val="20"/>
            <w:lang w:eastAsia="es-CR"/>
          </w:rPr>
          <w:t>https://orcid.org/0009-0006-4562-6607</w:t>
        </w:r>
      </w:hyperlink>
      <w:r>
        <w:rPr>
          <w:rFonts w:ascii="Arial" w:hAnsi="Arial" w:cs="Arial"/>
          <w:sz w:val="20"/>
          <w:szCs w:val="20"/>
          <w:lang w:eastAsia="es-CR"/>
        </w:rPr>
        <w:t xml:space="preserve"> </w:t>
      </w:r>
    </w:p>
  </w:footnote>
  <w:footnote w:id="3">
    <w:p w14:paraId="497BB9D3" w14:textId="77777777" w:rsidR="00C567FF" w:rsidRPr="003C3F58" w:rsidRDefault="00C567FF" w:rsidP="00C567FF">
      <w:pPr>
        <w:rPr>
          <w:lang w:val="es-ES"/>
        </w:rPr>
      </w:pPr>
      <w:r>
        <w:rPr>
          <w:rStyle w:val="Refdenotaalpie"/>
          <w:rFonts w:eastAsia="Arial"/>
        </w:rPr>
        <w:footnoteRef/>
      </w:r>
      <w:r>
        <w:t xml:space="preserve"> </w:t>
      </w:r>
      <w:r w:rsidRPr="00C241E6">
        <w:rPr>
          <w:rFonts w:ascii="Arial" w:hAnsi="Arial" w:cs="Arial"/>
          <w:color w:val="000000" w:themeColor="text1"/>
          <w:sz w:val="18"/>
          <w:szCs w:val="18"/>
        </w:rPr>
        <w:t>Rector e investigador de la Universidad Internacional de Ciencia y Tecnología (</w:t>
      </w:r>
      <w:proofErr w:type="spellStart"/>
      <w:r w:rsidRPr="00C241E6">
        <w:rPr>
          <w:rFonts w:ascii="Arial" w:hAnsi="Arial" w:cs="Arial"/>
          <w:color w:val="000000" w:themeColor="text1"/>
          <w:sz w:val="18"/>
          <w:szCs w:val="18"/>
        </w:rPr>
        <w:t>UNICyT</w:t>
      </w:r>
      <w:proofErr w:type="spellEnd"/>
      <w:r w:rsidRPr="00C241E6">
        <w:rPr>
          <w:rFonts w:ascii="Arial" w:hAnsi="Arial" w:cs="Arial"/>
          <w:color w:val="000000" w:themeColor="text1"/>
          <w:sz w:val="18"/>
          <w:szCs w:val="18"/>
        </w:rPr>
        <w:t>).</w:t>
      </w:r>
      <w:r w:rsidRPr="00A0245B">
        <w:rPr>
          <w:rFonts w:ascii="Arial" w:hAnsi="Arial" w:cs="Arial"/>
          <w:noProof/>
          <w:lang w:eastAsia="es-CR"/>
        </w:rPr>
        <w:drawing>
          <wp:inline distT="0" distB="0" distL="0" distR="0" wp14:anchorId="2A94A374" wp14:editId="234F5DC7">
            <wp:extent cx="123825" cy="123825"/>
            <wp:effectExtent l="0" t="0" r="9525" b="9525"/>
            <wp:docPr id="258037445" name="Imagen 25803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241E6">
        <w:t xml:space="preserve"> </w:t>
      </w:r>
      <w:hyperlink r:id="rId4" w:history="1">
        <w:r w:rsidRPr="002D7EA5">
          <w:rPr>
            <w:rStyle w:val="Hipervnculo"/>
            <w:rFonts w:ascii="Arial" w:hAnsi="Arial" w:cs="Arial"/>
            <w:sz w:val="20"/>
            <w:szCs w:val="20"/>
            <w:lang w:eastAsia="es-CR"/>
          </w:rPr>
          <w:t>https://orcid.org/0000-0002-1432-3068</w:t>
        </w:r>
      </w:hyperlink>
      <w:r>
        <w:rPr>
          <w:rFonts w:ascii="Arial" w:hAnsi="Arial" w:cs="Arial"/>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67F3D41" w:rsidR="00546B56" w:rsidRPr="00F4765F" w:rsidRDefault="00546B56"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009A105E">
      <w:rPr>
        <w:rFonts w:ascii="Agency FB" w:hAnsi="Agency FB"/>
        <w:color w:val="E36C0A"/>
        <w:sz w:val="20"/>
        <w:szCs w:val="20"/>
      </w:rPr>
      <w:t>37</w:t>
    </w:r>
    <w:r w:rsidR="008D43BF">
      <w:rPr>
        <w:rFonts w:ascii="Agency FB" w:hAnsi="Agency FB"/>
        <w:color w:val="E36C0A"/>
        <w:sz w:val="20"/>
        <w:szCs w:val="20"/>
      </w:rPr>
      <w:t>6</w:t>
    </w:r>
    <w:r w:rsidR="009A105E">
      <w:rPr>
        <w:rFonts w:ascii="Agency FB" w:hAnsi="Agency FB"/>
        <w:color w:val="E36C0A"/>
        <w:sz w:val="20"/>
        <w:szCs w:val="20"/>
      </w:rPr>
      <w:t>-41</w:t>
    </w:r>
    <w:r w:rsidR="008D43BF">
      <w:rPr>
        <w:rFonts w:ascii="Agency FB" w:hAnsi="Agency FB"/>
        <w:color w:val="E36C0A"/>
        <w:sz w:val="20"/>
        <w:szCs w:val="20"/>
      </w:rPr>
      <w:t>0</w:t>
    </w:r>
  </w:p>
  <w:p w14:paraId="505074AE" w14:textId="23F9002B" w:rsidR="00546B56" w:rsidRPr="00FE0969" w:rsidRDefault="00546B56"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546B56" w:rsidRPr="0081623B" w:rsidRDefault="008D43BF" w:rsidP="00A82B98">
    <w:pPr>
      <w:pStyle w:val="Sinespaciado"/>
      <w:jc w:val="center"/>
      <w:rPr>
        <w:rFonts w:ascii="Agency FB" w:hAnsi="Agency FB"/>
        <w:color w:val="E36C0A"/>
      </w:rPr>
    </w:pPr>
    <w:hyperlink r:id="rId2" w:history="1">
      <w:r w:rsidR="00546B56" w:rsidRPr="0081623B">
        <w:rPr>
          <w:color w:val="E36C0A"/>
        </w:rPr>
        <w:t>http://revistas.uned.ac.cr./index.php/revistacalidad</w:t>
      </w:r>
    </w:hyperlink>
  </w:p>
  <w:p w14:paraId="3F557B39" w14:textId="77777777" w:rsidR="00546B56" w:rsidRPr="0081623B" w:rsidRDefault="00546B56"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546B56" w:rsidRDefault="00546B56"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546B56" w:rsidRDefault="00546B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8BF"/>
    <w:multiLevelType w:val="multilevel"/>
    <w:tmpl w:val="4FDC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620BD"/>
    <w:multiLevelType w:val="multilevel"/>
    <w:tmpl w:val="71BA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D2823"/>
    <w:multiLevelType w:val="hybridMultilevel"/>
    <w:tmpl w:val="13F2AB7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20506358"/>
    <w:multiLevelType w:val="multilevel"/>
    <w:tmpl w:val="E598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A36B5"/>
    <w:multiLevelType w:val="multilevel"/>
    <w:tmpl w:val="FF32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4420C8"/>
    <w:multiLevelType w:val="multilevel"/>
    <w:tmpl w:val="972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F94857"/>
    <w:multiLevelType w:val="hybridMultilevel"/>
    <w:tmpl w:val="D3FC199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363F44A5"/>
    <w:multiLevelType w:val="multilevel"/>
    <w:tmpl w:val="636E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40994"/>
    <w:multiLevelType w:val="hybridMultilevel"/>
    <w:tmpl w:val="5DDC24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A5B6C6F"/>
    <w:multiLevelType w:val="multilevel"/>
    <w:tmpl w:val="4116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B7936"/>
    <w:multiLevelType w:val="multilevel"/>
    <w:tmpl w:val="A0F6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310475"/>
    <w:multiLevelType w:val="multilevel"/>
    <w:tmpl w:val="5B6C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A84034"/>
    <w:multiLevelType w:val="hybridMultilevel"/>
    <w:tmpl w:val="A5E25AD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15:restartNumberingAfterBreak="0">
    <w:nsid w:val="48AD5E7C"/>
    <w:multiLevelType w:val="multilevel"/>
    <w:tmpl w:val="FD68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1607EF"/>
    <w:multiLevelType w:val="multilevel"/>
    <w:tmpl w:val="FA82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A54C54"/>
    <w:multiLevelType w:val="multilevel"/>
    <w:tmpl w:val="DA66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CC2B5B"/>
    <w:multiLevelType w:val="multilevel"/>
    <w:tmpl w:val="FAA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197FE0"/>
    <w:multiLevelType w:val="multilevel"/>
    <w:tmpl w:val="F4EE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7D267C"/>
    <w:multiLevelType w:val="multilevel"/>
    <w:tmpl w:val="4904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5A120A"/>
    <w:multiLevelType w:val="multilevel"/>
    <w:tmpl w:val="6AF2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764ABD"/>
    <w:multiLevelType w:val="multilevel"/>
    <w:tmpl w:val="F6D6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063FF"/>
    <w:multiLevelType w:val="multilevel"/>
    <w:tmpl w:val="EF14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B90A1B"/>
    <w:multiLevelType w:val="multilevel"/>
    <w:tmpl w:val="CF96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720147"/>
    <w:multiLevelType w:val="hybridMultilevel"/>
    <w:tmpl w:val="5BAE8B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C812FFA"/>
    <w:multiLevelType w:val="multilevel"/>
    <w:tmpl w:val="8BEC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9"/>
  </w:num>
  <w:num w:numId="3">
    <w:abstractNumId w:val="17"/>
  </w:num>
  <w:num w:numId="4">
    <w:abstractNumId w:val="15"/>
  </w:num>
  <w:num w:numId="5">
    <w:abstractNumId w:val="4"/>
  </w:num>
  <w:num w:numId="6">
    <w:abstractNumId w:val="16"/>
  </w:num>
  <w:num w:numId="7">
    <w:abstractNumId w:val="11"/>
  </w:num>
  <w:num w:numId="8">
    <w:abstractNumId w:val="3"/>
  </w:num>
  <w:num w:numId="9">
    <w:abstractNumId w:val="1"/>
  </w:num>
  <w:num w:numId="10">
    <w:abstractNumId w:val="22"/>
  </w:num>
  <w:num w:numId="11">
    <w:abstractNumId w:val="9"/>
  </w:num>
  <w:num w:numId="12">
    <w:abstractNumId w:val="24"/>
  </w:num>
  <w:num w:numId="13">
    <w:abstractNumId w:val="14"/>
  </w:num>
  <w:num w:numId="14">
    <w:abstractNumId w:val="13"/>
  </w:num>
  <w:num w:numId="15">
    <w:abstractNumId w:val="18"/>
  </w:num>
  <w:num w:numId="16">
    <w:abstractNumId w:val="5"/>
  </w:num>
  <w:num w:numId="17">
    <w:abstractNumId w:val="0"/>
  </w:num>
  <w:num w:numId="18">
    <w:abstractNumId w:val="20"/>
  </w:num>
  <w:num w:numId="19">
    <w:abstractNumId w:val="21"/>
  </w:num>
  <w:num w:numId="20">
    <w:abstractNumId w:val="10"/>
  </w:num>
  <w:num w:numId="21">
    <w:abstractNumId w:val="23"/>
  </w:num>
  <w:num w:numId="22">
    <w:abstractNumId w:val="8"/>
  </w:num>
  <w:num w:numId="23">
    <w:abstractNumId w:val="6"/>
  </w:num>
  <w:num w:numId="24">
    <w:abstractNumId w:val="12"/>
  </w:num>
  <w:num w:numId="2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062"/>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8683E"/>
    <w:rsid w:val="00091331"/>
    <w:rsid w:val="00091D68"/>
    <w:rsid w:val="00095A07"/>
    <w:rsid w:val="00097C08"/>
    <w:rsid w:val="00097DE7"/>
    <w:rsid w:val="000A1290"/>
    <w:rsid w:val="000A227F"/>
    <w:rsid w:val="000A6D9A"/>
    <w:rsid w:val="000A7E22"/>
    <w:rsid w:val="000B68BC"/>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A3C"/>
    <w:rsid w:val="00156C8F"/>
    <w:rsid w:val="00160030"/>
    <w:rsid w:val="001624E8"/>
    <w:rsid w:val="001650EE"/>
    <w:rsid w:val="001749A5"/>
    <w:rsid w:val="00174B0E"/>
    <w:rsid w:val="0017598B"/>
    <w:rsid w:val="00175BE9"/>
    <w:rsid w:val="00181457"/>
    <w:rsid w:val="001836F5"/>
    <w:rsid w:val="00183ACC"/>
    <w:rsid w:val="001850F9"/>
    <w:rsid w:val="001862C7"/>
    <w:rsid w:val="0019010D"/>
    <w:rsid w:val="00190DE8"/>
    <w:rsid w:val="001910DA"/>
    <w:rsid w:val="00191751"/>
    <w:rsid w:val="00192C9E"/>
    <w:rsid w:val="00193AFC"/>
    <w:rsid w:val="00193DA2"/>
    <w:rsid w:val="001951A4"/>
    <w:rsid w:val="001974AE"/>
    <w:rsid w:val="001975F8"/>
    <w:rsid w:val="001A0561"/>
    <w:rsid w:val="001A43CA"/>
    <w:rsid w:val="001A5BBC"/>
    <w:rsid w:val="001A5FB1"/>
    <w:rsid w:val="001A6A7E"/>
    <w:rsid w:val="001B1F0E"/>
    <w:rsid w:val="001B2F02"/>
    <w:rsid w:val="001B33FD"/>
    <w:rsid w:val="001B38E2"/>
    <w:rsid w:val="001B49A7"/>
    <w:rsid w:val="001B52E9"/>
    <w:rsid w:val="001C0023"/>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3EF3"/>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0028"/>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C2D"/>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C5F38"/>
    <w:rsid w:val="002D0B75"/>
    <w:rsid w:val="002D21CD"/>
    <w:rsid w:val="002D30E6"/>
    <w:rsid w:val="002D63B3"/>
    <w:rsid w:val="002D7B15"/>
    <w:rsid w:val="002D7BA5"/>
    <w:rsid w:val="002D7FA0"/>
    <w:rsid w:val="002E0F85"/>
    <w:rsid w:val="002E41A1"/>
    <w:rsid w:val="002E447F"/>
    <w:rsid w:val="002E52DF"/>
    <w:rsid w:val="002F069B"/>
    <w:rsid w:val="002F4536"/>
    <w:rsid w:val="002F51CC"/>
    <w:rsid w:val="002F541D"/>
    <w:rsid w:val="002F7563"/>
    <w:rsid w:val="00300366"/>
    <w:rsid w:val="00301975"/>
    <w:rsid w:val="00302FF9"/>
    <w:rsid w:val="00304107"/>
    <w:rsid w:val="0030625A"/>
    <w:rsid w:val="003072E5"/>
    <w:rsid w:val="003111A0"/>
    <w:rsid w:val="00315C55"/>
    <w:rsid w:val="00316489"/>
    <w:rsid w:val="00316745"/>
    <w:rsid w:val="003172E9"/>
    <w:rsid w:val="003172FD"/>
    <w:rsid w:val="00317744"/>
    <w:rsid w:val="00317EF9"/>
    <w:rsid w:val="00323EC0"/>
    <w:rsid w:val="0032500D"/>
    <w:rsid w:val="00326D5D"/>
    <w:rsid w:val="00331067"/>
    <w:rsid w:val="00331E99"/>
    <w:rsid w:val="00333698"/>
    <w:rsid w:val="0033689E"/>
    <w:rsid w:val="00336BAC"/>
    <w:rsid w:val="00337BFF"/>
    <w:rsid w:val="00340ED9"/>
    <w:rsid w:val="00342683"/>
    <w:rsid w:val="0034275A"/>
    <w:rsid w:val="003439DF"/>
    <w:rsid w:val="00345C30"/>
    <w:rsid w:val="00346E6A"/>
    <w:rsid w:val="00347892"/>
    <w:rsid w:val="0035096D"/>
    <w:rsid w:val="00352916"/>
    <w:rsid w:val="00352BEC"/>
    <w:rsid w:val="003534F4"/>
    <w:rsid w:val="00356311"/>
    <w:rsid w:val="003569DD"/>
    <w:rsid w:val="00356BC7"/>
    <w:rsid w:val="003570BE"/>
    <w:rsid w:val="00357FE9"/>
    <w:rsid w:val="00361DCB"/>
    <w:rsid w:val="0036277B"/>
    <w:rsid w:val="0036524A"/>
    <w:rsid w:val="00365ACA"/>
    <w:rsid w:val="003676E3"/>
    <w:rsid w:val="003740EE"/>
    <w:rsid w:val="00376397"/>
    <w:rsid w:val="00376A84"/>
    <w:rsid w:val="003777DF"/>
    <w:rsid w:val="003800B4"/>
    <w:rsid w:val="0038147B"/>
    <w:rsid w:val="00384F2B"/>
    <w:rsid w:val="003871D4"/>
    <w:rsid w:val="0039583E"/>
    <w:rsid w:val="00396255"/>
    <w:rsid w:val="00396E4D"/>
    <w:rsid w:val="00397F3C"/>
    <w:rsid w:val="003A57EF"/>
    <w:rsid w:val="003A6498"/>
    <w:rsid w:val="003A67D3"/>
    <w:rsid w:val="003A6B4B"/>
    <w:rsid w:val="003A6C5E"/>
    <w:rsid w:val="003B132D"/>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E77A5"/>
    <w:rsid w:val="003F0481"/>
    <w:rsid w:val="003F44F5"/>
    <w:rsid w:val="003F4747"/>
    <w:rsid w:val="00400EA4"/>
    <w:rsid w:val="00403008"/>
    <w:rsid w:val="00403E7A"/>
    <w:rsid w:val="00410140"/>
    <w:rsid w:val="0041152C"/>
    <w:rsid w:val="004115B1"/>
    <w:rsid w:val="004115EC"/>
    <w:rsid w:val="00413EE0"/>
    <w:rsid w:val="004168C6"/>
    <w:rsid w:val="00416F62"/>
    <w:rsid w:val="00417B83"/>
    <w:rsid w:val="00417F4D"/>
    <w:rsid w:val="004225FB"/>
    <w:rsid w:val="00422900"/>
    <w:rsid w:val="00424D73"/>
    <w:rsid w:val="004256A4"/>
    <w:rsid w:val="00425DD9"/>
    <w:rsid w:val="00433155"/>
    <w:rsid w:val="004338FF"/>
    <w:rsid w:val="00434831"/>
    <w:rsid w:val="004356F4"/>
    <w:rsid w:val="00435F9F"/>
    <w:rsid w:val="00436518"/>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97AFB"/>
    <w:rsid w:val="004A328C"/>
    <w:rsid w:val="004A519A"/>
    <w:rsid w:val="004A5542"/>
    <w:rsid w:val="004B5ADB"/>
    <w:rsid w:val="004B7156"/>
    <w:rsid w:val="004B722B"/>
    <w:rsid w:val="004B7852"/>
    <w:rsid w:val="004B7B50"/>
    <w:rsid w:val="004C39B6"/>
    <w:rsid w:val="004C521F"/>
    <w:rsid w:val="004C6D4B"/>
    <w:rsid w:val="004D0DC5"/>
    <w:rsid w:val="004D2193"/>
    <w:rsid w:val="004D5004"/>
    <w:rsid w:val="004E18C0"/>
    <w:rsid w:val="004E1D4A"/>
    <w:rsid w:val="004E2D35"/>
    <w:rsid w:val="004E7499"/>
    <w:rsid w:val="004E788A"/>
    <w:rsid w:val="004F08D4"/>
    <w:rsid w:val="004F0FE0"/>
    <w:rsid w:val="004F13B1"/>
    <w:rsid w:val="004F1C1D"/>
    <w:rsid w:val="004F42F1"/>
    <w:rsid w:val="00501B4A"/>
    <w:rsid w:val="005023BF"/>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143"/>
    <w:rsid w:val="00534225"/>
    <w:rsid w:val="0053666D"/>
    <w:rsid w:val="00541167"/>
    <w:rsid w:val="00543CA9"/>
    <w:rsid w:val="005442E2"/>
    <w:rsid w:val="00546B56"/>
    <w:rsid w:val="00547768"/>
    <w:rsid w:val="0055071D"/>
    <w:rsid w:val="00552769"/>
    <w:rsid w:val="00553DF9"/>
    <w:rsid w:val="00556276"/>
    <w:rsid w:val="00556450"/>
    <w:rsid w:val="00560910"/>
    <w:rsid w:val="00561B3D"/>
    <w:rsid w:val="00562168"/>
    <w:rsid w:val="005646D7"/>
    <w:rsid w:val="00566C09"/>
    <w:rsid w:val="0057122B"/>
    <w:rsid w:val="005724B5"/>
    <w:rsid w:val="00572F5A"/>
    <w:rsid w:val="0057733A"/>
    <w:rsid w:val="00580CF6"/>
    <w:rsid w:val="0058405B"/>
    <w:rsid w:val="005849F5"/>
    <w:rsid w:val="0058603F"/>
    <w:rsid w:val="00586E8C"/>
    <w:rsid w:val="00587689"/>
    <w:rsid w:val="0059013A"/>
    <w:rsid w:val="005903F7"/>
    <w:rsid w:val="005A009A"/>
    <w:rsid w:val="005A7216"/>
    <w:rsid w:val="005A7337"/>
    <w:rsid w:val="005B14D6"/>
    <w:rsid w:val="005B5BEA"/>
    <w:rsid w:val="005C026C"/>
    <w:rsid w:val="005C13D6"/>
    <w:rsid w:val="005C3449"/>
    <w:rsid w:val="005C37CC"/>
    <w:rsid w:val="005C45C9"/>
    <w:rsid w:val="005C543F"/>
    <w:rsid w:val="005C5940"/>
    <w:rsid w:val="005C5A64"/>
    <w:rsid w:val="005C70D0"/>
    <w:rsid w:val="005D0E06"/>
    <w:rsid w:val="005D571B"/>
    <w:rsid w:val="005D5E43"/>
    <w:rsid w:val="005D6952"/>
    <w:rsid w:val="005E4587"/>
    <w:rsid w:val="005E67D7"/>
    <w:rsid w:val="005E6E39"/>
    <w:rsid w:val="005F024D"/>
    <w:rsid w:val="005F04E9"/>
    <w:rsid w:val="005F0ADA"/>
    <w:rsid w:val="005F2A1A"/>
    <w:rsid w:val="005F2C40"/>
    <w:rsid w:val="005F3271"/>
    <w:rsid w:val="005F39FA"/>
    <w:rsid w:val="005F7470"/>
    <w:rsid w:val="00600E64"/>
    <w:rsid w:val="00601FE6"/>
    <w:rsid w:val="00602E79"/>
    <w:rsid w:val="00603BD0"/>
    <w:rsid w:val="006063A3"/>
    <w:rsid w:val="00607B78"/>
    <w:rsid w:val="00610B37"/>
    <w:rsid w:val="006129EB"/>
    <w:rsid w:val="00612DE4"/>
    <w:rsid w:val="006133CB"/>
    <w:rsid w:val="00614ADE"/>
    <w:rsid w:val="006158E1"/>
    <w:rsid w:val="00616400"/>
    <w:rsid w:val="00617408"/>
    <w:rsid w:val="0062395B"/>
    <w:rsid w:val="0062566E"/>
    <w:rsid w:val="0062570F"/>
    <w:rsid w:val="006276A6"/>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46E0"/>
    <w:rsid w:val="006A6322"/>
    <w:rsid w:val="006B126A"/>
    <w:rsid w:val="006B45D5"/>
    <w:rsid w:val="006B47F4"/>
    <w:rsid w:val="006B5776"/>
    <w:rsid w:val="006C170C"/>
    <w:rsid w:val="006C2D94"/>
    <w:rsid w:val="006C428D"/>
    <w:rsid w:val="006C4E91"/>
    <w:rsid w:val="006C638B"/>
    <w:rsid w:val="006D0AED"/>
    <w:rsid w:val="006D1379"/>
    <w:rsid w:val="006D1AFF"/>
    <w:rsid w:val="006D40C4"/>
    <w:rsid w:val="006D4368"/>
    <w:rsid w:val="006D74E7"/>
    <w:rsid w:val="006E20CE"/>
    <w:rsid w:val="006E2B35"/>
    <w:rsid w:val="006E36AC"/>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56BF"/>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6C7D"/>
    <w:rsid w:val="007B5052"/>
    <w:rsid w:val="007B5986"/>
    <w:rsid w:val="007B5AC4"/>
    <w:rsid w:val="007B6A0C"/>
    <w:rsid w:val="007B6A7D"/>
    <w:rsid w:val="007B7D24"/>
    <w:rsid w:val="007C1A67"/>
    <w:rsid w:val="007C33A1"/>
    <w:rsid w:val="007C3B20"/>
    <w:rsid w:val="007C41DE"/>
    <w:rsid w:val="007C506F"/>
    <w:rsid w:val="007C7FBC"/>
    <w:rsid w:val="007D5276"/>
    <w:rsid w:val="007D5A67"/>
    <w:rsid w:val="007D665F"/>
    <w:rsid w:val="007D7C3C"/>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5944"/>
    <w:rsid w:val="00807AD4"/>
    <w:rsid w:val="00807BCD"/>
    <w:rsid w:val="00814594"/>
    <w:rsid w:val="00817093"/>
    <w:rsid w:val="008325B7"/>
    <w:rsid w:val="00832BEC"/>
    <w:rsid w:val="00832D4D"/>
    <w:rsid w:val="008377E1"/>
    <w:rsid w:val="00842ADC"/>
    <w:rsid w:val="0084340D"/>
    <w:rsid w:val="00843913"/>
    <w:rsid w:val="00843D05"/>
    <w:rsid w:val="008464C6"/>
    <w:rsid w:val="008465D7"/>
    <w:rsid w:val="0084698A"/>
    <w:rsid w:val="00851BB2"/>
    <w:rsid w:val="00852F2A"/>
    <w:rsid w:val="00853AAF"/>
    <w:rsid w:val="00853E2C"/>
    <w:rsid w:val="00854DB2"/>
    <w:rsid w:val="0085755A"/>
    <w:rsid w:val="00861876"/>
    <w:rsid w:val="008649AB"/>
    <w:rsid w:val="00864B6F"/>
    <w:rsid w:val="00865600"/>
    <w:rsid w:val="00870F4D"/>
    <w:rsid w:val="00873DD9"/>
    <w:rsid w:val="00875E4B"/>
    <w:rsid w:val="008765EE"/>
    <w:rsid w:val="00876939"/>
    <w:rsid w:val="00876E5D"/>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66DE"/>
    <w:rsid w:val="008C7F3C"/>
    <w:rsid w:val="008D43BF"/>
    <w:rsid w:val="008D6912"/>
    <w:rsid w:val="008D6BF4"/>
    <w:rsid w:val="008D792C"/>
    <w:rsid w:val="008E1E64"/>
    <w:rsid w:val="008E251D"/>
    <w:rsid w:val="008E5B01"/>
    <w:rsid w:val="008E5DEB"/>
    <w:rsid w:val="008E692B"/>
    <w:rsid w:val="008F2F8D"/>
    <w:rsid w:val="008F3EC0"/>
    <w:rsid w:val="008F463D"/>
    <w:rsid w:val="008F46F0"/>
    <w:rsid w:val="008F59E5"/>
    <w:rsid w:val="008F72A0"/>
    <w:rsid w:val="00900F34"/>
    <w:rsid w:val="009035EA"/>
    <w:rsid w:val="00906526"/>
    <w:rsid w:val="0090764C"/>
    <w:rsid w:val="00907BAF"/>
    <w:rsid w:val="00911167"/>
    <w:rsid w:val="00912BE1"/>
    <w:rsid w:val="009140A0"/>
    <w:rsid w:val="00914B87"/>
    <w:rsid w:val="00916187"/>
    <w:rsid w:val="00917E0E"/>
    <w:rsid w:val="0092045D"/>
    <w:rsid w:val="0092714F"/>
    <w:rsid w:val="00927AA9"/>
    <w:rsid w:val="00927F65"/>
    <w:rsid w:val="00930946"/>
    <w:rsid w:val="00931ED5"/>
    <w:rsid w:val="00933743"/>
    <w:rsid w:val="009344B8"/>
    <w:rsid w:val="009372E8"/>
    <w:rsid w:val="00940AEF"/>
    <w:rsid w:val="00942003"/>
    <w:rsid w:val="00942C4E"/>
    <w:rsid w:val="00942D51"/>
    <w:rsid w:val="0094364A"/>
    <w:rsid w:val="00943894"/>
    <w:rsid w:val="0094448D"/>
    <w:rsid w:val="0094553E"/>
    <w:rsid w:val="009461A8"/>
    <w:rsid w:val="00951F9C"/>
    <w:rsid w:val="009537BC"/>
    <w:rsid w:val="00953E41"/>
    <w:rsid w:val="00954B63"/>
    <w:rsid w:val="00955AE3"/>
    <w:rsid w:val="00957021"/>
    <w:rsid w:val="00957B57"/>
    <w:rsid w:val="0096281E"/>
    <w:rsid w:val="009645A3"/>
    <w:rsid w:val="00966C65"/>
    <w:rsid w:val="00967CEE"/>
    <w:rsid w:val="00970866"/>
    <w:rsid w:val="0097396C"/>
    <w:rsid w:val="00974080"/>
    <w:rsid w:val="00976851"/>
    <w:rsid w:val="0098096A"/>
    <w:rsid w:val="00981B3A"/>
    <w:rsid w:val="0098224F"/>
    <w:rsid w:val="00983099"/>
    <w:rsid w:val="00986E21"/>
    <w:rsid w:val="0099096D"/>
    <w:rsid w:val="00990C5C"/>
    <w:rsid w:val="00991097"/>
    <w:rsid w:val="00991623"/>
    <w:rsid w:val="0099203B"/>
    <w:rsid w:val="0099309A"/>
    <w:rsid w:val="009947C9"/>
    <w:rsid w:val="00994CD1"/>
    <w:rsid w:val="0099684D"/>
    <w:rsid w:val="009A0B29"/>
    <w:rsid w:val="009A105E"/>
    <w:rsid w:val="009A24C0"/>
    <w:rsid w:val="009A24D0"/>
    <w:rsid w:val="009A3F86"/>
    <w:rsid w:val="009A5D77"/>
    <w:rsid w:val="009A602B"/>
    <w:rsid w:val="009A72CA"/>
    <w:rsid w:val="009B093A"/>
    <w:rsid w:val="009B0C9D"/>
    <w:rsid w:val="009B32D6"/>
    <w:rsid w:val="009B3DBF"/>
    <w:rsid w:val="009B5613"/>
    <w:rsid w:val="009C2A48"/>
    <w:rsid w:val="009C5E3F"/>
    <w:rsid w:val="009C623F"/>
    <w:rsid w:val="009D0F40"/>
    <w:rsid w:val="009D2091"/>
    <w:rsid w:val="009D2F64"/>
    <w:rsid w:val="009D489A"/>
    <w:rsid w:val="009D6880"/>
    <w:rsid w:val="009D7B38"/>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07D5D"/>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171F"/>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276"/>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900"/>
    <w:rsid w:val="00B04F39"/>
    <w:rsid w:val="00B10E7C"/>
    <w:rsid w:val="00B114F7"/>
    <w:rsid w:val="00B151B6"/>
    <w:rsid w:val="00B1656A"/>
    <w:rsid w:val="00B21A3F"/>
    <w:rsid w:val="00B22BB3"/>
    <w:rsid w:val="00B2388D"/>
    <w:rsid w:val="00B255EE"/>
    <w:rsid w:val="00B26013"/>
    <w:rsid w:val="00B31323"/>
    <w:rsid w:val="00B32BA6"/>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3957"/>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CDC"/>
    <w:rsid w:val="00BC4D54"/>
    <w:rsid w:val="00BC5D54"/>
    <w:rsid w:val="00BC634D"/>
    <w:rsid w:val="00BD0038"/>
    <w:rsid w:val="00BD0279"/>
    <w:rsid w:val="00BD07D3"/>
    <w:rsid w:val="00BD25E2"/>
    <w:rsid w:val="00BD2D5A"/>
    <w:rsid w:val="00BD3499"/>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0630"/>
    <w:rsid w:val="00C1393F"/>
    <w:rsid w:val="00C15F1F"/>
    <w:rsid w:val="00C175C1"/>
    <w:rsid w:val="00C216A9"/>
    <w:rsid w:val="00C23100"/>
    <w:rsid w:val="00C24041"/>
    <w:rsid w:val="00C241E6"/>
    <w:rsid w:val="00C24E68"/>
    <w:rsid w:val="00C25291"/>
    <w:rsid w:val="00C261B5"/>
    <w:rsid w:val="00C266BF"/>
    <w:rsid w:val="00C310F5"/>
    <w:rsid w:val="00C31EEC"/>
    <w:rsid w:val="00C32228"/>
    <w:rsid w:val="00C35E02"/>
    <w:rsid w:val="00C35E8E"/>
    <w:rsid w:val="00C40B3F"/>
    <w:rsid w:val="00C42075"/>
    <w:rsid w:val="00C4219A"/>
    <w:rsid w:val="00C42462"/>
    <w:rsid w:val="00C45017"/>
    <w:rsid w:val="00C45725"/>
    <w:rsid w:val="00C45C2A"/>
    <w:rsid w:val="00C46E6E"/>
    <w:rsid w:val="00C50506"/>
    <w:rsid w:val="00C52052"/>
    <w:rsid w:val="00C522AA"/>
    <w:rsid w:val="00C525D0"/>
    <w:rsid w:val="00C55CE7"/>
    <w:rsid w:val="00C567FF"/>
    <w:rsid w:val="00C61679"/>
    <w:rsid w:val="00C6192C"/>
    <w:rsid w:val="00C6281D"/>
    <w:rsid w:val="00C62FD0"/>
    <w:rsid w:val="00C63D25"/>
    <w:rsid w:val="00C6401D"/>
    <w:rsid w:val="00C66FA3"/>
    <w:rsid w:val="00C67FB2"/>
    <w:rsid w:val="00C74527"/>
    <w:rsid w:val="00C74F96"/>
    <w:rsid w:val="00C75E59"/>
    <w:rsid w:val="00C77132"/>
    <w:rsid w:val="00C7717E"/>
    <w:rsid w:val="00C777C5"/>
    <w:rsid w:val="00C80AF2"/>
    <w:rsid w:val="00C861A3"/>
    <w:rsid w:val="00C904C7"/>
    <w:rsid w:val="00C91386"/>
    <w:rsid w:val="00C91B9F"/>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0A92"/>
    <w:rsid w:val="00CC20E9"/>
    <w:rsid w:val="00CC3AEB"/>
    <w:rsid w:val="00CC6232"/>
    <w:rsid w:val="00CC7AB7"/>
    <w:rsid w:val="00CD3495"/>
    <w:rsid w:val="00CD6E5A"/>
    <w:rsid w:val="00CD72E1"/>
    <w:rsid w:val="00CD7845"/>
    <w:rsid w:val="00CE118A"/>
    <w:rsid w:val="00CE4A36"/>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5DED"/>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3331"/>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C7B69"/>
    <w:rsid w:val="00DD01D0"/>
    <w:rsid w:val="00DD72DD"/>
    <w:rsid w:val="00DE2B10"/>
    <w:rsid w:val="00DE43FB"/>
    <w:rsid w:val="00DE4737"/>
    <w:rsid w:val="00DE61E0"/>
    <w:rsid w:val="00DE6E49"/>
    <w:rsid w:val="00DF1513"/>
    <w:rsid w:val="00DF2728"/>
    <w:rsid w:val="00DF4C81"/>
    <w:rsid w:val="00E034AF"/>
    <w:rsid w:val="00E049B7"/>
    <w:rsid w:val="00E0577F"/>
    <w:rsid w:val="00E05EED"/>
    <w:rsid w:val="00E06486"/>
    <w:rsid w:val="00E06A93"/>
    <w:rsid w:val="00E100D5"/>
    <w:rsid w:val="00E129A2"/>
    <w:rsid w:val="00E1546C"/>
    <w:rsid w:val="00E16C06"/>
    <w:rsid w:val="00E179DF"/>
    <w:rsid w:val="00E20D87"/>
    <w:rsid w:val="00E23F6F"/>
    <w:rsid w:val="00E247BE"/>
    <w:rsid w:val="00E24E58"/>
    <w:rsid w:val="00E26B69"/>
    <w:rsid w:val="00E274B1"/>
    <w:rsid w:val="00E329CC"/>
    <w:rsid w:val="00E32BF1"/>
    <w:rsid w:val="00E40710"/>
    <w:rsid w:val="00E40CC5"/>
    <w:rsid w:val="00E40F1E"/>
    <w:rsid w:val="00E4218C"/>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302"/>
    <w:rsid w:val="00E855EF"/>
    <w:rsid w:val="00E90070"/>
    <w:rsid w:val="00E94C2D"/>
    <w:rsid w:val="00EA2D86"/>
    <w:rsid w:val="00EA3CE3"/>
    <w:rsid w:val="00EA4C11"/>
    <w:rsid w:val="00EB14B3"/>
    <w:rsid w:val="00EB3291"/>
    <w:rsid w:val="00EB3DF8"/>
    <w:rsid w:val="00EB4B09"/>
    <w:rsid w:val="00EB4F14"/>
    <w:rsid w:val="00EB5002"/>
    <w:rsid w:val="00EC0231"/>
    <w:rsid w:val="00EC2840"/>
    <w:rsid w:val="00EC2ADD"/>
    <w:rsid w:val="00EC371D"/>
    <w:rsid w:val="00EC5562"/>
    <w:rsid w:val="00EC6B3F"/>
    <w:rsid w:val="00ED3C72"/>
    <w:rsid w:val="00ED4847"/>
    <w:rsid w:val="00EE1709"/>
    <w:rsid w:val="00EE3DF6"/>
    <w:rsid w:val="00EE68BC"/>
    <w:rsid w:val="00EF0AE0"/>
    <w:rsid w:val="00EF2A33"/>
    <w:rsid w:val="00EF2EE0"/>
    <w:rsid w:val="00EF3268"/>
    <w:rsid w:val="00EF475D"/>
    <w:rsid w:val="00EF6528"/>
    <w:rsid w:val="00EF681B"/>
    <w:rsid w:val="00EF7504"/>
    <w:rsid w:val="00F01CDD"/>
    <w:rsid w:val="00F031C2"/>
    <w:rsid w:val="00F03615"/>
    <w:rsid w:val="00F04141"/>
    <w:rsid w:val="00F05A8C"/>
    <w:rsid w:val="00F10336"/>
    <w:rsid w:val="00F20DFF"/>
    <w:rsid w:val="00F21D77"/>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27E6"/>
    <w:rsid w:val="00F730FC"/>
    <w:rsid w:val="00F74A88"/>
    <w:rsid w:val="00F76E94"/>
    <w:rsid w:val="00F76EA2"/>
    <w:rsid w:val="00F77272"/>
    <w:rsid w:val="00F81DC1"/>
    <w:rsid w:val="00F82B45"/>
    <w:rsid w:val="00F82B8D"/>
    <w:rsid w:val="00F8549F"/>
    <w:rsid w:val="00F86AA2"/>
    <w:rsid w:val="00F87210"/>
    <w:rsid w:val="00F87D82"/>
    <w:rsid w:val="00F91DC0"/>
    <w:rsid w:val="00F92BD0"/>
    <w:rsid w:val="00F9354A"/>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4040"/>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714934689">
          <w:marLeft w:val="0"/>
          <w:marRight w:val="0"/>
          <w:marTop w:val="0"/>
          <w:marBottom w:val="150"/>
          <w:divBdr>
            <w:top w:val="none" w:sz="0" w:space="0" w:color="auto"/>
            <w:left w:val="none" w:sz="0" w:space="0" w:color="auto"/>
            <w:bottom w:val="none" w:sz="0" w:space="0" w:color="auto"/>
            <w:right w:val="none" w:sz="0" w:space="0" w:color="auto"/>
          </w:divBdr>
        </w:div>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68227">
      <w:bodyDiv w:val="1"/>
      <w:marLeft w:val="0"/>
      <w:marRight w:val="0"/>
      <w:marTop w:val="0"/>
      <w:marBottom w:val="0"/>
      <w:divBdr>
        <w:top w:val="none" w:sz="0" w:space="0" w:color="auto"/>
        <w:left w:val="none" w:sz="0" w:space="0" w:color="auto"/>
        <w:bottom w:val="none" w:sz="0" w:space="0" w:color="auto"/>
        <w:right w:val="none" w:sz="0" w:space="0" w:color="auto"/>
      </w:divBdr>
      <w:divsChild>
        <w:div w:id="477104">
          <w:marLeft w:val="0"/>
          <w:marRight w:val="0"/>
          <w:marTop w:val="0"/>
          <w:marBottom w:val="0"/>
          <w:divBdr>
            <w:top w:val="none" w:sz="0" w:space="0" w:color="auto"/>
            <w:left w:val="none" w:sz="0" w:space="0" w:color="auto"/>
            <w:bottom w:val="none" w:sz="0" w:space="0" w:color="auto"/>
            <w:right w:val="none" w:sz="0" w:space="0" w:color="auto"/>
          </w:divBdr>
        </w:div>
        <w:div w:id="13000093">
          <w:marLeft w:val="0"/>
          <w:marRight w:val="0"/>
          <w:marTop w:val="0"/>
          <w:marBottom w:val="0"/>
          <w:divBdr>
            <w:top w:val="none" w:sz="0" w:space="0" w:color="auto"/>
            <w:left w:val="none" w:sz="0" w:space="0" w:color="auto"/>
            <w:bottom w:val="none" w:sz="0" w:space="0" w:color="auto"/>
            <w:right w:val="none" w:sz="0" w:space="0" w:color="auto"/>
          </w:divBdr>
        </w:div>
        <w:div w:id="17706225">
          <w:marLeft w:val="0"/>
          <w:marRight w:val="0"/>
          <w:marTop w:val="0"/>
          <w:marBottom w:val="0"/>
          <w:divBdr>
            <w:top w:val="none" w:sz="0" w:space="0" w:color="auto"/>
            <w:left w:val="none" w:sz="0" w:space="0" w:color="auto"/>
            <w:bottom w:val="none" w:sz="0" w:space="0" w:color="auto"/>
            <w:right w:val="none" w:sz="0" w:space="0" w:color="auto"/>
          </w:divBdr>
        </w:div>
        <w:div w:id="19674608">
          <w:marLeft w:val="0"/>
          <w:marRight w:val="0"/>
          <w:marTop w:val="0"/>
          <w:marBottom w:val="0"/>
          <w:divBdr>
            <w:top w:val="none" w:sz="0" w:space="0" w:color="auto"/>
            <w:left w:val="none" w:sz="0" w:space="0" w:color="auto"/>
            <w:bottom w:val="none" w:sz="0" w:space="0" w:color="auto"/>
            <w:right w:val="none" w:sz="0" w:space="0" w:color="auto"/>
          </w:divBdr>
        </w:div>
        <w:div w:id="21905398">
          <w:marLeft w:val="0"/>
          <w:marRight w:val="0"/>
          <w:marTop w:val="0"/>
          <w:marBottom w:val="0"/>
          <w:divBdr>
            <w:top w:val="none" w:sz="0" w:space="0" w:color="auto"/>
            <w:left w:val="none" w:sz="0" w:space="0" w:color="auto"/>
            <w:bottom w:val="none" w:sz="0" w:space="0" w:color="auto"/>
            <w:right w:val="none" w:sz="0" w:space="0" w:color="auto"/>
          </w:divBdr>
        </w:div>
        <w:div w:id="35400053">
          <w:marLeft w:val="0"/>
          <w:marRight w:val="0"/>
          <w:marTop w:val="0"/>
          <w:marBottom w:val="0"/>
          <w:divBdr>
            <w:top w:val="none" w:sz="0" w:space="0" w:color="auto"/>
            <w:left w:val="none" w:sz="0" w:space="0" w:color="auto"/>
            <w:bottom w:val="none" w:sz="0" w:space="0" w:color="auto"/>
            <w:right w:val="none" w:sz="0" w:space="0" w:color="auto"/>
          </w:divBdr>
        </w:div>
        <w:div w:id="45181803">
          <w:marLeft w:val="0"/>
          <w:marRight w:val="0"/>
          <w:marTop w:val="0"/>
          <w:marBottom w:val="0"/>
          <w:divBdr>
            <w:top w:val="none" w:sz="0" w:space="0" w:color="auto"/>
            <w:left w:val="none" w:sz="0" w:space="0" w:color="auto"/>
            <w:bottom w:val="none" w:sz="0" w:space="0" w:color="auto"/>
            <w:right w:val="none" w:sz="0" w:space="0" w:color="auto"/>
          </w:divBdr>
        </w:div>
        <w:div w:id="53705202">
          <w:marLeft w:val="0"/>
          <w:marRight w:val="0"/>
          <w:marTop w:val="0"/>
          <w:marBottom w:val="0"/>
          <w:divBdr>
            <w:top w:val="none" w:sz="0" w:space="0" w:color="auto"/>
            <w:left w:val="none" w:sz="0" w:space="0" w:color="auto"/>
            <w:bottom w:val="none" w:sz="0" w:space="0" w:color="auto"/>
            <w:right w:val="none" w:sz="0" w:space="0" w:color="auto"/>
          </w:divBdr>
        </w:div>
        <w:div w:id="64381224">
          <w:marLeft w:val="0"/>
          <w:marRight w:val="0"/>
          <w:marTop w:val="0"/>
          <w:marBottom w:val="0"/>
          <w:divBdr>
            <w:top w:val="none" w:sz="0" w:space="0" w:color="auto"/>
            <w:left w:val="none" w:sz="0" w:space="0" w:color="auto"/>
            <w:bottom w:val="none" w:sz="0" w:space="0" w:color="auto"/>
            <w:right w:val="none" w:sz="0" w:space="0" w:color="auto"/>
          </w:divBdr>
        </w:div>
        <w:div w:id="64650560">
          <w:marLeft w:val="0"/>
          <w:marRight w:val="0"/>
          <w:marTop w:val="0"/>
          <w:marBottom w:val="0"/>
          <w:divBdr>
            <w:top w:val="none" w:sz="0" w:space="0" w:color="auto"/>
            <w:left w:val="none" w:sz="0" w:space="0" w:color="auto"/>
            <w:bottom w:val="none" w:sz="0" w:space="0" w:color="auto"/>
            <w:right w:val="none" w:sz="0" w:space="0" w:color="auto"/>
          </w:divBdr>
        </w:div>
        <w:div w:id="69696566">
          <w:marLeft w:val="0"/>
          <w:marRight w:val="0"/>
          <w:marTop w:val="0"/>
          <w:marBottom w:val="0"/>
          <w:divBdr>
            <w:top w:val="none" w:sz="0" w:space="0" w:color="auto"/>
            <w:left w:val="none" w:sz="0" w:space="0" w:color="auto"/>
            <w:bottom w:val="none" w:sz="0" w:space="0" w:color="auto"/>
            <w:right w:val="none" w:sz="0" w:space="0" w:color="auto"/>
          </w:divBdr>
        </w:div>
        <w:div w:id="71779275">
          <w:marLeft w:val="0"/>
          <w:marRight w:val="0"/>
          <w:marTop w:val="0"/>
          <w:marBottom w:val="0"/>
          <w:divBdr>
            <w:top w:val="none" w:sz="0" w:space="0" w:color="auto"/>
            <w:left w:val="none" w:sz="0" w:space="0" w:color="auto"/>
            <w:bottom w:val="none" w:sz="0" w:space="0" w:color="auto"/>
            <w:right w:val="none" w:sz="0" w:space="0" w:color="auto"/>
          </w:divBdr>
        </w:div>
        <w:div w:id="79059354">
          <w:marLeft w:val="0"/>
          <w:marRight w:val="0"/>
          <w:marTop w:val="0"/>
          <w:marBottom w:val="0"/>
          <w:divBdr>
            <w:top w:val="none" w:sz="0" w:space="0" w:color="auto"/>
            <w:left w:val="none" w:sz="0" w:space="0" w:color="auto"/>
            <w:bottom w:val="none" w:sz="0" w:space="0" w:color="auto"/>
            <w:right w:val="none" w:sz="0" w:space="0" w:color="auto"/>
          </w:divBdr>
        </w:div>
        <w:div w:id="90011810">
          <w:marLeft w:val="0"/>
          <w:marRight w:val="0"/>
          <w:marTop w:val="0"/>
          <w:marBottom w:val="0"/>
          <w:divBdr>
            <w:top w:val="none" w:sz="0" w:space="0" w:color="auto"/>
            <w:left w:val="none" w:sz="0" w:space="0" w:color="auto"/>
            <w:bottom w:val="none" w:sz="0" w:space="0" w:color="auto"/>
            <w:right w:val="none" w:sz="0" w:space="0" w:color="auto"/>
          </w:divBdr>
        </w:div>
        <w:div w:id="127170896">
          <w:marLeft w:val="0"/>
          <w:marRight w:val="0"/>
          <w:marTop w:val="0"/>
          <w:marBottom w:val="0"/>
          <w:divBdr>
            <w:top w:val="none" w:sz="0" w:space="0" w:color="auto"/>
            <w:left w:val="none" w:sz="0" w:space="0" w:color="auto"/>
            <w:bottom w:val="none" w:sz="0" w:space="0" w:color="auto"/>
            <w:right w:val="none" w:sz="0" w:space="0" w:color="auto"/>
          </w:divBdr>
        </w:div>
        <w:div w:id="139618089">
          <w:marLeft w:val="0"/>
          <w:marRight w:val="0"/>
          <w:marTop w:val="0"/>
          <w:marBottom w:val="0"/>
          <w:divBdr>
            <w:top w:val="none" w:sz="0" w:space="0" w:color="auto"/>
            <w:left w:val="none" w:sz="0" w:space="0" w:color="auto"/>
            <w:bottom w:val="none" w:sz="0" w:space="0" w:color="auto"/>
            <w:right w:val="none" w:sz="0" w:space="0" w:color="auto"/>
          </w:divBdr>
        </w:div>
        <w:div w:id="168757312">
          <w:marLeft w:val="0"/>
          <w:marRight w:val="0"/>
          <w:marTop w:val="0"/>
          <w:marBottom w:val="0"/>
          <w:divBdr>
            <w:top w:val="none" w:sz="0" w:space="0" w:color="auto"/>
            <w:left w:val="none" w:sz="0" w:space="0" w:color="auto"/>
            <w:bottom w:val="none" w:sz="0" w:space="0" w:color="auto"/>
            <w:right w:val="none" w:sz="0" w:space="0" w:color="auto"/>
          </w:divBdr>
        </w:div>
        <w:div w:id="174418476">
          <w:marLeft w:val="0"/>
          <w:marRight w:val="0"/>
          <w:marTop w:val="0"/>
          <w:marBottom w:val="0"/>
          <w:divBdr>
            <w:top w:val="none" w:sz="0" w:space="0" w:color="auto"/>
            <w:left w:val="none" w:sz="0" w:space="0" w:color="auto"/>
            <w:bottom w:val="none" w:sz="0" w:space="0" w:color="auto"/>
            <w:right w:val="none" w:sz="0" w:space="0" w:color="auto"/>
          </w:divBdr>
        </w:div>
        <w:div w:id="184952408">
          <w:marLeft w:val="0"/>
          <w:marRight w:val="0"/>
          <w:marTop w:val="0"/>
          <w:marBottom w:val="0"/>
          <w:divBdr>
            <w:top w:val="none" w:sz="0" w:space="0" w:color="auto"/>
            <w:left w:val="none" w:sz="0" w:space="0" w:color="auto"/>
            <w:bottom w:val="none" w:sz="0" w:space="0" w:color="auto"/>
            <w:right w:val="none" w:sz="0" w:space="0" w:color="auto"/>
          </w:divBdr>
        </w:div>
        <w:div w:id="193154070">
          <w:marLeft w:val="0"/>
          <w:marRight w:val="0"/>
          <w:marTop w:val="0"/>
          <w:marBottom w:val="0"/>
          <w:divBdr>
            <w:top w:val="none" w:sz="0" w:space="0" w:color="auto"/>
            <w:left w:val="none" w:sz="0" w:space="0" w:color="auto"/>
            <w:bottom w:val="none" w:sz="0" w:space="0" w:color="auto"/>
            <w:right w:val="none" w:sz="0" w:space="0" w:color="auto"/>
          </w:divBdr>
        </w:div>
        <w:div w:id="200213356">
          <w:marLeft w:val="0"/>
          <w:marRight w:val="0"/>
          <w:marTop w:val="0"/>
          <w:marBottom w:val="0"/>
          <w:divBdr>
            <w:top w:val="none" w:sz="0" w:space="0" w:color="auto"/>
            <w:left w:val="none" w:sz="0" w:space="0" w:color="auto"/>
            <w:bottom w:val="none" w:sz="0" w:space="0" w:color="auto"/>
            <w:right w:val="none" w:sz="0" w:space="0" w:color="auto"/>
          </w:divBdr>
        </w:div>
        <w:div w:id="218247841">
          <w:marLeft w:val="0"/>
          <w:marRight w:val="0"/>
          <w:marTop w:val="0"/>
          <w:marBottom w:val="0"/>
          <w:divBdr>
            <w:top w:val="none" w:sz="0" w:space="0" w:color="auto"/>
            <w:left w:val="none" w:sz="0" w:space="0" w:color="auto"/>
            <w:bottom w:val="none" w:sz="0" w:space="0" w:color="auto"/>
            <w:right w:val="none" w:sz="0" w:space="0" w:color="auto"/>
          </w:divBdr>
        </w:div>
        <w:div w:id="222567648">
          <w:marLeft w:val="0"/>
          <w:marRight w:val="0"/>
          <w:marTop w:val="0"/>
          <w:marBottom w:val="0"/>
          <w:divBdr>
            <w:top w:val="none" w:sz="0" w:space="0" w:color="auto"/>
            <w:left w:val="none" w:sz="0" w:space="0" w:color="auto"/>
            <w:bottom w:val="none" w:sz="0" w:space="0" w:color="auto"/>
            <w:right w:val="none" w:sz="0" w:space="0" w:color="auto"/>
          </w:divBdr>
        </w:div>
        <w:div w:id="223032017">
          <w:marLeft w:val="0"/>
          <w:marRight w:val="0"/>
          <w:marTop w:val="0"/>
          <w:marBottom w:val="0"/>
          <w:divBdr>
            <w:top w:val="none" w:sz="0" w:space="0" w:color="auto"/>
            <w:left w:val="none" w:sz="0" w:space="0" w:color="auto"/>
            <w:bottom w:val="none" w:sz="0" w:space="0" w:color="auto"/>
            <w:right w:val="none" w:sz="0" w:space="0" w:color="auto"/>
          </w:divBdr>
        </w:div>
        <w:div w:id="257754997">
          <w:marLeft w:val="0"/>
          <w:marRight w:val="0"/>
          <w:marTop w:val="0"/>
          <w:marBottom w:val="0"/>
          <w:divBdr>
            <w:top w:val="none" w:sz="0" w:space="0" w:color="auto"/>
            <w:left w:val="none" w:sz="0" w:space="0" w:color="auto"/>
            <w:bottom w:val="none" w:sz="0" w:space="0" w:color="auto"/>
            <w:right w:val="none" w:sz="0" w:space="0" w:color="auto"/>
          </w:divBdr>
          <w:divsChild>
            <w:div w:id="60293900">
              <w:marLeft w:val="0"/>
              <w:marRight w:val="0"/>
              <w:marTop w:val="0"/>
              <w:marBottom w:val="0"/>
              <w:divBdr>
                <w:top w:val="none" w:sz="0" w:space="0" w:color="auto"/>
                <w:left w:val="none" w:sz="0" w:space="0" w:color="auto"/>
                <w:bottom w:val="none" w:sz="0" w:space="0" w:color="auto"/>
                <w:right w:val="none" w:sz="0" w:space="0" w:color="auto"/>
              </w:divBdr>
            </w:div>
            <w:div w:id="281426077">
              <w:marLeft w:val="0"/>
              <w:marRight w:val="0"/>
              <w:marTop w:val="0"/>
              <w:marBottom w:val="0"/>
              <w:divBdr>
                <w:top w:val="none" w:sz="0" w:space="0" w:color="auto"/>
                <w:left w:val="none" w:sz="0" w:space="0" w:color="auto"/>
                <w:bottom w:val="none" w:sz="0" w:space="0" w:color="auto"/>
                <w:right w:val="none" w:sz="0" w:space="0" w:color="auto"/>
              </w:divBdr>
            </w:div>
            <w:div w:id="305934260">
              <w:marLeft w:val="0"/>
              <w:marRight w:val="0"/>
              <w:marTop w:val="0"/>
              <w:marBottom w:val="0"/>
              <w:divBdr>
                <w:top w:val="none" w:sz="0" w:space="0" w:color="auto"/>
                <w:left w:val="none" w:sz="0" w:space="0" w:color="auto"/>
                <w:bottom w:val="none" w:sz="0" w:space="0" w:color="auto"/>
                <w:right w:val="none" w:sz="0" w:space="0" w:color="auto"/>
              </w:divBdr>
            </w:div>
            <w:div w:id="402606761">
              <w:marLeft w:val="0"/>
              <w:marRight w:val="0"/>
              <w:marTop w:val="0"/>
              <w:marBottom w:val="0"/>
              <w:divBdr>
                <w:top w:val="none" w:sz="0" w:space="0" w:color="auto"/>
                <w:left w:val="none" w:sz="0" w:space="0" w:color="auto"/>
                <w:bottom w:val="none" w:sz="0" w:space="0" w:color="auto"/>
                <w:right w:val="none" w:sz="0" w:space="0" w:color="auto"/>
              </w:divBdr>
            </w:div>
            <w:div w:id="480390408">
              <w:marLeft w:val="0"/>
              <w:marRight w:val="0"/>
              <w:marTop w:val="0"/>
              <w:marBottom w:val="0"/>
              <w:divBdr>
                <w:top w:val="none" w:sz="0" w:space="0" w:color="auto"/>
                <w:left w:val="none" w:sz="0" w:space="0" w:color="auto"/>
                <w:bottom w:val="none" w:sz="0" w:space="0" w:color="auto"/>
                <w:right w:val="none" w:sz="0" w:space="0" w:color="auto"/>
              </w:divBdr>
            </w:div>
            <w:div w:id="518155631">
              <w:marLeft w:val="0"/>
              <w:marRight w:val="0"/>
              <w:marTop w:val="0"/>
              <w:marBottom w:val="0"/>
              <w:divBdr>
                <w:top w:val="none" w:sz="0" w:space="0" w:color="auto"/>
                <w:left w:val="none" w:sz="0" w:space="0" w:color="auto"/>
                <w:bottom w:val="none" w:sz="0" w:space="0" w:color="auto"/>
                <w:right w:val="none" w:sz="0" w:space="0" w:color="auto"/>
              </w:divBdr>
            </w:div>
            <w:div w:id="522865326">
              <w:marLeft w:val="0"/>
              <w:marRight w:val="0"/>
              <w:marTop w:val="0"/>
              <w:marBottom w:val="0"/>
              <w:divBdr>
                <w:top w:val="none" w:sz="0" w:space="0" w:color="auto"/>
                <w:left w:val="none" w:sz="0" w:space="0" w:color="auto"/>
                <w:bottom w:val="none" w:sz="0" w:space="0" w:color="auto"/>
                <w:right w:val="none" w:sz="0" w:space="0" w:color="auto"/>
              </w:divBdr>
            </w:div>
            <w:div w:id="644310755">
              <w:marLeft w:val="0"/>
              <w:marRight w:val="0"/>
              <w:marTop w:val="0"/>
              <w:marBottom w:val="0"/>
              <w:divBdr>
                <w:top w:val="none" w:sz="0" w:space="0" w:color="auto"/>
                <w:left w:val="none" w:sz="0" w:space="0" w:color="auto"/>
                <w:bottom w:val="none" w:sz="0" w:space="0" w:color="auto"/>
                <w:right w:val="none" w:sz="0" w:space="0" w:color="auto"/>
              </w:divBdr>
            </w:div>
            <w:div w:id="1119421001">
              <w:marLeft w:val="0"/>
              <w:marRight w:val="0"/>
              <w:marTop w:val="0"/>
              <w:marBottom w:val="0"/>
              <w:divBdr>
                <w:top w:val="none" w:sz="0" w:space="0" w:color="auto"/>
                <w:left w:val="none" w:sz="0" w:space="0" w:color="auto"/>
                <w:bottom w:val="none" w:sz="0" w:space="0" w:color="auto"/>
                <w:right w:val="none" w:sz="0" w:space="0" w:color="auto"/>
              </w:divBdr>
            </w:div>
            <w:div w:id="1296370993">
              <w:marLeft w:val="0"/>
              <w:marRight w:val="0"/>
              <w:marTop w:val="0"/>
              <w:marBottom w:val="0"/>
              <w:divBdr>
                <w:top w:val="none" w:sz="0" w:space="0" w:color="auto"/>
                <w:left w:val="none" w:sz="0" w:space="0" w:color="auto"/>
                <w:bottom w:val="none" w:sz="0" w:space="0" w:color="auto"/>
                <w:right w:val="none" w:sz="0" w:space="0" w:color="auto"/>
              </w:divBdr>
            </w:div>
            <w:div w:id="1419213912">
              <w:marLeft w:val="0"/>
              <w:marRight w:val="0"/>
              <w:marTop w:val="0"/>
              <w:marBottom w:val="0"/>
              <w:divBdr>
                <w:top w:val="none" w:sz="0" w:space="0" w:color="auto"/>
                <w:left w:val="none" w:sz="0" w:space="0" w:color="auto"/>
                <w:bottom w:val="none" w:sz="0" w:space="0" w:color="auto"/>
                <w:right w:val="none" w:sz="0" w:space="0" w:color="auto"/>
              </w:divBdr>
            </w:div>
            <w:div w:id="1521238571">
              <w:marLeft w:val="0"/>
              <w:marRight w:val="0"/>
              <w:marTop w:val="0"/>
              <w:marBottom w:val="0"/>
              <w:divBdr>
                <w:top w:val="none" w:sz="0" w:space="0" w:color="auto"/>
                <w:left w:val="none" w:sz="0" w:space="0" w:color="auto"/>
                <w:bottom w:val="none" w:sz="0" w:space="0" w:color="auto"/>
                <w:right w:val="none" w:sz="0" w:space="0" w:color="auto"/>
              </w:divBdr>
            </w:div>
            <w:div w:id="1580213454">
              <w:marLeft w:val="0"/>
              <w:marRight w:val="0"/>
              <w:marTop w:val="0"/>
              <w:marBottom w:val="0"/>
              <w:divBdr>
                <w:top w:val="none" w:sz="0" w:space="0" w:color="auto"/>
                <w:left w:val="none" w:sz="0" w:space="0" w:color="auto"/>
                <w:bottom w:val="none" w:sz="0" w:space="0" w:color="auto"/>
                <w:right w:val="none" w:sz="0" w:space="0" w:color="auto"/>
              </w:divBdr>
            </w:div>
            <w:div w:id="1753624152">
              <w:marLeft w:val="0"/>
              <w:marRight w:val="0"/>
              <w:marTop w:val="0"/>
              <w:marBottom w:val="0"/>
              <w:divBdr>
                <w:top w:val="none" w:sz="0" w:space="0" w:color="auto"/>
                <w:left w:val="none" w:sz="0" w:space="0" w:color="auto"/>
                <w:bottom w:val="none" w:sz="0" w:space="0" w:color="auto"/>
                <w:right w:val="none" w:sz="0" w:space="0" w:color="auto"/>
              </w:divBdr>
            </w:div>
            <w:div w:id="1758096889">
              <w:marLeft w:val="0"/>
              <w:marRight w:val="0"/>
              <w:marTop w:val="0"/>
              <w:marBottom w:val="0"/>
              <w:divBdr>
                <w:top w:val="none" w:sz="0" w:space="0" w:color="auto"/>
                <w:left w:val="none" w:sz="0" w:space="0" w:color="auto"/>
                <w:bottom w:val="none" w:sz="0" w:space="0" w:color="auto"/>
                <w:right w:val="none" w:sz="0" w:space="0" w:color="auto"/>
              </w:divBdr>
            </w:div>
            <w:div w:id="1767341861">
              <w:marLeft w:val="0"/>
              <w:marRight w:val="0"/>
              <w:marTop w:val="0"/>
              <w:marBottom w:val="0"/>
              <w:divBdr>
                <w:top w:val="none" w:sz="0" w:space="0" w:color="auto"/>
                <w:left w:val="none" w:sz="0" w:space="0" w:color="auto"/>
                <w:bottom w:val="none" w:sz="0" w:space="0" w:color="auto"/>
                <w:right w:val="none" w:sz="0" w:space="0" w:color="auto"/>
              </w:divBdr>
            </w:div>
            <w:div w:id="1792093324">
              <w:marLeft w:val="0"/>
              <w:marRight w:val="0"/>
              <w:marTop w:val="0"/>
              <w:marBottom w:val="0"/>
              <w:divBdr>
                <w:top w:val="none" w:sz="0" w:space="0" w:color="auto"/>
                <w:left w:val="none" w:sz="0" w:space="0" w:color="auto"/>
                <w:bottom w:val="none" w:sz="0" w:space="0" w:color="auto"/>
                <w:right w:val="none" w:sz="0" w:space="0" w:color="auto"/>
              </w:divBdr>
            </w:div>
            <w:div w:id="1987005399">
              <w:marLeft w:val="0"/>
              <w:marRight w:val="0"/>
              <w:marTop w:val="0"/>
              <w:marBottom w:val="0"/>
              <w:divBdr>
                <w:top w:val="none" w:sz="0" w:space="0" w:color="auto"/>
                <w:left w:val="none" w:sz="0" w:space="0" w:color="auto"/>
                <w:bottom w:val="none" w:sz="0" w:space="0" w:color="auto"/>
                <w:right w:val="none" w:sz="0" w:space="0" w:color="auto"/>
              </w:divBdr>
            </w:div>
            <w:div w:id="2007785195">
              <w:marLeft w:val="0"/>
              <w:marRight w:val="0"/>
              <w:marTop w:val="0"/>
              <w:marBottom w:val="0"/>
              <w:divBdr>
                <w:top w:val="none" w:sz="0" w:space="0" w:color="auto"/>
                <w:left w:val="none" w:sz="0" w:space="0" w:color="auto"/>
                <w:bottom w:val="none" w:sz="0" w:space="0" w:color="auto"/>
                <w:right w:val="none" w:sz="0" w:space="0" w:color="auto"/>
              </w:divBdr>
            </w:div>
            <w:div w:id="2106725947">
              <w:marLeft w:val="0"/>
              <w:marRight w:val="0"/>
              <w:marTop w:val="0"/>
              <w:marBottom w:val="0"/>
              <w:divBdr>
                <w:top w:val="none" w:sz="0" w:space="0" w:color="auto"/>
                <w:left w:val="none" w:sz="0" w:space="0" w:color="auto"/>
                <w:bottom w:val="none" w:sz="0" w:space="0" w:color="auto"/>
                <w:right w:val="none" w:sz="0" w:space="0" w:color="auto"/>
              </w:divBdr>
            </w:div>
          </w:divsChild>
        </w:div>
        <w:div w:id="265424648">
          <w:marLeft w:val="0"/>
          <w:marRight w:val="0"/>
          <w:marTop w:val="0"/>
          <w:marBottom w:val="0"/>
          <w:divBdr>
            <w:top w:val="none" w:sz="0" w:space="0" w:color="auto"/>
            <w:left w:val="none" w:sz="0" w:space="0" w:color="auto"/>
            <w:bottom w:val="none" w:sz="0" w:space="0" w:color="auto"/>
            <w:right w:val="none" w:sz="0" w:space="0" w:color="auto"/>
          </w:divBdr>
        </w:div>
        <w:div w:id="272325953">
          <w:marLeft w:val="0"/>
          <w:marRight w:val="0"/>
          <w:marTop w:val="0"/>
          <w:marBottom w:val="0"/>
          <w:divBdr>
            <w:top w:val="none" w:sz="0" w:space="0" w:color="auto"/>
            <w:left w:val="none" w:sz="0" w:space="0" w:color="auto"/>
            <w:bottom w:val="none" w:sz="0" w:space="0" w:color="auto"/>
            <w:right w:val="none" w:sz="0" w:space="0" w:color="auto"/>
          </w:divBdr>
        </w:div>
        <w:div w:id="288781380">
          <w:marLeft w:val="0"/>
          <w:marRight w:val="0"/>
          <w:marTop w:val="0"/>
          <w:marBottom w:val="0"/>
          <w:divBdr>
            <w:top w:val="none" w:sz="0" w:space="0" w:color="auto"/>
            <w:left w:val="none" w:sz="0" w:space="0" w:color="auto"/>
            <w:bottom w:val="none" w:sz="0" w:space="0" w:color="auto"/>
            <w:right w:val="none" w:sz="0" w:space="0" w:color="auto"/>
          </w:divBdr>
        </w:div>
        <w:div w:id="290481575">
          <w:marLeft w:val="0"/>
          <w:marRight w:val="0"/>
          <w:marTop w:val="0"/>
          <w:marBottom w:val="0"/>
          <w:divBdr>
            <w:top w:val="none" w:sz="0" w:space="0" w:color="auto"/>
            <w:left w:val="none" w:sz="0" w:space="0" w:color="auto"/>
            <w:bottom w:val="none" w:sz="0" w:space="0" w:color="auto"/>
            <w:right w:val="none" w:sz="0" w:space="0" w:color="auto"/>
          </w:divBdr>
        </w:div>
        <w:div w:id="310597944">
          <w:marLeft w:val="0"/>
          <w:marRight w:val="0"/>
          <w:marTop w:val="0"/>
          <w:marBottom w:val="0"/>
          <w:divBdr>
            <w:top w:val="none" w:sz="0" w:space="0" w:color="auto"/>
            <w:left w:val="none" w:sz="0" w:space="0" w:color="auto"/>
            <w:bottom w:val="none" w:sz="0" w:space="0" w:color="auto"/>
            <w:right w:val="none" w:sz="0" w:space="0" w:color="auto"/>
          </w:divBdr>
        </w:div>
        <w:div w:id="312370039">
          <w:marLeft w:val="0"/>
          <w:marRight w:val="0"/>
          <w:marTop w:val="0"/>
          <w:marBottom w:val="0"/>
          <w:divBdr>
            <w:top w:val="none" w:sz="0" w:space="0" w:color="auto"/>
            <w:left w:val="none" w:sz="0" w:space="0" w:color="auto"/>
            <w:bottom w:val="none" w:sz="0" w:space="0" w:color="auto"/>
            <w:right w:val="none" w:sz="0" w:space="0" w:color="auto"/>
          </w:divBdr>
        </w:div>
        <w:div w:id="322511305">
          <w:marLeft w:val="0"/>
          <w:marRight w:val="0"/>
          <w:marTop w:val="0"/>
          <w:marBottom w:val="0"/>
          <w:divBdr>
            <w:top w:val="none" w:sz="0" w:space="0" w:color="auto"/>
            <w:left w:val="none" w:sz="0" w:space="0" w:color="auto"/>
            <w:bottom w:val="none" w:sz="0" w:space="0" w:color="auto"/>
            <w:right w:val="none" w:sz="0" w:space="0" w:color="auto"/>
          </w:divBdr>
        </w:div>
        <w:div w:id="330761567">
          <w:marLeft w:val="0"/>
          <w:marRight w:val="0"/>
          <w:marTop w:val="0"/>
          <w:marBottom w:val="0"/>
          <w:divBdr>
            <w:top w:val="none" w:sz="0" w:space="0" w:color="auto"/>
            <w:left w:val="none" w:sz="0" w:space="0" w:color="auto"/>
            <w:bottom w:val="none" w:sz="0" w:space="0" w:color="auto"/>
            <w:right w:val="none" w:sz="0" w:space="0" w:color="auto"/>
          </w:divBdr>
        </w:div>
        <w:div w:id="338511048">
          <w:marLeft w:val="0"/>
          <w:marRight w:val="0"/>
          <w:marTop w:val="0"/>
          <w:marBottom w:val="0"/>
          <w:divBdr>
            <w:top w:val="none" w:sz="0" w:space="0" w:color="auto"/>
            <w:left w:val="none" w:sz="0" w:space="0" w:color="auto"/>
            <w:bottom w:val="none" w:sz="0" w:space="0" w:color="auto"/>
            <w:right w:val="none" w:sz="0" w:space="0" w:color="auto"/>
          </w:divBdr>
        </w:div>
        <w:div w:id="342124561">
          <w:marLeft w:val="0"/>
          <w:marRight w:val="0"/>
          <w:marTop w:val="0"/>
          <w:marBottom w:val="0"/>
          <w:divBdr>
            <w:top w:val="none" w:sz="0" w:space="0" w:color="auto"/>
            <w:left w:val="none" w:sz="0" w:space="0" w:color="auto"/>
            <w:bottom w:val="none" w:sz="0" w:space="0" w:color="auto"/>
            <w:right w:val="none" w:sz="0" w:space="0" w:color="auto"/>
          </w:divBdr>
        </w:div>
        <w:div w:id="362289773">
          <w:marLeft w:val="0"/>
          <w:marRight w:val="0"/>
          <w:marTop w:val="0"/>
          <w:marBottom w:val="0"/>
          <w:divBdr>
            <w:top w:val="none" w:sz="0" w:space="0" w:color="auto"/>
            <w:left w:val="none" w:sz="0" w:space="0" w:color="auto"/>
            <w:bottom w:val="none" w:sz="0" w:space="0" w:color="auto"/>
            <w:right w:val="none" w:sz="0" w:space="0" w:color="auto"/>
          </w:divBdr>
        </w:div>
        <w:div w:id="366030486">
          <w:marLeft w:val="0"/>
          <w:marRight w:val="0"/>
          <w:marTop w:val="0"/>
          <w:marBottom w:val="0"/>
          <w:divBdr>
            <w:top w:val="none" w:sz="0" w:space="0" w:color="auto"/>
            <w:left w:val="none" w:sz="0" w:space="0" w:color="auto"/>
            <w:bottom w:val="none" w:sz="0" w:space="0" w:color="auto"/>
            <w:right w:val="none" w:sz="0" w:space="0" w:color="auto"/>
          </w:divBdr>
        </w:div>
        <w:div w:id="372576646">
          <w:marLeft w:val="0"/>
          <w:marRight w:val="0"/>
          <w:marTop w:val="0"/>
          <w:marBottom w:val="0"/>
          <w:divBdr>
            <w:top w:val="none" w:sz="0" w:space="0" w:color="auto"/>
            <w:left w:val="none" w:sz="0" w:space="0" w:color="auto"/>
            <w:bottom w:val="none" w:sz="0" w:space="0" w:color="auto"/>
            <w:right w:val="none" w:sz="0" w:space="0" w:color="auto"/>
          </w:divBdr>
        </w:div>
        <w:div w:id="411850628">
          <w:marLeft w:val="0"/>
          <w:marRight w:val="0"/>
          <w:marTop w:val="0"/>
          <w:marBottom w:val="0"/>
          <w:divBdr>
            <w:top w:val="none" w:sz="0" w:space="0" w:color="auto"/>
            <w:left w:val="none" w:sz="0" w:space="0" w:color="auto"/>
            <w:bottom w:val="none" w:sz="0" w:space="0" w:color="auto"/>
            <w:right w:val="none" w:sz="0" w:space="0" w:color="auto"/>
          </w:divBdr>
        </w:div>
        <w:div w:id="412314732">
          <w:marLeft w:val="0"/>
          <w:marRight w:val="0"/>
          <w:marTop w:val="0"/>
          <w:marBottom w:val="0"/>
          <w:divBdr>
            <w:top w:val="none" w:sz="0" w:space="0" w:color="auto"/>
            <w:left w:val="none" w:sz="0" w:space="0" w:color="auto"/>
            <w:bottom w:val="none" w:sz="0" w:space="0" w:color="auto"/>
            <w:right w:val="none" w:sz="0" w:space="0" w:color="auto"/>
          </w:divBdr>
        </w:div>
        <w:div w:id="413163854">
          <w:marLeft w:val="0"/>
          <w:marRight w:val="0"/>
          <w:marTop w:val="0"/>
          <w:marBottom w:val="0"/>
          <w:divBdr>
            <w:top w:val="none" w:sz="0" w:space="0" w:color="auto"/>
            <w:left w:val="none" w:sz="0" w:space="0" w:color="auto"/>
            <w:bottom w:val="none" w:sz="0" w:space="0" w:color="auto"/>
            <w:right w:val="none" w:sz="0" w:space="0" w:color="auto"/>
          </w:divBdr>
        </w:div>
        <w:div w:id="424616072">
          <w:marLeft w:val="0"/>
          <w:marRight w:val="0"/>
          <w:marTop w:val="0"/>
          <w:marBottom w:val="0"/>
          <w:divBdr>
            <w:top w:val="none" w:sz="0" w:space="0" w:color="auto"/>
            <w:left w:val="none" w:sz="0" w:space="0" w:color="auto"/>
            <w:bottom w:val="none" w:sz="0" w:space="0" w:color="auto"/>
            <w:right w:val="none" w:sz="0" w:space="0" w:color="auto"/>
          </w:divBdr>
        </w:div>
        <w:div w:id="461270630">
          <w:marLeft w:val="0"/>
          <w:marRight w:val="0"/>
          <w:marTop w:val="0"/>
          <w:marBottom w:val="0"/>
          <w:divBdr>
            <w:top w:val="none" w:sz="0" w:space="0" w:color="auto"/>
            <w:left w:val="none" w:sz="0" w:space="0" w:color="auto"/>
            <w:bottom w:val="none" w:sz="0" w:space="0" w:color="auto"/>
            <w:right w:val="none" w:sz="0" w:space="0" w:color="auto"/>
          </w:divBdr>
        </w:div>
        <w:div w:id="464396627">
          <w:marLeft w:val="0"/>
          <w:marRight w:val="0"/>
          <w:marTop w:val="0"/>
          <w:marBottom w:val="0"/>
          <w:divBdr>
            <w:top w:val="none" w:sz="0" w:space="0" w:color="auto"/>
            <w:left w:val="none" w:sz="0" w:space="0" w:color="auto"/>
            <w:bottom w:val="none" w:sz="0" w:space="0" w:color="auto"/>
            <w:right w:val="none" w:sz="0" w:space="0" w:color="auto"/>
          </w:divBdr>
        </w:div>
        <w:div w:id="479080215">
          <w:marLeft w:val="0"/>
          <w:marRight w:val="0"/>
          <w:marTop w:val="0"/>
          <w:marBottom w:val="0"/>
          <w:divBdr>
            <w:top w:val="none" w:sz="0" w:space="0" w:color="auto"/>
            <w:left w:val="none" w:sz="0" w:space="0" w:color="auto"/>
            <w:bottom w:val="none" w:sz="0" w:space="0" w:color="auto"/>
            <w:right w:val="none" w:sz="0" w:space="0" w:color="auto"/>
          </w:divBdr>
        </w:div>
        <w:div w:id="481850011">
          <w:marLeft w:val="0"/>
          <w:marRight w:val="0"/>
          <w:marTop w:val="0"/>
          <w:marBottom w:val="0"/>
          <w:divBdr>
            <w:top w:val="none" w:sz="0" w:space="0" w:color="auto"/>
            <w:left w:val="none" w:sz="0" w:space="0" w:color="auto"/>
            <w:bottom w:val="none" w:sz="0" w:space="0" w:color="auto"/>
            <w:right w:val="none" w:sz="0" w:space="0" w:color="auto"/>
          </w:divBdr>
        </w:div>
        <w:div w:id="494033179">
          <w:marLeft w:val="0"/>
          <w:marRight w:val="0"/>
          <w:marTop w:val="0"/>
          <w:marBottom w:val="0"/>
          <w:divBdr>
            <w:top w:val="none" w:sz="0" w:space="0" w:color="auto"/>
            <w:left w:val="none" w:sz="0" w:space="0" w:color="auto"/>
            <w:bottom w:val="none" w:sz="0" w:space="0" w:color="auto"/>
            <w:right w:val="none" w:sz="0" w:space="0" w:color="auto"/>
          </w:divBdr>
        </w:div>
        <w:div w:id="496307035">
          <w:marLeft w:val="0"/>
          <w:marRight w:val="0"/>
          <w:marTop w:val="0"/>
          <w:marBottom w:val="0"/>
          <w:divBdr>
            <w:top w:val="none" w:sz="0" w:space="0" w:color="auto"/>
            <w:left w:val="none" w:sz="0" w:space="0" w:color="auto"/>
            <w:bottom w:val="none" w:sz="0" w:space="0" w:color="auto"/>
            <w:right w:val="none" w:sz="0" w:space="0" w:color="auto"/>
          </w:divBdr>
        </w:div>
        <w:div w:id="535578174">
          <w:marLeft w:val="0"/>
          <w:marRight w:val="0"/>
          <w:marTop w:val="0"/>
          <w:marBottom w:val="0"/>
          <w:divBdr>
            <w:top w:val="none" w:sz="0" w:space="0" w:color="auto"/>
            <w:left w:val="none" w:sz="0" w:space="0" w:color="auto"/>
            <w:bottom w:val="none" w:sz="0" w:space="0" w:color="auto"/>
            <w:right w:val="none" w:sz="0" w:space="0" w:color="auto"/>
          </w:divBdr>
        </w:div>
        <w:div w:id="541602556">
          <w:marLeft w:val="0"/>
          <w:marRight w:val="0"/>
          <w:marTop w:val="0"/>
          <w:marBottom w:val="0"/>
          <w:divBdr>
            <w:top w:val="none" w:sz="0" w:space="0" w:color="auto"/>
            <w:left w:val="none" w:sz="0" w:space="0" w:color="auto"/>
            <w:bottom w:val="none" w:sz="0" w:space="0" w:color="auto"/>
            <w:right w:val="none" w:sz="0" w:space="0" w:color="auto"/>
          </w:divBdr>
        </w:div>
        <w:div w:id="547572004">
          <w:marLeft w:val="0"/>
          <w:marRight w:val="0"/>
          <w:marTop w:val="0"/>
          <w:marBottom w:val="0"/>
          <w:divBdr>
            <w:top w:val="none" w:sz="0" w:space="0" w:color="auto"/>
            <w:left w:val="none" w:sz="0" w:space="0" w:color="auto"/>
            <w:bottom w:val="none" w:sz="0" w:space="0" w:color="auto"/>
            <w:right w:val="none" w:sz="0" w:space="0" w:color="auto"/>
          </w:divBdr>
        </w:div>
        <w:div w:id="550192247">
          <w:marLeft w:val="0"/>
          <w:marRight w:val="0"/>
          <w:marTop w:val="0"/>
          <w:marBottom w:val="0"/>
          <w:divBdr>
            <w:top w:val="none" w:sz="0" w:space="0" w:color="auto"/>
            <w:left w:val="none" w:sz="0" w:space="0" w:color="auto"/>
            <w:bottom w:val="none" w:sz="0" w:space="0" w:color="auto"/>
            <w:right w:val="none" w:sz="0" w:space="0" w:color="auto"/>
          </w:divBdr>
        </w:div>
        <w:div w:id="565456251">
          <w:marLeft w:val="0"/>
          <w:marRight w:val="0"/>
          <w:marTop w:val="0"/>
          <w:marBottom w:val="0"/>
          <w:divBdr>
            <w:top w:val="none" w:sz="0" w:space="0" w:color="auto"/>
            <w:left w:val="none" w:sz="0" w:space="0" w:color="auto"/>
            <w:bottom w:val="none" w:sz="0" w:space="0" w:color="auto"/>
            <w:right w:val="none" w:sz="0" w:space="0" w:color="auto"/>
          </w:divBdr>
        </w:div>
        <w:div w:id="587888324">
          <w:marLeft w:val="0"/>
          <w:marRight w:val="0"/>
          <w:marTop w:val="0"/>
          <w:marBottom w:val="0"/>
          <w:divBdr>
            <w:top w:val="none" w:sz="0" w:space="0" w:color="auto"/>
            <w:left w:val="none" w:sz="0" w:space="0" w:color="auto"/>
            <w:bottom w:val="none" w:sz="0" w:space="0" w:color="auto"/>
            <w:right w:val="none" w:sz="0" w:space="0" w:color="auto"/>
          </w:divBdr>
        </w:div>
        <w:div w:id="589314670">
          <w:marLeft w:val="0"/>
          <w:marRight w:val="0"/>
          <w:marTop w:val="0"/>
          <w:marBottom w:val="0"/>
          <w:divBdr>
            <w:top w:val="none" w:sz="0" w:space="0" w:color="auto"/>
            <w:left w:val="none" w:sz="0" w:space="0" w:color="auto"/>
            <w:bottom w:val="none" w:sz="0" w:space="0" w:color="auto"/>
            <w:right w:val="none" w:sz="0" w:space="0" w:color="auto"/>
          </w:divBdr>
        </w:div>
        <w:div w:id="593827066">
          <w:marLeft w:val="0"/>
          <w:marRight w:val="0"/>
          <w:marTop w:val="0"/>
          <w:marBottom w:val="0"/>
          <w:divBdr>
            <w:top w:val="none" w:sz="0" w:space="0" w:color="auto"/>
            <w:left w:val="none" w:sz="0" w:space="0" w:color="auto"/>
            <w:bottom w:val="none" w:sz="0" w:space="0" w:color="auto"/>
            <w:right w:val="none" w:sz="0" w:space="0" w:color="auto"/>
          </w:divBdr>
        </w:div>
        <w:div w:id="615989508">
          <w:marLeft w:val="0"/>
          <w:marRight w:val="0"/>
          <w:marTop w:val="0"/>
          <w:marBottom w:val="0"/>
          <w:divBdr>
            <w:top w:val="none" w:sz="0" w:space="0" w:color="auto"/>
            <w:left w:val="none" w:sz="0" w:space="0" w:color="auto"/>
            <w:bottom w:val="none" w:sz="0" w:space="0" w:color="auto"/>
            <w:right w:val="none" w:sz="0" w:space="0" w:color="auto"/>
          </w:divBdr>
        </w:div>
        <w:div w:id="635452518">
          <w:marLeft w:val="0"/>
          <w:marRight w:val="0"/>
          <w:marTop w:val="0"/>
          <w:marBottom w:val="0"/>
          <w:divBdr>
            <w:top w:val="none" w:sz="0" w:space="0" w:color="auto"/>
            <w:left w:val="none" w:sz="0" w:space="0" w:color="auto"/>
            <w:bottom w:val="none" w:sz="0" w:space="0" w:color="auto"/>
            <w:right w:val="none" w:sz="0" w:space="0" w:color="auto"/>
          </w:divBdr>
        </w:div>
        <w:div w:id="647826781">
          <w:marLeft w:val="0"/>
          <w:marRight w:val="0"/>
          <w:marTop w:val="0"/>
          <w:marBottom w:val="0"/>
          <w:divBdr>
            <w:top w:val="none" w:sz="0" w:space="0" w:color="auto"/>
            <w:left w:val="none" w:sz="0" w:space="0" w:color="auto"/>
            <w:bottom w:val="none" w:sz="0" w:space="0" w:color="auto"/>
            <w:right w:val="none" w:sz="0" w:space="0" w:color="auto"/>
          </w:divBdr>
        </w:div>
        <w:div w:id="664279785">
          <w:marLeft w:val="0"/>
          <w:marRight w:val="0"/>
          <w:marTop w:val="0"/>
          <w:marBottom w:val="0"/>
          <w:divBdr>
            <w:top w:val="none" w:sz="0" w:space="0" w:color="auto"/>
            <w:left w:val="none" w:sz="0" w:space="0" w:color="auto"/>
            <w:bottom w:val="none" w:sz="0" w:space="0" w:color="auto"/>
            <w:right w:val="none" w:sz="0" w:space="0" w:color="auto"/>
          </w:divBdr>
        </w:div>
        <w:div w:id="686567465">
          <w:marLeft w:val="0"/>
          <w:marRight w:val="0"/>
          <w:marTop w:val="0"/>
          <w:marBottom w:val="0"/>
          <w:divBdr>
            <w:top w:val="none" w:sz="0" w:space="0" w:color="auto"/>
            <w:left w:val="none" w:sz="0" w:space="0" w:color="auto"/>
            <w:bottom w:val="none" w:sz="0" w:space="0" w:color="auto"/>
            <w:right w:val="none" w:sz="0" w:space="0" w:color="auto"/>
          </w:divBdr>
        </w:div>
        <w:div w:id="704401524">
          <w:marLeft w:val="0"/>
          <w:marRight w:val="0"/>
          <w:marTop w:val="0"/>
          <w:marBottom w:val="0"/>
          <w:divBdr>
            <w:top w:val="none" w:sz="0" w:space="0" w:color="auto"/>
            <w:left w:val="none" w:sz="0" w:space="0" w:color="auto"/>
            <w:bottom w:val="none" w:sz="0" w:space="0" w:color="auto"/>
            <w:right w:val="none" w:sz="0" w:space="0" w:color="auto"/>
          </w:divBdr>
        </w:div>
        <w:div w:id="708382477">
          <w:marLeft w:val="0"/>
          <w:marRight w:val="0"/>
          <w:marTop w:val="0"/>
          <w:marBottom w:val="0"/>
          <w:divBdr>
            <w:top w:val="none" w:sz="0" w:space="0" w:color="auto"/>
            <w:left w:val="none" w:sz="0" w:space="0" w:color="auto"/>
            <w:bottom w:val="none" w:sz="0" w:space="0" w:color="auto"/>
            <w:right w:val="none" w:sz="0" w:space="0" w:color="auto"/>
          </w:divBdr>
        </w:div>
        <w:div w:id="720978455">
          <w:marLeft w:val="0"/>
          <w:marRight w:val="0"/>
          <w:marTop w:val="0"/>
          <w:marBottom w:val="0"/>
          <w:divBdr>
            <w:top w:val="none" w:sz="0" w:space="0" w:color="auto"/>
            <w:left w:val="none" w:sz="0" w:space="0" w:color="auto"/>
            <w:bottom w:val="none" w:sz="0" w:space="0" w:color="auto"/>
            <w:right w:val="none" w:sz="0" w:space="0" w:color="auto"/>
          </w:divBdr>
        </w:div>
        <w:div w:id="721949824">
          <w:marLeft w:val="0"/>
          <w:marRight w:val="0"/>
          <w:marTop w:val="0"/>
          <w:marBottom w:val="0"/>
          <w:divBdr>
            <w:top w:val="none" w:sz="0" w:space="0" w:color="auto"/>
            <w:left w:val="none" w:sz="0" w:space="0" w:color="auto"/>
            <w:bottom w:val="none" w:sz="0" w:space="0" w:color="auto"/>
            <w:right w:val="none" w:sz="0" w:space="0" w:color="auto"/>
          </w:divBdr>
        </w:div>
        <w:div w:id="724181006">
          <w:marLeft w:val="0"/>
          <w:marRight w:val="0"/>
          <w:marTop w:val="0"/>
          <w:marBottom w:val="0"/>
          <w:divBdr>
            <w:top w:val="none" w:sz="0" w:space="0" w:color="auto"/>
            <w:left w:val="none" w:sz="0" w:space="0" w:color="auto"/>
            <w:bottom w:val="none" w:sz="0" w:space="0" w:color="auto"/>
            <w:right w:val="none" w:sz="0" w:space="0" w:color="auto"/>
          </w:divBdr>
        </w:div>
        <w:div w:id="726605793">
          <w:marLeft w:val="0"/>
          <w:marRight w:val="0"/>
          <w:marTop w:val="0"/>
          <w:marBottom w:val="0"/>
          <w:divBdr>
            <w:top w:val="none" w:sz="0" w:space="0" w:color="auto"/>
            <w:left w:val="none" w:sz="0" w:space="0" w:color="auto"/>
            <w:bottom w:val="none" w:sz="0" w:space="0" w:color="auto"/>
            <w:right w:val="none" w:sz="0" w:space="0" w:color="auto"/>
          </w:divBdr>
        </w:div>
        <w:div w:id="732236664">
          <w:marLeft w:val="0"/>
          <w:marRight w:val="0"/>
          <w:marTop w:val="0"/>
          <w:marBottom w:val="0"/>
          <w:divBdr>
            <w:top w:val="none" w:sz="0" w:space="0" w:color="auto"/>
            <w:left w:val="none" w:sz="0" w:space="0" w:color="auto"/>
            <w:bottom w:val="none" w:sz="0" w:space="0" w:color="auto"/>
            <w:right w:val="none" w:sz="0" w:space="0" w:color="auto"/>
          </w:divBdr>
        </w:div>
        <w:div w:id="768430549">
          <w:marLeft w:val="0"/>
          <w:marRight w:val="0"/>
          <w:marTop w:val="0"/>
          <w:marBottom w:val="0"/>
          <w:divBdr>
            <w:top w:val="none" w:sz="0" w:space="0" w:color="auto"/>
            <w:left w:val="none" w:sz="0" w:space="0" w:color="auto"/>
            <w:bottom w:val="none" w:sz="0" w:space="0" w:color="auto"/>
            <w:right w:val="none" w:sz="0" w:space="0" w:color="auto"/>
          </w:divBdr>
        </w:div>
        <w:div w:id="781654368">
          <w:marLeft w:val="0"/>
          <w:marRight w:val="0"/>
          <w:marTop w:val="0"/>
          <w:marBottom w:val="0"/>
          <w:divBdr>
            <w:top w:val="none" w:sz="0" w:space="0" w:color="auto"/>
            <w:left w:val="none" w:sz="0" w:space="0" w:color="auto"/>
            <w:bottom w:val="none" w:sz="0" w:space="0" w:color="auto"/>
            <w:right w:val="none" w:sz="0" w:space="0" w:color="auto"/>
          </w:divBdr>
        </w:div>
        <w:div w:id="791557525">
          <w:marLeft w:val="0"/>
          <w:marRight w:val="0"/>
          <w:marTop w:val="0"/>
          <w:marBottom w:val="0"/>
          <w:divBdr>
            <w:top w:val="none" w:sz="0" w:space="0" w:color="auto"/>
            <w:left w:val="none" w:sz="0" w:space="0" w:color="auto"/>
            <w:bottom w:val="none" w:sz="0" w:space="0" w:color="auto"/>
            <w:right w:val="none" w:sz="0" w:space="0" w:color="auto"/>
          </w:divBdr>
          <w:divsChild>
            <w:div w:id="2133593347">
              <w:marLeft w:val="-75"/>
              <w:marRight w:val="0"/>
              <w:marTop w:val="30"/>
              <w:marBottom w:val="30"/>
              <w:divBdr>
                <w:top w:val="none" w:sz="0" w:space="0" w:color="auto"/>
                <w:left w:val="none" w:sz="0" w:space="0" w:color="auto"/>
                <w:bottom w:val="none" w:sz="0" w:space="0" w:color="auto"/>
                <w:right w:val="none" w:sz="0" w:space="0" w:color="auto"/>
              </w:divBdr>
              <w:divsChild>
                <w:div w:id="141821975">
                  <w:marLeft w:val="0"/>
                  <w:marRight w:val="0"/>
                  <w:marTop w:val="0"/>
                  <w:marBottom w:val="0"/>
                  <w:divBdr>
                    <w:top w:val="none" w:sz="0" w:space="0" w:color="auto"/>
                    <w:left w:val="none" w:sz="0" w:space="0" w:color="auto"/>
                    <w:bottom w:val="none" w:sz="0" w:space="0" w:color="auto"/>
                    <w:right w:val="none" w:sz="0" w:space="0" w:color="auto"/>
                  </w:divBdr>
                  <w:divsChild>
                    <w:div w:id="511650405">
                      <w:marLeft w:val="0"/>
                      <w:marRight w:val="0"/>
                      <w:marTop w:val="0"/>
                      <w:marBottom w:val="0"/>
                      <w:divBdr>
                        <w:top w:val="none" w:sz="0" w:space="0" w:color="auto"/>
                        <w:left w:val="none" w:sz="0" w:space="0" w:color="auto"/>
                        <w:bottom w:val="none" w:sz="0" w:space="0" w:color="auto"/>
                        <w:right w:val="none" w:sz="0" w:space="0" w:color="auto"/>
                      </w:divBdr>
                    </w:div>
                  </w:divsChild>
                </w:div>
                <w:div w:id="167914462">
                  <w:marLeft w:val="0"/>
                  <w:marRight w:val="0"/>
                  <w:marTop w:val="0"/>
                  <w:marBottom w:val="0"/>
                  <w:divBdr>
                    <w:top w:val="none" w:sz="0" w:space="0" w:color="auto"/>
                    <w:left w:val="none" w:sz="0" w:space="0" w:color="auto"/>
                    <w:bottom w:val="none" w:sz="0" w:space="0" w:color="auto"/>
                    <w:right w:val="none" w:sz="0" w:space="0" w:color="auto"/>
                  </w:divBdr>
                  <w:divsChild>
                    <w:div w:id="1231816207">
                      <w:marLeft w:val="0"/>
                      <w:marRight w:val="0"/>
                      <w:marTop w:val="0"/>
                      <w:marBottom w:val="0"/>
                      <w:divBdr>
                        <w:top w:val="none" w:sz="0" w:space="0" w:color="auto"/>
                        <w:left w:val="none" w:sz="0" w:space="0" w:color="auto"/>
                        <w:bottom w:val="none" w:sz="0" w:space="0" w:color="auto"/>
                        <w:right w:val="none" w:sz="0" w:space="0" w:color="auto"/>
                      </w:divBdr>
                    </w:div>
                  </w:divsChild>
                </w:div>
                <w:div w:id="707755303">
                  <w:marLeft w:val="0"/>
                  <w:marRight w:val="0"/>
                  <w:marTop w:val="0"/>
                  <w:marBottom w:val="0"/>
                  <w:divBdr>
                    <w:top w:val="none" w:sz="0" w:space="0" w:color="auto"/>
                    <w:left w:val="none" w:sz="0" w:space="0" w:color="auto"/>
                    <w:bottom w:val="none" w:sz="0" w:space="0" w:color="auto"/>
                    <w:right w:val="none" w:sz="0" w:space="0" w:color="auto"/>
                  </w:divBdr>
                  <w:divsChild>
                    <w:div w:id="708990152">
                      <w:marLeft w:val="0"/>
                      <w:marRight w:val="0"/>
                      <w:marTop w:val="0"/>
                      <w:marBottom w:val="0"/>
                      <w:divBdr>
                        <w:top w:val="none" w:sz="0" w:space="0" w:color="auto"/>
                        <w:left w:val="none" w:sz="0" w:space="0" w:color="auto"/>
                        <w:bottom w:val="none" w:sz="0" w:space="0" w:color="auto"/>
                        <w:right w:val="none" w:sz="0" w:space="0" w:color="auto"/>
                      </w:divBdr>
                    </w:div>
                  </w:divsChild>
                </w:div>
                <w:div w:id="877352039">
                  <w:marLeft w:val="0"/>
                  <w:marRight w:val="0"/>
                  <w:marTop w:val="0"/>
                  <w:marBottom w:val="0"/>
                  <w:divBdr>
                    <w:top w:val="none" w:sz="0" w:space="0" w:color="auto"/>
                    <w:left w:val="none" w:sz="0" w:space="0" w:color="auto"/>
                    <w:bottom w:val="none" w:sz="0" w:space="0" w:color="auto"/>
                    <w:right w:val="none" w:sz="0" w:space="0" w:color="auto"/>
                  </w:divBdr>
                  <w:divsChild>
                    <w:div w:id="1857842028">
                      <w:marLeft w:val="0"/>
                      <w:marRight w:val="0"/>
                      <w:marTop w:val="0"/>
                      <w:marBottom w:val="0"/>
                      <w:divBdr>
                        <w:top w:val="none" w:sz="0" w:space="0" w:color="auto"/>
                        <w:left w:val="none" w:sz="0" w:space="0" w:color="auto"/>
                        <w:bottom w:val="none" w:sz="0" w:space="0" w:color="auto"/>
                        <w:right w:val="none" w:sz="0" w:space="0" w:color="auto"/>
                      </w:divBdr>
                    </w:div>
                  </w:divsChild>
                </w:div>
                <w:div w:id="877934398">
                  <w:marLeft w:val="0"/>
                  <w:marRight w:val="0"/>
                  <w:marTop w:val="0"/>
                  <w:marBottom w:val="0"/>
                  <w:divBdr>
                    <w:top w:val="none" w:sz="0" w:space="0" w:color="auto"/>
                    <w:left w:val="none" w:sz="0" w:space="0" w:color="auto"/>
                    <w:bottom w:val="none" w:sz="0" w:space="0" w:color="auto"/>
                    <w:right w:val="none" w:sz="0" w:space="0" w:color="auto"/>
                  </w:divBdr>
                  <w:divsChild>
                    <w:div w:id="1263798140">
                      <w:marLeft w:val="0"/>
                      <w:marRight w:val="0"/>
                      <w:marTop w:val="0"/>
                      <w:marBottom w:val="0"/>
                      <w:divBdr>
                        <w:top w:val="none" w:sz="0" w:space="0" w:color="auto"/>
                        <w:left w:val="none" w:sz="0" w:space="0" w:color="auto"/>
                        <w:bottom w:val="none" w:sz="0" w:space="0" w:color="auto"/>
                        <w:right w:val="none" w:sz="0" w:space="0" w:color="auto"/>
                      </w:divBdr>
                    </w:div>
                  </w:divsChild>
                </w:div>
                <w:div w:id="914510932">
                  <w:marLeft w:val="0"/>
                  <w:marRight w:val="0"/>
                  <w:marTop w:val="0"/>
                  <w:marBottom w:val="0"/>
                  <w:divBdr>
                    <w:top w:val="none" w:sz="0" w:space="0" w:color="auto"/>
                    <w:left w:val="none" w:sz="0" w:space="0" w:color="auto"/>
                    <w:bottom w:val="none" w:sz="0" w:space="0" w:color="auto"/>
                    <w:right w:val="none" w:sz="0" w:space="0" w:color="auto"/>
                  </w:divBdr>
                  <w:divsChild>
                    <w:div w:id="1754624329">
                      <w:marLeft w:val="0"/>
                      <w:marRight w:val="0"/>
                      <w:marTop w:val="0"/>
                      <w:marBottom w:val="0"/>
                      <w:divBdr>
                        <w:top w:val="none" w:sz="0" w:space="0" w:color="auto"/>
                        <w:left w:val="none" w:sz="0" w:space="0" w:color="auto"/>
                        <w:bottom w:val="none" w:sz="0" w:space="0" w:color="auto"/>
                        <w:right w:val="none" w:sz="0" w:space="0" w:color="auto"/>
                      </w:divBdr>
                    </w:div>
                  </w:divsChild>
                </w:div>
                <w:div w:id="963652284">
                  <w:marLeft w:val="0"/>
                  <w:marRight w:val="0"/>
                  <w:marTop w:val="0"/>
                  <w:marBottom w:val="0"/>
                  <w:divBdr>
                    <w:top w:val="none" w:sz="0" w:space="0" w:color="auto"/>
                    <w:left w:val="none" w:sz="0" w:space="0" w:color="auto"/>
                    <w:bottom w:val="none" w:sz="0" w:space="0" w:color="auto"/>
                    <w:right w:val="none" w:sz="0" w:space="0" w:color="auto"/>
                  </w:divBdr>
                  <w:divsChild>
                    <w:div w:id="605116033">
                      <w:marLeft w:val="0"/>
                      <w:marRight w:val="0"/>
                      <w:marTop w:val="0"/>
                      <w:marBottom w:val="0"/>
                      <w:divBdr>
                        <w:top w:val="none" w:sz="0" w:space="0" w:color="auto"/>
                        <w:left w:val="none" w:sz="0" w:space="0" w:color="auto"/>
                        <w:bottom w:val="none" w:sz="0" w:space="0" w:color="auto"/>
                        <w:right w:val="none" w:sz="0" w:space="0" w:color="auto"/>
                      </w:divBdr>
                    </w:div>
                  </w:divsChild>
                </w:div>
                <w:div w:id="1114324052">
                  <w:marLeft w:val="0"/>
                  <w:marRight w:val="0"/>
                  <w:marTop w:val="0"/>
                  <w:marBottom w:val="0"/>
                  <w:divBdr>
                    <w:top w:val="none" w:sz="0" w:space="0" w:color="auto"/>
                    <w:left w:val="none" w:sz="0" w:space="0" w:color="auto"/>
                    <w:bottom w:val="none" w:sz="0" w:space="0" w:color="auto"/>
                    <w:right w:val="none" w:sz="0" w:space="0" w:color="auto"/>
                  </w:divBdr>
                  <w:divsChild>
                    <w:div w:id="16783040">
                      <w:marLeft w:val="0"/>
                      <w:marRight w:val="0"/>
                      <w:marTop w:val="0"/>
                      <w:marBottom w:val="0"/>
                      <w:divBdr>
                        <w:top w:val="none" w:sz="0" w:space="0" w:color="auto"/>
                        <w:left w:val="none" w:sz="0" w:space="0" w:color="auto"/>
                        <w:bottom w:val="none" w:sz="0" w:space="0" w:color="auto"/>
                        <w:right w:val="none" w:sz="0" w:space="0" w:color="auto"/>
                      </w:divBdr>
                    </w:div>
                  </w:divsChild>
                </w:div>
                <w:div w:id="1173297557">
                  <w:marLeft w:val="0"/>
                  <w:marRight w:val="0"/>
                  <w:marTop w:val="0"/>
                  <w:marBottom w:val="0"/>
                  <w:divBdr>
                    <w:top w:val="none" w:sz="0" w:space="0" w:color="auto"/>
                    <w:left w:val="none" w:sz="0" w:space="0" w:color="auto"/>
                    <w:bottom w:val="none" w:sz="0" w:space="0" w:color="auto"/>
                    <w:right w:val="none" w:sz="0" w:space="0" w:color="auto"/>
                  </w:divBdr>
                  <w:divsChild>
                    <w:div w:id="686522269">
                      <w:marLeft w:val="0"/>
                      <w:marRight w:val="0"/>
                      <w:marTop w:val="0"/>
                      <w:marBottom w:val="0"/>
                      <w:divBdr>
                        <w:top w:val="none" w:sz="0" w:space="0" w:color="auto"/>
                        <w:left w:val="none" w:sz="0" w:space="0" w:color="auto"/>
                        <w:bottom w:val="none" w:sz="0" w:space="0" w:color="auto"/>
                        <w:right w:val="none" w:sz="0" w:space="0" w:color="auto"/>
                      </w:divBdr>
                    </w:div>
                  </w:divsChild>
                </w:div>
                <w:div w:id="1364014944">
                  <w:marLeft w:val="0"/>
                  <w:marRight w:val="0"/>
                  <w:marTop w:val="0"/>
                  <w:marBottom w:val="0"/>
                  <w:divBdr>
                    <w:top w:val="none" w:sz="0" w:space="0" w:color="auto"/>
                    <w:left w:val="none" w:sz="0" w:space="0" w:color="auto"/>
                    <w:bottom w:val="none" w:sz="0" w:space="0" w:color="auto"/>
                    <w:right w:val="none" w:sz="0" w:space="0" w:color="auto"/>
                  </w:divBdr>
                  <w:divsChild>
                    <w:div w:id="2138252763">
                      <w:marLeft w:val="0"/>
                      <w:marRight w:val="0"/>
                      <w:marTop w:val="0"/>
                      <w:marBottom w:val="0"/>
                      <w:divBdr>
                        <w:top w:val="none" w:sz="0" w:space="0" w:color="auto"/>
                        <w:left w:val="none" w:sz="0" w:space="0" w:color="auto"/>
                        <w:bottom w:val="none" w:sz="0" w:space="0" w:color="auto"/>
                        <w:right w:val="none" w:sz="0" w:space="0" w:color="auto"/>
                      </w:divBdr>
                    </w:div>
                  </w:divsChild>
                </w:div>
                <w:div w:id="1388533582">
                  <w:marLeft w:val="0"/>
                  <w:marRight w:val="0"/>
                  <w:marTop w:val="0"/>
                  <w:marBottom w:val="0"/>
                  <w:divBdr>
                    <w:top w:val="none" w:sz="0" w:space="0" w:color="auto"/>
                    <w:left w:val="none" w:sz="0" w:space="0" w:color="auto"/>
                    <w:bottom w:val="none" w:sz="0" w:space="0" w:color="auto"/>
                    <w:right w:val="none" w:sz="0" w:space="0" w:color="auto"/>
                  </w:divBdr>
                  <w:divsChild>
                    <w:div w:id="1457797209">
                      <w:marLeft w:val="0"/>
                      <w:marRight w:val="0"/>
                      <w:marTop w:val="0"/>
                      <w:marBottom w:val="0"/>
                      <w:divBdr>
                        <w:top w:val="none" w:sz="0" w:space="0" w:color="auto"/>
                        <w:left w:val="none" w:sz="0" w:space="0" w:color="auto"/>
                        <w:bottom w:val="none" w:sz="0" w:space="0" w:color="auto"/>
                        <w:right w:val="none" w:sz="0" w:space="0" w:color="auto"/>
                      </w:divBdr>
                    </w:div>
                  </w:divsChild>
                </w:div>
                <w:div w:id="1442148318">
                  <w:marLeft w:val="0"/>
                  <w:marRight w:val="0"/>
                  <w:marTop w:val="0"/>
                  <w:marBottom w:val="0"/>
                  <w:divBdr>
                    <w:top w:val="none" w:sz="0" w:space="0" w:color="auto"/>
                    <w:left w:val="none" w:sz="0" w:space="0" w:color="auto"/>
                    <w:bottom w:val="none" w:sz="0" w:space="0" w:color="auto"/>
                    <w:right w:val="none" w:sz="0" w:space="0" w:color="auto"/>
                  </w:divBdr>
                  <w:divsChild>
                    <w:div w:id="1945380328">
                      <w:marLeft w:val="0"/>
                      <w:marRight w:val="0"/>
                      <w:marTop w:val="0"/>
                      <w:marBottom w:val="0"/>
                      <w:divBdr>
                        <w:top w:val="none" w:sz="0" w:space="0" w:color="auto"/>
                        <w:left w:val="none" w:sz="0" w:space="0" w:color="auto"/>
                        <w:bottom w:val="none" w:sz="0" w:space="0" w:color="auto"/>
                        <w:right w:val="none" w:sz="0" w:space="0" w:color="auto"/>
                      </w:divBdr>
                    </w:div>
                  </w:divsChild>
                </w:div>
                <w:div w:id="1453552670">
                  <w:marLeft w:val="0"/>
                  <w:marRight w:val="0"/>
                  <w:marTop w:val="0"/>
                  <w:marBottom w:val="0"/>
                  <w:divBdr>
                    <w:top w:val="none" w:sz="0" w:space="0" w:color="auto"/>
                    <w:left w:val="none" w:sz="0" w:space="0" w:color="auto"/>
                    <w:bottom w:val="none" w:sz="0" w:space="0" w:color="auto"/>
                    <w:right w:val="none" w:sz="0" w:space="0" w:color="auto"/>
                  </w:divBdr>
                  <w:divsChild>
                    <w:div w:id="1466312999">
                      <w:marLeft w:val="0"/>
                      <w:marRight w:val="0"/>
                      <w:marTop w:val="0"/>
                      <w:marBottom w:val="0"/>
                      <w:divBdr>
                        <w:top w:val="none" w:sz="0" w:space="0" w:color="auto"/>
                        <w:left w:val="none" w:sz="0" w:space="0" w:color="auto"/>
                        <w:bottom w:val="none" w:sz="0" w:space="0" w:color="auto"/>
                        <w:right w:val="none" w:sz="0" w:space="0" w:color="auto"/>
                      </w:divBdr>
                    </w:div>
                  </w:divsChild>
                </w:div>
                <w:div w:id="1485003103">
                  <w:marLeft w:val="0"/>
                  <w:marRight w:val="0"/>
                  <w:marTop w:val="0"/>
                  <w:marBottom w:val="0"/>
                  <w:divBdr>
                    <w:top w:val="none" w:sz="0" w:space="0" w:color="auto"/>
                    <w:left w:val="none" w:sz="0" w:space="0" w:color="auto"/>
                    <w:bottom w:val="none" w:sz="0" w:space="0" w:color="auto"/>
                    <w:right w:val="none" w:sz="0" w:space="0" w:color="auto"/>
                  </w:divBdr>
                  <w:divsChild>
                    <w:div w:id="1572157099">
                      <w:marLeft w:val="0"/>
                      <w:marRight w:val="0"/>
                      <w:marTop w:val="0"/>
                      <w:marBottom w:val="0"/>
                      <w:divBdr>
                        <w:top w:val="none" w:sz="0" w:space="0" w:color="auto"/>
                        <w:left w:val="none" w:sz="0" w:space="0" w:color="auto"/>
                        <w:bottom w:val="none" w:sz="0" w:space="0" w:color="auto"/>
                        <w:right w:val="none" w:sz="0" w:space="0" w:color="auto"/>
                      </w:divBdr>
                    </w:div>
                  </w:divsChild>
                </w:div>
                <w:div w:id="1786651161">
                  <w:marLeft w:val="0"/>
                  <w:marRight w:val="0"/>
                  <w:marTop w:val="0"/>
                  <w:marBottom w:val="0"/>
                  <w:divBdr>
                    <w:top w:val="none" w:sz="0" w:space="0" w:color="auto"/>
                    <w:left w:val="none" w:sz="0" w:space="0" w:color="auto"/>
                    <w:bottom w:val="none" w:sz="0" w:space="0" w:color="auto"/>
                    <w:right w:val="none" w:sz="0" w:space="0" w:color="auto"/>
                  </w:divBdr>
                  <w:divsChild>
                    <w:div w:id="354615879">
                      <w:marLeft w:val="0"/>
                      <w:marRight w:val="0"/>
                      <w:marTop w:val="0"/>
                      <w:marBottom w:val="0"/>
                      <w:divBdr>
                        <w:top w:val="none" w:sz="0" w:space="0" w:color="auto"/>
                        <w:left w:val="none" w:sz="0" w:space="0" w:color="auto"/>
                        <w:bottom w:val="none" w:sz="0" w:space="0" w:color="auto"/>
                        <w:right w:val="none" w:sz="0" w:space="0" w:color="auto"/>
                      </w:divBdr>
                    </w:div>
                  </w:divsChild>
                </w:div>
                <w:div w:id="1788311343">
                  <w:marLeft w:val="0"/>
                  <w:marRight w:val="0"/>
                  <w:marTop w:val="0"/>
                  <w:marBottom w:val="0"/>
                  <w:divBdr>
                    <w:top w:val="none" w:sz="0" w:space="0" w:color="auto"/>
                    <w:left w:val="none" w:sz="0" w:space="0" w:color="auto"/>
                    <w:bottom w:val="none" w:sz="0" w:space="0" w:color="auto"/>
                    <w:right w:val="none" w:sz="0" w:space="0" w:color="auto"/>
                  </w:divBdr>
                  <w:divsChild>
                    <w:div w:id="1009986506">
                      <w:marLeft w:val="0"/>
                      <w:marRight w:val="0"/>
                      <w:marTop w:val="0"/>
                      <w:marBottom w:val="0"/>
                      <w:divBdr>
                        <w:top w:val="none" w:sz="0" w:space="0" w:color="auto"/>
                        <w:left w:val="none" w:sz="0" w:space="0" w:color="auto"/>
                        <w:bottom w:val="none" w:sz="0" w:space="0" w:color="auto"/>
                        <w:right w:val="none" w:sz="0" w:space="0" w:color="auto"/>
                      </w:divBdr>
                    </w:div>
                  </w:divsChild>
                </w:div>
                <w:div w:id="1825854008">
                  <w:marLeft w:val="0"/>
                  <w:marRight w:val="0"/>
                  <w:marTop w:val="0"/>
                  <w:marBottom w:val="0"/>
                  <w:divBdr>
                    <w:top w:val="none" w:sz="0" w:space="0" w:color="auto"/>
                    <w:left w:val="none" w:sz="0" w:space="0" w:color="auto"/>
                    <w:bottom w:val="none" w:sz="0" w:space="0" w:color="auto"/>
                    <w:right w:val="none" w:sz="0" w:space="0" w:color="auto"/>
                  </w:divBdr>
                  <w:divsChild>
                    <w:div w:id="1663006908">
                      <w:marLeft w:val="0"/>
                      <w:marRight w:val="0"/>
                      <w:marTop w:val="0"/>
                      <w:marBottom w:val="0"/>
                      <w:divBdr>
                        <w:top w:val="none" w:sz="0" w:space="0" w:color="auto"/>
                        <w:left w:val="none" w:sz="0" w:space="0" w:color="auto"/>
                        <w:bottom w:val="none" w:sz="0" w:space="0" w:color="auto"/>
                        <w:right w:val="none" w:sz="0" w:space="0" w:color="auto"/>
                      </w:divBdr>
                    </w:div>
                  </w:divsChild>
                </w:div>
                <w:div w:id="1865054581">
                  <w:marLeft w:val="0"/>
                  <w:marRight w:val="0"/>
                  <w:marTop w:val="0"/>
                  <w:marBottom w:val="0"/>
                  <w:divBdr>
                    <w:top w:val="none" w:sz="0" w:space="0" w:color="auto"/>
                    <w:left w:val="none" w:sz="0" w:space="0" w:color="auto"/>
                    <w:bottom w:val="none" w:sz="0" w:space="0" w:color="auto"/>
                    <w:right w:val="none" w:sz="0" w:space="0" w:color="auto"/>
                  </w:divBdr>
                  <w:divsChild>
                    <w:div w:id="1735079813">
                      <w:marLeft w:val="0"/>
                      <w:marRight w:val="0"/>
                      <w:marTop w:val="0"/>
                      <w:marBottom w:val="0"/>
                      <w:divBdr>
                        <w:top w:val="none" w:sz="0" w:space="0" w:color="auto"/>
                        <w:left w:val="none" w:sz="0" w:space="0" w:color="auto"/>
                        <w:bottom w:val="none" w:sz="0" w:space="0" w:color="auto"/>
                        <w:right w:val="none" w:sz="0" w:space="0" w:color="auto"/>
                      </w:divBdr>
                    </w:div>
                  </w:divsChild>
                </w:div>
                <w:div w:id="1893880139">
                  <w:marLeft w:val="0"/>
                  <w:marRight w:val="0"/>
                  <w:marTop w:val="0"/>
                  <w:marBottom w:val="0"/>
                  <w:divBdr>
                    <w:top w:val="none" w:sz="0" w:space="0" w:color="auto"/>
                    <w:left w:val="none" w:sz="0" w:space="0" w:color="auto"/>
                    <w:bottom w:val="none" w:sz="0" w:space="0" w:color="auto"/>
                    <w:right w:val="none" w:sz="0" w:space="0" w:color="auto"/>
                  </w:divBdr>
                  <w:divsChild>
                    <w:div w:id="1695036903">
                      <w:marLeft w:val="0"/>
                      <w:marRight w:val="0"/>
                      <w:marTop w:val="0"/>
                      <w:marBottom w:val="0"/>
                      <w:divBdr>
                        <w:top w:val="none" w:sz="0" w:space="0" w:color="auto"/>
                        <w:left w:val="none" w:sz="0" w:space="0" w:color="auto"/>
                        <w:bottom w:val="none" w:sz="0" w:space="0" w:color="auto"/>
                        <w:right w:val="none" w:sz="0" w:space="0" w:color="auto"/>
                      </w:divBdr>
                    </w:div>
                  </w:divsChild>
                </w:div>
                <w:div w:id="2047024691">
                  <w:marLeft w:val="0"/>
                  <w:marRight w:val="0"/>
                  <w:marTop w:val="0"/>
                  <w:marBottom w:val="0"/>
                  <w:divBdr>
                    <w:top w:val="none" w:sz="0" w:space="0" w:color="auto"/>
                    <w:left w:val="none" w:sz="0" w:space="0" w:color="auto"/>
                    <w:bottom w:val="none" w:sz="0" w:space="0" w:color="auto"/>
                    <w:right w:val="none" w:sz="0" w:space="0" w:color="auto"/>
                  </w:divBdr>
                  <w:divsChild>
                    <w:div w:id="1443836631">
                      <w:marLeft w:val="0"/>
                      <w:marRight w:val="0"/>
                      <w:marTop w:val="0"/>
                      <w:marBottom w:val="0"/>
                      <w:divBdr>
                        <w:top w:val="none" w:sz="0" w:space="0" w:color="auto"/>
                        <w:left w:val="none" w:sz="0" w:space="0" w:color="auto"/>
                        <w:bottom w:val="none" w:sz="0" w:space="0" w:color="auto"/>
                        <w:right w:val="none" w:sz="0" w:space="0" w:color="auto"/>
                      </w:divBdr>
                    </w:div>
                  </w:divsChild>
                </w:div>
                <w:div w:id="2061780464">
                  <w:marLeft w:val="0"/>
                  <w:marRight w:val="0"/>
                  <w:marTop w:val="0"/>
                  <w:marBottom w:val="0"/>
                  <w:divBdr>
                    <w:top w:val="none" w:sz="0" w:space="0" w:color="auto"/>
                    <w:left w:val="none" w:sz="0" w:space="0" w:color="auto"/>
                    <w:bottom w:val="none" w:sz="0" w:space="0" w:color="auto"/>
                    <w:right w:val="none" w:sz="0" w:space="0" w:color="auto"/>
                  </w:divBdr>
                  <w:divsChild>
                    <w:div w:id="72513381">
                      <w:marLeft w:val="0"/>
                      <w:marRight w:val="0"/>
                      <w:marTop w:val="0"/>
                      <w:marBottom w:val="0"/>
                      <w:divBdr>
                        <w:top w:val="none" w:sz="0" w:space="0" w:color="auto"/>
                        <w:left w:val="none" w:sz="0" w:space="0" w:color="auto"/>
                        <w:bottom w:val="none" w:sz="0" w:space="0" w:color="auto"/>
                        <w:right w:val="none" w:sz="0" w:space="0" w:color="auto"/>
                      </w:divBdr>
                    </w:div>
                  </w:divsChild>
                </w:div>
                <w:div w:id="2063401350">
                  <w:marLeft w:val="0"/>
                  <w:marRight w:val="0"/>
                  <w:marTop w:val="0"/>
                  <w:marBottom w:val="0"/>
                  <w:divBdr>
                    <w:top w:val="none" w:sz="0" w:space="0" w:color="auto"/>
                    <w:left w:val="none" w:sz="0" w:space="0" w:color="auto"/>
                    <w:bottom w:val="none" w:sz="0" w:space="0" w:color="auto"/>
                    <w:right w:val="none" w:sz="0" w:space="0" w:color="auto"/>
                  </w:divBdr>
                  <w:divsChild>
                    <w:div w:id="1296909370">
                      <w:marLeft w:val="0"/>
                      <w:marRight w:val="0"/>
                      <w:marTop w:val="0"/>
                      <w:marBottom w:val="0"/>
                      <w:divBdr>
                        <w:top w:val="none" w:sz="0" w:space="0" w:color="auto"/>
                        <w:left w:val="none" w:sz="0" w:space="0" w:color="auto"/>
                        <w:bottom w:val="none" w:sz="0" w:space="0" w:color="auto"/>
                        <w:right w:val="none" w:sz="0" w:space="0" w:color="auto"/>
                      </w:divBdr>
                    </w:div>
                  </w:divsChild>
                </w:div>
                <w:div w:id="2094860048">
                  <w:marLeft w:val="0"/>
                  <w:marRight w:val="0"/>
                  <w:marTop w:val="0"/>
                  <w:marBottom w:val="0"/>
                  <w:divBdr>
                    <w:top w:val="none" w:sz="0" w:space="0" w:color="auto"/>
                    <w:left w:val="none" w:sz="0" w:space="0" w:color="auto"/>
                    <w:bottom w:val="none" w:sz="0" w:space="0" w:color="auto"/>
                    <w:right w:val="none" w:sz="0" w:space="0" w:color="auto"/>
                  </w:divBdr>
                  <w:divsChild>
                    <w:div w:id="1403134711">
                      <w:marLeft w:val="0"/>
                      <w:marRight w:val="0"/>
                      <w:marTop w:val="0"/>
                      <w:marBottom w:val="0"/>
                      <w:divBdr>
                        <w:top w:val="none" w:sz="0" w:space="0" w:color="auto"/>
                        <w:left w:val="none" w:sz="0" w:space="0" w:color="auto"/>
                        <w:bottom w:val="none" w:sz="0" w:space="0" w:color="auto"/>
                        <w:right w:val="none" w:sz="0" w:space="0" w:color="auto"/>
                      </w:divBdr>
                    </w:div>
                  </w:divsChild>
                </w:div>
                <w:div w:id="2117557763">
                  <w:marLeft w:val="0"/>
                  <w:marRight w:val="0"/>
                  <w:marTop w:val="0"/>
                  <w:marBottom w:val="0"/>
                  <w:divBdr>
                    <w:top w:val="none" w:sz="0" w:space="0" w:color="auto"/>
                    <w:left w:val="none" w:sz="0" w:space="0" w:color="auto"/>
                    <w:bottom w:val="none" w:sz="0" w:space="0" w:color="auto"/>
                    <w:right w:val="none" w:sz="0" w:space="0" w:color="auto"/>
                  </w:divBdr>
                  <w:divsChild>
                    <w:div w:id="1782794695">
                      <w:marLeft w:val="0"/>
                      <w:marRight w:val="0"/>
                      <w:marTop w:val="0"/>
                      <w:marBottom w:val="0"/>
                      <w:divBdr>
                        <w:top w:val="none" w:sz="0" w:space="0" w:color="auto"/>
                        <w:left w:val="none" w:sz="0" w:space="0" w:color="auto"/>
                        <w:bottom w:val="none" w:sz="0" w:space="0" w:color="auto"/>
                        <w:right w:val="none" w:sz="0" w:space="0" w:color="auto"/>
                      </w:divBdr>
                    </w:div>
                  </w:divsChild>
                </w:div>
                <w:div w:id="2126268709">
                  <w:marLeft w:val="0"/>
                  <w:marRight w:val="0"/>
                  <w:marTop w:val="0"/>
                  <w:marBottom w:val="0"/>
                  <w:divBdr>
                    <w:top w:val="none" w:sz="0" w:space="0" w:color="auto"/>
                    <w:left w:val="none" w:sz="0" w:space="0" w:color="auto"/>
                    <w:bottom w:val="none" w:sz="0" w:space="0" w:color="auto"/>
                    <w:right w:val="none" w:sz="0" w:space="0" w:color="auto"/>
                  </w:divBdr>
                  <w:divsChild>
                    <w:div w:id="1675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36558">
          <w:marLeft w:val="0"/>
          <w:marRight w:val="0"/>
          <w:marTop w:val="0"/>
          <w:marBottom w:val="0"/>
          <w:divBdr>
            <w:top w:val="none" w:sz="0" w:space="0" w:color="auto"/>
            <w:left w:val="none" w:sz="0" w:space="0" w:color="auto"/>
            <w:bottom w:val="none" w:sz="0" w:space="0" w:color="auto"/>
            <w:right w:val="none" w:sz="0" w:space="0" w:color="auto"/>
          </w:divBdr>
        </w:div>
        <w:div w:id="826018488">
          <w:marLeft w:val="0"/>
          <w:marRight w:val="0"/>
          <w:marTop w:val="0"/>
          <w:marBottom w:val="0"/>
          <w:divBdr>
            <w:top w:val="none" w:sz="0" w:space="0" w:color="auto"/>
            <w:left w:val="none" w:sz="0" w:space="0" w:color="auto"/>
            <w:bottom w:val="none" w:sz="0" w:space="0" w:color="auto"/>
            <w:right w:val="none" w:sz="0" w:space="0" w:color="auto"/>
          </w:divBdr>
        </w:div>
        <w:div w:id="832991993">
          <w:marLeft w:val="0"/>
          <w:marRight w:val="0"/>
          <w:marTop w:val="0"/>
          <w:marBottom w:val="0"/>
          <w:divBdr>
            <w:top w:val="none" w:sz="0" w:space="0" w:color="auto"/>
            <w:left w:val="none" w:sz="0" w:space="0" w:color="auto"/>
            <w:bottom w:val="none" w:sz="0" w:space="0" w:color="auto"/>
            <w:right w:val="none" w:sz="0" w:space="0" w:color="auto"/>
          </w:divBdr>
        </w:div>
        <w:div w:id="836961695">
          <w:marLeft w:val="0"/>
          <w:marRight w:val="0"/>
          <w:marTop w:val="0"/>
          <w:marBottom w:val="0"/>
          <w:divBdr>
            <w:top w:val="none" w:sz="0" w:space="0" w:color="auto"/>
            <w:left w:val="none" w:sz="0" w:space="0" w:color="auto"/>
            <w:bottom w:val="none" w:sz="0" w:space="0" w:color="auto"/>
            <w:right w:val="none" w:sz="0" w:space="0" w:color="auto"/>
          </w:divBdr>
        </w:div>
        <w:div w:id="863514508">
          <w:marLeft w:val="0"/>
          <w:marRight w:val="0"/>
          <w:marTop w:val="0"/>
          <w:marBottom w:val="0"/>
          <w:divBdr>
            <w:top w:val="none" w:sz="0" w:space="0" w:color="auto"/>
            <w:left w:val="none" w:sz="0" w:space="0" w:color="auto"/>
            <w:bottom w:val="none" w:sz="0" w:space="0" w:color="auto"/>
            <w:right w:val="none" w:sz="0" w:space="0" w:color="auto"/>
          </w:divBdr>
        </w:div>
        <w:div w:id="917131788">
          <w:marLeft w:val="0"/>
          <w:marRight w:val="0"/>
          <w:marTop w:val="0"/>
          <w:marBottom w:val="0"/>
          <w:divBdr>
            <w:top w:val="none" w:sz="0" w:space="0" w:color="auto"/>
            <w:left w:val="none" w:sz="0" w:space="0" w:color="auto"/>
            <w:bottom w:val="none" w:sz="0" w:space="0" w:color="auto"/>
            <w:right w:val="none" w:sz="0" w:space="0" w:color="auto"/>
          </w:divBdr>
        </w:div>
        <w:div w:id="918294695">
          <w:marLeft w:val="0"/>
          <w:marRight w:val="0"/>
          <w:marTop w:val="0"/>
          <w:marBottom w:val="0"/>
          <w:divBdr>
            <w:top w:val="none" w:sz="0" w:space="0" w:color="auto"/>
            <w:left w:val="none" w:sz="0" w:space="0" w:color="auto"/>
            <w:bottom w:val="none" w:sz="0" w:space="0" w:color="auto"/>
            <w:right w:val="none" w:sz="0" w:space="0" w:color="auto"/>
          </w:divBdr>
        </w:div>
        <w:div w:id="934291071">
          <w:marLeft w:val="0"/>
          <w:marRight w:val="0"/>
          <w:marTop w:val="0"/>
          <w:marBottom w:val="0"/>
          <w:divBdr>
            <w:top w:val="none" w:sz="0" w:space="0" w:color="auto"/>
            <w:left w:val="none" w:sz="0" w:space="0" w:color="auto"/>
            <w:bottom w:val="none" w:sz="0" w:space="0" w:color="auto"/>
            <w:right w:val="none" w:sz="0" w:space="0" w:color="auto"/>
          </w:divBdr>
        </w:div>
        <w:div w:id="955984802">
          <w:marLeft w:val="0"/>
          <w:marRight w:val="0"/>
          <w:marTop w:val="0"/>
          <w:marBottom w:val="0"/>
          <w:divBdr>
            <w:top w:val="none" w:sz="0" w:space="0" w:color="auto"/>
            <w:left w:val="none" w:sz="0" w:space="0" w:color="auto"/>
            <w:bottom w:val="none" w:sz="0" w:space="0" w:color="auto"/>
            <w:right w:val="none" w:sz="0" w:space="0" w:color="auto"/>
          </w:divBdr>
        </w:div>
        <w:div w:id="956369364">
          <w:marLeft w:val="0"/>
          <w:marRight w:val="0"/>
          <w:marTop w:val="0"/>
          <w:marBottom w:val="0"/>
          <w:divBdr>
            <w:top w:val="none" w:sz="0" w:space="0" w:color="auto"/>
            <w:left w:val="none" w:sz="0" w:space="0" w:color="auto"/>
            <w:bottom w:val="none" w:sz="0" w:space="0" w:color="auto"/>
            <w:right w:val="none" w:sz="0" w:space="0" w:color="auto"/>
          </w:divBdr>
        </w:div>
        <w:div w:id="964115248">
          <w:marLeft w:val="0"/>
          <w:marRight w:val="0"/>
          <w:marTop w:val="0"/>
          <w:marBottom w:val="0"/>
          <w:divBdr>
            <w:top w:val="none" w:sz="0" w:space="0" w:color="auto"/>
            <w:left w:val="none" w:sz="0" w:space="0" w:color="auto"/>
            <w:bottom w:val="none" w:sz="0" w:space="0" w:color="auto"/>
            <w:right w:val="none" w:sz="0" w:space="0" w:color="auto"/>
          </w:divBdr>
        </w:div>
        <w:div w:id="971404537">
          <w:marLeft w:val="0"/>
          <w:marRight w:val="0"/>
          <w:marTop w:val="0"/>
          <w:marBottom w:val="0"/>
          <w:divBdr>
            <w:top w:val="none" w:sz="0" w:space="0" w:color="auto"/>
            <w:left w:val="none" w:sz="0" w:space="0" w:color="auto"/>
            <w:bottom w:val="none" w:sz="0" w:space="0" w:color="auto"/>
            <w:right w:val="none" w:sz="0" w:space="0" w:color="auto"/>
          </w:divBdr>
        </w:div>
        <w:div w:id="1002320109">
          <w:marLeft w:val="0"/>
          <w:marRight w:val="0"/>
          <w:marTop w:val="0"/>
          <w:marBottom w:val="0"/>
          <w:divBdr>
            <w:top w:val="none" w:sz="0" w:space="0" w:color="auto"/>
            <w:left w:val="none" w:sz="0" w:space="0" w:color="auto"/>
            <w:bottom w:val="none" w:sz="0" w:space="0" w:color="auto"/>
            <w:right w:val="none" w:sz="0" w:space="0" w:color="auto"/>
          </w:divBdr>
        </w:div>
        <w:div w:id="1016230818">
          <w:marLeft w:val="0"/>
          <w:marRight w:val="0"/>
          <w:marTop w:val="0"/>
          <w:marBottom w:val="0"/>
          <w:divBdr>
            <w:top w:val="none" w:sz="0" w:space="0" w:color="auto"/>
            <w:left w:val="none" w:sz="0" w:space="0" w:color="auto"/>
            <w:bottom w:val="none" w:sz="0" w:space="0" w:color="auto"/>
            <w:right w:val="none" w:sz="0" w:space="0" w:color="auto"/>
          </w:divBdr>
        </w:div>
        <w:div w:id="1034162067">
          <w:marLeft w:val="0"/>
          <w:marRight w:val="0"/>
          <w:marTop w:val="0"/>
          <w:marBottom w:val="0"/>
          <w:divBdr>
            <w:top w:val="none" w:sz="0" w:space="0" w:color="auto"/>
            <w:left w:val="none" w:sz="0" w:space="0" w:color="auto"/>
            <w:bottom w:val="none" w:sz="0" w:space="0" w:color="auto"/>
            <w:right w:val="none" w:sz="0" w:space="0" w:color="auto"/>
          </w:divBdr>
        </w:div>
        <w:div w:id="1037698012">
          <w:marLeft w:val="0"/>
          <w:marRight w:val="0"/>
          <w:marTop w:val="0"/>
          <w:marBottom w:val="0"/>
          <w:divBdr>
            <w:top w:val="none" w:sz="0" w:space="0" w:color="auto"/>
            <w:left w:val="none" w:sz="0" w:space="0" w:color="auto"/>
            <w:bottom w:val="none" w:sz="0" w:space="0" w:color="auto"/>
            <w:right w:val="none" w:sz="0" w:space="0" w:color="auto"/>
          </w:divBdr>
        </w:div>
        <w:div w:id="1068839570">
          <w:marLeft w:val="0"/>
          <w:marRight w:val="0"/>
          <w:marTop w:val="0"/>
          <w:marBottom w:val="0"/>
          <w:divBdr>
            <w:top w:val="none" w:sz="0" w:space="0" w:color="auto"/>
            <w:left w:val="none" w:sz="0" w:space="0" w:color="auto"/>
            <w:bottom w:val="none" w:sz="0" w:space="0" w:color="auto"/>
            <w:right w:val="none" w:sz="0" w:space="0" w:color="auto"/>
          </w:divBdr>
        </w:div>
        <w:div w:id="1098254150">
          <w:marLeft w:val="0"/>
          <w:marRight w:val="0"/>
          <w:marTop w:val="0"/>
          <w:marBottom w:val="0"/>
          <w:divBdr>
            <w:top w:val="none" w:sz="0" w:space="0" w:color="auto"/>
            <w:left w:val="none" w:sz="0" w:space="0" w:color="auto"/>
            <w:bottom w:val="none" w:sz="0" w:space="0" w:color="auto"/>
            <w:right w:val="none" w:sz="0" w:space="0" w:color="auto"/>
          </w:divBdr>
        </w:div>
        <w:div w:id="1117019119">
          <w:marLeft w:val="0"/>
          <w:marRight w:val="0"/>
          <w:marTop w:val="0"/>
          <w:marBottom w:val="0"/>
          <w:divBdr>
            <w:top w:val="none" w:sz="0" w:space="0" w:color="auto"/>
            <w:left w:val="none" w:sz="0" w:space="0" w:color="auto"/>
            <w:bottom w:val="none" w:sz="0" w:space="0" w:color="auto"/>
            <w:right w:val="none" w:sz="0" w:space="0" w:color="auto"/>
          </w:divBdr>
        </w:div>
        <w:div w:id="1119565129">
          <w:marLeft w:val="0"/>
          <w:marRight w:val="0"/>
          <w:marTop w:val="0"/>
          <w:marBottom w:val="0"/>
          <w:divBdr>
            <w:top w:val="none" w:sz="0" w:space="0" w:color="auto"/>
            <w:left w:val="none" w:sz="0" w:space="0" w:color="auto"/>
            <w:bottom w:val="none" w:sz="0" w:space="0" w:color="auto"/>
            <w:right w:val="none" w:sz="0" w:space="0" w:color="auto"/>
          </w:divBdr>
        </w:div>
        <w:div w:id="1120492932">
          <w:marLeft w:val="0"/>
          <w:marRight w:val="0"/>
          <w:marTop w:val="0"/>
          <w:marBottom w:val="0"/>
          <w:divBdr>
            <w:top w:val="none" w:sz="0" w:space="0" w:color="auto"/>
            <w:left w:val="none" w:sz="0" w:space="0" w:color="auto"/>
            <w:bottom w:val="none" w:sz="0" w:space="0" w:color="auto"/>
            <w:right w:val="none" w:sz="0" w:space="0" w:color="auto"/>
          </w:divBdr>
        </w:div>
        <w:div w:id="1155221865">
          <w:marLeft w:val="0"/>
          <w:marRight w:val="0"/>
          <w:marTop w:val="0"/>
          <w:marBottom w:val="0"/>
          <w:divBdr>
            <w:top w:val="none" w:sz="0" w:space="0" w:color="auto"/>
            <w:left w:val="none" w:sz="0" w:space="0" w:color="auto"/>
            <w:bottom w:val="none" w:sz="0" w:space="0" w:color="auto"/>
            <w:right w:val="none" w:sz="0" w:space="0" w:color="auto"/>
          </w:divBdr>
          <w:divsChild>
            <w:div w:id="2137336867">
              <w:marLeft w:val="-75"/>
              <w:marRight w:val="0"/>
              <w:marTop w:val="30"/>
              <w:marBottom w:val="30"/>
              <w:divBdr>
                <w:top w:val="none" w:sz="0" w:space="0" w:color="auto"/>
                <w:left w:val="none" w:sz="0" w:space="0" w:color="auto"/>
                <w:bottom w:val="none" w:sz="0" w:space="0" w:color="auto"/>
                <w:right w:val="none" w:sz="0" w:space="0" w:color="auto"/>
              </w:divBdr>
              <w:divsChild>
                <w:div w:id="98574672">
                  <w:marLeft w:val="0"/>
                  <w:marRight w:val="0"/>
                  <w:marTop w:val="0"/>
                  <w:marBottom w:val="0"/>
                  <w:divBdr>
                    <w:top w:val="none" w:sz="0" w:space="0" w:color="auto"/>
                    <w:left w:val="none" w:sz="0" w:space="0" w:color="auto"/>
                    <w:bottom w:val="none" w:sz="0" w:space="0" w:color="auto"/>
                    <w:right w:val="none" w:sz="0" w:space="0" w:color="auto"/>
                  </w:divBdr>
                  <w:divsChild>
                    <w:div w:id="842671657">
                      <w:marLeft w:val="0"/>
                      <w:marRight w:val="0"/>
                      <w:marTop w:val="0"/>
                      <w:marBottom w:val="0"/>
                      <w:divBdr>
                        <w:top w:val="none" w:sz="0" w:space="0" w:color="auto"/>
                        <w:left w:val="none" w:sz="0" w:space="0" w:color="auto"/>
                        <w:bottom w:val="none" w:sz="0" w:space="0" w:color="auto"/>
                        <w:right w:val="none" w:sz="0" w:space="0" w:color="auto"/>
                      </w:divBdr>
                    </w:div>
                  </w:divsChild>
                </w:div>
                <w:div w:id="200434596">
                  <w:marLeft w:val="0"/>
                  <w:marRight w:val="0"/>
                  <w:marTop w:val="0"/>
                  <w:marBottom w:val="0"/>
                  <w:divBdr>
                    <w:top w:val="none" w:sz="0" w:space="0" w:color="auto"/>
                    <w:left w:val="none" w:sz="0" w:space="0" w:color="auto"/>
                    <w:bottom w:val="none" w:sz="0" w:space="0" w:color="auto"/>
                    <w:right w:val="none" w:sz="0" w:space="0" w:color="auto"/>
                  </w:divBdr>
                  <w:divsChild>
                    <w:div w:id="460464371">
                      <w:marLeft w:val="0"/>
                      <w:marRight w:val="0"/>
                      <w:marTop w:val="0"/>
                      <w:marBottom w:val="0"/>
                      <w:divBdr>
                        <w:top w:val="none" w:sz="0" w:space="0" w:color="auto"/>
                        <w:left w:val="none" w:sz="0" w:space="0" w:color="auto"/>
                        <w:bottom w:val="none" w:sz="0" w:space="0" w:color="auto"/>
                        <w:right w:val="none" w:sz="0" w:space="0" w:color="auto"/>
                      </w:divBdr>
                    </w:div>
                  </w:divsChild>
                </w:div>
                <w:div w:id="408965415">
                  <w:marLeft w:val="0"/>
                  <w:marRight w:val="0"/>
                  <w:marTop w:val="0"/>
                  <w:marBottom w:val="0"/>
                  <w:divBdr>
                    <w:top w:val="none" w:sz="0" w:space="0" w:color="auto"/>
                    <w:left w:val="none" w:sz="0" w:space="0" w:color="auto"/>
                    <w:bottom w:val="none" w:sz="0" w:space="0" w:color="auto"/>
                    <w:right w:val="none" w:sz="0" w:space="0" w:color="auto"/>
                  </w:divBdr>
                  <w:divsChild>
                    <w:div w:id="1879513307">
                      <w:marLeft w:val="0"/>
                      <w:marRight w:val="0"/>
                      <w:marTop w:val="0"/>
                      <w:marBottom w:val="0"/>
                      <w:divBdr>
                        <w:top w:val="none" w:sz="0" w:space="0" w:color="auto"/>
                        <w:left w:val="none" w:sz="0" w:space="0" w:color="auto"/>
                        <w:bottom w:val="none" w:sz="0" w:space="0" w:color="auto"/>
                        <w:right w:val="none" w:sz="0" w:space="0" w:color="auto"/>
                      </w:divBdr>
                    </w:div>
                  </w:divsChild>
                </w:div>
                <w:div w:id="445076371">
                  <w:marLeft w:val="0"/>
                  <w:marRight w:val="0"/>
                  <w:marTop w:val="0"/>
                  <w:marBottom w:val="0"/>
                  <w:divBdr>
                    <w:top w:val="none" w:sz="0" w:space="0" w:color="auto"/>
                    <w:left w:val="none" w:sz="0" w:space="0" w:color="auto"/>
                    <w:bottom w:val="none" w:sz="0" w:space="0" w:color="auto"/>
                    <w:right w:val="none" w:sz="0" w:space="0" w:color="auto"/>
                  </w:divBdr>
                  <w:divsChild>
                    <w:div w:id="740904883">
                      <w:marLeft w:val="0"/>
                      <w:marRight w:val="0"/>
                      <w:marTop w:val="0"/>
                      <w:marBottom w:val="0"/>
                      <w:divBdr>
                        <w:top w:val="none" w:sz="0" w:space="0" w:color="auto"/>
                        <w:left w:val="none" w:sz="0" w:space="0" w:color="auto"/>
                        <w:bottom w:val="none" w:sz="0" w:space="0" w:color="auto"/>
                        <w:right w:val="none" w:sz="0" w:space="0" w:color="auto"/>
                      </w:divBdr>
                    </w:div>
                  </w:divsChild>
                </w:div>
                <w:div w:id="466702815">
                  <w:marLeft w:val="0"/>
                  <w:marRight w:val="0"/>
                  <w:marTop w:val="0"/>
                  <w:marBottom w:val="0"/>
                  <w:divBdr>
                    <w:top w:val="none" w:sz="0" w:space="0" w:color="auto"/>
                    <w:left w:val="none" w:sz="0" w:space="0" w:color="auto"/>
                    <w:bottom w:val="none" w:sz="0" w:space="0" w:color="auto"/>
                    <w:right w:val="none" w:sz="0" w:space="0" w:color="auto"/>
                  </w:divBdr>
                  <w:divsChild>
                    <w:div w:id="212423927">
                      <w:marLeft w:val="0"/>
                      <w:marRight w:val="0"/>
                      <w:marTop w:val="0"/>
                      <w:marBottom w:val="0"/>
                      <w:divBdr>
                        <w:top w:val="none" w:sz="0" w:space="0" w:color="auto"/>
                        <w:left w:val="none" w:sz="0" w:space="0" w:color="auto"/>
                        <w:bottom w:val="none" w:sz="0" w:space="0" w:color="auto"/>
                        <w:right w:val="none" w:sz="0" w:space="0" w:color="auto"/>
                      </w:divBdr>
                    </w:div>
                  </w:divsChild>
                </w:div>
                <w:div w:id="577449422">
                  <w:marLeft w:val="0"/>
                  <w:marRight w:val="0"/>
                  <w:marTop w:val="0"/>
                  <w:marBottom w:val="0"/>
                  <w:divBdr>
                    <w:top w:val="none" w:sz="0" w:space="0" w:color="auto"/>
                    <w:left w:val="none" w:sz="0" w:space="0" w:color="auto"/>
                    <w:bottom w:val="none" w:sz="0" w:space="0" w:color="auto"/>
                    <w:right w:val="none" w:sz="0" w:space="0" w:color="auto"/>
                  </w:divBdr>
                  <w:divsChild>
                    <w:div w:id="74128600">
                      <w:marLeft w:val="0"/>
                      <w:marRight w:val="0"/>
                      <w:marTop w:val="0"/>
                      <w:marBottom w:val="0"/>
                      <w:divBdr>
                        <w:top w:val="none" w:sz="0" w:space="0" w:color="auto"/>
                        <w:left w:val="none" w:sz="0" w:space="0" w:color="auto"/>
                        <w:bottom w:val="none" w:sz="0" w:space="0" w:color="auto"/>
                        <w:right w:val="none" w:sz="0" w:space="0" w:color="auto"/>
                      </w:divBdr>
                    </w:div>
                  </w:divsChild>
                </w:div>
                <w:div w:id="1066537811">
                  <w:marLeft w:val="0"/>
                  <w:marRight w:val="0"/>
                  <w:marTop w:val="0"/>
                  <w:marBottom w:val="0"/>
                  <w:divBdr>
                    <w:top w:val="none" w:sz="0" w:space="0" w:color="auto"/>
                    <w:left w:val="none" w:sz="0" w:space="0" w:color="auto"/>
                    <w:bottom w:val="none" w:sz="0" w:space="0" w:color="auto"/>
                    <w:right w:val="none" w:sz="0" w:space="0" w:color="auto"/>
                  </w:divBdr>
                  <w:divsChild>
                    <w:div w:id="1210074919">
                      <w:marLeft w:val="0"/>
                      <w:marRight w:val="0"/>
                      <w:marTop w:val="0"/>
                      <w:marBottom w:val="0"/>
                      <w:divBdr>
                        <w:top w:val="none" w:sz="0" w:space="0" w:color="auto"/>
                        <w:left w:val="none" w:sz="0" w:space="0" w:color="auto"/>
                        <w:bottom w:val="none" w:sz="0" w:space="0" w:color="auto"/>
                        <w:right w:val="none" w:sz="0" w:space="0" w:color="auto"/>
                      </w:divBdr>
                    </w:div>
                  </w:divsChild>
                </w:div>
                <w:div w:id="1338464720">
                  <w:marLeft w:val="0"/>
                  <w:marRight w:val="0"/>
                  <w:marTop w:val="0"/>
                  <w:marBottom w:val="0"/>
                  <w:divBdr>
                    <w:top w:val="none" w:sz="0" w:space="0" w:color="auto"/>
                    <w:left w:val="none" w:sz="0" w:space="0" w:color="auto"/>
                    <w:bottom w:val="none" w:sz="0" w:space="0" w:color="auto"/>
                    <w:right w:val="none" w:sz="0" w:space="0" w:color="auto"/>
                  </w:divBdr>
                  <w:divsChild>
                    <w:div w:id="109670166">
                      <w:marLeft w:val="0"/>
                      <w:marRight w:val="0"/>
                      <w:marTop w:val="0"/>
                      <w:marBottom w:val="0"/>
                      <w:divBdr>
                        <w:top w:val="none" w:sz="0" w:space="0" w:color="auto"/>
                        <w:left w:val="none" w:sz="0" w:space="0" w:color="auto"/>
                        <w:bottom w:val="none" w:sz="0" w:space="0" w:color="auto"/>
                        <w:right w:val="none" w:sz="0" w:space="0" w:color="auto"/>
                      </w:divBdr>
                    </w:div>
                  </w:divsChild>
                </w:div>
                <w:div w:id="1430849386">
                  <w:marLeft w:val="0"/>
                  <w:marRight w:val="0"/>
                  <w:marTop w:val="0"/>
                  <w:marBottom w:val="0"/>
                  <w:divBdr>
                    <w:top w:val="none" w:sz="0" w:space="0" w:color="auto"/>
                    <w:left w:val="none" w:sz="0" w:space="0" w:color="auto"/>
                    <w:bottom w:val="none" w:sz="0" w:space="0" w:color="auto"/>
                    <w:right w:val="none" w:sz="0" w:space="0" w:color="auto"/>
                  </w:divBdr>
                  <w:divsChild>
                    <w:div w:id="1907183363">
                      <w:marLeft w:val="0"/>
                      <w:marRight w:val="0"/>
                      <w:marTop w:val="0"/>
                      <w:marBottom w:val="0"/>
                      <w:divBdr>
                        <w:top w:val="none" w:sz="0" w:space="0" w:color="auto"/>
                        <w:left w:val="none" w:sz="0" w:space="0" w:color="auto"/>
                        <w:bottom w:val="none" w:sz="0" w:space="0" w:color="auto"/>
                        <w:right w:val="none" w:sz="0" w:space="0" w:color="auto"/>
                      </w:divBdr>
                    </w:div>
                  </w:divsChild>
                </w:div>
                <w:div w:id="2117095497">
                  <w:marLeft w:val="0"/>
                  <w:marRight w:val="0"/>
                  <w:marTop w:val="0"/>
                  <w:marBottom w:val="0"/>
                  <w:divBdr>
                    <w:top w:val="none" w:sz="0" w:space="0" w:color="auto"/>
                    <w:left w:val="none" w:sz="0" w:space="0" w:color="auto"/>
                    <w:bottom w:val="none" w:sz="0" w:space="0" w:color="auto"/>
                    <w:right w:val="none" w:sz="0" w:space="0" w:color="auto"/>
                  </w:divBdr>
                  <w:divsChild>
                    <w:div w:id="12450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1835">
          <w:marLeft w:val="0"/>
          <w:marRight w:val="0"/>
          <w:marTop w:val="0"/>
          <w:marBottom w:val="0"/>
          <w:divBdr>
            <w:top w:val="none" w:sz="0" w:space="0" w:color="auto"/>
            <w:left w:val="none" w:sz="0" w:space="0" w:color="auto"/>
            <w:bottom w:val="none" w:sz="0" w:space="0" w:color="auto"/>
            <w:right w:val="none" w:sz="0" w:space="0" w:color="auto"/>
          </w:divBdr>
        </w:div>
        <w:div w:id="1208182666">
          <w:marLeft w:val="0"/>
          <w:marRight w:val="0"/>
          <w:marTop w:val="0"/>
          <w:marBottom w:val="0"/>
          <w:divBdr>
            <w:top w:val="none" w:sz="0" w:space="0" w:color="auto"/>
            <w:left w:val="none" w:sz="0" w:space="0" w:color="auto"/>
            <w:bottom w:val="none" w:sz="0" w:space="0" w:color="auto"/>
            <w:right w:val="none" w:sz="0" w:space="0" w:color="auto"/>
          </w:divBdr>
        </w:div>
        <w:div w:id="1229684493">
          <w:marLeft w:val="0"/>
          <w:marRight w:val="0"/>
          <w:marTop w:val="0"/>
          <w:marBottom w:val="0"/>
          <w:divBdr>
            <w:top w:val="none" w:sz="0" w:space="0" w:color="auto"/>
            <w:left w:val="none" w:sz="0" w:space="0" w:color="auto"/>
            <w:bottom w:val="none" w:sz="0" w:space="0" w:color="auto"/>
            <w:right w:val="none" w:sz="0" w:space="0" w:color="auto"/>
          </w:divBdr>
        </w:div>
        <w:div w:id="1231497517">
          <w:marLeft w:val="0"/>
          <w:marRight w:val="0"/>
          <w:marTop w:val="0"/>
          <w:marBottom w:val="0"/>
          <w:divBdr>
            <w:top w:val="none" w:sz="0" w:space="0" w:color="auto"/>
            <w:left w:val="none" w:sz="0" w:space="0" w:color="auto"/>
            <w:bottom w:val="none" w:sz="0" w:space="0" w:color="auto"/>
            <w:right w:val="none" w:sz="0" w:space="0" w:color="auto"/>
          </w:divBdr>
        </w:div>
        <w:div w:id="1259172995">
          <w:marLeft w:val="0"/>
          <w:marRight w:val="0"/>
          <w:marTop w:val="0"/>
          <w:marBottom w:val="0"/>
          <w:divBdr>
            <w:top w:val="none" w:sz="0" w:space="0" w:color="auto"/>
            <w:left w:val="none" w:sz="0" w:space="0" w:color="auto"/>
            <w:bottom w:val="none" w:sz="0" w:space="0" w:color="auto"/>
            <w:right w:val="none" w:sz="0" w:space="0" w:color="auto"/>
          </w:divBdr>
        </w:div>
        <w:div w:id="1268079598">
          <w:marLeft w:val="0"/>
          <w:marRight w:val="0"/>
          <w:marTop w:val="0"/>
          <w:marBottom w:val="0"/>
          <w:divBdr>
            <w:top w:val="none" w:sz="0" w:space="0" w:color="auto"/>
            <w:left w:val="none" w:sz="0" w:space="0" w:color="auto"/>
            <w:bottom w:val="none" w:sz="0" w:space="0" w:color="auto"/>
            <w:right w:val="none" w:sz="0" w:space="0" w:color="auto"/>
          </w:divBdr>
        </w:div>
        <w:div w:id="1286930804">
          <w:marLeft w:val="0"/>
          <w:marRight w:val="0"/>
          <w:marTop w:val="0"/>
          <w:marBottom w:val="0"/>
          <w:divBdr>
            <w:top w:val="none" w:sz="0" w:space="0" w:color="auto"/>
            <w:left w:val="none" w:sz="0" w:space="0" w:color="auto"/>
            <w:bottom w:val="none" w:sz="0" w:space="0" w:color="auto"/>
            <w:right w:val="none" w:sz="0" w:space="0" w:color="auto"/>
          </w:divBdr>
        </w:div>
        <w:div w:id="1309018769">
          <w:marLeft w:val="0"/>
          <w:marRight w:val="0"/>
          <w:marTop w:val="0"/>
          <w:marBottom w:val="0"/>
          <w:divBdr>
            <w:top w:val="none" w:sz="0" w:space="0" w:color="auto"/>
            <w:left w:val="none" w:sz="0" w:space="0" w:color="auto"/>
            <w:bottom w:val="none" w:sz="0" w:space="0" w:color="auto"/>
            <w:right w:val="none" w:sz="0" w:space="0" w:color="auto"/>
          </w:divBdr>
        </w:div>
        <w:div w:id="1321038896">
          <w:marLeft w:val="0"/>
          <w:marRight w:val="0"/>
          <w:marTop w:val="0"/>
          <w:marBottom w:val="0"/>
          <w:divBdr>
            <w:top w:val="none" w:sz="0" w:space="0" w:color="auto"/>
            <w:left w:val="none" w:sz="0" w:space="0" w:color="auto"/>
            <w:bottom w:val="none" w:sz="0" w:space="0" w:color="auto"/>
            <w:right w:val="none" w:sz="0" w:space="0" w:color="auto"/>
          </w:divBdr>
        </w:div>
        <w:div w:id="1345401610">
          <w:marLeft w:val="0"/>
          <w:marRight w:val="0"/>
          <w:marTop w:val="0"/>
          <w:marBottom w:val="0"/>
          <w:divBdr>
            <w:top w:val="none" w:sz="0" w:space="0" w:color="auto"/>
            <w:left w:val="none" w:sz="0" w:space="0" w:color="auto"/>
            <w:bottom w:val="none" w:sz="0" w:space="0" w:color="auto"/>
            <w:right w:val="none" w:sz="0" w:space="0" w:color="auto"/>
          </w:divBdr>
        </w:div>
        <w:div w:id="1379158698">
          <w:marLeft w:val="0"/>
          <w:marRight w:val="0"/>
          <w:marTop w:val="0"/>
          <w:marBottom w:val="0"/>
          <w:divBdr>
            <w:top w:val="none" w:sz="0" w:space="0" w:color="auto"/>
            <w:left w:val="none" w:sz="0" w:space="0" w:color="auto"/>
            <w:bottom w:val="none" w:sz="0" w:space="0" w:color="auto"/>
            <w:right w:val="none" w:sz="0" w:space="0" w:color="auto"/>
          </w:divBdr>
          <w:divsChild>
            <w:div w:id="176816551">
              <w:marLeft w:val="0"/>
              <w:marRight w:val="0"/>
              <w:marTop w:val="0"/>
              <w:marBottom w:val="0"/>
              <w:divBdr>
                <w:top w:val="none" w:sz="0" w:space="0" w:color="auto"/>
                <w:left w:val="none" w:sz="0" w:space="0" w:color="auto"/>
                <w:bottom w:val="none" w:sz="0" w:space="0" w:color="auto"/>
                <w:right w:val="none" w:sz="0" w:space="0" w:color="auto"/>
              </w:divBdr>
            </w:div>
            <w:div w:id="180319826">
              <w:marLeft w:val="0"/>
              <w:marRight w:val="0"/>
              <w:marTop w:val="0"/>
              <w:marBottom w:val="0"/>
              <w:divBdr>
                <w:top w:val="none" w:sz="0" w:space="0" w:color="auto"/>
                <w:left w:val="none" w:sz="0" w:space="0" w:color="auto"/>
                <w:bottom w:val="none" w:sz="0" w:space="0" w:color="auto"/>
                <w:right w:val="none" w:sz="0" w:space="0" w:color="auto"/>
              </w:divBdr>
            </w:div>
            <w:div w:id="345133620">
              <w:marLeft w:val="0"/>
              <w:marRight w:val="0"/>
              <w:marTop w:val="0"/>
              <w:marBottom w:val="0"/>
              <w:divBdr>
                <w:top w:val="none" w:sz="0" w:space="0" w:color="auto"/>
                <w:left w:val="none" w:sz="0" w:space="0" w:color="auto"/>
                <w:bottom w:val="none" w:sz="0" w:space="0" w:color="auto"/>
                <w:right w:val="none" w:sz="0" w:space="0" w:color="auto"/>
              </w:divBdr>
            </w:div>
            <w:div w:id="599799759">
              <w:marLeft w:val="0"/>
              <w:marRight w:val="0"/>
              <w:marTop w:val="0"/>
              <w:marBottom w:val="0"/>
              <w:divBdr>
                <w:top w:val="none" w:sz="0" w:space="0" w:color="auto"/>
                <w:left w:val="none" w:sz="0" w:space="0" w:color="auto"/>
                <w:bottom w:val="none" w:sz="0" w:space="0" w:color="auto"/>
                <w:right w:val="none" w:sz="0" w:space="0" w:color="auto"/>
              </w:divBdr>
            </w:div>
            <w:div w:id="625090152">
              <w:marLeft w:val="0"/>
              <w:marRight w:val="0"/>
              <w:marTop w:val="0"/>
              <w:marBottom w:val="0"/>
              <w:divBdr>
                <w:top w:val="none" w:sz="0" w:space="0" w:color="auto"/>
                <w:left w:val="none" w:sz="0" w:space="0" w:color="auto"/>
                <w:bottom w:val="none" w:sz="0" w:space="0" w:color="auto"/>
                <w:right w:val="none" w:sz="0" w:space="0" w:color="auto"/>
              </w:divBdr>
            </w:div>
            <w:div w:id="626935694">
              <w:marLeft w:val="0"/>
              <w:marRight w:val="0"/>
              <w:marTop w:val="0"/>
              <w:marBottom w:val="0"/>
              <w:divBdr>
                <w:top w:val="none" w:sz="0" w:space="0" w:color="auto"/>
                <w:left w:val="none" w:sz="0" w:space="0" w:color="auto"/>
                <w:bottom w:val="none" w:sz="0" w:space="0" w:color="auto"/>
                <w:right w:val="none" w:sz="0" w:space="0" w:color="auto"/>
              </w:divBdr>
            </w:div>
            <w:div w:id="812605184">
              <w:marLeft w:val="0"/>
              <w:marRight w:val="0"/>
              <w:marTop w:val="0"/>
              <w:marBottom w:val="0"/>
              <w:divBdr>
                <w:top w:val="none" w:sz="0" w:space="0" w:color="auto"/>
                <w:left w:val="none" w:sz="0" w:space="0" w:color="auto"/>
                <w:bottom w:val="none" w:sz="0" w:space="0" w:color="auto"/>
                <w:right w:val="none" w:sz="0" w:space="0" w:color="auto"/>
              </w:divBdr>
            </w:div>
            <w:div w:id="948397264">
              <w:marLeft w:val="0"/>
              <w:marRight w:val="0"/>
              <w:marTop w:val="0"/>
              <w:marBottom w:val="0"/>
              <w:divBdr>
                <w:top w:val="none" w:sz="0" w:space="0" w:color="auto"/>
                <w:left w:val="none" w:sz="0" w:space="0" w:color="auto"/>
                <w:bottom w:val="none" w:sz="0" w:space="0" w:color="auto"/>
                <w:right w:val="none" w:sz="0" w:space="0" w:color="auto"/>
              </w:divBdr>
            </w:div>
            <w:div w:id="949817855">
              <w:marLeft w:val="0"/>
              <w:marRight w:val="0"/>
              <w:marTop w:val="0"/>
              <w:marBottom w:val="0"/>
              <w:divBdr>
                <w:top w:val="none" w:sz="0" w:space="0" w:color="auto"/>
                <w:left w:val="none" w:sz="0" w:space="0" w:color="auto"/>
                <w:bottom w:val="none" w:sz="0" w:space="0" w:color="auto"/>
                <w:right w:val="none" w:sz="0" w:space="0" w:color="auto"/>
              </w:divBdr>
            </w:div>
            <w:div w:id="980769273">
              <w:marLeft w:val="0"/>
              <w:marRight w:val="0"/>
              <w:marTop w:val="0"/>
              <w:marBottom w:val="0"/>
              <w:divBdr>
                <w:top w:val="none" w:sz="0" w:space="0" w:color="auto"/>
                <w:left w:val="none" w:sz="0" w:space="0" w:color="auto"/>
                <w:bottom w:val="none" w:sz="0" w:space="0" w:color="auto"/>
                <w:right w:val="none" w:sz="0" w:space="0" w:color="auto"/>
              </w:divBdr>
            </w:div>
            <w:div w:id="1085496960">
              <w:marLeft w:val="0"/>
              <w:marRight w:val="0"/>
              <w:marTop w:val="0"/>
              <w:marBottom w:val="0"/>
              <w:divBdr>
                <w:top w:val="none" w:sz="0" w:space="0" w:color="auto"/>
                <w:left w:val="none" w:sz="0" w:space="0" w:color="auto"/>
                <w:bottom w:val="none" w:sz="0" w:space="0" w:color="auto"/>
                <w:right w:val="none" w:sz="0" w:space="0" w:color="auto"/>
              </w:divBdr>
            </w:div>
            <w:div w:id="1139763453">
              <w:marLeft w:val="0"/>
              <w:marRight w:val="0"/>
              <w:marTop w:val="0"/>
              <w:marBottom w:val="0"/>
              <w:divBdr>
                <w:top w:val="none" w:sz="0" w:space="0" w:color="auto"/>
                <w:left w:val="none" w:sz="0" w:space="0" w:color="auto"/>
                <w:bottom w:val="none" w:sz="0" w:space="0" w:color="auto"/>
                <w:right w:val="none" w:sz="0" w:space="0" w:color="auto"/>
              </w:divBdr>
            </w:div>
            <w:div w:id="1202284206">
              <w:marLeft w:val="0"/>
              <w:marRight w:val="0"/>
              <w:marTop w:val="0"/>
              <w:marBottom w:val="0"/>
              <w:divBdr>
                <w:top w:val="none" w:sz="0" w:space="0" w:color="auto"/>
                <w:left w:val="none" w:sz="0" w:space="0" w:color="auto"/>
                <w:bottom w:val="none" w:sz="0" w:space="0" w:color="auto"/>
                <w:right w:val="none" w:sz="0" w:space="0" w:color="auto"/>
              </w:divBdr>
            </w:div>
            <w:div w:id="1384675878">
              <w:marLeft w:val="0"/>
              <w:marRight w:val="0"/>
              <w:marTop w:val="0"/>
              <w:marBottom w:val="0"/>
              <w:divBdr>
                <w:top w:val="none" w:sz="0" w:space="0" w:color="auto"/>
                <w:left w:val="none" w:sz="0" w:space="0" w:color="auto"/>
                <w:bottom w:val="none" w:sz="0" w:space="0" w:color="auto"/>
                <w:right w:val="none" w:sz="0" w:space="0" w:color="auto"/>
              </w:divBdr>
            </w:div>
            <w:div w:id="1387219092">
              <w:marLeft w:val="0"/>
              <w:marRight w:val="0"/>
              <w:marTop w:val="0"/>
              <w:marBottom w:val="0"/>
              <w:divBdr>
                <w:top w:val="none" w:sz="0" w:space="0" w:color="auto"/>
                <w:left w:val="none" w:sz="0" w:space="0" w:color="auto"/>
                <w:bottom w:val="none" w:sz="0" w:space="0" w:color="auto"/>
                <w:right w:val="none" w:sz="0" w:space="0" w:color="auto"/>
              </w:divBdr>
            </w:div>
            <w:div w:id="1689913457">
              <w:marLeft w:val="0"/>
              <w:marRight w:val="0"/>
              <w:marTop w:val="0"/>
              <w:marBottom w:val="0"/>
              <w:divBdr>
                <w:top w:val="none" w:sz="0" w:space="0" w:color="auto"/>
                <w:left w:val="none" w:sz="0" w:space="0" w:color="auto"/>
                <w:bottom w:val="none" w:sz="0" w:space="0" w:color="auto"/>
                <w:right w:val="none" w:sz="0" w:space="0" w:color="auto"/>
              </w:divBdr>
            </w:div>
            <w:div w:id="1703483385">
              <w:marLeft w:val="0"/>
              <w:marRight w:val="0"/>
              <w:marTop w:val="0"/>
              <w:marBottom w:val="0"/>
              <w:divBdr>
                <w:top w:val="none" w:sz="0" w:space="0" w:color="auto"/>
                <w:left w:val="none" w:sz="0" w:space="0" w:color="auto"/>
                <w:bottom w:val="none" w:sz="0" w:space="0" w:color="auto"/>
                <w:right w:val="none" w:sz="0" w:space="0" w:color="auto"/>
              </w:divBdr>
            </w:div>
            <w:div w:id="1751544120">
              <w:marLeft w:val="0"/>
              <w:marRight w:val="0"/>
              <w:marTop w:val="0"/>
              <w:marBottom w:val="0"/>
              <w:divBdr>
                <w:top w:val="none" w:sz="0" w:space="0" w:color="auto"/>
                <w:left w:val="none" w:sz="0" w:space="0" w:color="auto"/>
                <w:bottom w:val="none" w:sz="0" w:space="0" w:color="auto"/>
                <w:right w:val="none" w:sz="0" w:space="0" w:color="auto"/>
              </w:divBdr>
            </w:div>
            <w:div w:id="1772236211">
              <w:marLeft w:val="0"/>
              <w:marRight w:val="0"/>
              <w:marTop w:val="0"/>
              <w:marBottom w:val="0"/>
              <w:divBdr>
                <w:top w:val="none" w:sz="0" w:space="0" w:color="auto"/>
                <w:left w:val="none" w:sz="0" w:space="0" w:color="auto"/>
                <w:bottom w:val="none" w:sz="0" w:space="0" w:color="auto"/>
                <w:right w:val="none" w:sz="0" w:space="0" w:color="auto"/>
              </w:divBdr>
            </w:div>
            <w:div w:id="1896311470">
              <w:marLeft w:val="0"/>
              <w:marRight w:val="0"/>
              <w:marTop w:val="0"/>
              <w:marBottom w:val="0"/>
              <w:divBdr>
                <w:top w:val="none" w:sz="0" w:space="0" w:color="auto"/>
                <w:left w:val="none" w:sz="0" w:space="0" w:color="auto"/>
                <w:bottom w:val="none" w:sz="0" w:space="0" w:color="auto"/>
                <w:right w:val="none" w:sz="0" w:space="0" w:color="auto"/>
              </w:divBdr>
            </w:div>
          </w:divsChild>
        </w:div>
        <w:div w:id="1379476219">
          <w:marLeft w:val="0"/>
          <w:marRight w:val="0"/>
          <w:marTop w:val="0"/>
          <w:marBottom w:val="0"/>
          <w:divBdr>
            <w:top w:val="none" w:sz="0" w:space="0" w:color="auto"/>
            <w:left w:val="none" w:sz="0" w:space="0" w:color="auto"/>
            <w:bottom w:val="none" w:sz="0" w:space="0" w:color="auto"/>
            <w:right w:val="none" w:sz="0" w:space="0" w:color="auto"/>
          </w:divBdr>
          <w:divsChild>
            <w:div w:id="1460340622">
              <w:marLeft w:val="-75"/>
              <w:marRight w:val="0"/>
              <w:marTop w:val="30"/>
              <w:marBottom w:val="30"/>
              <w:divBdr>
                <w:top w:val="none" w:sz="0" w:space="0" w:color="auto"/>
                <w:left w:val="none" w:sz="0" w:space="0" w:color="auto"/>
                <w:bottom w:val="none" w:sz="0" w:space="0" w:color="auto"/>
                <w:right w:val="none" w:sz="0" w:space="0" w:color="auto"/>
              </w:divBdr>
              <w:divsChild>
                <w:div w:id="63963443">
                  <w:marLeft w:val="0"/>
                  <w:marRight w:val="0"/>
                  <w:marTop w:val="0"/>
                  <w:marBottom w:val="0"/>
                  <w:divBdr>
                    <w:top w:val="none" w:sz="0" w:space="0" w:color="auto"/>
                    <w:left w:val="none" w:sz="0" w:space="0" w:color="auto"/>
                    <w:bottom w:val="none" w:sz="0" w:space="0" w:color="auto"/>
                    <w:right w:val="none" w:sz="0" w:space="0" w:color="auto"/>
                  </w:divBdr>
                  <w:divsChild>
                    <w:div w:id="862013425">
                      <w:marLeft w:val="0"/>
                      <w:marRight w:val="0"/>
                      <w:marTop w:val="0"/>
                      <w:marBottom w:val="0"/>
                      <w:divBdr>
                        <w:top w:val="none" w:sz="0" w:space="0" w:color="auto"/>
                        <w:left w:val="none" w:sz="0" w:space="0" w:color="auto"/>
                        <w:bottom w:val="none" w:sz="0" w:space="0" w:color="auto"/>
                        <w:right w:val="none" w:sz="0" w:space="0" w:color="auto"/>
                      </w:divBdr>
                    </w:div>
                  </w:divsChild>
                </w:div>
                <w:div w:id="117379015">
                  <w:marLeft w:val="0"/>
                  <w:marRight w:val="0"/>
                  <w:marTop w:val="0"/>
                  <w:marBottom w:val="0"/>
                  <w:divBdr>
                    <w:top w:val="none" w:sz="0" w:space="0" w:color="auto"/>
                    <w:left w:val="none" w:sz="0" w:space="0" w:color="auto"/>
                    <w:bottom w:val="none" w:sz="0" w:space="0" w:color="auto"/>
                    <w:right w:val="none" w:sz="0" w:space="0" w:color="auto"/>
                  </w:divBdr>
                  <w:divsChild>
                    <w:div w:id="162085729">
                      <w:marLeft w:val="0"/>
                      <w:marRight w:val="0"/>
                      <w:marTop w:val="0"/>
                      <w:marBottom w:val="0"/>
                      <w:divBdr>
                        <w:top w:val="none" w:sz="0" w:space="0" w:color="auto"/>
                        <w:left w:val="none" w:sz="0" w:space="0" w:color="auto"/>
                        <w:bottom w:val="none" w:sz="0" w:space="0" w:color="auto"/>
                        <w:right w:val="none" w:sz="0" w:space="0" w:color="auto"/>
                      </w:divBdr>
                    </w:div>
                  </w:divsChild>
                </w:div>
                <w:div w:id="145782781">
                  <w:marLeft w:val="0"/>
                  <w:marRight w:val="0"/>
                  <w:marTop w:val="0"/>
                  <w:marBottom w:val="0"/>
                  <w:divBdr>
                    <w:top w:val="none" w:sz="0" w:space="0" w:color="auto"/>
                    <w:left w:val="none" w:sz="0" w:space="0" w:color="auto"/>
                    <w:bottom w:val="none" w:sz="0" w:space="0" w:color="auto"/>
                    <w:right w:val="none" w:sz="0" w:space="0" w:color="auto"/>
                  </w:divBdr>
                  <w:divsChild>
                    <w:div w:id="595211501">
                      <w:marLeft w:val="0"/>
                      <w:marRight w:val="0"/>
                      <w:marTop w:val="0"/>
                      <w:marBottom w:val="0"/>
                      <w:divBdr>
                        <w:top w:val="none" w:sz="0" w:space="0" w:color="auto"/>
                        <w:left w:val="none" w:sz="0" w:space="0" w:color="auto"/>
                        <w:bottom w:val="none" w:sz="0" w:space="0" w:color="auto"/>
                        <w:right w:val="none" w:sz="0" w:space="0" w:color="auto"/>
                      </w:divBdr>
                    </w:div>
                  </w:divsChild>
                </w:div>
                <w:div w:id="174734926">
                  <w:marLeft w:val="0"/>
                  <w:marRight w:val="0"/>
                  <w:marTop w:val="0"/>
                  <w:marBottom w:val="0"/>
                  <w:divBdr>
                    <w:top w:val="none" w:sz="0" w:space="0" w:color="auto"/>
                    <w:left w:val="none" w:sz="0" w:space="0" w:color="auto"/>
                    <w:bottom w:val="none" w:sz="0" w:space="0" w:color="auto"/>
                    <w:right w:val="none" w:sz="0" w:space="0" w:color="auto"/>
                  </w:divBdr>
                  <w:divsChild>
                    <w:div w:id="1890262005">
                      <w:marLeft w:val="0"/>
                      <w:marRight w:val="0"/>
                      <w:marTop w:val="0"/>
                      <w:marBottom w:val="0"/>
                      <w:divBdr>
                        <w:top w:val="none" w:sz="0" w:space="0" w:color="auto"/>
                        <w:left w:val="none" w:sz="0" w:space="0" w:color="auto"/>
                        <w:bottom w:val="none" w:sz="0" w:space="0" w:color="auto"/>
                        <w:right w:val="none" w:sz="0" w:space="0" w:color="auto"/>
                      </w:divBdr>
                    </w:div>
                  </w:divsChild>
                </w:div>
                <w:div w:id="386497118">
                  <w:marLeft w:val="0"/>
                  <w:marRight w:val="0"/>
                  <w:marTop w:val="0"/>
                  <w:marBottom w:val="0"/>
                  <w:divBdr>
                    <w:top w:val="none" w:sz="0" w:space="0" w:color="auto"/>
                    <w:left w:val="none" w:sz="0" w:space="0" w:color="auto"/>
                    <w:bottom w:val="none" w:sz="0" w:space="0" w:color="auto"/>
                    <w:right w:val="none" w:sz="0" w:space="0" w:color="auto"/>
                  </w:divBdr>
                  <w:divsChild>
                    <w:div w:id="1597857903">
                      <w:marLeft w:val="0"/>
                      <w:marRight w:val="0"/>
                      <w:marTop w:val="0"/>
                      <w:marBottom w:val="0"/>
                      <w:divBdr>
                        <w:top w:val="none" w:sz="0" w:space="0" w:color="auto"/>
                        <w:left w:val="none" w:sz="0" w:space="0" w:color="auto"/>
                        <w:bottom w:val="none" w:sz="0" w:space="0" w:color="auto"/>
                        <w:right w:val="none" w:sz="0" w:space="0" w:color="auto"/>
                      </w:divBdr>
                    </w:div>
                  </w:divsChild>
                </w:div>
                <w:div w:id="395399415">
                  <w:marLeft w:val="0"/>
                  <w:marRight w:val="0"/>
                  <w:marTop w:val="0"/>
                  <w:marBottom w:val="0"/>
                  <w:divBdr>
                    <w:top w:val="none" w:sz="0" w:space="0" w:color="auto"/>
                    <w:left w:val="none" w:sz="0" w:space="0" w:color="auto"/>
                    <w:bottom w:val="none" w:sz="0" w:space="0" w:color="auto"/>
                    <w:right w:val="none" w:sz="0" w:space="0" w:color="auto"/>
                  </w:divBdr>
                  <w:divsChild>
                    <w:div w:id="1286503847">
                      <w:marLeft w:val="0"/>
                      <w:marRight w:val="0"/>
                      <w:marTop w:val="0"/>
                      <w:marBottom w:val="0"/>
                      <w:divBdr>
                        <w:top w:val="none" w:sz="0" w:space="0" w:color="auto"/>
                        <w:left w:val="none" w:sz="0" w:space="0" w:color="auto"/>
                        <w:bottom w:val="none" w:sz="0" w:space="0" w:color="auto"/>
                        <w:right w:val="none" w:sz="0" w:space="0" w:color="auto"/>
                      </w:divBdr>
                    </w:div>
                  </w:divsChild>
                </w:div>
                <w:div w:id="493447539">
                  <w:marLeft w:val="0"/>
                  <w:marRight w:val="0"/>
                  <w:marTop w:val="0"/>
                  <w:marBottom w:val="0"/>
                  <w:divBdr>
                    <w:top w:val="none" w:sz="0" w:space="0" w:color="auto"/>
                    <w:left w:val="none" w:sz="0" w:space="0" w:color="auto"/>
                    <w:bottom w:val="none" w:sz="0" w:space="0" w:color="auto"/>
                    <w:right w:val="none" w:sz="0" w:space="0" w:color="auto"/>
                  </w:divBdr>
                  <w:divsChild>
                    <w:div w:id="574826800">
                      <w:marLeft w:val="0"/>
                      <w:marRight w:val="0"/>
                      <w:marTop w:val="0"/>
                      <w:marBottom w:val="0"/>
                      <w:divBdr>
                        <w:top w:val="none" w:sz="0" w:space="0" w:color="auto"/>
                        <w:left w:val="none" w:sz="0" w:space="0" w:color="auto"/>
                        <w:bottom w:val="none" w:sz="0" w:space="0" w:color="auto"/>
                        <w:right w:val="none" w:sz="0" w:space="0" w:color="auto"/>
                      </w:divBdr>
                    </w:div>
                  </w:divsChild>
                </w:div>
                <w:div w:id="495151144">
                  <w:marLeft w:val="0"/>
                  <w:marRight w:val="0"/>
                  <w:marTop w:val="0"/>
                  <w:marBottom w:val="0"/>
                  <w:divBdr>
                    <w:top w:val="none" w:sz="0" w:space="0" w:color="auto"/>
                    <w:left w:val="none" w:sz="0" w:space="0" w:color="auto"/>
                    <w:bottom w:val="none" w:sz="0" w:space="0" w:color="auto"/>
                    <w:right w:val="none" w:sz="0" w:space="0" w:color="auto"/>
                  </w:divBdr>
                  <w:divsChild>
                    <w:div w:id="486242783">
                      <w:marLeft w:val="0"/>
                      <w:marRight w:val="0"/>
                      <w:marTop w:val="0"/>
                      <w:marBottom w:val="0"/>
                      <w:divBdr>
                        <w:top w:val="none" w:sz="0" w:space="0" w:color="auto"/>
                        <w:left w:val="none" w:sz="0" w:space="0" w:color="auto"/>
                        <w:bottom w:val="none" w:sz="0" w:space="0" w:color="auto"/>
                        <w:right w:val="none" w:sz="0" w:space="0" w:color="auto"/>
                      </w:divBdr>
                    </w:div>
                  </w:divsChild>
                </w:div>
                <w:div w:id="649483528">
                  <w:marLeft w:val="0"/>
                  <w:marRight w:val="0"/>
                  <w:marTop w:val="0"/>
                  <w:marBottom w:val="0"/>
                  <w:divBdr>
                    <w:top w:val="none" w:sz="0" w:space="0" w:color="auto"/>
                    <w:left w:val="none" w:sz="0" w:space="0" w:color="auto"/>
                    <w:bottom w:val="none" w:sz="0" w:space="0" w:color="auto"/>
                    <w:right w:val="none" w:sz="0" w:space="0" w:color="auto"/>
                  </w:divBdr>
                  <w:divsChild>
                    <w:div w:id="2124643021">
                      <w:marLeft w:val="0"/>
                      <w:marRight w:val="0"/>
                      <w:marTop w:val="0"/>
                      <w:marBottom w:val="0"/>
                      <w:divBdr>
                        <w:top w:val="none" w:sz="0" w:space="0" w:color="auto"/>
                        <w:left w:val="none" w:sz="0" w:space="0" w:color="auto"/>
                        <w:bottom w:val="none" w:sz="0" w:space="0" w:color="auto"/>
                        <w:right w:val="none" w:sz="0" w:space="0" w:color="auto"/>
                      </w:divBdr>
                    </w:div>
                  </w:divsChild>
                </w:div>
                <w:div w:id="805437964">
                  <w:marLeft w:val="0"/>
                  <w:marRight w:val="0"/>
                  <w:marTop w:val="0"/>
                  <w:marBottom w:val="0"/>
                  <w:divBdr>
                    <w:top w:val="none" w:sz="0" w:space="0" w:color="auto"/>
                    <w:left w:val="none" w:sz="0" w:space="0" w:color="auto"/>
                    <w:bottom w:val="none" w:sz="0" w:space="0" w:color="auto"/>
                    <w:right w:val="none" w:sz="0" w:space="0" w:color="auto"/>
                  </w:divBdr>
                  <w:divsChild>
                    <w:div w:id="1285306556">
                      <w:marLeft w:val="0"/>
                      <w:marRight w:val="0"/>
                      <w:marTop w:val="0"/>
                      <w:marBottom w:val="0"/>
                      <w:divBdr>
                        <w:top w:val="none" w:sz="0" w:space="0" w:color="auto"/>
                        <w:left w:val="none" w:sz="0" w:space="0" w:color="auto"/>
                        <w:bottom w:val="none" w:sz="0" w:space="0" w:color="auto"/>
                        <w:right w:val="none" w:sz="0" w:space="0" w:color="auto"/>
                      </w:divBdr>
                    </w:div>
                  </w:divsChild>
                </w:div>
                <w:div w:id="892498984">
                  <w:marLeft w:val="0"/>
                  <w:marRight w:val="0"/>
                  <w:marTop w:val="0"/>
                  <w:marBottom w:val="0"/>
                  <w:divBdr>
                    <w:top w:val="none" w:sz="0" w:space="0" w:color="auto"/>
                    <w:left w:val="none" w:sz="0" w:space="0" w:color="auto"/>
                    <w:bottom w:val="none" w:sz="0" w:space="0" w:color="auto"/>
                    <w:right w:val="none" w:sz="0" w:space="0" w:color="auto"/>
                  </w:divBdr>
                  <w:divsChild>
                    <w:div w:id="27217670">
                      <w:marLeft w:val="0"/>
                      <w:marRight w:val="0"/>
                      <w:marTop w:val="0"/>
                      <w:marBottom w:val="0"/>
                      <w:divBdr>
                        <w:top w:val="none" w:sz="0" w:space="0" w:color="auto"/>
                        <w:left w:val="none" w:sz="0" w:space="0" w:color="auto"/>
                        <w:bottom w:val="none" w:sz="0" w:space="0" w:color="auto"/>
                        <w:right w:val="none" w:sz="0" w:space="0" w:color="auto"/>
                      </w:divBdr>
                    </w:div>
                  </w:divsChild>
                </w:div>
                <w:div w:id="934827668">
                  <w:marLeft w:val="0"/>
                  <w:marRight w:val="0"/>
                  <w:marTop w:val="0"/>
                  <w:marBottom w:val="0"/>
                  <w:divBdr>
                    <w:top w:val="none" w:sz="0" w:space="0" w:color="auto"/>
                    <w:left w:val="none" w:sz="0" w:space="0" w:color="auto"/>
                    <w:bottom w:val="none" w:sz="0" w:space="0" w:color="auto"/>
                    <w:right w:val="none" w:sz="0" w:space="0" w:color="auto"/>
                  </w:divBdr>
                  <w:divsChild>
                    <w:div w:id="1607157640">
                      <w:marLeft w:val="0"/>
                      <w:marRight w:val="0"/>
                      <w:marTop w:val="0"/>
                      <w:marBottom w:val="0"/>
                      <w:divBdr>
                        <w:top w:val="none" w:sz="0" w:space="0" w:color="auto"/>
                        <w:left w:val="none" w:sz="0" w:space="0" w:color="auto"/>
                        <w:bottom w:val="none" w:sz="0" w:space="0" w:color="auto"/>
                        <w:right w:val="none" w:sz="0" w:space="0" w:color="auto"/>
                      </w:divBdr>
                    </w:div>
                  </w:divsChild>
                </w:div>
                <w:div w:id="1024287883">
                  <w:marLeft w:val="0"/>
                  <w:marRight w:val="0"/>
                  <w:marTop w:val="0"/>
                  <w:marBottom w:val="0"/>
                  <w:divBdr>
                    <w:top w:val="none" w:sz="0" w:space="0" w:color="auto"/>
                    <w:left w:val="none" w:sz="0" w:space="0" w:color="auto"/>
                    <w:bottom w:val="none" w:sz="0" w:space="0" w:color="auto"/>
                    <w:right w:val="none" w:sz="0" w:space="0" w:color="auto"/>
                  </w:divBdr>
                  <w:divsChild>
                    <w:div w:id="2123067758">
                      <w:marLeft w:val="0"/>
                      <w:marRight w:val="0"/>
                      <w:marTop w:val="0"/>
                      <w:marBottom w:val="0"/>
                      <w:divBdr>
                        <w:top w:val="none" w:sz="0" w:space="0" w:color="auto"/>
                        <w:left w:val="none" w:sz="0" w:space="0" w:color="auto"/>
                        <w:bottom w:val="none" w:sz="0" w:space="0" w:color="auto"/>
                        <w:right w:val="none" w:sz="0" w:space="0" w:color="auto"/>
                      </w:divBdr>
                    </w:div>
                  </w:divsChild>
                </w:div>
                <w:div w:id="1130786444">
                  <w:marLeft w:val="0"/>
                  <w:marRight w:val="0"/>
                  <w:marTop w:val="0"/>
                  <w:marBottom w:val="0"/>
                  <w:divBdr>
                    <w:top w:val="none" w:sz="0" w:space="0" w:color="auto"/>
                    <w:left w:val="none" w:sz="0" w:space="0" w:color="auto"/>
                    <w:bottom w:val="none" w:sz="0" w:space="0" w:color="auto"/>
                    <w:right w:val="none" w:sz="0" w:space="0" w:color="auto"/>
                  </w:divBdr>
                  <w:divsChild>
                    <w:div w:id="452795269">
                      <w:marLeft w:val="0"/>
                      <w:marRight w:val="0"/>
                      <w:marTop w:val="0"/>
                      <w:marBottom w:val="0"/>
                      <w:divBdr>
                        <w:top w:val="none" w:sz="0" w:space="0" w:color="auto"/>
                        <w:left w:val="none" w:sz="0" w:space="0" w:color="auto"/>
                        <w:bottom w:val="none" w:sz="0" w:space="0" w:color="auto"/>
                        <w:right w:val="none" w:sz="0" w:space="0" w:color="auto"/>
                      </w:divBdr>
                    </w:div>
                  </w:divsChild>
                </w:div>
                <w:div w:id="1200824078">
                  <w:marLeft w:val="0"/>
                  <w:marRight w:val="0"/>
                  <w:marTop w:val="0"/>
                  <w:marBottom w:val="0"/>
                  <w:divBdr>
                    <w:top w:val="none" w:sz="0" w:space="0" w:color="auto"/>
                    <w:left w:val="none" w:sz="0" w:space="0" w:color="auto"/>
                    <w:bottom w:val="none" w:sz="0" w:space="0" w:color="auto"/>
                    <w:right w:val="none" w:sz="0" w:space="0" w:color="auto"/>
                  </w:divBdr>
                  <w:divsChild>
                    <w:div w:id="1142313988">
                      <w:marLeft w:val="0"/>
                      <w:marRight w:val="0"/>
                      <w:marTop w:val="0"/>
                      <w:marBottom w:val="0"/>
                      <w:divBdr>
                        <w:top w:val="none" w:sz="0" w:space="0" w:color="auto"/>
                        <w:left w:val="none" w:sz="0" w:space="0" w:color="auto"/>
                        <w:bottom w:val="none" w:sz="0" w:space="0" w:color="auto"/>
                        <w:right w:val="none" w:sz="0" w:space="0" w:color="auto"/>
                      </w:divBdr>
                    </w:div>
                  </w:divsChild>
                </w:div>
                <w:div w:id="1227764521">
                  <w:marLeft w:val="0"/>
                  <w:marRight w:val="0"/>
                  <w:marTop w:val="0"/>
                  <w:marBottom w:val="0"/>
                  <w:divBdr>
                    <w:top w:val="none" w:sz="0" w:space="0" w:color="auto"/>
                    <w:left w:val="none" w:sz="0" w:space="0" w:color="auto"/>
                    <w:bottom w:val="none" w:sz="0" w:space="0" w:color="auto"/>
                    <w:right w:val="none" w:sz="0" w:space="0" w:color="auto"/>
                  </w:divBdr>
                  <w:divsChild>
                    <w:div w:id="816842624">
                      <w:marLeft w:val="0"/>
                      <w:marRight w:val="0"/>
                      <w:marTop w:val="0"/>
                      <w:marBottom w:val="0"/>
                      <w:divBdr>
                        <w:top w:val="none" w:sz="0" w:space="0" w:color="auto"/>
                        <w:left w:val="none" w:sz="0" w:space="0" w:color="auto"/>
                        <w:bottom w:val="none" w:sz="0" w:space="0" w:color="auto"/>
                        <w:right w:val="none" w:sz="0" w:space="0" w:color="auto"/>
                      </w:divBdr>
                    </w:div>
                  </w:divsChild>
                </w:div>
                <w:div w:id="1291014807">
                  <w:marLeft w:val="0"/>
                  <w:marRight w:val="0"/>
                  <w:marTop w:val="0"/>
                  <w:marBottom w:val="0"/>
                  <w:divBdr>
                    <w:top w:val="none" w:sz="0" w:space="0" w:color="auto"/>
                    <w:left w:val="none" w:sz="0" w:space="0" w:color="auto"/>
                    <w:bottom w:val="none" w:sz="0" w:space="0" w:color="auto"/>
                    <w:right w:val="none" w:sz="0" w:space="0" w:color="auto"/>
                  </w:divBdr>
                  <w:divsChild>
                    <w:div w:id="921062094">
                      <w:marLeft w:val="0"/>
                      <w:marRight w:val="0"/>
                      <w:marTop w:val="0"/>
                      <w:marBottom w:val="0"/>
                      <w:divBdr>
                        <w:top w:val="none" w:sz="0" w:space="0" w:color="auto"/>
                        <w:left w:val="none" w:sz="0" w:space="0" w:color="auto"/>
                        <w:bottom w:val="none" w:sz="0" w:space="0" w:color="auto"/>
                        <w:right w:val="none" w:sz="0" w:space="0" w:color="auto"/>
                      </w:divBdr>
                    </w:div>
                  </w:divsChild>
                </w:div>
                <w:div w:id="1357073800">
                  <w:marLeft w:val="0"/>
                  <w:marRight w:val="0"/>
                  <w:marTop w:val="0"/>
                  <w:marBottom w:val="0"/>
                  <w:divBdr>
                    <w:top w:val="none" w:sz="0" w:space="0" w:color="auto"/>
                    <w:left w:val="none" w:sz="0" w:space="0" w:color="auto"/>
                    <w:bottom w:val="none" w:sz="0" w:space="0" w:color="auto"/>
                    <w:right w:val="none" w:sz="0" w:space="0" w:color="auto"/>
                  </w:divBdr>
                  <w:divsChild>
                    <w:div w:id="406457897">
                      <w:marLeft w:val="0"/>
                      <w:marRight w:val="0"/>
                      <w:marTop w:val="0"/>
                      <w:marBottom w:val="0"/>
                      <w:divBdr>
                        <w:top w:val="none" w:sz="0" w:space="0" w:color="auto"/>
                        <w:left w:val="none" w:sz="0" w:space="0" w:color="auto"/>
                        <w:bottom w:val="none" w:sz="0" w:space="0" w:color="auto"/>
                        <w:right w:val="none" w:sz="0" w:space="0" w:color="auto"/>
                      </w:divBdr>
                    </w:div>
                  </w:divsChild>
                </w:div>
                <w:div w:id="1361936105">
                  <w:marLeft w:val="0"/>
                  <w:marRight w:val="0"/>
                  <w:marTop w:val="0"/>
                  <w:marBottom w:val="0"/>
                  <w:divBdr>
                    <w:top w:val="none" w:sz="0" w:space="0" w:color="auto"/>
                    <w:left w:val="none" w:sz="0" w:space="0" w:color="auto"/>
                    <w:bottom w:val="none" w:sz="0" w:space="0" w:color="auto"/>
                    <w:right w:val="none" w:sz="0" w:space="0" w:color="auto"/>
                  </w:divBdr>
                  <w:divsChild>
                    <w:div w:id="1689140814">
                      <w:marLeft w:val="0"/>
                      <w:marRight w:val="0"/>
                      <w:marTop w:val="0"/>
                      <w:marBottom w:val="0"/>
                      <w:divBdr>
                        <w:top w:val="none" w:sz="0" w:space="0" w:color="auto"/>
                        <w:left w:val="none" w:sz="0" w:space="0" w:color="auto"/>
                        <w:bottom w:val="none" w:sz="0" w:space="0" w:color="auto"/>
                        <w:right w:val="none" w:sz="0" w:space="0" w:color="auto"/>
                      </w:divBdr>
                    </w:div>
                  </w:divsChild>
                </w:div>
                <w:div w:id="1452632628">
                  <w:marLeft w:val="0"/>
                  <w:marRight w:val="0"/>
                  <w:marTop w:val="0"/>
                  <w:marBottom w:val="0"/>
                  <w:divBdr>
                    <w:top w:val="none" w:sz="0" w:space="0" w:color="auto"/>
                    <w:left w:val="none" w:sz="0" w:space="0" w:color="auto"/>
                    <w:bottom w:val="none" w:sz="0" w:space="0" w:color="auto"/>
                    <w:right w:val="none" w:sz="0" w:space="0" w:color="auto"/>
                  </w:divBdr>
                  <w:divsChild>
                    <w:div w:id="1428766223">
                      <w:marLeft w:val="0"/>
                      <w:marRight w:val="0"/>
                      <w:marTop w:val="0"/>
                      <w:marBottom w:val="0"/>
                      <w:divBdr>
                        <w:top w:val="none" w:sz="0" w:space="0" w:color="auto"/>
                        <w:left w:val="none" w:sz="0" w:space="0" w:color="auto"/>
                        <w:bottom w:val="none" w:sz="0" w:space="0" w:color="auto"/>
                        <w:right w:val="none" w:sz="0" w:space="0" w:color="auto"/>
                      </w:divBdr>
                    </w:div>
                  </w:divsChild>
                </w:div>
                <w:div w:id="1514759658">
                  <w:marLeft w:val="0"/>
                  <w:marRight w:val="0"/>
                  <w:marTop w:val="0"/>
                  <w:marBottom w:val="0"/>
                  <w:divBdr>
                    <w:top w:val="none" w:sz="0" w:space="0" w:color="auto"/>
                    <w:left w:val="none" w:sz="0" w:space="0" w:color="auto"/>
                    <w:bottom w:val="none" w:sz="0" w:space="0" w:color="auto"/>
                    <w:right w:val="none" w:sz="0" w:space="0" w:color="auto"/>
                  </w:divBdr>
                  <w:divsChild>
                    <w:div w:id="1842768028">
                      <w:marLeft w:val="0"/>
                      <w:marRight w:val="0"/>
                      <w:marTop w:val="0"/>
                      <w:marBottom w:val="0"/>
                      <w:divBdr>
                        <w:top w:val="none" w:sz="0" w:space="0" w:color="auto"/>
                        <w:left w:val="none" w:sz="0" w:space="0" w:color="auto"/>
                        <w:bottom w:val="none" w:sz="0" w:space="0" w:color="auto"/>
                        <w:right w:val="none" w:sz="0" w:space="0" w:color="auto"/>
                      </w:divBdr>
                    </w:div>
                  </w:divsChild>
                </w:div>
                <w:div w:id="1539050160">
                  <w:marLeft w:val="0"/>
                  <w:marRight w:val="0"/>
                  <w:marTop w:val="0"/>
                  <w:marBottom w:val="0"/>
                  <w:divBdr>
                    <w:top w:val="none" w:sz="0" w:space="0" w:color="auto"/>
                    <w:left w:val="none" w:sz="0" w:space="0" w:color="auto"/>
                    <w:bottom w:val="none" w:sz="0" w:space="0" w:color="auto"/>
                    <w:right w:val="none" w:sz="0" w:space="0" w:color="auto"/>
                  </w:divBdr>
                  <w:divsChild>
                    <w:div w:id="2073577933">
                      <w:marLeft w:val="0"/>
                      <w:marRight w:val="0"/>
                      <w:marTop w:val="0"/>
                      <w:marBottom w:val="0"/>
                      <w:divBdr>
                        <w:top w:val="none" w:sz="0" w:space="0" w:color="auto"/>
                        <w:left w:val="none" w:sz="0" w:space="0" w:color="auto"/>
                        <w:bottom w:val="none" w:sz="0" w:space="0" w:color="auto"/>
                        <w:right w:val="none" w:sz="0" w:space="0" w:color="auto"/>
                      </w:divBdr>
                    </w:div>
                  </w:divsChild>
                </w:div>
                <w:div w:id="1568569794">
                  <w:marLeft w:val="0"/>
                  <w:marRight w:val="0"/>
                  <w:marTop w:val="0"/>
                  <w:marBottom w:val="0"/>
                  <w:divBdr>
                    <w:top w:val="none" w:sz="0" w:space="0" w:color="auto"/>
                    <w:left w:val="none" w:sz="0" w:space="0" w:color="auto"/>
                    <w:bottom w:val="none" w:sz="0" w:space="0" w:color="auto"/>
                    <w:right w:val="none" w:sz="0" w:space="0" w:color="auto"/>
                  </w:divBdr>
                  <w:divsChild>
                    <w:div w:id="778061514">
                      <w:marLeft w:val="0"/>
                      <w:marRight w:val="0"/>
                      <w:marTop w:val="0"/>
                      <w:marBottom w:val="0"/>
                      <w:divBdr>
                        <w:top w:val="none" w:sz="0" w:space="0" w:color="auto"/>
                        <w:left w:val="none" w:sz="0" w:space="0" w:color="auto"/>
                        <w:bottom w:val="none" w:sz="0" w:space="0" w:color="auto"/>
                        <w:right w:val="none" w:sz="0" w:space="0" w:color="auto"/>
                      </w:divBdr>
                    </w:div>
                  </w:divsChild>
                </w:div>
                <w:div w:id="1941450678">
                  <w:marLeft w:val="0"/>
                  <w:marRight w:val="0"/>
                  <w:marTop w:val="0"/>
                  <w:marBottom w:val="0"/>
                  <w:divBdr>
                    <w:top w:val="none" w:sz="0" w:space="0" w:color="auto"/>
                    <w:left w:val="none" w:sz="0" w:space="0" w:color="auto"/>
                    <w:bottom w:val="none" w:sz="0" w:space="0" w:color="auto"/>
                    <w:right w:val="none" w:sz="0" w:space="0" w:color="auto"/>
                  </w:divBdr>
                  <w:divsChild>
                    <w:div w:id="436340306">
                      <w:marLeft w:val="0"/>
                      <w:marRight w:val="0"/>
                      <w:marTop w:val="0"/>
                      <w:marBottom w:val="0"/>
                      <w:divBdr>
                        <w:top w:val="none" w:sz="0" w:space="0" w:color="auto"/>
                        <w:left w:val="none" w:sz="0" w:space="0" w:color="auto"/>
                        <w:bottom w:val="none" w:sz="0" w:space="0" w:color="auto"/>
                        <w:right w:val="none" w:sz="0" w:space="0" w:color="auto"/>
                      </w:divBdr>
                    </w:div>
                  </w:divsChild>
                </w:div>
                <w:div w:id="2029141974">
                  <w:marLeft w:val="0"/>
                  <w:marRight w:val="0"/>
                  <w:marTop w:val="0"/>
                  <w:marBottom w:val="0"/>
                  <w:divBdr>
                    <w:top w:val="none" w:sz="0" w:space="0" w:color="auto"/>
                    <w:left w:val="none" w:sz="0" w:space="0" w:color="auto"/>
                    <w:bottom w:val="none" w:sz="0" w:space="0" w:color="auto"/>
                    <w:right w:val="none" w:sz="0" w:space="0" w:color="auto"/>
                  </w:divBdr>
                  <w:divsChild>
                    <w:div w:id="1566913860">
                      <w:marLeft w:val="0"/>
                      <w:marRight w:val="0"/>
                      <w:marTop w:val="0"/>
                      <w:marBottom w:val="0"/>
                      <w:divBdr>
                        <w:top w:val="none" w:sz="0" w:space="0" w:color="auto"/>
                        <w:left w:val="none" w:sz="0" w:space="0" w:color="auto"/>
                        <w:bottom w:val="none" w:sz="0" w:space="0" w:color="auto"/>
                        <w:right w:val="none" w:sz="0" w:space="0" w:color="auto"/>
                      </w:divBdr>
                    </w:div>
                  </w:divsChild>
                </w:div>
                <w:div w:id="2062358263">
                  <w:marLeft w:val="0"/>
                  <w:marRight w:val="0"/>
                  <w:marTop w:val="0"/>
                  <w:marBottom w:val="0"/>
                  <w:divBdr>
                    <w:top w:val="none" w:sz="0" w:space="0" w:color="auto"/>
                    <w:left w:val="none" w:sz="0" w:space="0" w:color="auto"/>
                    <w:bottom w:val="none" w:sz="0" w:space="0" w:color="auto"/>
                    <w:right w:val="none" w:sz="0" w:space="0" w:color="auto"/>
                  </w:divBdr>
                  <w:divsChild>
                    <w:div w:id="158081723">
                      <w:marLeft w:val="0"/>
                      <w:marRight w:val="0"/>
                      <w:marTop w:val="0"/>
                      <w:marBottom w:val="0"/>
                      <w:divBdr>
                        <w:top w:val="none" w:sz="0" w:space="0" w:color="auto"/>
                        <w:left w:val="none" w:sz="0" w:space="0" w:color="auto"/>
                        <w:bottom w:val="none" w:sz="0" w:space="0" w:color="auto"/>
                        <w:right w:val="none" w:sz="0" w:space="0" w:color="auto"/>
                      </w:divBdr>
                    </w:div>
                  </w:divsChild>
                </w:div>
                <w:div w:id="2085949205">
                  <w:marLeft w:val="0"/>
                  <w:marRight w:val="0"/>
                  <w:marTop w:val="0"/>
                  <w:marBottom w:val="0"/>
                  <w:divBdr>
                    <w:top w:val="none" w:sz="0" w:space="0" w:color="auto"/>
                    <w:left w:val="none" w:sz="0" w:space="0" w:color="auto"/>
                    <w:bottom w:val="none" w:sz="0" w:space="0" w:color="auto"/>
                    <w:right w:val="none" w:sz="0" w:space="0" w:color="auto"/>
                  </w:divBdr>
                  <w:divsChild>
                    <w:div w:id="333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1510">
          <w:marLeft w:val="0"/>
          <w:marRight w:val="0"/>
          <w:marTop w:val="0"/>
          <w:marBottom w:val="0"/>
          <w:divBdr>
            <w:top w:val="none" w:sz="0" w:space="0" w:color="auto"/>
            <w:left w:val="none" w:sz="0" w:space="0" w:color="auto"/>
            <w:bottom w:val="none" w:sz="0" w:space="0" w:color="auto"/>
            <w:right w:val="none" w:sz="0" w:space="0" w:color="auto"/>
          </w:divBdr>
        </w:div>
        <w:div w:id="1394503832">
          <w:marLeft w:val="0"/>
          <w:marRight w:val="0"/>
          <w:marTop w:val="0"/>
          <w:marBottom w:val="0"/>
          <w:divBdr>
            <w:top w:val="none" w:sz="0" w:space="0" w:color="auto"/>
            <w:left w:val="none" w:sz="0" w:space="0" w:color="auto"/>
            <w:bottom w:val="none" w:sz="0" w:space="0" w:color="auto"/>
            <w:right w:val="none" w:sz="0" w:space="0" w:color="auto"/>
          </w:divBdr>
        </w:div>
        <w:div w:id="1397433557">
          <w:marLeft w:val="0"/>
          <w:marRight w:val="0"/>
          <w:marTop w:val="0"/>
          <w:marBottom w:val="0"/>
          <w:divBdr>
            <w:top w:val="none" w:sz="0" w:space="0" w:color="auto"/>
            <w:left w:val="none" w:sz="0" w:space="0" w:color="auto"/>
            <w:bottom w:val="none" w:sz="0" w:space="0" w:color="auto"/>
            <w:right w:val="none" w:sz="0" w:space="0" w:color="auto"/>
          </w:divBdr>
        </w:div>
        <w:div w:id="1398629004">
          <w:marLeft w:val="0"/>
          <w:marRight w:val="0"/>
          <w:marTop w:val="0"/>
          <w:marBottom w:val="0"/>
          <w:divBdr>
            <w:top w:val="none" w:sz="0" w:space="0" w:color="auto"/>
            <w:left w:val="none" w:sz="0" w:space="0" w:color="auto"/>
            <w:bottom w:val="none" w:sz="0" w:space="0" w:color="auto"/>
            <w:right w:val="none" w:sz="0" w:space="0" w:color="auto"/>
          </w:divBdr>
        </w:div>
        <w:div w:id="1416627342">
          <w:marLeft w:val="0"/>
          <w:marRight w:val="0"/>
          <w:marTop w:val="0"/>
          <w:marBottom w:val="0"/>
          <w:divBdr>
            <w:top w:val="none" w:sz="0" w:space="0" w:color="auto"/>
            <w:left w:val="none" w:sz="0" w:space="0" w:color="auto"/>
            <w:bottom w:val="none" w:sz="0" w:space="0" w:color="auto"/>
            <w:right w:val="none" w:sz="0" w:space="0" w:color="auto"/>
          </w:divBdr>
        </w:div>
        <w:div w:id="1420254549">
          <w:marLeft w:val="0"/>
          <w:marRight w:val="0"/>
          <w:marTop w:val="0"/>
          <w:marBottom w:val="0"/>
          <w:divBdr>
            <w:top w:val="none" w:sz="0" w:space="0" w:color="auto"/>
            <w:left w:val="none" w:sz="0" w:space="0" w:color="auto"/>
            <w:bottom w:val="none" w:sz="0" w:space="0" w:color="auto"/>
            <w:right w:val="none" w:sz="0" w:space="0" w:color="auto"/>
          </w:divBdr>
        </w:div>
        <w:div w:id="1439834866">
          <w:marLeft w:val="0"/>
          <w:marRight w:val="0"/>
          <w:marTop w:val="0"/>
          <w:marBottom w:val="0"/>
          <w:divBdr>
            <w:top w:val="none" w:sz="0" w:space="0" w:color="auto"/>
            <w:left w:val="none" w:sz="0" w:space="0" w:color="auto"/>
            <w:bottom w:val="none" w:sz="0" w:space="0" w:color="auto"/>
            <w:right w:val="none" w:sz="0" w:space="0" w:color="auto"/>
          </w:divBdr>
        </w:div>
        <w:div w:id="1444686854">
          <w:marLeft w:val="0"/>
          <w:marRight w:val="0"/>
          <w:marTop w:val="0"/>
          <w:marBottom w:val="0"/>
          <w:divBdr>
            <w:top w:val="none" w:sz="0" w:space="0" w:color="auto"/>
            <w:left w:val="none" w:sz="0" w:space="0" w:color="auto"/>
            <w:bottom w:val="none" w:sz="0" w:space="0" w:color="auto"/>
            <w:right w:val="none" w:sz="0" w:space="0" w:color="auto"/>
          </w:divBdr>
        </w:div>
        <w:div w:id="1445268024">
          <w:marLeft w:val="0"/>
          <w:marRight w:val="0"/>
          <w:marTop w:val="0"/>
          <w:marBottom w:val="0"/>
          <w:divBdr>
            <w:top w:val="none" w:sz="0" w:space="0" w:color="auto"/>
            <w:left w:val="none" w:sz="0" w:space="0" w:color="auto"/>
            <w:bottom w:val="none" w:sz="0" w:space="0" w:color="auto"/>
            <w:right w:val="none" w:sz="0" w:space="0" w:color="auto"/>
          </w:divBdr>
        </w:div>
        <w:div w:id="1462381994">
          <w:marLeft w:val="0"/>
          <w:marRight w:val="0"/>
          <w:marTop w:val="0"/>
          <w:marBottom w:val="0"/>
          <w:divBdr>
            <w:top w:val="none" w:sz="0" w:space="0" w:color="auto"/>
            <w:left w:val="none" w:sz="0" w:space="0" w:color="auto"/>
            <w:bottom w:val="none" w:sz="0" w:space="0" w:color="auto"/>
            <w:right w:val="none" w:sz="0" w:space="0" w:color="auto"/>
          </w:divBdr>
        </w:div>
        <w:div w:id="1462846933">
          <w:marLeft w:val="0"/>
          <w:marRight w:val="0"/>
          <w:marTop w:val="0"/>
          <w:marBottom w:val="0"/>
          <w:divBdr>
            <w:top w:val="none" w:sz="0" w:space="0" w:color="auto"/>
            <w:left w:val="none" w:sz="0" w:space="0" w:color="auto"/>
            <w:bottom w:val="none" w:sz="0" w:space="0" w:color="auto"/>
            <w:right w:val="none" w:sz="0" w:space="0" w:color="auto"/>
          </w:divBdr>
        </w:div>
        <w:div w:id="1465390061">
          <w:marLeft w:val="0"/>
          <w:marRight w:val="0"/>
          <w:marTop w:val="0"/>
          <w:marBottom w:val="0"/>
          <w:divBdr>
            <w:top w:val="none" w:sz="0" w:space="0" w:color="auto"/>
            <w:left w:val="none" w:sz="0" w:space="0" w:color="auto"/>
            <w:bottom w:val="none" w:sz="0" w:space="0" w:color="auto"/>
            <w:right w:val="none" w:sz="0" w:space="0" w:color="auto"/>
          </w:divBdr>
        </w:div>
        <w:div w:id="1469738522">
          <w:marLeft w:val="0"/>
          <w:marRight w:val="0"/>
          <w:marTop w:val="0"/>
          <w:marBottom w:val="0"/>
          <w:divBdr>
            <w:top w:val="none" w:sz="0" w:space="0" w:color="auto"/>
            <w:left w:val="none" w:sz="0" w:space="0" w:color="auto"/>
            <w:bottom w:val="none" w:sz="0" w:space="0" w:color="auto"/>
            <w:right w:val="none" w:sz="0" w:space="0" w:color="auto"/>
          </w:divBdr>
        </w:div>
        <w:div w:id="1475412113">
          <w:marLeft w:val="0"/>
          <w:marRight w:val="0"/>
          <w:marTop w:val="0"/>
          <w:marBottom w:val="0"/>
          <w:divBdr>
            <w:top w:val="none" w:sz="0" w:space="0" w:color="auto"/>
            <w:left w:val="none" w:sz="0" w:space="0" w:color="auto"/>
            <w:bottom w:val="none" w:sz="0" w:space="0" w:color="auto"/>
            <w:right w:val="none" w:sz="0" w:space="0" w:color="auto"/>
          </w:divBdr>
        </w:div>
        <w:div w:id="1495099546">
          <w:marLeft w:val="0"/>
          <w:marRight w:val="0"/>
          <w:marTop w:val="0"/>
          <w:marBottom w:val="0"/>
          <w:divBdr>
            <w:top w:val="none" w:sz="0" w:space="0" w:color="auto"/>
            <w:left w:val="none" w:sz="0" w:space="0" w:color="auto"/>
            <w:bottom w:val="none" w:sz="0" w:space="0" w:color="auto"/>
            <w:right w:val="none" w:sz="0" w:space="0" w:color="auto"/>
          </w:divBdr>
        </w:div>
        <w:div w:id="1508787211">
          <w:marLeft w:val="0"/>
          <w:marRight w:val="0"/>
          <w:marTop w:val="0"/>
          <w:marBottom w:val="0"/>
          <w:divBdr>
            <w:top w:val="none" w:sz="0" w:space="0" w:color="auto"/>
            <w:left w:val="none" w:sz="0" w:space="0" w:color="auto"/>
            <w:bottom w:val="none" w:sz="0" w:space="0" w:color="auto"/>
            <w:right w:val="none" w:sz="0" w:space="0" w:color="auto"/>
          </w:divBdr>
        </w:div>
        <w:div w:id="1534151956">
          <w:marLeft w:val="0"/>
          <w:marRight w:val="0"/>
          <w:marTop w:val="0"/>
          <w:marBottom w:val="0"/>
          <w:divBdr>
            <w:top w:val="none" w:sz="0" w:space="0" w:color="auto"/>
            <w:left w:val="none" w:sz="0" w:space="0" w:color="auto"/>
            <w:bottom w:val="none" w:sz="0" w:space="0" w:color="auto"/>
            <w:right w:val="none" w:sz="0" w:space="0" w:color="auto"/>
          </w:divBdr>
        </w:div>
        <w:div w:id="1562252207">
          <w:marLeft w:val="0"/>
          <w:marRight w:val="0"/>
          <w:marTop w:val="0"/>
          <w:marBottom w:val="0"/>
          <w:divBdr>
            <w:top w:val="none" w:sz="0" w:space="0" w:color="auto"/>
            <w:left w:val="none" w:sz="0" w:space="0" w:color="auto"/>
            <w:bottom w:val="none" w:sz="0" w:space="0" w:color="auto"/>
            <w:right w:val="none" w:sz="0" w:space="0" w:color="auto"/>
          </w:divBdr>
        </w:div>
        <w:div w:id="1573080112">
          <w:marLeft w:val="0"/>
          <w:marRight w:val="0"/>
          <w:marTop w:val="0"/>
          <w:marBottom w:val="0"/>
          <w:divBdr>
            <w:top w:val="none" w:sz="0" w:space="0" w:color="auto"/>
            <w:left w:val="none" w:sz="0" w:space="0" w:color="auto"/>
            <w:bottom w:val="none" w:sz="0" w:space="0" w:color="auto"/>
            <w:right w:val="none" w:sz="0" w:space="0" w:color="auto"/>
          </w:divBdr>
        </w:div>
        <w:div w:id="1574269167">
          <w:marLeft w:val="0"/>
          <w:marRight w:val="0"/>
          <w:marTop w:val="0"/>
          <w:marBottom w:val="0"/>
          <w:divBdr>
            <w:top w:val="none" w:sz="0" w:space="0" w:color="auto"/>
            <w:left w:val="none" w:sz="0" w:space="0" w:color="auto"/>
            <w:bottom w:val="none" w:sz="0" w:space="0" w:color="auto"/>
            <w:right w:val="none" w:sz="0" w:space="0" w:color="auto"/>
          </w:divBdr>
        </w:div>
        <w:div w:id="1574706387">
          <w:marLeft w:val="0"/>
          <w:marRight w:val="0"/>
          <w:marTop w:val="0"/>
          <w:marBottom w:val="0"/>
          <w:divBdr>
            <w:top w:val="none" w:sz="0" w:space="0" w:color="auto"/>
            <w:left w:val="none" w:sz="0" w:space="0" w:color="auto"/>
            <w:bottom w:val="none" w:sz="0" w:space="0" w:color="auto"/>
            <w:right w:val="none" w:sz="0" w:space="0" w:color="auto"/>
          </w:divBdr>
        </w:div>
        <w:div w:id="1630625899">
          <w:marLeft w:val="0"/>
          <w:marRight w:val="0"/>
          <w:marTop w:val="0"/>
          <w:marBottom w:val="0"/>
          <w:divBdr>
            <w:top w:val="none" w:sz="0" w:space="0" w:color="auto"/>
            <w:left w:val="none" w:sz="0" w:space="0" w:color="auto"/>
            <w:bottom w:val="none" w:sz="0" w:space="0" w:color="auto"/>
            <w:right w:val="none" w:sz="0" w:space="0" w:color="auto"/>
          </w:divBdr>
        </w:div>
        <w:div w:id="1637836612">
          <w:marLeft w:val="0"/>
          <w:marRight w:val="0"/>
          <w:marTop w:val="0"/>
          <w:marBottom w:val="0"/>
          <w:divBdr>
            <w:top w:val="none" w:sz="0" w:space="0" w:color="auto"/>
            <w:left w:val="none" w:sz="0" w:space="0" w:color="auto"/>
            <w:bottom w:val="none" w:sz="0" w:space="0" w:color="auto"/>
            <w:right w:val="none" w:sz="0" w:space="0" w:color="auto"/>
          </w:divBdr>
        </w:div>
        <w:div w:id="1651982258">
          <w:marLeft w:val="0"/>
          <w:marRight w:val="0"/>
          <w:marTop w:val="0"/>
          <w:marBottom w:val="0"/>
          <w:divBdr>
            <w:top w:val="none" w:sz="0" w:space="0" w:color="auto"/>
            <w:left w:val="none" w:sz="0" w:space="0" w:color="auto"/>
            <w:bottom w:val="none" w:sz="0" w:space="0" w:color="auto"/>
            <w:right w:val="none" w:sz="0" w:space="0" w:color="auto"/>
          </w:divBdr>
        </w:div>
        <w:div w:id="1654220054">
          <w:marLeft w:val="0"/>
          <w:marRight w:val="0"/>
          <w:marTop w:val="0"/>
          <w:marBottom w:val="0"/>
          <w:divBdr>
            <w:top w:val="none" w:sz="0" w:space="0" w:color="auto"/>
            <w:left w:val="none" w:sz="0" w:space="0" w:color="auto"/>
            <w:bottom w:val="none" w:sz="0" w:space="0" w:color="auto"/>
            <w:right w:val="none" w:sz="0" w:space="0" w:color="auto"/>
          </w:divBdr>
        </w:div>
        <w:div w:id="1659385383">
          <w:marLeft w:val="0"/>
          <w:marRight w:val="0"/>
          <w:marTop w:val="0"/>
          <w:marBottom w:val="0"/>
          <w:divBdr>
            <w:top w:val="none" w:sz="0" w:space="0" w:color="auto"/>
            <w:left w:val="none" w:sz="0" w:space="0" w:color="auto"/>
            <w:bottom w:val="none" w:sz="0" w:space="0" w:color="auto"/>
            <w:right w:val="none" w:sz="0" w:space="0" w:color="auto"/>
          </w:divBdr>
        </w:div>
        <w:div w:id="1677151755">
          <w:marLeft w:val="0"/>
          <w:marRight w:val="0"/>
          <w:marTop w:val="0"/>
          <w:marBottom w:val="0"/>
          <w:divBdr>
            <w:top w:val="none" w:sz="0" w:space="0" w:color="auto"/>
            <w:left w:val="none" w:sz="0" w:space="0" w:color="auto"/>
            <w:bottom w:val="none" w:sz="0" w:space="0" w:color="auto"/>
            <w:right w:val="none" w:sz="0" w:space="0" w:color="auto"/>
          </w:divBdr>
        </w:div>
        <w:div w:id="1737166907">
          <w:marLeft w:val="0"/>
          <w:marRight w:val="0"/>
          <w:marTop w:val="0"/>
          <w:marBottom w:val="0"/>
          <w:divBdr>
            <w:top w:val="none" w:sz="0" w:space="0" w:color="auto"/>
            <w:left w:val="none" w:sz="0" w:space="0" w:color="auto"/>
            <w:bottom w:val="none" w:sz="0" w:space="0" w:color="auto"/>
            <w:right w:val="none" w:sz="0" w:space="0" w:color="auto"/>
          </w:divBdr>
        </w:div>
        <w:div w:id="1740442214">
          <w:marLeft w:val="0"/>
          <w:marRight w:val="0"/>
          <w:marTop w:val="0"/>
          <w:marBottom w:val="0"/>
          <w:divBdr>
            <w:top w:val="none" w:sz="0" w:space="0" w:color="auto"/>
            <w:left w:val="none" w:sz="0" w:space="0" w:color="auto"/>
            <w:bottom w:val="none" w:sz="0" w:space="0" w:color="auto"/>
            <w:right w:val="none" w:sz="0" w:space="0" w:color="auto"/>
          </w:divBdr>
        </w:div>
        <w:div w:id="1758792894">
          <w:marLeft w:val="0"/>
          <w:marRight w:val="0"/>
          <w:marTop w:val="0"/>
          <w:marBottom w:val="0"/>
          <w:divBdr>
            <w:top w:val="none" w:sz="0" w:space="0" w:color="auto"/>
            <w:left w:val="none" w:sz="0" w:space="0" w:color="auto"/>
            <w:bottom w:val="none" w:sz="0" w:space="0" w:color="auto"/>
            <w:right w:val="none" w:sz="0" w:space="0" w:color="auto"/>
          </w:divBdr>
        </w:div>
        <w:div w:id="1859544548">
          <w:marLeft w:val="0"/>
          <w:marRight w:val="0"/>
          <w:marTop w:val="0"/>
          <w:marBottom w:val="0"/>
          <w:divBdr>
            <w:top w:val="none" w:sz="0" w:space="0" w:color="auto"/>
            <w:left w:val="none" w:sz="0" w:space="0" w:color="auto"/>
            <w:bottom w:val="none" w:sz="0" w:space="0" w:color="auto"/>
            <w:right w:val="none" w:sz="0" w:space="0" w:color="auto"/>
          </w:divBdr>
        </w:div>
        <w:div w:id="1860580840">
          <w:marLeft w:val="0"/>
          <w:marRight w:val="0"/>
          <w:marTop w:val="0"/>
          <w:marBottom w:val="0"/>
          <w:divBdr>
            <w:top w:val="none" w:sz="0" w:space="0" w:color="auto"/>
            <w:left w:val="none" w:sz="0" w:space="0" w:color="auto"/>
            <w:bottom w:val="none" w:sz="0" w:space="0" w:color="auto"/>
            <w:right w:val="none" w:sz="0" w:space="0" w:color="auto"/>
          </w:divBdr>
        </w:div>
        <w:div w:id="1874228412">
          <w:marLeft w:val="0"/>
          <w:marRight w:val="0"/>
          <w:marTop w:val="0"/>
          <w:marBottom w:val="0"/>
          <w:divBdr>
            <w:top w:val="none" w:sz="0" w:space="0" w:color="auto"/>
            <w:left w:val="none" w:sz="0" w:space="0" w:color="auto"/>
            <w:bottom w:val="none" w:sz="0" w:space="0" w:color="auto"/>
            <w:right w:val="none" w:sz="0" w:space="0" w:color="auto"/>
          </w:divBdr>
        </w:div>
        <w:div w:id="1925727058">
          <w:marLeft w:val="0"/>
          <w:marRight w:val="0"/>
          <w:marTop w:val="0"/>
          <w:marBottom w:val="0"/>
          <w:divBdr>
            <w:top w:val="none" w:sz="0" w:space="0" w:color="auto"/>
            <w:left w:val="none" w:sz="0" w:space="0" w:color="auto"/>
            <w:bottom w:val="none" w:sz="0" w:space="0" w:color="auto"/>
            <w:right w:val="none" w:sz="0" w:space="0" w:color="auto"/>
          </w:divBdr>
        </w:div>
        <w:div w:id="1929462260">
          <w:marLeft w:val="0"/>
          <w:marRight w:val="0"/>
          <w:marTop w:val="0"/>
          <w:marBottom w:val="0"/>
          <w:divBdr>
            <w:top w:val="none" w:sz="0" w:space="0" w:color="auto"/>
            <w:left w:val="none" w:sz="0" w:space="0" w:color="auto"/>
            <w:bottom w:val="none" w:sz="0" w:space="0" w:color="auto"/>
            <w:right w:val="none" w:sz="0" w:space="0" w:color="auto"/>
          </w:divBdr>
        </w:div>
        <w:div w:id="1946384650">
          <w:marLeft w:val="0"/>
          <w:marRight w:val="0"/>
          <w:marTop w:val="0"/>
          <w:marBottom w:val="0"/>
          <w:divBdr>
            <w:top w:val="none" w:sz="0" w:space="0" w:color="auto"/>
            <w:left w:val="none" w:sz="0" w:space="0" w:color="auto"/>
            <w:bottom w:val="none" w:sz="0" w:space="0" w:color="auto"/>
            <w:right w:val="none" w:sz="0" w:space="0" w:color="auto"/>
          </w:divBdr>
        </w:div>
        <w:div w:id="1956709373">
          <w:marLeft w:val="0"/>
          <w:marRight w:val="0"/>
          <w:marTop w:val="0"/>
          <w:marBottom w:val="0"/>
          <w:divBdr>
            <w:top w:val="none" w:sz="0" w:space="0" w:color="auto"/>
            <w:left w:val="none" w:sz="0" w:space="0" w:color="auto"/>
            <w:bottom w:val="none" w:sz="0" w:space="0" w:color="auto"/>
            <w:right w:val="none" w:sz="0" w:space="0" w:color="auto"/>
          </w:divBdr>
        </w:div>
        <w:div w:id="1979604370">
          <w:marLeft w:val="0"/>
          <w:marRight w:val="0"/>
          <w:marTop w:val="0"/>
          <w:marBottom w:val="0"/>
          <w:divBdr>
            <w:top w:val="none" w:sz="0" w:space="0" w:color="auto"/>
            <w:left w:val="none" w:sz="0" w:space="0" w:color="auto"/>
            <w:bottom w:val="none" w:sz="0" w:space="0" w:color="auto"/>
            <w:right w:val="none" w:sz="0" w:space="0" w:color="auto"/>
          </w:divBdr>
        </w:div>
        <w:div w:id="2007051023">
          <w:marLeft w:val="0"/>
          <w:marRight w:val="0"/>
          <w:marTop w:val="0"/>
          <w:marBottom w:val="0"/>
          <w:divBdr>
            <w:top w:val="none" w:sz="0" w:space="0" w:color="auto"/>
            <w:left w:val="none" w:sz="0" w:space="0" w:color="auto"/>
            <w:bottom w:val="none" w:sz="0" w:space="0" w:color="auto"/>
            <w:right w:val="none" w:sz="0" w:space="0" w:color="auto"/>
          </w:divBdr>
        </w:div>
        <w:div w:id="2031686123">
          <w:marLeft w:val="0"/>
          <w:marRight w:val="0"/>
          <w:marTop w:val="0"/>
          <w:marBottom w:val="0"/>
          <w:divBdr>
            <w:top w:val="none" w:sz="0" w:space="0" w:color="auto"/>
            <w:left w:val="none" w:sz="0" w:space="0" w:color="auto"/>
            <w:bottom w:val="none" w:sz="0" w:space="0" w:color="auto"/>
            <w:right w:val="none" w:sz="0" w:space="0" w:color="auto"/>
          </w:divBdr>
        </w:div>
        <w:div w:id="2049988001">
          <w:marLeft w:val="0"/>
          <w:marRight w:val="0"/>
          <w:marTop w:val="0"/>
          <w:marBottom w:val="0"/>
          <w:divBdr>
            <w:top w:val="none" w:sz="0" w:space="0" w:color="auto"/>
            <w:left w:val="none" w:sz="0" w:space="0" w:color="auto"/>
            <w:bottom w:val="none" w:sz="0" w:space="0" w:color="auto"/>
            <w:right w:val="none" w:sz="0" w:space="0" w:color="auto"/>
          </w:divBdr>
        </w:div>
        <w:div w:id="2053381054">
          <w:marLeft w:val="0"/>
          <w:marRight w:val="0"/>
          <w:marTop w:val="0"/>
          <w:marBottom w:val="0"/>
          <w:divBdr>
            <w:top w:val="none" w:sz="0" w:space="0" w:color="auto"/>
            <w:left w:val="none" w:sz="0" w:space="0" w:color="auto"/>
            <w:bottom w:val="none" w:sz="0" w:space="0" w:color="auto"/>
            <w:right w:val="none" w:sz="0" w:space="0" w:color="auto"/>
          </w:divBdr>
        </w:div>
        <w:div w:id="2055234087">
          <w:marLeft w:val="0"/>
          <w:marRight w:val="0"/>
          <w:marTop w:val="0"/>
          <w:marBottom w:val="0"/>
          <w:divBdr>
            <w:top w:val="none" w:sz="0" w:space="0" w:color="auto"/>
            <w:left w:val="none" w:sz="0" w:space="0" w:color="auto"/>
            <w:bottom w:val="none" w:sz="0" w:space="0" w:color="auto"/>
            <w:right w:val="none" w:sz="0" w:space="0" w:color="auto"/>
          </w:divBdr>
        </w:div>
        <w:div w:id="2063210261">
          <w:marLeft w:val="0"/>
          <w:marRight w:val="0"/>
          <w:marTop w:val="0"/>
          <w:marBottom w:val="0"/>
          <w:divBdr>
            <w:top w:val="none" w:sz="0" w:space="0" w:color="auto"/>
            <w:left w:val="none" w:sz="0" w:space="0" w:color="auto"/>
            <w:bottom w:val="none" w:sz="0" w:space="0" w:color="auto"/>
            <w:right w:val="none" w:sz="0" w:space="0" w:color="auto"/>
          </w:divBdr>
        </w:div>
        <w:div w:id="2089576627">
          <w:marLeft w:val="0"/>
          <w:marRight w:val="0"/>
          <w:marTop w:val="0"/>
          <w:marBottom w:val="0"/>
          <w:divBdr>
            <w:top w:val="none" w:sz="0" w:space="0" w:color="auto"/>
            <w:left w:val="none" w:sz="0" w:space="0" w:color="auto"/>
            <w:bottom w:val="none" w:sz="0" w:space="0" w:color="auto"/>
            <w:right w:val="none" w:sz="0" w:space="0" w:color="auto"/>
          </w:divBdr>
        </w:div>
        <w:div w:id="2112773387">
          <w:marLeft w:val="0"/>
          <w:marRight w:val="0"/>
          <w:marTop w:val="0"/>
          <w:marBottom w:val="0"/>
          <w:divBdr>
            <w:top w:val="none" w:sz="0" w:space="0" w:color="auto"/>
            <w:left w:val="none" w:sz="0" w:space="0" w:color="auto"/>
            <w:bottom w:val="none" w:sz="0" w:space="0" w:color="auto"/>
            <w:right w:val="none" w:sz="0" w:space="0" w:color="auto"/>
          </w:divBdr>
        </w:div>
        <w:div w:id="2115594454">
          <w:marLeft w:val="0"/>
          <w:marRight w:val="0"/>
          <w:marTop w:val="0"/>
          <w:marBottom w:val="0"/>
          <w:divBdr>
            <w:top w:val="none" w:sz="0" w:space="0" w:color="auto"/>
            <w:left w:val="none" w:sz="0" w:space="0" w:color="auto"/>
            <w:bottom w:val="none" w:sz="0" w:space="0" w:color="auto"/>
            <w:right w:val="none" w:sz="0" w:space="0" w:color="auto"/>
          </w:divBdr>
        </w:div>
        <w:div w:id="2119178865">
          <w:marLeft w:val="0"/>
          <w:marRight w:val="0"/>
          <w:marTop w:val="0"/>
          <w:marBottom w:val="0"/>
          <w:divBdr>
            <w:top w:val="none" w:sz="0" w:space="0" w:color="auto"/>
            <w:left w:val="none" w:sz="0" w:space="0" w:color="auto"/>
            <w:bottom w:val="none" w:sz="0" w:space="0" w:color="auto"/>
            <w:right w:val="none" w:sz="0" w:space="0" w:color="auto"/>
          </w:divBdr>
          <w:divsChild>
            <w:div w:id="1430929606">
              <w:marLeft w:val="-75"/>
              <w:marRight w:val="0"/>
              <w:marTop w:val="30"/>
              <w:marBottom w:val="30"/>
              <w:divBdr>
                <w:top w:val="none" w:sz="0" w:space="0" w:color="auto"/>
                <w:left w:val="none" w:sz="0" w:space="0" w:color="auto"/>
                <w:bottom w:val="none" w:sz="0" w:space="0" w:color="auto"/>
                <w:right w:val="none" w:sz="0" w:space="0" w:color="auto"/>
              </w:divBdr>
              <w:divsChild>
                <w:div w:id="204373151">
                  <w:marLeft w:val="0"/>
                  <w:marRight w:val="0"/>
                  <w:marTop w:val="0"/>
                  <w:marBottom w:val="0"/>
                  <w:divBdr>
                    <w:top w:val="none" w:sz="0" w:space="0" w:color="auto"/>
                    <w:left w:val="none" w:sz="0" w:space="0" w:color="auto"/>
                    <w:bottom w:val="none" w:sz="0" w:space="0" w:color="auto"/>
                    <w:right w:val="none" w:sz="0" w:space="0" w:color="auto"/>
                  </w:divBdr>
                  <w:divsChild>
                    <w:div w:id="1629583432">
                      <w:marLeft w:val="0"/>
                      <w:marRight w:val="0"/>
                      <w:marTop w:val="0"/>
                      <w:marBottom w:val="0"/>
                      <w:divBdr>
                        <w:top w:val="none" w:sz="0" w:space="0" w:color="auto"/>
                        <w:left w:val="none" w:sz="0" w:space="0" w:color="auto"/>
                        <w:bottom w:val="none" w:sz="0" w:space="0" w:color="auto"/>
                        <w:right w:val="none" w:sz="0" w:space="0" w:color="auto"/>
                      </w:divBdr>
                    </w:div>
                  </w:divsChild>
                </w:div>
                <w:div w:id="216210354">
                  <w:marLeft w:val="0"/>
                  <w:marRight w:val="0"/>
                  <w:marTop w:val="0"/>
                  <w:marBottom w:val="0"/>
                  <w:divBdr>
                    <w:top w:val="none" w:sz="0" w:space="0" w:color="auto"/>
                    <w:left w:val="none" w:sz="0" w:space="0" w:color="auto"/>
                    <w:bottom w:val="none" w:sz="0" w:space="0" w:color="auto"/>
                    <w:right w:val="none" w:sz="0" w:space="0" w:color="auto"/>
                  </w:divBdr>
                  <w:divsChild>
                    <w:div w:id="617758087">
                      <w:marLeft w:val="0"/>
                      <w:marRight w:val="0"/>
                      <w:marTop w:val="0"/>
                      <w:marBottom w:val="0"/>
                      <w:divBdr>
                        <w:top w:val="none" w:sz="0" w:space="0" w:color="auto"/>
                        <w:left w:val="none" w:sz="0" w:space="0" w:color="auto"/>
                        <w:bottom w:val="none" w:sz="0" w:space="0" w:color="auto"/>
                        <w:right w:val="none" w:sz="0" w:space="0" w:color="auto"/>
                      </w:divBdr>
                    </w:div>
                  </w:divsChild>
                </w:div>
                <w:div w:id="233929457">
                  <w:marLeft w:val="0"/>
                  <w:marRight w:val="0"/>
                  <w:marTop w:val="0"/>
                  <w:marBottom w:val="0"/>
                  <w:divBdr>
                    <w:top w:val="none" w:sz="0" w:space="0" w:color="auto"/>
                    <w:left w:val="none" w:sz="0" w:space="0" w:color="auto"/>
                    <w:bottom w:val="none" w:sz="0" w:space="0" w:color="auto"/>
                    <w:right w:val="none" w:sz="0" w:space="0" w:color="auto"/>
                  </w:divBdr>
                  <w:divsChild>
                    <w:div w:id="137915832">
                      <w:marLeft w:val="0"/>
                      <w:marRight w:val="0"/>
                      <w:marTop w:val="0"/>
                      <w:marBottom w:val="0"/>
                      <w:divBdr>
                        <w:top w:val="none" w:sz="0" w:space="0" w:color="auto"/>
                        <w:left w:val="none" w:sz="0" w:space="0" w:color="auto"/>
                        <w:bottom w:val="none" w:sz="0" w:space="0" w:color="auto"/>
                        <w:right w:val="none" w:sz="0" w:space="0" w:color="auto"/>
                      </w:divBdr>
                    </w:div>
                    <w:div w:id="761685179">
                      <w:marLeft w:val="0"/>
                      <w:marRight w:val="0"/>
                      <w:marTop w:val="0"/>
                      <w:marBottom w:val="0"/>
                      <w:divBdr>
                        <w:top w:val="none" w:sz="0" w:space="0" w:color="auto"/>
                        <w:left w:val="none" w:sz="0" w:space="0" w:color="auto"/>
                        <w:bottom w:val="none" w:sz="0" w:space="0" w:color="auto"/>
                        <w:right w:val="none" w:sz="0" w:space="0" w:color="auto"/>
                      </w:divBdr>
                    </w:div>
                    <w:div w:id="2006977453">
                      <w:marLeft w:val="0"/>
                      <w:marRight w:val="0"/>
                      <w:marTop w:val="0"/>
                      <w:marBottom w:val="0"/>
                      <w:divBdr>
                        <w:top w:val="none" w:sz="0" w:space="0" w:color="auto"/>
                        <w:left w:val="none" w:sz="0" w:space="0" w:color="auto"/>
                        <w:bottom w:val="none" w:sz="0" w:space="0" w:color="auto"/>
                        <w:right w:val="none" w:sz="0" w:space="0" w:color="auto"/>
                      </w:divBdr>
                    </w:div>
                  </w:divsChild>
                </w:div>
                <w:div w:id="660937435">
                  <w:marLeft w:val="0"/>
                  <w:marRight w:val="0"/>
                  <w:marTop w:val="0"/>
                  <w:marBottom w:val="0"/>
                  <w:divBdr>
                    <w:top w:val="none" w:sz="0" w:space="0" w:color="auto"/>
                    <w:left w:val="none" w:sz="0" w:space="0" w:color="auto"/>
                    <w:bottom w:val="none" w:sz="0" w:space="0" w:color="auto"/>
                    <w:right w:val="none" w:sz="0" w:space="0" w:color="auto"/>
                  </w:divBdr>
                  <w:divsChild>
                    <w:div w:id="919757575">
                      <w:marLeft w:val="0"/>
                      <w:marRight w:val="0"/>
                      <w:marTop w:val="0"/>
                      <w:marBottom w:val="0"/>
                      <w:divBdr>
                        <w:top w:val="none" w:sz="0" w:space="0" w:color="auto"/>
                        <w:left w:val="none" w:sz="0" w:space="0" w:color="auto"/>
                        <w:bottom w:val="none" w:sz="0" w:space="0" w:color="auto"/>
                        <w:right w:val="none" w:sz="0" w:space="0" w:color="auto"/>
                      </w:divBdr>
                    </w:div>
                  </w:divsChild>
                </w:div>
                <w:div w:id="702247730">
                  <w:marLeft w:val="0"/>
                  <w:marRight w:val="0"/>
                  <w:marTop w:val="0"/>
                  <w:marBottom w:val="0"/>
                  <w:divBdr>
                    <w:top w:val="none" w:sz="0" w:space="0" w:color="auto"/>
                    <w:left w:val="none" w:sz="0" w:space="0" w:color="auto"/>
                    <w:bottom w:val="none" w:sz="0" w:space="0" w:color="auto"/>
                    <w:right w:val="none" w:sz="0" w:space="0" w:color="auto"/>
                  </w:divBdr>
                  <w:divsChild>
                    <w:div w:id="1835412601">
                      <w:marLeft w:val="0"/>
                      <w:marRight w:val="0"/>
                      <w:marTop w:val="0"/>
                      <w:marBottom w:val="0"/>
                      <w:divBdr>
                        <w:top w:val="none" w:sz="0" w:space="0" w:color="auto"/>
                        <w:left w:val="none" w:sz="0" w:space="0" w:color="auto"/>
                        <w:bottom w:val="none" w:sz="0" w:space="0" w:color="auto"/>
                        <w:right w:val="none" w:sz="0" w:space="0" w:color="auto"/>
                      </w:divBdr>
                    </w:div>
                  </w:divsChild>
                </w:div>
                <w:div w:id="812798329">
                  <w:marLeft w:val="0"/>
                  <w:marRight w:val="0"/>
                  <w:marTop w:val="0"/>
                  <w:marBottom w:val="0"/>
                  <w:divBdr>
                    <w:top w:val="none" w:sz="0" w:space="0" w:color="auto"/>
                    <w:left w:val="none" w:sz="0" w:space="0" w:color="auto"/>
                    <w:bottom w:val="none" w:sz="0" w:space="0" w:color="auto"/>
                    <w:right w:val="none" w:sz="0" w:space="0" w:color="auto"/>
                  </w:divBdr>
                  <w:divsChild>
                    <w:div w:id="592325222">
                      <w:marLeft w:val="0"/>
                      <w:marRight w:val="0"/>
                      <w:marTop w:val="0"/>
                      <w:marBottom w:val="0"/>
                      <w:divBdr>
                        <w:top w:val="none" w:sz="0" w:space="0" w:color="auto"/>
                        <w:left w:val="none" w:sz="0" w:space="0" w:color="auto"/>
                        <w:bottom w:val="none" w:sz="0" w:space="0" w:color="auto"/>
                        <w:right w:val="none" w:sz="0" w:space="0" w:color="auto"/>
                      </w:divBdr>
                    </w:div>
                  </w:divsChild>
                </w:div>
                <w:div w:id="827549745">
                  <w:marLeft w:val="0"/>
                  <w:marRight w:val="0"/>
                  <w:marTop w:val="0"/>
                  <w:marBottom w:val="0"/>
                  <w:divBdr>
                    <w:top w:val="none" w:sz="0" w:space="0" w:color="auto"/>
                    <w:left w:val="none" w:sz="0" w:space="0" w:color="auto"/>
                    <w:bottom w:val="none" w:sz="0" w:space="0" w:color="auto"/>
                    <w:right w:val="none" w:sz="0" w:space="0" w:color="auto"/>
                  </w:divBdr>
                  <w:divsChild>
                    <w:div w:id="347827012">
                      <w:marLeft w:val="0"/>
                      <w:marRight w:val="0"/>
                      <w:marTop w:val="0"/>
                      <w:marBottom w:val="0"/>
                      <w:divBdr>
                        <w:top w:val="none" w:sz="0" w:space="0" w:color="auto"/>
                        <w:left w:val="none" w:sz="0" w:space="0" w:color="auto"/>
                        <w:bottom w:val="none" w:sz="0" w:space="0" w:color="auto"/>
                        <w:right w:val="none" w:sz="0" w:space="0" w:color="auto"/>
                      </w:divBdr>
                    </w:div>
                  </w:divsChild>
                </w:div>
                <w:div w:id="867990059">
                  <w:marLeft w:val="0"/>
                  <w:marRight w:val="0"/>
                  <w:marTop w:val="0"/>
                  <w:marBottom w:val="0"/>
                  <w:divBdr>
                    <w:top w:val="none" w:sz="0" w:space="0" w:color="auto"/>
                    <w:left w:val="none" w:sz="0" w:space="0" w:color="auto"/>
                    <w:bottom w:val="none" w:sz="0" w:space="0" w:color="auto"/>
                    <w:right w:val="none" w:sz="0" w:space="0" w:color="auto"/>
                  </w:divBdr>
                  <w:divsChild>
                    <w:div w:id="974220834">
                      <w:marLeft w:val="0"/>
                      <w:marRight w:val="0"/>
                      <w:marTop w:val="0"/>
                      <w:marBottom w:val="0"/>
                      <w:divBdr>
                        <w:top w:val="none" w:sz="0" w:space="0" w:color="auto"/>
                        <w:left w:val="none" w:sz="0" w:space="0" w:color="auto"/>
                        <w:bottom w:val="none" w:sz="0" w:space="0" w:color="auto"/>
                        <w:right w:val="none" w:sz="0" w:space="0" w:color="auto"/>
                      </w:divBdr>
                    </w:div>
                  </w:divsChild>
                </w:div>
                <w:div w:id="957101121">
                  <w:marLeft w:val="0"/>
                  <w:marRight w:val="0"/>
                  <w:marTop w:val="0"/>
                  <w:marBottom w:val="0"/>
                  <w:divBdr>
                    <w:top w:val="none" w:sz="0" w:space="0" w:color="auto"/>
                    <w:left w:val="none" w:sz="0" w:space="0" w:color="auto"/>
                    <w:bottom w:val="none" w:sz="0" w:space="0" w:color="auto"/>
                    <w:right w:val="none" w:sz="0" w:space="0" w:color="auto"/>
                  </w:divBdr>
                  <w:divsChild>
                    <w:div w:id="623728354">
                      <w:marLeft w:val="0"/>
                      <w:marRight w:val="0"/>
                      <w:marTop w:val="0"/>
                      <w:marBottom w:val="0"/>
                      <w:divBdr>
                        <w:top w:val="none" w:sz="0" w:space="0" w:color="auto"/>
                        <w:left w:val="none" w:sz="0" w:space="0" w:color="auto"/>
                        <w:bottom w:val="none" w:sz="0" w:space="0" w:color="auto"/>
                        <w:right w:val="none" w:sz="0" w:space="0" w:color="auto"/>
                      </w:divBdr>
                    </w:div>
                  </w:divsChild>
                </w:div>
                <w:div w:id="961686403">
                  <w:marLeft w:val="0"/>
                  <w:marRight w:val="0"/>
                  <w:marTop w:val="0"/>
                  <w:marBottom w:val="0"/>
                  <w:divBdr>
                    <w:top w:val="none" w:sz="0" w:space="0" w:color="auto"/>
                    <w:left w:val="none" w:sz="0" w:space="0" w:color="auto"/>
                    <w:bottom w:val="none" w:sz="0" w:space="0" w:color="auto"/>
                    <w:right w:val="none" w:sz="0" w:space="0" w:color="auto"/>
                  </w:divBdr>
                  <w:divsChild>
                    <w:div w:id="664551487">
                      <w:marLeft w:val="0"/>
                      <w:marRight w:val="0"/>
                      <w:marTop w:val="0"/>
                      <w:marBottom w:val="0"/>
                      <w:divBdr>
                        <w:top w:val="none" w:sz="0" w:space="0" w:color="auto"/>
                        <w:left w:val="none" w:sz="0" w:space="0" w:color="auto"/>
                        <w:bottom w:val="none" w:sz="0" w:space="0" w:color="auto"/>
                        <w:right w:val="none" w:sz="0" w:space="0" w:color="auto"/>
                      </w:divBdr>
                    </w:div>
                    <w:div w:id="1169100012">
                      <w:marLeft w:val="0"/>
                      <w:marRight w:val="0"/>
                      <w:marTop w:val="0"/>
                      <w:marBottom w:val="0"/>
                      <w:divBdr>
                        <w:top w:val="none" w:sz="0" w:space="0" w:color="auto"/>
                        <w:left w:val="none" w:sz="0" w:space="0" w:color="auto"/>
                        <w:bottom w:val="none" w:sz="0" w:space="0" w:color="auto"/>
                        <w:right w:val="none" w:sz="0" w:space="0" w:color="auto"/>
                      </w:divBdr>
                    </w:div>
                    <w:div w:id="1486622706">
                      <w:marLeft w:val="0"/>
                      <w:marRight w:val="0"/>
                      <w:marTop w:val="0"/>
                      <w:marBottom w:val="0"/>
                      <w:divBdr>
                        <w:top w:val="none" w:sz="0" w:space="0" w:color="auto"/>
                        <w:left w:val="none" w:sz="0" w:space="0" w:color="auto"/>
                        <w:bottom w:val="none" w:sz="0" w:space="0" w:color="auto"/>
                        <w:right w:val="none" w:sz="0" w:space="0" w:color="auto"/>
                      </w:divBdr>
                    </w:div>
                  </w:divsChild>
                </w:div>
                <w:div w:id="1121340595">
                  <w:marLeft w:val="0"/>
                  <w:marRight w:val="0"/>
                  <w:marTop w:val="0"/>
                  <w:marBottom w:val="0"/>
                  <w:divBdr>
                    <w:top w:val="none" w:sz="0" w:space="0" w:color="auto"/>
                    <w:left w:val="none" w:sz="0" w:space="0" w:color="auto"/>
                    <w:bottom w:val="none" w:sz="0" w:space="0" w:color="auto"/>
                    <w:right w:val="none" w:sz="0" w:space="0" w:color="auto"/>
                  </w:divBdr>
                  <w:divsChild>
                    <w:div w:id="591087960">
                      <w:marLeft w:val="0"/>
                      <w:marRight w:val="0"/>
                      <w:marTop w:val="0"/>
                      <w:marBottom w:val="0"/>
                      <w:divBdr>
                        <w:top w:val="none" w:sz="0" w:space="0" w:color="auto"/>
                        <w:left w:val="none" w:sz="0" w:space="0" w:color="auto"/>
                        <w:bottom w:val="none" w:sz="0" w:space="0" w:color="auto"/>
                        <w:right w:val="none" w:sz="0" w:space="0" w:color="auto"/>
                      </w:divBdr>
                    </w:div>
                  </w:divsChild>
                </w:div>
                <w:div w:id="1148745269">
                  <w:marLeft w:val="0"/>
                  <w:marRight w:val="0"/>
                  <w:marTop w:val="0"/>
                  <w:marBottom w:val="0"/>
                  <w:divBdr>
                    <w:top w:val="none" w:sz="0" w:space="0" w:color="auto"/>
                    <w:left w:val="none" w:sz="0" w:space="0" w:color="auto"/>
                    <w:bottom w:val="none" w:sz="0" w:space="0" w:color="auto"/>
                    <w:right w:val="none" w:sz="0" w:space="0" w:color="auto"/>
                  </w:divBdr>
                  <w:divsChild>
                    <w:div w:id="2116778771">
                      <w:marLeft w:val="0"/>
                      <w:marRight w:val="0"/>
                      <w:marTop w:val="0"/>
                      <w:marBottom w:val="0"/>
                      <w:divBdr>
                        <w:top w:val="none" w:sz="0" w:space="0" w:color="auto"/>
                        <w:left w:val="none" w:sz="0" w:space="0" w:color="auto"/>
                        <w:bottom w:val="none" w:sz="0" w:space="0" w:color="auto"/>
                        <w:right w:val="none" w:sz="0" w:space="0" w:color="auto"/>
                      </w:divBdr>
                    </w:div>
                  </w:divsChild>
                </w:div>
                <w:div w:id="1166942223">
                  <w:marLeft w:val="0"/>
                  <w:marRight w:val="0"/>
                  <w:marTop w:val="0"/>
                  <w:marBottom w:val="0"/>
                  <w:divBdr>
                    <w:top w:val="none" w:sz="0" w:space="0" w:color="auto"/>
                    <w:left w:val="none" w:sz="0" w:space="0" w:color="auto"/>
                    <w:bottom w:val="none" w:sz="0" w:space="0" w:color="auto"/>
                    <w:right w:val="none" w:sz="0" w:space="0" w:color="auto"/>
                  </w:divBdr>
                  <w:divsChild>
                    <w:div w:id="1919249577">
                      <w:marLeft w:val="0"/>
                      <w:marRight w:val="0"/>
                      <w:marTop w:val="0"/>
                      <w:marBottom w:val="0"/>
                      <w:divBdr>
                        <w:top w:val="none" w:sz="0" w:space="0" w:color="auto"/>
                        <w:left w:val="none" w:sz="0" w:space="0" w:color="auto"/>
                        <w:bottom w:val="none" w:sz="0" w:space="0" w:color="auto"/>
                        <w:right w:val="none" w:sz="0" w:space="0" w:color="auto"/>
                      </w:divBdr>
                    </w:div>
                  </w:divsChild>
                </w:div>
                <w:div w:id="1578399709">
                  <w:marLeft w:val="0"/>
                  <w:marRight w:val="0"/>
                  <w:marTop w:val="0"/>
                  <w:marBottom w:val="0"/>
                  <w:divBdr>
                    <w:top w:val="none" w:sz="0" w:space="0" w:color="auto"/>
                    <w:left w:val="none" w:sz="0" w:space="0" w:color="auto"/>
                    <w:bottom w:val="none" w:sz="0" w:space="0" w:color="auto"/>
                    <w:right w:val="none" w:sz="0" w:space="0" w:color="auto"/>
                  </w:divBdr>
                  <w:divsChild>
                    <w:div w:id="860314181">
                      <w:marLeft w:val="0"/>
                      <w:marRight w:val="0"/>
                      <w:marTop w:val="0"/>
                      <w:marBottom w:val="0"/>
                      <w:divBdr>
                        <w:top w:val="none" w:sz="0" w:space="0" w:color="auto"/>
                        <w:left w:val="none" w:sz="0" w:space="0" w:color="auto"/>
                        <w:bottom w:val="none" w:sz="0" w:space="0" w:color="auto"/>
                        <w:right w:val="none" w:sz="0" w:space="0" w:color="auto"/>
                      </w:divBdr>
                    </w:div>
                    <w:div w:id="1104571093">
                      <w:marLeft w:val="0"/>
                      <w:marRight w:val="0"/>
                      <w:marTop w:val="0"/>
                      <w:marBottom w:val="0"/>
                      <w:divBdr>
                        <w:top w:val="none" w:sz="0" w:space="0" w:color="auto"/>
                        <w:left w:val="none" w:sz="0" w:space="0" w:color="auto"/>
                        <w:bottom w:val="none" w:sz="0" w:space="0" w:color="auto"/>
                        <w:right w:val="none" w:sz="0" w:space="0" w:color="auto"/>
                      </w:divBdr>
                    </w:div>
                    <w:div w:id="1626691953">
                      <w:marLeft w:val="0"/>
                      <w:marRight w:val="0"/>
                      <w:marTop w:val="0"/>
                      <w:marBottom w:val="0"/>
                      <w:divBdr>
                        <w:top w:val="none" w:sz="0" w:space="0" w:color="auto"/>
                        <w:left w:val="none" w:sz="0" w:space="0" w:color="auto"/>
                        <w:bottom w:val="none" w:sz="0" w:space="0" w:color="auto"/>
                        <w:right w:val="none" w:sz="0" w:space="0" w:color="auto"/>
                      </w:divBdr>
                    </w:div>
                  </w:divsChild>
                </w:div>
                <w:div w:id="1757509066">
                  <w:marLeft w:val="0"/>
                  <w:marRight w:val="0"/>
                  <w:marTop w:val="0"/>
                  <w:marBottom w:val="0"/>
                  <w:divBdr>
                    <w:top w:val="none" w:sz="0" w:space="0" w:color="auto"/>
                    <w:left w:val="none" w:sz="0" w:space="0" w:color="auto"/>
                    <w:bottom w:val="none" w:sz="0" w:space="0" w:color="auto"/>
                    <w:right w:val="none" w:sz="0" w:space="0" w:color="auto"/>
                  </w:divBdr>
                  <w:divsChild>
                    <w:div w:id="1241983809">
                      <w:marLeft w:val="0"/>
                      <w:marRight w:val="0"/>
                      <w:marTop w:val="0"/>
                      <w:marBottom w:val="0"/>
                      <w:divBdr>
                        <w:top w:val="none" w:sz="0" w:space="0" w:color="auto"/>
                        <w:left w:val="none" w:sz="0" w:space="0" w:color="auto"/>
                        <w:bottom w:val="none" w:sz="0" w:space="0" w:color="auto"/>
                        <w:right w:val="none" w:sz="0" w:space="0" w:color="auto"/>
                      </w:divBdr>
                    </w:div>
                  </w:divsChild>
                </w:div>
                <w:div w:id="1769034164">
                  <w:marLeft w:val="0"/>
                  <w:marRight w:val="0"/>
                  <w:marTop w:val="0"/>
                  <w:marBottom w:val="0"/>
                  <w:divBdr>
                    <w:top w:val="none" w:sz="0" w:space="0" w:color="auto"/>
                    <w:left w:val="none" w:sz="0" w:space="0" w:color="auto"/>
                    <w:bottom w:val="none" w:sz="0" w:space="0" w:color="auto"/>
                    <w:right w:val="none" w:sz="0" w:space="0" w:color="auto"/>
                  </w:divBdr>
                  <w:divsChild>
                    <w:div w:id="2025937358">
                      <w:marLeft w:val="0"/>
                      <w:marRight w:val="0"/>
                      <w:marTop w:val="0"/>
                      <w:marBottom w:val="0"/>
                      <w:divBdr>
                        <w:top w:val="none" w:sz="0" w:space="0" w:color="auto"/>
                        <w:left w:val="none" w:sz="0" w:space="0" w:color="auto"/>
                        <w:bottom w:val="none" w:sz="0" w:space="0" w:color="auto"/>
                        <w:right w:val="none" w:sz="0" w:space="0" w:color="auto"/>
                      </w:divBdr>
                    </w:div>
                  </w:divsChild>
                </w:div>
                <w:div w:id="1877113735">
                  <w:marLeft w:val="0"/>
                  <w:marRight w:val="0"/>
                  <w:marTop w:val="0"/>
                  <w:marBottom w:val="0"/>
                  <w:divBdr>
                    <w:top w:val="none" w:sz="0" w:space="0" w:color="auto"/>
                    <w:left w:val="none" w:sz="0" w:space="0" w:color="auto"/>
                    <w:bottom w:val="none" w:sz="0" w:space="0" w:color="auto"/>
                    <w:right w:val="none" w:sz="0" w:space="0" w:color="auto"/>
                  </w:divBdr>
                  <w:divsChild>
                    <w:div w:id="18898637">
                      <w:marLeft w:val="0"/>
                      <w:marRight w:val="0"/>
                      <w:marTop w:val="0"/>
                      <w:marBottom w:val="0"/>
                      <w:divBdr>
                        <w:top w:val="none" w:sz="0" w:space="0" w:color="auto"/>
                        <w:left w:val="none" w:sz="0" w:space="0" w:color="auto"/>
                        <w:bottom w:val="none" w:sz="0" w:space="0" w:color="auto"/>
                        <w:right w:val="none" w:sz="0" w:space="0" w:color="auto"/>
                      </w:divBdr>
                    </w:div>
                  </w:divsChild>
                </w:div>
                <w:div w:id="1942952107">
                  <w:marLeft w:val="0"/>
                  <w:marRight w:val="0"/>
                  <w:marTop w:val="0"/>
                  <w:marBottom w:val="0"/>
                  <w:divBdr>
                    <w:top w:val="none" w:sz="0" w:space="0" w:color="auto"/>
                    <w:left w:val="none" w:sz="0" w:space="0" w:color="auto"/>
                    <w:bottom w:val="none" w:sz="0" w:space="0" w:color="auto"/>
                    <w:right w:val="none" w:sz="0" w:space="0" w:color="auto"/>
                  </w:divBdr>
                  <w:divsChild>
                    <w:div w:id="1856455317">
                      <w:marLeft w:val="0"/>
                      <w:marRight w:val="0"/>
                      <w:marTop w:val="0"/>
                      <w:marBottom w:val="0"/>
                      <w:divBdr>
                        <w:top w:val="none" w:sz="0" w:space="0" w:color="auto"/>
                        <w:left w:val="none" w:sz="0" w:space="0" w:color="auto"/>
                        <w:bottom w:val="none" w:sz="0" w:space="0" w:color="auto"/>
                        <w:right w:val="none" w:sz="0" w:space="0" w:color="auto"/>
                      </w:divBdr>
                    </w:div>
                  </w:divsChild>
                </w:div>
                <w:div w:id="1962688621">
                  <w:marLeft w:val="0"/>
                  <w:marRight w:val="0"/>
                  <w:marTop w:val="0"/>
                  <w:marBottom w:val="0"/>
                  <w:divBdr>
                    <w:top w:val="none" w:sz="0" w:space="0" w:color="auto"/>
                    <w:left w:val="none" w:sz="0" w:space="0" w:color="auto"/>
                    <w:bottom w:val="none" w:sz="0" w:space="0" w:color="auto"/>
                    <w:right w:val="none" w:sz="0" w:space="0" w:color="auto"/>
                  </w:divBdr>
                  <w:divsChild>
                    <w:div w:id="704716213">
                      <w:marLeft w:val="0"/>
                      <w:marRight w:val="0"/>
                      <w:marTop w:val="0"/>
                      <w:marBottom w:val="0"/>
                      <w:divBdr>
                        <w:top w:val="none" w:sz="0" w:space="0" w:color="auto"/>
                        <w:left w:val="none" w:sz="0" w:space="0" w:color="auto"/>
                        <w:bottom w:val="none" w:sz="0" w:space="0" w:color="auto"/>
                        <w:right w:val="none" w:sz="0" w:space="0" w:color="auto"/>
                      </w:divBdr>
                    </w:div>
                    <w:div w:id="749276461">
                      <w:marLeft w:val="0"/>
                      <w:marRight w:val="0"/>
                      <w:marTop w:val="0"/>
                      <w:marBottom w:val="0"/>
                      <w:divBdr>
                        <w:top w:val="none" w:sz="0" w:space="0" w:color="auto"/>
                        <w:left w:val="none" w:sz="0" w:space="0" w:color="auto"/>
                        <w:bottom w:val="none" w:sz="0" w:space="0" w:color="auto"/>
                        <w:right w:val="none" w:sz="0" w:space="0" w:color="auto"/>
                      </w:divBdr>
                    </w:div>
                    <w:div w:id="1962497023">
                      <w:marLeft w:val="0"/>
                      <w:marRight w:val="0"/>
                      <w:marTop w:val="0"/>
                      <w:marBottom w:val="0"/>
                      <w:divBdr>
                        <w:top w:val="none" w:sz="0" w:space="0" w:color="auto"/>
                        <w:left w:val="none" w:sz="0" w:space="0" w:color="auto"/>
                        <w:bottom w:val="none" w:sz="0" w:space="0" w:color="auto"/>
                        <w:right w:val="none" w:sz="0" w:space="0" w:color="auto"/>
                      </w:divBdr>
                    </w:div>
                  </w:divsChild>
                </w:div>
                <w:div w:id="2125611816">
                  <w:marLeft w:val="0"/>
                  <w:marRight w:val="0"/>
                  <w:marTop w:val="0"/>
                  <w:marBottom w:val="0"/>
                  <w:divBdr>
                    <w:top w:val="none" w:sz="0" w:space="0" w:color="auto"/>
                    <w:left w:val="none" w:sz="0" w:space="0" w:color="auto"/>
                    <w:bottom w:val="none" w:sz="0" w:space="0" w:color="auto"/>
                    <w:right w:val="none" w:sz="0" w:space="0" w:color="auto"/>
                  </w:divBdr>
                  <w:divsChild>
                    <w:div w:id="409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4529">
          <w:marLeft w:val="0"/>
          <w:marRight w:val="0"/>
          <w:marTop w:val="0"/>
          <w:marBottom w:val="0"/>
          <w:divBdr>
            <w:top w:val="none" w:sz="0" w:space="0" w:color="auto"/>
            <w:left w:val="none" w:sz="0" w:space="0" w:color="auto"/>
            <w:bottom w:val="none" w:sz="0" w:space="0" w:color="auto"/>
            <w:right w:val="none" w:sz="0" w:space="0" w:color="auto"/>
          </w:divBdr>
        </w:div>
        <w:div w:id="2146391937">
          <w:marLeft w:val="0"/>
          <w:marRight w:val="0"/>
          <w:marTop w:val="0"/>
          <w:marBottom w:val="0"/>
          <w:divBdr>
            <w:top w:val="none" w:sz="0" w:space="0" w:color="auto"/>
            <w:left w:val="none" w:sz="0" w:space="0" w:color="auto"/>
            <w:bottom w:val="none" w:sz="0" w:space="0" w:color="auto"/>
            <w:right w:val="none" w:sz="0" w:space="0" w:color="auto"/>
          </w:divBdr>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22458/caes.v15i2.5402" TargetMode="External"/><Relationship Id="rId26" Type="http://schemas.openxmlformats.org/officeDocument/2006/relationships/hyperlink" Target="https://doi.org/10.22201/iisue.20072872e.2011.4.35" TargetMode="External"/><Relationship Id="rId3" Type="http://schemas.openxmlformats.org/officeDocument/2006/relationships/customXml" Target="../customXml/item3.xml"/><Relationship Id="rId21" Type="http://schemas.openxmlformats.org/officeDocument/2006/relationships/hyperlink" Target="https://ricsh.org.mx/index.php/RICSH/article/view/9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gally.briceno@unicyt.net" TargetMode="External"/><Relationship Id="rId17" Type="http://schemas.openxmlformats.org/officeDocument/2006/relationships/hyperlink" Target="https://doi.org/10.22458/caes.v2i2.423" TargetMode="External"/><Relationship Id="rId25" Type="http://schemas.openxmlformats.org/officeDocument/2006/relationships/hyperlink" Target="http://dx.doi.org/10.18687/LACCEI2022.1.1.27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enaccess.uoc.edu/handle/10609/2991" TargetMode="External"/><Relationship Id="rId20" Type="http://schemas.openxmlformats.org/officeDocument/2006/relationships/hyperlink" Target="https://doi.org/10.22550/REP81-3-2023-06" TargetMode="External"/><Relationship Id="rId29" Type="http://schemas.openxmlformats.org/officeDocument/2006/relationships/hyperlink" Target="https://dspace.palermo.edu/ojs/index.php/actas/article/view/9713/163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reo@una.cr" TargetMode="External"/><Relationship Id="rId24" Type="http://schemas.openxmlformats.org/officeDocument/2006/relationships/hyperlink" Target="https://revistas.utb.edu.ec/index.php/rpa/article/view/2635"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590/S1414-40772008000100012" TargetMode="External"/><Relationship Id="rId23" Type="http://schemas.openxmlformats.org/officeDocument/2006/relationships/hyperlink" Target="https://www.gacetaoficial.gob.pa/pdfTemp/27813_B/51278.pdf" TargetMode="External"/><Relationship Id="rId28" Type="http://schemas.openxmlformats.org/officeDocument/2006/relationships/hyperlink" Target="http://scielo.sld.cu/scielo.php?script=sci_arttext&amp;pid=S2218-36202019000100279" TargetMode="External"/><Relationship Id="rId10" Type="http://schemas.openxmlformats.org/officeDocument/2006/relationships/endnotes" Target="endnotes.xml"/><Relationship Id="rId19" Type="http://schemas.openxmlformats.org/officeDocument/2006/relationships/hyperlink" Target="https://doi.org/10.22458/caes.v15i1.473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389/feduc.2025.1720224" TargetMode="External"/><Relationship Id="rId27" Type="http://schemas.openxmlformats.org/officeDocument/2006/relationships/hyperlink" Target="https://revistas.up.ac.pa/index.php/societas/article/view/1906/1472" TargetMode="External"/><Relationship Id="rId30" Type="http://schemas.openxmlformats.org/officeDocument/2006/relationships/hyperlink" Target="https://digitalcommons.lib.uconn.edu/jcihe/vol17/iss2/12"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9-0006-4562-6607" TargetMode="External"/><Relationship Id="rId2" Type="http://schemas.openxmlformats.org/officeDocument/2006/relationships/hyperlink" Target="https://orcid.org/0000-0002-8983-9704" TargetMode="External"/><Relationship Id="rId1" Type="http://schemas.openxmlformats.org/officeDocument/2006/relationships/image" Target="media/image1.gif"/><Relationship Id="rId4" Type="http://schemas.openxmlformats.org/officeDocument/2006/relationships/hyperlink" Target="https://orcid.org/0000-0002-1432-3068"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83e8920-2026-4784-8eab-2f7473cf92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06A9CB3F1277D468F13C2BA0FA254B3" ma:contentTypeVersion="18" ma:contentTypeDescription="Crear nuevo documento." ma:contentTypeScope="" ma:versionID="4e6ca2bda91f384b81afe92186e4e347">
  <xsd:schema xmlns:xsd="http://www.w3.org/2001/XMLSchema" xmlns:xs="http://www.w3.org/2001/XMLSchema" xmlns:p="http://schemas.microsoft.com/office/2006/metadata/properties" xmlns:ns3="e5d69ec2-4793-423e-8765-1524008578c9" xmlns:ns4="f83e8920-2026-4784-8eab-2f7473cf9245" targetNamespace="http://schemas.microsoft.com/office/2006/metadata/properties" ma:root="true" ma:fieldsID="6dc8a2ff8000afbbd71837a1a475f389" ns3:_="" ns4:_="">
    <xsd:import namespace="e5d69ec2-4793-423e-8765-1524008578c9"/>
    <xsd:import namespace="f83e8920-2026-4784-8eab-2f7473cf9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69ec2-4793-423e-8765-1524008578c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e8920-2026-4784-8eab-2f7473cf92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purl.org/dc/terms/"/>
    <ds:schemaRef ds:uri="http://schemas.openxmlformats.org/package/2006/metadata/core-properties"/>
    <ds:schemaRef ds:uri="e5d69ec2-4793-423e-8765-1524008578c9"/>
    <ds:schemaRef ds:uri="http://purl.org/dc/dcmitype/"/>
    <ds:schemaRef ds:uri="http://schemas.microsoft.com/office/2006/metadata/properties"/>
    <ds:schemaRef ds:uri="http://schemas.microsoft.com/office/2006/documentManagement/types"/>
    <ds:schemaRef ds:uri="f83e8920-2026-4784-8eab-2f7473cf9245"/>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7130C8E6-1B05-4121-9E44-56746F24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69ec2-4793-423e-8765-1524008578c9"/>
    <ds:schemaRef ds:uri="f83e8920-2026-4784-8eab-2f7473cf9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A15F1-C427-48E0-BE06-7F87C330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6710</Words>
  <Characters>36911</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43534</CharactersWithSpaces>
  <SharedDoc>false</SharedDoc>
  <HLinks>
    <vt:vector size="138" baseType="variant">
      <vt:variant>
        <vt:i4>4456467</vt:i4>
      </vt:variant>
      <vt:variant>
        <vt:i4>51</vt:i4>
      </vt:variant>
      <vt:variant>
        <vt:i4>0</vt:i4>
      </vt:variant>
      <vt:variant>
        <vt:i4>5</vt:i4>
      </vt:variant>
      <vt:variant>
        <vt:lpwstr>https://digitalcommons.lib.uconn.edu/jcihe/vol17/iss2/12</vt:lpwstr>
      </vt:variant>
      <vt:variant>
        <vt:lpwstr/>
      </vt:variant>
      <vt:variant>
        <vt:i4>6684799</vt:i4>
      </vt:variant>
      <vt:variant>
        <vt:i4>48</vt:i4>
      </vt:variant>
      <vt:variant>
        <vt:i4>0</vt:i4>
      </vt:variant>
      <vt:variant>
        <vt:i4>5</vt:i4>
      </vt:variant>
      <vt:variant>
        <vt:lpwstr>https://dspace.palermo.edu/ojs/index.php/actas/article/view/9713/16377</vt:lpwstr>
      </vt:variant>
      <vt:variant>
        <vt:lpwstr/>
      </vt:variant>
      <vt:variant>
        <vt:i4>8323081</vt:i4>
      </vt:variant>
      <vt:variant>
        <vt:i4>45</vt:i4>
      </vt:variant>
      <vt:variant>
        <vt:i4>0</vt:i4>
      </vt:variant>
      <vt:variant>
        <vt:i4>5</vt:i4>
      </vt:variant>
      <vt:variant>
        <vt:lpwstr>http://scielo.sld.cu/scielo.php?script=sci_arttext&amp;pid=S2218-36202019000100279</vt:lpwstr>
      </vt:variant>
      <vt:variant>
        <vt:lpwstr/>
      </vt:variant>
      <vt:variant>
        <vt:i4>3670068</vt:i4>
      </vt:variant>
      <vt:variant>
        <vt:i4>42</vt:i4>
      </vt:variant>
      <vt:variant>
        <vt:i4>0</vt:i4>
      </vt:variant>
      <vt:variant>
        <vt:i4>5</vt:i4>
      </vt:variant>
      <vt:variant>
        <vt:lpwstr>https://revistas.up.ac.pa/index.php/societas/article/view/1906/1472</vt:lpwstr>
      </vt:variant>
      <vt:variant>
        <vt:lpwstr/>
      </vt:variant>
      <vt:variant>
        <vt:i4>2556000</vt:i4>
      </vt:variant>
      <vt:variant>
        <vt:i4>39</vt:i4>
      </vt:variant>
      <vt:variant>
        <vt:i4>0</vt:i4>
      </vt:variant>
      <vt:variant>
        <vt:i4>5</vt:i4>
      </vt:variant>
      <vt:variant>
        <vt:lpwstr>https://doi.org/10.22201/iisue.20072872e.2011.4.35</vt:lpwstr>
      </vt:variant>
      <vt:variant>
        <vt:lpwstr/>
      </vt:variant>
      <vt:variant>
        <vt:i4>917535</vt:i4>
      </vt:variant>
      <vt:variant>
        <vt:i4>36</vt:i4>
      </vt:variant>
      <vt:variant>
        <vt:i4>0</vt:i4>
      </vt:variant>
      <vt:variant>
        <vt:i4>5</vt:i4>
      </vt:variant>
      <vt:variant>
        <vt:lpwstr>http://dx.doi.org/10.18687/LACCEI2022.1.1.273</vt:lpwstr>
      </vt:variant>
      <vt:variant>
        <vt:lpwstr/>
      </vt:variant>
      <vt:variant>
        <vt:i4>2949236</vt:i4>
      </vt:variant>
      <vt:variant>
        <vt:i4>33</vt:i4>
      </vt:variant>
      <vt:variant>
        <vt:i4>0</vt:i4>
      </vt:variant>
      <vt:variant>
        <vt:i4>5</vt:i4>
      </vt:variant>
      <vt:variant>
        <vt:lpwstr>https://revistas.utb.edu.ec/index.php/rpa/article/view/2635</vt:lpwstr>
      </vt:variant>
      <vt:variant>
        <vt:lpwstr/>
      </vt:variant>
      <vt:variant>
        <vt:i4>3538945</vt:i4>
      </vt:variant>
      <vt:variant>
        <vt:i4>30</vt:i4>
      </vt:variant>
      <vt:variant>
        <vt:i4>0</vt:i4>
      </vt:variant>
      <vt:variant>
        <vt:i4>5</vt:i4>
      </vt:variant>
      <vt:variant>
        <vt:lpwstr>https://www.gacetaoficial.gob.pa/pdfTemp/27813_B/51278.pdf</vt:lpwstr>
      </vt:variant>
      <vt:variant>
        <vt:lpwstr/>
      </vt:variant>
      <vt:variant>
        <vt:i4>2555946</vt:i4>
      </vt:variant>
      <vt:variant>
        <vt:i4>27</vt:i4>
      </vt:variant>
      <vt:variant>
        <vt:i4>0</vt:i4>
      </vt:variant>
      <vt:variant>
        <vt:i4>5</vt:i4>
      </vt:variant>
      <vt:variant>
        <vt:lpwstr>https://doi.org/10.3389/feduc.2025.1720224</vt:lpwstr>
      </vt:variant>
      <vt:variant>
        <vt:lpwstr/>
      </vt:variant>
      <vt:variant>
        <vt:i4>1507419</vt:i4>
      </vt:variant>
      <vt:variant>
        <vt:i4>24</vt:i4>
      </vt:variant>
      <vt:variant>
        <vt:i4>0</vt:i4>
      </vt:variant>
      <vt:variant>
        <vt:i4>5</vt:i4>
      </vt:variant>
      <vt:variant>
        <vt:lpwstr>https://ricsh.org.mx/index.php/RICSH/article/view/95</vt:lpwstr>
      </vt:variant>
      <vt:variant>
        <vt:lpwstr/>
      </vt:variant>
      <vt:variant>
        <vt:i4>1114140</vt:i4>
      </vt:variant>
      <vt:variant>
        <vt:i4>21</vt:i4>
      </vt:variant>
      <vt:variant>
        <vt:i4>0</vt:i4>
      </vt:variant>
      <vt:variant>
        <vt:i4>5</vt:i4>
      </vt:variant>
      <vt:variant>
        <vt:lpwstr>https://doi.org/10.22550/REP81-3-2023-06</vt:lpwstr>
      </vt:variant>
      <vt:variant>
        <vt:lpwstr/>
      </vt:variant>
      <vt:variant>
        <vt:i4>6225941</vt:i4>
      </vt:variant>
      <vt:variant>
        <vt:i4>18</vt:i4>
      </vt:variant>
      <vt:variant>
        <vt:i4>0</vt:i4>
      </vt:variant>
      <vt:variant>
        <vt:i4>5</vt:i4>
      </vt:variant>
      <vt:variant>
        <vt:lpwstr>https://doi.org/10.22458/caes.v15i1.4735</vt:lpwstr>
      </vt:variant>
      <vt:variant>
        <vt:lpwstr/>
      </vt:variant>
      <vt:variant>
        <vt:i4>5963796</vt:i4>
      </vt:variant>
      <vt:variant>
        <vt:i4>15</vt:i4>
      </vt:variant>
      <vt:variant>
        <vt:i4>0</vt:i4>
      </vt:variant>
      <vt:variant>
        <vt:i4>5</vt:i4>
      </vt:variant>
      <vt:variant>
        <vt:lpwstr>https://doi.org/10.22458/caes.v15i2.5402</vt:lpwstr>
      </vt:variant>
      <vt:variant>
        <vt:lpwstr/>
      </vt:variant>
      <vt:variant>
        <vt:i4>2883683</vt:i4>
      </vt:variant>
      <vt:variant>
        <vt:i4>12</vt:i4>
      </vt:variant>
      <vt:variant>
        <vt:i4>0</vt:i4>
      </vt:variant>
      <vt:variant>
        <vt:i4>5</vt:i4>
      </vt:variant>
      <vt:variant>
        <vt:lpwstr>https://doi.org/10.22458/caes.v2i2.423</vt:lpwstr>
      </vt:variant>
      <vt:variant>
        <vt:lpwstr/>
      </vt:variant>
      <vt:variant>
        <vt:i4>1966154</vt:i4>
      </vt:variant>
      <vt:variant>
        <vt:i4>9</vt:i4>
      </vt:variant>
      <vt:variant>
        <vt:i4>0</vt:i4>
      </vt:variant>
      <vt:variant>
        <vt:i4>5</vt:i4>
      </vt:variant>
      <vt:variant>
        <vt:lpwstr>https://openaccess.uoc.edu/handle/10609/2991</vt:lpwstr>
      </vt:variant>
      <vt:variant>
        <vt:lpwstr/>
      </vt:variant>
      <vt:variant>
        <vt:i4>3670061</vt:i4>
      </vt:variant>
      <vt:variant>
        <vt:i4>6</vt:i4>
      </vt:variant>
      <vt:variant>
        <vt:i4>0</vt:i4>
      </vt:variant>
      <vt:variant>
        <vt:i4>5</vt:i4>
      </vt:variant>
      <vt:variant>
        <vt:lpwstr>https://doi.org/10.1590/S1414-40772008000100012</vt:lpwstr>
      </vt:variant>
      <vt:variant>
        <vt:lpwstr/>
      </vt:variant>
      <vt:variant>
        <vt:i4>5373984</vt:i4>
      </vt:variant>
      <vt:variant>
        <vt:i4>3</vt:i4>
      </vt:variant>
      <vt:variant>
        <vt:i4>0</vt:i4>
      </vt:variant>
      <vt:variant>
        <vt:i4>5</vt:i4>
      </vt:variant>
      <vt:variant>
        <vt:lpwstr>mailto:magally.briceno@unicyt.net</vt:lpwstr>
      </vt:variant>
      <vt:variant>
        <vt:lpwstr/>
      </vt:variant>
      <vt:variant>
        <vt:i4>6553679</vt:i4>
      </vt:variant>
      <vt:variant>
        <vt:i4>0</vt:i4>
      </vt:variant>
      <vt:variant>
        <vt:i4>0</vt:i4>
      </vt:variant>
      <vt:variant>
        <vt:i4>5</vt:i4>
      </vt:variant>
      <vt:variant>
        <vt:lpwstr>mailto:Correo@una.cr</vt:lpwstr>
      </vt:variant>
      <vt:variant>
        <vt:lpwstr/>
      </vt:variant>
      <vt:variant>
        <vt:i4>5701648</vt:i4>
      </vt:variant>
      <vt:variant>
        <vt:i4>6</vt:i4>
      </vt:variant>
      <vt:variant>
        <vt:i4>0</vt:i4>
      </vt:variant>
      <vt:variant>
        <vt:i4>5</vt:i4>
      </vt:variant>
      <vt:variant>
        <vt:lpwstr>https://orcid.org/0000-0002-1432-3068</vt:lpwstr>
      </vt:variant>
      <vt:variant>
        <vt:lpwstr/>
      </vt:variant>
      <vt:variant>
        <vt:i4>6029330</vt:i4>
      </vt:variant>
      <vt:variant>
        <vt:i4>3</vt:i4>
      </vt:variant>
      <vt:variant>
        <vt:i4>0</vt:i4>
      </vt:variant>
      <vt:variant>
        <vt:i4>5</vt:i4>
      </vt:variant>
      <vt:variant>
        <vt:lpwstr>https://orcid.org/0009-0006-4562-6607</vt:lpwstr>
      </vt:variant>
      <vt:variant>
        <vt:lpwstr/>
      </vt:variant>
      <vt:variant>
        <vt:i4>5701653</vt:i4>
      </vt:variant>
      <vt:variant>
        <vt:i4>0</vt:i4>
      </vt:variant>
      <vt:variant>
        <vt:i4>0</vt:i4>
      </vt:variant>
      <vt:variant>
        <vt:i4>5</vt:i4>
      </vt:variant>
      <vt:variant>
        <vt:lpwstr>https://orcid.org/0000-0002-8983-9704</vt:lpwstr>
      </vt:variant>
      <vt:variant>
        <vt:lpwstr/>
      </vt:variant>
      <vt:variant>
        <vt:i4>6946819</vt:i4>
      </vt:variant>
      <vt:variant>
        <vt:i4>3</vt:i4>
      </vt:variant>
      <vt:variant>
        <vt:i4>0</vt:i4>
      </vt:variant>
      <vt:variant>
        <vt:i4>5</vt:i4>
      </vt:variant>
      <vt:variant>
        <vt:lpwstr>mailto:revistacalidad@uned.ac.cr</vt:lpwstr>
      </vt:variant>
      <vt:variant>
        <vt:lpwstr/>
      </vt:variant>
      <vt:variant>
        <vt:i4>1966104</vt:i4>
      </vt:variant>
      <vt:variant>
        <vt:i4>0</vt:i4>
      </vt:variant>
      <vt:variant>
        <vt:i4>0</vt:i4>
      </vt:variant>
      <vt:variant>
        <vt:i4>5</vt:i4>
      </vt:variant>
      <vt:variant>
        <vt:lpwstr>http://revistas.uned.ac.cr./index.php/revistacalidad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2026-05-25T16:53:00Z</dcterms:created>
  <dcterms:modified xsi:type="dcterms:W3CDTF">2026-06-03T22:41:00Z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0x010100C06A9CB3F1277D468F13C2BA0FA254B3</vt:lpwstr>
  </property>
</Properties>
</file>