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B93A" w14:textId="159791B0" w:rsidR="00C453BE" w:rsidRDefault="00C453BE" w:rsidP="00983B00">
      <w:pPr>
        <w:pStyle w:val="NormalWeb"/>
        <w:snapToGrid w:val="0"/>
        <w:spacing w:before="0" w:beforeAutospacing="0" w:after="0" w:afterAutospacing="0"/>
        <w:jc w:val="center"/>
        <w:rPr>
          <w:rFonts w:ascii="Arial" w:hAnsi="Arial" w:cs="Arial"/>
          <w:b/>
          <w:bCs/>
          <w:color w:val="C45911" w:themeColor="accent2" w:themeShade="BF"/>
        </w:rPr>
      </w:pPr>
      <w:bookmarkStart w:id="0" w:name="_Hlk214463104"/>
      <w:proofErr w:type="spellStart"/>
      <w:r w:rsidRPr="00C453BE">
        <w:rPr>
          <w:rFonts w:ascii="Arial" w:hAnsi="Arial" w:cs="Arial"/>
          <w:b/>
          <w:bCs/>
          <w:color w:val="C45911" w:themeColor="accent2" w:themeShade="BF"/>
        </w:rPr>
        <w:t>Movingonline</w:t>
      </w:r>
      <w:proofErr w:type="spellEnd"/>
      <w:r w:rsidRPr="00C453BE">
        <w:rPr>
          <w:rFonts w:ascii="Arial" w:hAnsi="Arial" w:cs="Arial"/>
          <w:b/>
          <w:bCs/>
          <w:color w:val="C45911" w:themeColor="accent2" w:themeShade="BF"/>
        </w:rPr>
        <w:t xml:space="preserve"> BID: lecciones para el desarrollo docente y la gestión educativa </w:t>
      </w:r>
      <w:proofErr w:type="spellStart"/>
      <w:r w:rsidRPr="00C453BE">
        <w:rPr>
          <w:rFonts w:ascii="Arial" w:hAnsi="Arial" w:cs="Arial"/>
          <w:b/>
          <w:bCs/>
          <w:color w:val="C45911" w:themeColor="accent2" w:themeShade="BF"/>
        </w:rPr>
        <w:t>pospandemia</w:t>
      </w:r>
      <w:proofErr w:type="spellEnd"/>
    </w:p>
    <w:bookmarkEnd w:id="0"/>
    <w:p w14:paraId="72BCC415" w14:textId="77777777" w:rsidR="00983B00" w:rsidRPr="00C453BE" w:rsidRDefault="00983B00" w:rsidP="00983B00">
      <w:pPr>
        <w:pStyle w:val="NormalWeb"/>
        <w:snapToGrid w:val="0"/>
        <w:spacing w:before="0" w:beforeAutospacing="0" w:after="0" w:afterAutospacing="0"/>
        <w:jc w:val="center"/>
        <w:rPr>
          <w:rFonts w:ascii="Arial" w:hAnsi="Arial" w:cs="Arial"/>
          <w:b/>
          <w:bCs/>
          <w:color w:val="C45911" w:themeColor="accent2" w:themeShade="BF"/>
        </w:rPr>
      </w:pPr>
    </w:p>
    <w:p w14:paraId="031A98D1" w14:textId="3FAD7677" w:rsidR="00C453BE" w:rsidRDefault="00C453BE" w:rsidP="00983B00">
      <w:pPr>
        <w:pStyle w:val="NormalWeb"/>
        <w:spacing w:before="0" w:beforeAutospacing="0" w:after="0" w:afterAutospacing="0" w:line="276" w:lineRule="auto"/>
        <w:jc w:val="center"/>
        <w:rPr>
          <w:rFonts w:ascii="Arial" w:hAnsi="Arial" w:cs="Arial"/>
          <w:b/>
          <w:bCs/>
          <w:color w:val="C45911" w:themeColor="accent2" w:themeShade="BF"/>
          <w:lang w:val="en-US"/>
        </w:rPr>
      </w:pPr>
      <w:r w:rsidRPr="00C453BE">
        <w:rPr>
          <w:rFonts w:ascii="Arial" w:hAnsi="Arial" w:cs="Arial"/>
          <w:b/>
          <w:bCs/>
          <w:color w:val="C45911" w:themeColor="accent2" w:themeShade="BF"/>
          <w:lang w:val="en-US"/>
        </w:rPr>
        <w:t xml:space="preserve">IDB’s </w:t>
      </w:r>
      <w:proofErr w:type="spellStart"/>
      <w:r w:rsidRPr="00C453BE">
        <w:rPr>
          <w:rFonts w:ascii="Arial" w:hAnsi="Arial" w:cs="Arial"/>
          <w:b/>
          <w:bCs/>
          <w:color w:val="C45911" w:themeColor="accent2" w:themeShade="BF"/>
          <w:lang w:val="en-US"/>
        </w:rPr>
        <w:t>Movingonline</w:t>
      </w:r>
      <w:proofErr w:type="spellEnd"/>
      <w:r w:rsidRPr="00C453BE">
        <w:rPr>
          <w:rFonts w:ascii="Arial" w:hAnsi="Arial" w:cs="Arial"/>
          <w:b/>
          <w:bCs/>
          <w:color w:val="C45911" w:themeColor="accent2" w:themeShade="BF"/>
          <w:lang w:val="en-US"/>
        </w:rPr>
        <w:t>: Lessons for teacher development and post-pandemic educational management</w:t>
      </w:r>
    </w:p>
    <w:p w14:paraId="7CA689B2" w14:textId="77777777" w:rsidR="0084777B" w:rsidRDefault="0084777B" w:rsidP="00983B00">
      <w:pPr>
        <w:pStyle w:val="NormalWeb"/>
        <w:spacing w:before="0" w:beforeAutospacing="0" w:after="0" w:afterAutospacing="0" w:line="276" w:lineRule="auto"/>
        <w:jc w:val="center"/>
        <w:rPr>
          <w:rFonts w:ascii="Arial" w:hAnsi="Arial" w:cs="Arial"/>
          <w:b/>
          <w:bCs/>
          <w:color w:val="C45911" w:themeColor="accent2" w:themeShade="BF"/>
          <w:lang w:val="en-US"/>
        </w:rPr>
      </w:pPr>
    </w:p>
    <w:p w14:paraId="66014867" w14:textId="756CE902" w:rsidR="004601DB" w:rsidRPr="004601DB" w:rsidRDefault="004601DB" w:rsidP="00B7203D">
      <w:pPr>
        <w:pStyle w:val="paragraph"/>
        <w:snapToGrid w:val="0"/>
        <w:spacing w:before="480" w:beforeAutospacing="0" w:after="480" w:afterAutospacing="0"/>
        <w:jc w:val="right"/>
        <w:textAlignment w:val="baseline"/>
        <w:rPr>
          <w:rStyle w:val="normaltextrun"/>
          <w:rFonts w:ascii="Arial" w:eastAsiaTheme="majorEastAsia" w:hAnsi="Arial" w:cs="Arial"/>
          <w:lang w:val="en-US"/>
        </w:rPr>
        <w:sectPr w:rsidR="004601DB" w:rsidRPr="004601DB" w:rsidSect="009B407C">
          <w:headerReference w:type="default" r:id="rId11"/>
          <w:footerReference w:type="even" r:id="rId12"/>
          <w:footerReference w:type="default" r:id="rId13"/>
          <w:pgSz w:w="12240" w:h="15840"/>
          <w:pgMar w:top="1417" w:right="1750" w:bottom="1411" w:left="1701" w:header="510" w:footer="397" w:gutter="0"/>
          <w:pgNumType w:start="55"/>
          <w:cols w:space="708"/>
          <w:docGrid w:linePitch="360"/>
        </w:sectPr>
      </w:pPr>
    </w:p>
    <w:p w14:paraId="7315A422" w14:textId="77777777" w:rsidR="0000240E" w:rsidRPr="00AB44AA" w:rsidRDefault="0000240E"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lang w:val="es-ES"/>
        </w:rPr>
      </w:pPr>
      <w:r w:rsidRPr="00AB44AA">
        <w:rPr>
          <w:rStyle w:val="normaltextrun"/>
          <w:rFonts w:ascii="Arial" w:eastAsiaTheme="majorEastAsia" w:hAnsi="Arial" w:cs="Arial"/>
          <w:sz w:val="22"/>
          <w:szCs w:val="22"/>
          <w:lang w:val="es-ES"/>
        </w:rPr>
        <w:t>Stella Porto</w:t>
      </w:r>
      <w:r w:rsidRPr="00AB44AA">
        <w:rPr>
          <w:rStyle w:val="Refdenotaalpie"/>
          <w:rFonts w:ascii="Arial" w:eastAsiaTheme="majorEastAsia" w:hAnsi="Arial" w:cs="Arial"/>
          <w:sz w:val="22"/>
          <w:szCs w:val="22"/>
          <w:lang w:val="es-ES"/>
        </w:rPr>
        <w:footnoteReference w:id="1"/>
      </w:r>
    </w:p>
    <w:p w14:paraId="0ED7D731" w14:textId="5ABD36E7" w:rsidR="003F2E20" w:rsidRPr="00AB44AA" w:rsidRDefault="003F2E20" w:rsidP="005B3887">
      <w:pPr>
        <w:pStyle w:val="paragraph"/>
        <w:snapToGrid w:val="0"/>
        <w:spacing w:before="0" w:beforeAutospacing="0" w:after="0" w:afterAutospacing="0"/>
        <w:jc w:val="right"/>
        <w:textAlignment w:val="baseline"/>
        <w:rPr>
          <w:rStyle w:val="scxw156153293"/>
          <w:rFonts w:ascii="Arial" w:hAnsi="Arial" w:cs="Arial"/>
          <w:sz w:val="22"/>
          <w:szCs w:val="22"/>
        </w:rPr>
      </w:pPr>
      <w:r w:rsidRPr="00AB44AA">
        <w:rPr>
          <w:rStyle w:val="scxw156153293"/>
          <w:rFonts w:ascii="Arial" w:hAnsi="Arial" w:cs="Arial"/>
          <w:sz w:val="22"/>
          <w:szCs w:val="22"/>
        </w:rPr>
        <w:t xml:space="preserve">Banco Interamericano de Desarrollo </w:t>
      </w:r>
    </w:p>
    <w:p w14:paraId="42C70651" w14:textId="08A075E7" w:rsidR="00992B2A" w:rsidRPr="00AB44AA" w:rsidRDefault="00992B2A" w:rsidP="005B3887">
      <w:pPr>
        <w:pStyle w:val="paragraph"/>
        <w:snapToGrid w:val="0"/>
        <w:spacing w:before="0" w:beforeAutospacing="0" w:after="0" w:afterAutospacing="0"/>
        <w:jc w:val="right"/>
        <w:textAlignment w:val="baseline"/>
        <w:rPr>
          <w:rStyle w:val="normaltextrun"/>
          <w:rFonts w:ascii="Arial" w:hAnsi="Arial" w:cs="Arial"/>
          <w:sz w:val="22"/>
          <w:szCs w:val="22"/>
        </w:rPr>
      </w:pPr>
      <w:r w:rsidRPr="00AB44AA">
        <w:rPr>
          <w:rStyle w:val="scxw156153293"/>
          <w:rFonts w:ascii="Arial" w:hAnsi="Arial" w:cs="Arial"/>
          <w:sz w:val="22"/>
          <w:szCs w:val="22"/>
        </w:rPr>
        <w:t>Washington, DC, Estados Unidos</w:t>
      </w:r>
    </w:p>
    <w:p w14:paraId="5792C82D" w14:textId="53DE5481" w:rsidR="003F2E20" w:rsidRPr="00E64858" w:rsidRDefault="00193009" w:rsidP="005B3887">
      <w:pPr>
        <w:pStyle w:val="paragraph"/>
        <w:snapToGrid w:val="0"/>
        <w:spacing w:before="0" w:beforeAutospacing="0" w:after="120" w:afterAutospacing="0"/>
        <w:jc w:val="right"/>
        <w:textAlignment w:val="baseline"/>
        <w:rPr>
          <w:rStyle w:val="normaltextrun"/>
          <w:rFonts w:ascii="Arial" w:hAnsi="Arial" w:cs="Arial"/>
          <w:sz w:val="22"/>
          <w:szCs w:val="22"/>
        </w:rPr>
      </w:pPr>
      <w:hyperlink r:id="rId14" w:history="1">
        <w:r w:rsidR="00484CA6" w:rsidRPr="00E64858">
          <w:rPr>
            <w:rStyle w:val="Hipervnculo"/>
            <w:rFonts w:ascii="Arial" w:hAnsi="Arial" w:cs="Arial"/>
            <w:sz w:val="22"/>
            <w:szCs w:val="22"/>
          </w:rPr>
          <w:t>stellap@iadb.org</w:t>
        </w:r>
      </w:hyperlink>
      <w:r w:rsidR="00484CA6" w:rsidRPr="00E64858">
        <w:rPr>
          <w:rFonts w:ascii="Arial" w:hAnsi="Arial" w:cs="Arial"/>
          <w:sz w:val="22"/>
          <w:szCs w:val="22"/>
        </w:rPr>
        <w:t xml:space="preserve"> </w:t>
      </w:r>
    </w:p>
    <w:p w14:paraId="5896DADA" w14:textId="09673617" w:rsidR="0000240E" w:rsidRPr="00E64858" w:rsidRDefault="0000240E"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rPr>
      </w:pPr>
      <w:r w:rsidRPr="00E64858">
        <w:rPr>
          <w:rStyle w:val="normaltextrun"/>
          <w:rFonts w:ascii="Arial" w:eastAsiaTheme="majorEastAsia" w:hAnsi="Arial" w:cs="Arial"/>
          <w:sz w:val="22"/>
          <w:szCs w:val="22"/>
        </w:rPr>
        <w:t>Jacqueline Pinto</w:t>
      </w:r>
      <w:r w:rsidRPr="00AB44AA">
        <w:rPr>
          <w:rStyle w:val="Refdenotaalpie"/>
          <w:rFonts w:ascii="Arial" w:eastAsiaTheme="majorEastAsia" w:hAnsi="Arial" w:cs="Arial"/>
          <w:sz w:val="22"/>
          <w:szCs w:val="22"/>
          <w:lang w:val="es-ES"/>
        </w:rPr>
        <w:footnoteReference w:id="2"/>
      </w:r>
    </w:p>
    <w:p w14:paraId="6C706D1B" w14:textId="77777777" w:rsidR="003F2E20" w:rsidRPr="00AB44AA" w:rsidRDefault="003F2E20" w:rsidP="005B3887">
      <w:pPr>
        <w:pStyle w:val="paragraph"/>
        <w:snapToGrid w:val="0"/>
        <w:spacing w:before="0" w:beforeAutospacing="0" w:after="0" w:afterAutospacing="0"/>
        <w:jc w:val="right"/>
        <w:textAlignment w:val="baseline"/>
        <w:rPr>
          <w:rStyle w:val="scxw156153293"/>
          <w:rFonts w:ascii="Arial" w:hAnsi="Arial" w:cs="Arial"/>
          <w:sz w:val="22"/>
          <w:szCs w:val="22"/>
        </w:rPr>
      </w:pPr>
      <w:r w:rsidRPr="00AB44AA">
        <w:rPr>
          <w:rStyle w:val="scxw156153293"/>
          <w:rFonts w:ascii="Arial" w:hAnsi="Arial" w:cs="Arial"/>
          <w:sz w:val="22"/>
          <w:szCs w:val="22"/>
        </w:rPr>
        <w:t xml:space="preserve">Banco Interamericano de Desarrollo </w:t>
      </w:r>
    </w:p>
    <w:p w14:paraId="30168BE9" w14:textId="77777777" w:rsidR="003F2E20" w:rsidRPr="00AB44AA" w:rsidRDefault="003F2E20" w:rsidP="005B3887">
      <w:pPr>
        <w:pStyle w:val="paragraph"/>
        <w:snapToGrid w:val="0"/>
        <w:spacing w:before="0" w:beforeAutospacing="0" w:after="0" w:afterAutospacing="0"/>
        <w:jc w:val="right"/>
        <w:textAlignment w:val="baseline"/>
        <w:rPr>
          <w:rStyle w:val="normaltextrun"/>
          <w:rFonts w:ascii="Arial" w:hAnsi="Arial" w:cs="Arial"/>
          <w:sz w:val="22"/>
          <w:szCs w:val="22"/>
        </w:rPr>
      </w:pPr>
      <w:r w:rsidRPr="00AB44AA">
        <w:rPr>
          <w:rStyle w:val="scxw156153293"/>
          <w:rFonts w:ascii="Arial" w:hAnsi="Arial" w:cs="Arial"/>
          <w:sz w:val="22"/>
          <w:szCs w:val="22"/>
        </w:rPr>
        <w:t>Washington, DC, Estados Unidos</w:t>
      </w:r>
    </w:p>
    <w:p w14:paraId="20EF10E9" w14:textId="512408BB" w:rsidR="005B3887" w:rsidRPr="00E64858" w:rsidRDefault="00193009" w:rsidP="005B3887">
      <w:pPr>
        <w:pStyle w:val="paragraph"/>
        <w:snapToGrid w:val="0"/>
        <w:spacing w:before="0" w:beforeAutospacing="0" w:after="120" w:afterAutospacing="0"/>
        <w:jc w:val="right"/>
        <w:textAlignment w:val="baseline"/>
        <w:rPr>
          <w:rStyle w:val="scxw156153293"/>
          <w:rFonts w:ascii="Arial" w:hAnsi="Arial" w:cs="Arial"/>
          <w:sz w:val="22"/>
          <w:szCs w:val="22"/>
        </w:rPr>
      </w:pPr>
      <w:hyperlink r:id="rId15" w:history="1">
        <w:r w:rsidR="00484CA6" w:rsidRPr="00E64858">
          <w:rPr>
            <w:rStyle w:val="Hipervnculo"/>
            <w:rFonts w:ascii="Arial" w:hAnsi="Arial" w:cs="Arial"/>
            <w:sz w:val="22"/>
            <w:szCs w:val="22"/>
          </w:rPr>
          <w:t>jacquelinep@iadb.org</w:t>
        </w:r>
      </w:hyperlink>
      <w:r w:rsidR="00484CA6" w:rsidRPr="00E64858">
        <w:rPr>
          <w:rStyle w:val="scxw156153293"/>
          <w:rFonts w:ascii="Arial" w:hAnsi="Arial" w:cs="Arial"/>
          <w:sz w:val="22"/>
          <w:szCs w:val="22"/>
        </w:rPr>
        <w:t xml:space="preserve"> </w:t>
      </w:r>
    </w:p>
    <w:p w14:paraId="0278CDF9" w14:textId="77777777" w:rsidR="005B3887" w:rsidRPr="00E64858" w:rsidRDefault="005B3887" w:rsidP="005B3887">
      <w:pPr>
        <w:pStyle w:val="paragraph"/>
        <w:snapToGrid w:val="0"/>
        <w:spacing w:before="0" w:beforeAutospacing="0" w:after="120" w:afterAutospacing="0"/>
        <w:jc w:val="right"/>
        <w:textAlignment w:val="baseline"/>
        <w:rPr>
          <w:rStyle w:val="normaltextrun"/>
          <w:rFonts w:ascii="Arial" w:hAnsi="Arial" w:cs="Arial"/>
          <w:sz w:val="22"/>
          <w:szCs w:val="22"/>
        </w:rPr>
      </w:pPr>
    </w:p>
    <w:p w14:paraId="0B917747" w14:textId="77777777" w:rsidR="005B3887" w:rsidRPr="00E64858" w:rsidRDefault="005B3887"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rPr>
      </w:pPr>
    </w:p>
    <w:p w14:paraId="15809B0E" w14:textId="77777777" w:rsidR="005B3887" w:rsidRPr="00E64858" w:rsidRDefault="005B3887"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rPr>
      </w:pPr>
    </w:p>
    <w:p w14:paraId="19E8A3DC" w14:textId="77777777" w:rsidR="005B3887" w:rsidRPr="00E64858" w:rsidRDefault="005B3887"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rPr>
      </w:pPr>
    </w:p>
    <w:p w14:paraId="16C6B954" w14:textId="66B0F554" w:rsidR="0000240E" w:rsidRPr="00E64858" w:rsidRDefault="0000240E" w:rsidP="4DBF2C3F">
      <w:pPr>
        <w:pStyle w:val="paragraph"/>
        <w:snapToGrid w:val="0"/>
        <w:spacing w:before="0" w:beforeAutospacing="0" w:after="0" w:afterAutospacing="0"/>
        <w:jc w:val="right"/>
        <w:textAlignment w:val="baseline"/>
        <w:rPr>
          <w:rStyle w:val="normaltextrun"/>
          <w:rFonts w:ascii="Arial" w:eastAsiaTheme="majorEastAsia" w:hAnsi="Arial" w:cs="Arial"/>
          <w:sz w:val="22"/>
          <w:szCs w:val="22"/>
        </w:rPr>
      </w:pPr>
      <w:r w:rsidRPr="4DBF2C3F">
        <w:rPr>
          <w:rStyle w:val="normaltextrun"/>
          <w:rFonts w:ascii="Arial" w:eastAsiaTheme="majorEastAsia" w:hAnsi="Arial" w:cs="Arial"/>
          <w:sz w:val="22"/>
          <w:szCs w:val="22"/>
        </w:rPr>
        <w:t>Andrea Attis</w:t>
      </w:r>
      <w:r w:rsidR="71156E91" w:rsidRPr="4DBF2C3F">
        <w:rPr>
          <w:rStyle w:val="normaltextrun"/>
          <w:rFonts w:ascii="Arial" w:eastAsiaTheme="majorEastAsia" w:hAnsi="Arial" w:cs="Arial"/>
          <w:sz w:val="22"/>
          <w:szCs w:val="22"/>
        </w:rPr>
        <w:t>-</w:t>
      </w:r>
      <w:r w:rsidRPr="4DBF2C3F">
        <w:rPr>
          <w:rStyle w:val="normaltextrun"/>
          <w:rFonts w:ascii="Arial" w:eastAsiaTheme="majorEastAsia" w:hAnsi="Arial" w:cs="Arial"/>
          <w:sz w:val="22"/>
          <w:szCs w:val="22"/>
        </w:rPr>
        <w:t>Beltrán</w:t>
      </w:r>
      <w:r w:rsidRPr="4DBF2C3F">
        <w:rPr>
          <w:rStyle w:val="Refdenotaalpie"/>
          <w:rFonts w:ascii="Arial" w:eastAsiaTheme="majorEastAsia" w:hAnsi="Arial" w:cs="Arial"/>
          <w:sz w:val="22"/>
          <w:szCs w:val="22"/>
          <w:lang w:val="es-ES"/>
        </w:rPr>
        <w:footnoteReference w:id="3"/>
      </w:r>
    </w:p>
    <w:p w14:paraId="7EBEBB41" w14:textId="77777777" w:rsidR="003F2E20" w:rsidRPr="00AB44AA" w:rsidRDefault="003F2E20" w:rsidP="005B3887">
      <w:pPr>
        <w:pStyle w:val="paragraph"/>
        <w:snapToGrid w:val="0"/>
        <w:spacing w:before="0" w:beforeAutospacing="0" w:after="0" w:afterAutospacing="0"/>
        <w:jc w:val="right"/>
        <w:textAlignment w:val="baseline"/>
        <w:rPr>
          <w:rStyle w:val="scxw156153293"/>
          <w:rFonts w:ascii="Arial" w:hAnsi="Arial" w:cs="Arial"/>
          <w:sz w:val="22"/>
          <w:szCs w:val="22"/>
        </w:rPr>
      </w:pPr>
      <w:r w:rsidRPr="00AB44AA">
        <w:rPr>
          <w:rStyle w:val="scxw156153293"/>
          <w:rFonts w:ascii="Arial" w:hAnsi="Arial" w:cs="Arial"/>
          <w:sz w:val="22"/>
          <w:szCs w:val="22"/>
        </w:rPr>
        <w:t xml:space="preserve">Banco Interamericano de Desarrollo </w:t>
      </w:r>
    </w:p>
    <w:p w14:paraId="4A3C1A03" w14:textId="3585B63F" w:rsidR="003F2E20" w:rsidRPr="00AB44AA" w:rsidRDefault="003F2E20" w:rsidP="005B3887">
      <w:pPr>
        <w:pStyle w:val="paragraph"/>
        <w:snapToGrid w:val="0"/>
        <w:spacing w:before="0" w:beforeAutospacing="0" w:after="0" w:afterAutospacing="0"/>
        <w:jc w:val="right"/>
        <w:textAlignment w:val="baseline"/>
        <w:rPr>
          <w:rStyle w:val="normaltextrun"/>
          <w:rFonts w:ascii="Arial" w:hAnsi="Arial" w:cs="Arial"/>
          <w:sz w:val="22"/>
          <w:szCs w:val="22"/>
        </w:rPr>
      </w:pPr>
      <w:r w:rsidRPr="00AB44AA">
        <w:rPr>
          <w:rStyle w:val="scxw156153293"/>
          <w:rFonts w:ascii="Arial" w:hAnsi="Arial" w:cs="Arial"/>
          <w:sz w:val="22"/>
          <w:szCs w:val="22"/>
        </w:rPr>
        <w:t>Washington, DC, Estados Unidos</w:t>
      </w:r>
    </w:p>
    <w:p w14:paraId="5ED9F418" w14:textId="19C3C245" w:rsidR="003F2E20" w:rsidRPr="00AB44AA" w:rsidRDefault="00193009" w:rsidP="005B3887">
      <w:pPr>
        <w:pStyle w:val="paragraph"/>
        <w:snapToGrid w:val="0"/>
        <w:spacing w:before="0" w:beforeAutospacing="0" w:after="120" w:afterAutospacing="0"/>
        <w:jc w:val="right"/>
        <w:textAlignment w:val="baseline"/>
        <w:rPr>
          <w:rStyle w:val="scxw156153293"/>
          <w:rFonts w:ascii="Arial" w:hAnsi="Arial" w:cs="Arial"/>
          <w:sz w:val="22"/>
          <w:szCs w:val="22"/>
        </w:rPr>
      </w:pPr>
      <w:hyperlink r:id="rId16" w:history="1">
        <w:r w:rsidR="00484CA6" w:rsidRPr="007024F1">
          <w:rPr>
            <w:rStyle w:val="Hipervnculo"/>
            <w:rFonts w:ascii="Arial" w:hAnsi="Arial" w:cs="Arial"/>
            <w:sz w:val="22"/>
            <w:szCs w:val="22"/>
          </w:rPr>
          <w:t>andreaat@iadb.org</w:t>
        </w:r>
      </w:hyperlink>
      <w:r w:rsidR="00484CA6">
        <w:rPr>
          <w:rStyle w:val="scxw156153293"/>
          <w:rFonts w:ascii="Arial" w:hAnsi="Arial" w:cs="Arial"/>
          <w:sz w:val="22"/>
          <w:szCs w:val="22"/>
        </w:rPr>
        <w:t xml:space="preserve"> </w:t>
      </w:r>
    </w:p>
    <w:p w14:paraId="53053224" w14:textId="77777777" w:rsidR="0000240E" w:rsidRPr="00AB44AA" w:rsidRDefault="0000240E" w:rsidP="005B3887">
      <w:pPr>
        <w:pStyle w:val="paragraph"/>
        <w:snapToGrid w:val="0"/>
        <w:spacing w:before="0" w:beforeAutospacing="0" w:after="0" w:afterAutospacing="0"/>
        <w:jc w:val="right"/>
        <w:textAlignment w:val="baseline"/>
        <w:rPr>
          <w:rStyle w:val="normaltextrun"/>
          <w:rFonts w:ascii="Arial" w:eastAsiaTheme="majorEastAsia" w:hAnsi="Arial" w:cs="Arial"/>
          <w:sz w:val="22"/>
          <w:szCs w:val="22"/>
          <w:lang w:val="es-ES"/>
        </w:rPr>
      </w:pPr>
      <w:proofErr w:type="spellStart"/>
      <w:r w:rsidRPr="00AB44AA">
        <w:rPr>
          <w:rStyle w:val="normaltextrun"/>
          <w:rFonts w:ascii="Arial" w:eastAsiaTheme="majorEastAsia" w:hAnsi="Arial" w:cs="Arial"/>
          <w:sz w:val="22"/>
          <w:szCs w:val="22"/>
          <w:lang w:val="es-ES"/>
        </w:rPr>
        <w:t>Yunuén</w:t>
      </w:r>
      <w:proofErr w:type="spellEnd"/>
      <w:r w:rsidRPr="00AB44AA">
        <w:rPr>
          <w:rStyle w:val="normaltextrun"/>
          <w:rFonts w:ascii="Arial" w:eastAsiaTheme="majorEastAsia" w:hAnsi="Arial" w:cs="Arial"/>
          <w:sz w:val="22"/>
          <w:szCs w:val="22"/>
          <w:lang w:val="es-ES"/>
        </w:rPr>
        <w:t xml:space="preserve"> Becerra</w:t>
      </w:r>
      <w:r w:rsidRPr="00AB44AA">
        <w:rPr>
          <w:rStyle w:val="Refdenotaalpie"/>
          <w:rFonts w:ascii="Arial" w:eastAsiaTheme="majorEastAsia" w:hAnsi="Arial" w:cs="Arial"/>
          <w:sz w:val="22"/>
          <w:szCs w:val="22"/>
          <w:lang w:val="es-ES"/>
        </w:rPr>
        <w:footnoteReference w:id="4"/>
      </w:r>
    </w:p>
    <w:p w14:paraId="5A29877E" w14:textId="77777777" w:rsidR="003F2E20" w:rsidRPr="00AB44AA" w:rsidRDefault="003F2E20" w:rsidP="005B3887">
      <w:pPr>
        <w:pStyle w:val="paragraph"/>
        <w:snapToGrid w:val="0"/>
        <w:spacing w:before="0" w:beforeAutospacing="0" w:after="0" w:afterAutospacing="0"/>
        <w:jc w:val="right"/>
        <w:textAlignment w:val="baseline"/>
        <w:rPr>
          <w:rStyle w:val="scxw156153293"/>
          <w:rFonts w:ascii="Arial" w:hAnsi="Arial" w:cs="Arial"/>
          <w:sz w:val="22"/>
          <w:szCs w:val="22"/>
        </w:rPr>
      </w:pPr>
      <w:r w:rsidRPr="00AB44AA">
        <w:rPr>
          <w:rStyle w:val="scxw156153293"/>
          <w:rFonts w:ascii="Arial" w:hAnsi="Arial" w:cs="Arial"/>
          <w:sz w:val="22"/>
          <w:szCs w:val="22"/>
        </w:rPr>
        <w:t xml:space="preserve">Banco Interamericano de Desarrollo </w:t>
      </w:r>
    </w:p>
    <w:p w14:paraId="5D95E2C5" w14:textId="1D95E74B" w:rsidR="003F2E20" w:rsidRPr="00AB44AA" w:rsidRDefault="003F2E20" w:rsidP="005B3887">
      <w:pPr>
        <w:pStyle w:val="paragraph"/>
        <w:snapToGrid w:val="0"/>
        <w:spacing w:before="0" w:beforeAutospacing="0" w:after="0" w:afterAutospacing="0"/>
        <w:jc w:val="right"/>
        <w:textAlignment w:val="baseline"/>
        <w:rPr>
          <w:rStyle w:val="normaltextrun"/>
          <w:rFonts w:ascii="Arial" w:hAnsi="Arial" w:cs="Arial"/>
          <w:sz w:val="22"/>
          <w:szCs w:val="22"/>
        </w:rPr>
      </w:pPr>
      <w:r w:rsidRPr="00AB44AA">
        <w:rPr>
          <w:rStyle w:val="scxw156153293"/>
          <w:rFonts w:ascii="Arial" w:hAnsi="Arial" w:cs="Arial"/>
          <w:sz w:val="22"/>
          <w:szCs w:val="22"/>
        </w:rPr>
        <w:t>Washington, DC, Estados Unidos</w:t>
      </w:r>
    </w:p>
    <w:p w14:paraId="652A9143" w14:textId="3C19DB6E" w:rsidR="003F2E20" w:rsidRPr="00AB44AA" w:rsidRDefault="00193009" w:rsidP="005B3887">
      <w:pPr>
        <w:pStyle w:val="paragraph"/>
        <w:snapToGrid w:val="0"/>
        <w:spacing w:before="0" w:beforeAutospacing="0" w:after="120" w:afterAutospacing="0"/>
        <w:jc w:val="right"/>
        <w:textAlignment w:val="baseline"/>
        <w:rPr>
          <w:rStyle w:val="scxw156153293"/>
          <w:rFonts w:ascii="Arial" w:hAnsi="Arial" w:cs="Arial"/>
          <w:sz w:val="22"/>
          <w:szCs w:val="22"/>
        </w:rPr>
      </w:pPr>
      <w:hyperlink r:id="rId17" w:history="1">
        <w:r w:rsidR="00484CA6" w:rsidRPr="007024F1">
          <w:rPr>
            <w:rStyle w:val="Hipervnculo"/>
            <w:rFonts w:ascii="Arial" w:hAnsi="Arial" w:cs="Arial"/>
            <w:sz w:val="22"/>
            <w:szCs w:val="22"/>
          </w:rPr>
          <w:t>yunuenb@iadb.org</w:t>
        </w:r>
      </w:hyperlink>
      <w:r w:rsidR="00484CA6">
        <w:rPr>
          <w:rStyle w:val="scxw156153293"/>
          <w:rFonts w:ascii="Arial" w:hAnsi="Arial" w:cs="Arial"/>
          <w:sz w:val="22"/>
          <w:szCs w:val="22"/>
        </w:rPr>
        <w:t xml:space="preserve"> </w:t>
      </w:r>
    </w:p>
    <w:p w14:paraId="1BBFD07B" w14:textId="7CA94523" w:rsidR="0000240E" w:rsidRPr="00AB44AA" w:rsidRDefault="0000240E" w:rsidP="4DBF2C3F">
      <w:pPr>
        <w:pStyle w:val="paragraph"/>
        <w:snapToGrid w:val="0"/>
        <w:spacing w:before="0" w:beforeAutospacing="0" w:after="0" w:afterAutospacing="0"/>
        <w:jc w:val="right"/>
        <w:textAlignment w:val="baseline"/>
        <w:rPr>
          <w:rStyle w:val="normaltextrun"/>
          <w:rFonts w:ascii="Arial" w:eastAsiaTheme="majorEastAsia" w:hAnsi="Arial" w:cs="Arial"/>
          <w:sz w:val="22"/>
          <w:szCs w:val="22"/>
          <w:lang w:val="es-ES"/>
        </w:rPr>
      </w:pPr>
      <w:r w:rsidRPr="4DBF2C3F">
        <w:rPr>
          <w:rStyle w:val="normaltextrun"/>
          <w:rFonts w:ascii="Arial" w:eastAsiaTheme="majorEastAsia" w:hAnsi="Arial" w:cs="Arial"/>
          <w:sz w:val="22"/>
          <w:szCs w:val="22"/>
          <w:lang w:val="es-ES"/>
        </w:rPr>
        <w:t>María Enriqueta</w:t>
      </w:r>
      <w:r w:rsidR="5C499D66" w:rsidRPr="4DBF2C3F">
        <w:rPr>
          <w:rStyle w:val="normaltextrun"/>
          <w:rFonts w:ascii="Arial" w:eastAsiaTheme="majorEastAsia" w:hAnsi="Arial" w:cs="Arial"/>
          <w:sz w:val="22"/>
          <w:szCs w:val="22"/>
          <w:lang w:val="es-ES"/>
        </w:rPr>
        <w:t>-</w:t>
      </w:r>
      <w:r w:rsidRPr="4DBF2C3F">
        <w:rPr>
          <w:rStyle w:val="normaltextrun"/>
          <w:rFonts w:ascii="Arial" w:eastAsiaTheme="majorEastAsia" w:hAnsi="Arial" w:cs="Arial"/>
          <w:sz w:val="22"/>
          <w:szCs w:val="22"/>
          <w:lang w:val="es-ES"/>
        </w:rPr>
        <w:t>Ponce</w:t>
      </w:r>
      <w:r w:rsidRPr="4DBF2C3F">
        <w:rPr>
          <w:rStyle w:val="Refdenotaalpie"/>
          <w:rFonts w:ascii="Arial" w:eastAsiaTheme="majorEastAsia" w:hAnsi="Arial" w:cs="Arial"/>
          <w:sz w:val="22"/>
          <w:szCs w:val="22"/>
          <w:lang w:val="es-ES"/>
        </w:rPr>
        <w:footnoteReference w:id="5"/>
      </w:r>
    </w:p>
    <w:p w14:paraId="14189157" w14:textId="77777777" w:rsidR="003F2E20" w:rsidRPr="00AB44AA" w:rsidRDefault="003F2E20" w:rsidP="005B3887">
      <w:pPr>
        <w:pStyle w:val="paragraph"/>
        <w:snapToGrid w:val="0"/>
        <w:spacing w:before="0" w:beforeAutospacing="0" w:after="0" w:afterAutospacing="0"/>
        <w:jc w:val="right"/>
        <w:textAlignment w:val="baseline"/>
        <w:rPr>
          <w:rStyle w:val="scxw156153293"/>
          <w:rFonts w:ascii="Arial" w:hAnsi="Arial" w:cs="Arial"/>
          <w:sz w:val="22"/>
          <w:szCs w:val="22"/>
        </w:rPr>
      </w:pPr>
      <w:r w:rsidRPr="00AB44AA">
        <w:rPr>
          <w:rStyle w:val="scxw156153293"/>
          <w:rFonts w:ascii="Arial" w:hAnsi="Arial" w:cs="Arial"/>
          <w:sz w:val="22"/>
          <w:szCs w:val="22"/>
        </w:rPr>
        <w:t xml:space="preserve">Banco Interamericano de Desarrollo </w:t>
      </w:r>
    </w:p>
    <w:p w14:paraId="102D5A9A" w14:textId="6D848105" w:rsidR="00514020" w:rsidRPr="00AB44AA" w:rsidRDefault="003F2E20" w:rsidP="00EE39F5">
      <w:pPr>
        <w:pStyle w:val="paragraph"/>
        <w:snapToGrid w:val="0"/>
        <w:spacing w:before="0" w:beforeAutospacing="0" w:after="0" w:afterAutospacing="0"/>
        <w:jc w:val="right"/>
        <w:textAlignment w:val="baseline"/>
        <w:rPr>
          <w:rStyle w:val="normaltextrun"/>
          <w:rFonts w:ascii="Arial" w:hAnsi="Arial" w:cs="Arial"/>
          <w:sz w:val="22"/>
          <w:szCs w:val="22"/>
        </w:rPr>
      </w:pPr>
      <w:r w:rsidRPr="00AB44AA">
        <w:rPr>
          <w:rStyle w:val="scxw156153293"/>
          <w:rFonts w:ascii="Arial" w:hAnsi="Arial" w:cs="Arial"/>
          <w:sz w:val="22"/>
          <w:szCs w:val="22"/>
        </w:rPr>
        <w:t>Washington, DC, Estados Unidos</w:t>
      </w:r>
    </w:p>
    <w:p w14:paraId="5A43930C" w14:textId="5FCC630E" w:rsidR="004601DB" w:rsidRPr="00A53DD8" w:rsidRDefault="00193009" w:rsidP="006F329C">
      <w:pPr>
        <w:pStyle w:val="paragraph"/>
        <w:snapToGrid w:val="0"/>
        <w:spacing w:before="0" w:beforeAutospacing="0" w:after="160" w:afterAutospacing="0"/>
        <w:jc w:val="right"/>
        <w:textAlignment w:val="baseline"/>
        <w:rPr>
          <w:rFonts w:ascii="Arial" w:hAnsi="Arial" w:cs="Arial"/>
          <w:sz w:val="22"/>
          <w:szCs w:val="22"/>
        </w:rPr>
        <w:sectPr w:rsidR="004601DB" w:rsidRPr="00A53DD8" w:rsidSect="009D0AF7">
          <w:type w:val="continuous"/>
          <w:pgSz w:w="12240" w:h="15840"/>
          <w:pgMar w:top="1417" w:right="1750" w:bottom="1411" w:left="1701" w:header="708" w:footer="708" w:gutter="0"/>
          <w:pgNumType w:start="268"/>
          <w:cols w:num="2" w:space="1425"/>
          <w:docGrid w:linePitch="360"/>
        </w:sectPr>
      </w:pPr>
      <w:hyperlink r:id="rId18" w:history="1">
        <w:r w:rsidR="00484CA6" w:rsidRPr="00A53DD8">
          <w:rPr>
            <w:rStyle w:val="Hipervnculo"/>
            <w:rFonts w:ascii="Arial" w:hAnsi="Arial" w:cs="Arial"/>
            <w:sz w:val="22"/>
            <w:szCs w:val="22"/>
          </w:rPr>
          <w:t>mponceponce@iadb.org</w:t>
        </w:r>
      </w:hyperlink>
    </w:p>
    <w:p w14:paraId="5C41291A" w14:textId="77777777" w:rsidR="00991776" w:rsidRDefault="00991776" w:rsidP="00B316A0">
      <w:pPr>
        <w:tabs>
          <w:tab w:val="left" w:pos="5865"/>
        </w:tabs>
        <w:snapToGrid w:val="0"/>
        <w:spacing w:before="160"/>
        <w:jc w:val="center"/>
        <w:rPr>
          <w:rFonts w:ascii="Arial" w:hAnsi="Arial" w:cs="Arial"/>
          <w:bCs/>
          <w:color w:val="2F5496" w:themeColor="accent1" w:themeShade="BF"/>
          <w:u w:val="single"/>
          <w:lang w:val="pt-BR"/>
        </w:rPr>
      </w:pPr>
    </w:p>
    <w:p w14:paraId="4C1650BF" w14:textId="51A5AF41" w:rsidR="00A82B98" w:rsidRPr="008D0A2C" w:rsidRDefault="00A82B98" w:rsidP="00B316A0">
      <w:pPr>
        <w:tabs>
          <w:tab w:val="left" w:pos="5865"/>
        </w:tabs>
        <w:snapToGrid w:val="0"/>
        <w:spacing w:before="160"/>
        <w:jc w:val="center"/>
        <w:rPr>
          <w:rFonts w:ascii="Arial" w:hAnsi="Arial" w:cs="Arial"/>
          <w:bCs/>
          <w:color w:val="2F5496" w:themeColor="accent1" w:themeShade="BF"/>
          <w:u w:val="single"/>
          <w:lang w:val="pt-BR"/>
        </w:rPr>
      </w:pPr>
      <w:r w:rsidRPr="008D0A2C">
        <w:rPr>
          <w:rFonts w:ascii="Arial" w:hAnsi="Arial" w:cs="Arial"/>
          <w:bCs/>
          <w:color w:val="2F5496" w:themeColor="accent1" w:themeShade="BF"/>
          <w:u w:val="single"/>
          <w:lang w:val="pt-BR"/>
        </w:rPr>
        <w:t>DOI: http://dx.doi.org/10.22458/caes.v1</w:t>
      </w:r>
      <w:r w:rsidR="00B344FA" w:rsidRPr="008D0A2C">
        <w:rPr>
          <w:rFonts w:ascii="Arial" w:hAnsi="Arial" w:cs="Arial"/>
          <w:bCs/>
          <w:color w:val="2F5496" w:themeColor="accent1" w:themeShade="BF"/>
          <w:u w:val="single"/>
          <w:lang w:val="pt-BR"/>
        </w:rPr>
        <w:t>6</w:t>
      </w:r>
      <w:r w:rsidRPr="008D0A2C">
        <w:rPr>
          <w:rFonts w:ascii="Arial" w:hAnsi="Arial" w:cs="Arial"/>
          <w:bCs/>
          <w:color w:val="2F5496" w:themeColor="accent1" w:themeShade="BF"/>
          <w:u w:val="single"/>
          <w:lang w:val="pt-BR"/>
        </w:rPr>
        <w:t>i</w:t>
      </w:r>
      <w:r w:rsidR="009D2F64" w:rsidRPr="008D0A2C">
        <w:rPr>
          <w:rFonts w:ascii="Arial" w:hAnsi="Arial" w:cs="Arial"/>
          <w:bCs/>
          <w:color w:val="2F5496" w:themeColor="accent1" w:themeShade="BF"/>
          <w:u w:val="single"/>
          <w:lang w:val="pt-BR"/>
        </w:rPr>
        <w:t>2</w:t>
      </w:r>
      <w:r w:rsidRPr="008D0A2C">
        <w:rPr>
          <w:rFonts w:ascii="Arial" w:hAnsi="Arial" w:cs="Arial"/>
          <w:bCs/>
          <w:color w:val="2F5496" w:themeColor="accent1" w:themeShade="BF"/>
          <w:u w:val="single"/>
          <w:lang w:val="pt-BR"/>
        </w:rPr>
        <w:t>.</w:t>
      </w:r>
      <w:r w:rsidR="009F01AD">
        <w:rPr>
          <w:rFonts w:ascii="Arial" w:hAnsi="Arial" w:cs="Arial"/>
          <w:bCs/>
          <w:color w:val="2F5496" w:themeColor="accent1" w:themeShade="BF"/>
          <w:u w:val="single"/>
          <w:lang w:val="pt-BR"/>
        </w:rPr>
        <w:t>6143</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4B8EAB44" w:rsidR="00A82B98" w:rsidRDefault="5AA76CD7" w:rsidP="442D479F">
      <w:pPr>
        <w:tabs>
          <w:tab w:val="center" w:pos="4986"/>
          <w:tab w:val="left" w:pos="5865"/>
          <w:tab w:val="left" w:pos="8895"/>
        </w:tabs>
        <w:spacing w:line="276" w:lineRule="auto"/>
        <w:jc w:val="center"/>
        <w:rPr>
          <w:rFonts w:ascii="Arial" w:hAnsi="Arial" w:cs="Arial"/>
        </w:rPr>
      </w:pPr>
      <w:r w:rsidRPr="442D479F">
        <w:rPr>
          <w:rFonts w:ascii="Arial" w:hAnsi="Arial" w:cs="Arial"/>
        </w:rPr>
        <w:t xml:space="preserve">                 </w:t>
      </w:r>
      <w:r w:rsidR="00A82B98" w:rsidRPr="442D479F">
        <w:rPr>
          <w:rFonts w:ascii="Arial" w:hAnsi="Arial" w:cs="Arial"/>
        </w:rPr>
        <w:t>30 de</w:t>
      </w:r>
      <w:r w:rsidR="006754BB" w:rsidRPr="442D479F">
        <w:rPr>
          <w:rFonts w:ascii="Arial" w:hAnsi="Arial" w:cs="Arial"/>
        </w:rPr>
        <w:t xml:space="preserve"> noviembre</w:t>
      </w:r>
      <w:r w:rsidR="00A82B98" w:rsidRPr="442D479F">
        <w:rPr>
          <w:rFonts w:ascii="Arial" w:hAnsi="Arial" w:cs="Arial"/>
        </w:rPr>
        <w:t xml:space="preserve"> de 202</w:t>
      </w:r>
      <w:r w:rsidR="009D2F64" w:rsidRPr="442D479F">
        <w:rPr>
          <w:rFonts w:ascii="Arial" w:hAnsi="Arial" w:cs="Arial"/>
        </w:rPr>
        <w:t>5</w:t>
      </w:r>
      <w:r w:rsidR="00361751">
        <w:rPr>
          <w:rFonts w:ascii="Arial" w:hAnsi="Arial" w:cs="Arial"/>
          <w:bCs/>
        </w:rPr>
        <w:tab/>
      </w:r>
    </w:p>
    <w:p w14:paraId="32EEFDF7" w14:textId="731BB529" w:rsidR="00A82B98" w:rsidRPr="007678F8" w:rsidRDefault="00A82B98" w:rsidP="442D479F">
      <w:pPr>
        <w:tabs>
          <w:tab w:val="left" w:pos="5865"/>
        </w:tabs>
        <w:snapToGrid w:val="0"/>
        <w:spacing w:after="160" w:line="276" w:lineRule="auto"/>
        <w:jc w:val="center"/>
        <w:rPr>
          <w:rFonts w:ascii="Arial" w:hAnsi="Arial" w:cs="Arial"/>
        </w:rPr>
      </w:pPr>
      <w:r w:rsidRPr="442D479F">
        <w:rPr>
          <w:rFonts w:ascii="Arial" w:hAnsi="Arial" w:cs="Arial"/>
        </w:rPr>
        <w:t xml:space="preserve">pp. </w:t>
      </w:r>
      <w:r w:rsidR="00816BE7" w:rsidRPr="442D479F">
        <w:rPr>
          <w:rFonts w:ascii="Arial" w:hAnsi="Arial" w:cs="Arial"/>
        </w:rPr>
        <w:t>5</w:t>
      </w:r>
      <w:r w:rsidR="00E72268">
        <w:rPr>
          <w:rFonts w:ascii="Arial" w:hAnsi="Arial" w:cs="Arial"/>
        </w:rPr>
        <w:t>5</w:t>
      </w:r>
      <w:r w:rsidR="00816BE7" w:rsidRPr="442D479F">
        <w:rPr>
          <w:rFonts w:ascii="Arial" w:hAnsi="Arial" w:cs="Arial"/>
        </w:rPr>
        <w:t>-8</w:t>
      </w:r>
      <w:r w:rsidR="00CA5E63">
        <w:rPr>
          <w:rFonts w:ascii="Arial" w:hAnsi="Arial" w:cs="Arial"/>
        </w:rPr>
        <w:t>5</w:t>
      </w:r>
    </w:p>
    <w:p w14:paraId="1591C2AD" w14:textId="4AD2B824" w:rsidR="00A82B98" w:rsidRPr="00B7203D" w:rsidRDefault="00A82B98" w:rsidP="0020679D">
      <w:pPr>
        <w:tabs>
          <w:tab w:val="left" w:pos="5865"/>
        </w:tabs>
        <w:spacing w:line="276" w:lineRule="auto"/>
        <w:rPr>
          <w:rFonts w:ascii="Arial" w:hAnsi="Arial" w:cs="Arial"/>
          <w:bCs/>
        </w:rPr>
      </w:pPr>
      <w:bookmarkStart w:id="3" w:name="_Hlk182838172"/>
      <w:r w:rsidRPr="00B7203D">
        <w:rPr>
          <w:rFonts w:ascii="Arial" w:hAnsi="Arial" w:cs="Arial"/>
          <w:bCs/>
        </w:rPr>
        <w:t xml:space="preserve">Recibido: </w:t>
      </w:r>
      <w:r w:rsidR="00B7203D" w:rsidRPr="00B7203D">
        <w:rPr>
          <w:rFonts w:ascii="Arial" w:hAnsi="Arial" w:cs="Arial"/>
          <w:bCs/>
        </w:rPr>
        <w:t>29 de mayo de</w:t>
      </w:r>
      <w:r w:rsidRPr="00B7203D">
        <w:rPr>
          <w:rFonts w:ascii="Arial" w:hAnsi="Arial" w:cs="Arial"/>
          <w:bCs/>
        </w:rPr>
        <w:t xml:space="preserve"> 202</w:t>
      </w:r>
      <w:r w:rsidR="00F4765F" w:rsidRPr="00B7203D">
        <w:rPr>
          <w:rFonts w:ascii="Arial" w:hAnsi="Arial" w:cs="Arial"/>
          <w:bCs/>
        </w:rPr>
        <w:t>5</w:t>
      </w:r>
    </w:p>
    <w:p w14:paraId="13E62770" w14:textId="4ADF5011" w:rsidR="004F7551" w:rsidRPr="00B7203D" w:rsidRDefault="00A82B98" w:rsidP="0020679D">
      <w:pPr>
        <w:tabs>
          <w:tab w:val="left" w:pos="5865"/>
        </w:tabs>
        <w:spacing w:line="276" w:lineRule="auto"/>
        <w:rPr>
          <w:rFonts w:ascii="Arial" w:hAnsi="Arial" w:cs="Arial"/>
          <w:bCs/>
        </w:rPr>
      </w:pPr>
      <w:r w:rsidRPr="442D479F">
        <w:rPr>
          <w:rFonts w:ascii="Arial" w:hAnsi="Arial" w:cs="Arial"/>
        </w:rPr>
        <w:t xml:space="preserve">Aprobado: </w:t>
      </w:r>
      <w:r w:rsidR="00B7203D" w:rsidRPr="442D479F">
        <w:rPr>
          <w:rFonts w:ascii="Arial" w:hAnsi="Arial" w:cs="Arial"/>
        </w:rPr>
        <w:t>02 de julio</w:t>
      </w:r>
      <w:r w:rsidR="00F4765F" w:rsidRPr="442D479F">
        <w:rPr>
          <w:rFonts w:ascii="Arial" w:hAnsi="Arial" w:cs="Arial"/>
        </w:rPr>
        <w:t xml:space="preserve"> </w:t>
      </w:r>
      <w:r w:rsidRPr="442D479F">
        <w:rPr>
          <w:rFonts w:ascii="Arial" w:hAnsi="Arial" w:cs="Arial"/>
        </w:rPr>
        <w:t>de 202</w:t>
      </w:r>
      <w:r w:rsidR="00F4765F" w:rsidRPr="442D479F">
        <w:rPr>
          <w:rFonts w:ascii="Arial" w:hAnsi="Arial" w:cs="Arial"/>
        </w:rPr>
        <w:t>5</w:t>
      </w:r>
    </w:p>
    <w:p w14:paraId="7E292A37" w14:textId="77777777" w:rsidR="00EF634F" w:rsidRDefault="00EF634F" w:rsidP="00656C84">
      <w:pPr>
        <w:snapToGrid w:val="0"/>
        <w:jc w:val="both"/>
        <w:rPr>
          <w:rStyle w:val="normaltextrun"/>
          <w:rFonts w:ascii="Arial" w:eastAsiaTheme="majorEastAsia" w:hAnsi="Arial" w:cs="Arial"/>
          <w:b/>
          <w:bCs/>
          <w:lang w:val="es-ES"/>
        </w:rPr>
      </w:pPr>
    </w:p>
    <w:p w14:paraId="32A5779D" w14:textId="548E1CA4" w:rsidR="004F7551" w:rsidRPr="004F7551" w:rsidRDefault="004F7551" w:rsidP="00656C84">
      <w:pPr>
        <w:snapToGrid w:val="0"/>
        <w:jc w:val="both"/>
        <w:rPr>
          <w:rStyle w:val="normaltextrun"/>
          <w:rFonts w:ascii="Arial" w:hAnsi="Arial" w:cs="Arial"/>
          <w:bCs/>
          <w:highlight w:val="cyan"/>
        </w:rPr>
      </w:pPr>
      <w:r w:rsidRPr="5BAB7468">
        <w:rPr>
          <w:rStyle w:val="normaltextrun"/>
          <w:rFonts w:ascii="Arial" w:eastAsiaTheme="majorEastAsia" w:hAnsi="Arial" w:cs="Arial"/>
          <w:b/>
          <w:bCs/>
          <w:lang w:val="es-ES"/>
        </w:rPr>
        <w:t>Resumen</w:t>
      </w:r>
    </w:p>
    <w:p w14:paraId="10EA8972" w14:textId="77FCF785" w:rsidR="004F7551" w:rsidRPr="00F81D99" w:rsidRDefault="004F7551" w:rsidP="00656C84">
      <w:pPr>
        <w:pStyle w:val="paragraph"/>
        <w:snapToGrid w:val="0"/>
        <w:spacing w:before="0" w:beforeAutospacing="0" w:after="240" w:afterAutospacing="0"/>
        <w:jc w:val="both"/>
        <w:textAlignment w:val="baseline"/>
        <w:rPr>
          <w:rStyle w:val="normaltextrun"/>
          <w:rFonts w:eastAsiaTheme="majorEastAsia"/>
          <w:lang w:val="es-ES"/>
        </w:rPr>
      </w:pPr>
      <w:r w:rsidRPr="00AC2B6D">
        <w:rPr>
          <w:rStyle w:val="normaltextrun"/>
          <w:rFonts w:ascii="Arial" w:eastAsiaTheme="majorEastAsia" w:hAnsi="Arial" w:cs="Arial"/>
          <w:lang w:val="es-ES"/>
        </w:rPr>
        <w:t xml:space="preserve">Durante la pandemia </w:t>
      </w:r>
      <w:r>
        <w:rPr>
          <w:rStyle w:val="normaltextrun"/>
          <w:rFonts w:ascii="Arial" w:eastAsiaTheme="majorEastAsia" w:hAnsi="Arial" w:cs="Arial"/>
          <w:lang w:val="es-ES"/>
        </w:rPr>
        <w:t>por</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covid</w:t>
      </w:r>
      <w:r w:rsidRPr="00AC2B6D">
        <w:rPr>
          <w:rStyle w:val="normaltextrun"/>
          <w:rFonts w:ascii="Arial" w:eastAsiaTheme="majorEastAsia" w:hAnsi="Arial" w:cs="Arial"/>
          <w:lang w:val="es-ES"/>
        </w:rPr>
        <w:t xml:space="preserve">-19, la iniciativa </w:t>
      </w:r>
      <w:proofErr w:type="spellStart"/>
      <w:r w:rsidRPr="00632D06">
        <w:rPr>
          <w:rStyle w:val="normaltextrun"/>
          <w:rFonts w:ascii="Arial" w:eastAsiaTheme="majorEastAsia" w:hAnsi="Arial" w:cs="Arial"/>
          <w:i/>
          <w:iCs/>
          <w:lang w:val="es-ES"/>
        </w:rPr>
        <w:t>Movingonline</w:t>
      </w:r>
      <w:proofErr w:type="spellEnd"/>
      <w:r w:rsidRPr="00AC2B6D">
        <w:rPr>
          <w:rStyle w:val="normaltextrun"/>
          <w:rFonts w:ascii="Arial" w:eastAsiaTheme="majorEastAsia" w:hAnsi="Arial" w:cs="Arial"/>
          <w:lang w:val="es-ES"/>
        </w:rPr>
        <w:t xml:space="preserve"> brindó apoyo urgente a estudiantes, docentes y gestores de América Latina y el Caribe en su transición a la educación en línea. Este ensayo analiza los aprendizajes clave de la experiencia</w:t>
      </w:r>
      <w:r w:rsidRPr="00B43952">
        <w:rPr>
          <w:rStyle w:val="normaltextrun"/>
          <w:rFonts w:ascii="Arial" w:eastAsiaTheme="majorEastAsia" w:hAnsi="Arial" w:cs="Arial"/>
          <w:lang w:val="es-ES"/>
        </w:rPr>
        <w:t xml:space="preserve"> y </w:t>
      </w:r>
      <w:r w:rsidRPr="00B43952">
        <w:rPr>
          <w:rStyle w:val="normaltextrun"/>
          <w:rFonts w:ascii="Arial" w:eastAsia="Arial" w:hAnsi="Arial" w:cs="Arial"/>
          <w:lang w:val="es-ES"/>
        </w:rPr>
        <w:t xml:space="preserve">su contribución a la </w:t>
      </w:r>
      <w:r w:rsidRPr="00B43952">
        <w:rPr>
          <w:rStyle w:val="normaltextrun"/>
          <w:rFonts w:ascii="Arial" w:eastAsiaTheme="majorEastAsia" w:hAnsi="Arial" w:cs="Arial"/>
          <w:lang w:val="es-ES"/>
        </w:rPr>
        <w:t>transformación digital, el desarrollo de las competencias docentes y la educación híbrida.</w:t>
      </w:r>
      <w:r w:rsidR="00164518">
        <w:rPr>
          <w:rStyle w:val="normaltextrun"/>
          <w:rFonts w:ascii="Arial" w:eastAsiaTheme="majorEastAsia" w:hAnsi="Arial" w:cs="Arial"/>
          <w:lang w:val="es-ES"/>
        </w:rPr>
        <w:t xml:space="preserve"> </w:t>
      </w:r>
      <w:r w:rsidRPr="00B43952">
        <w:rPr>
          <w:rStyle w:val="normaltextrun"/>
          <w:rFonts w:ascii="Arial" w:eastAsiaTheme="majorEastAsia" w:hAnsi="Arial" w:cs="Arial"/>
          <w:lang w:val="es-ES"/>
        </w:rPr>
        <w:t xml:space="preserve">Se destacan </w:t>
      </w:r>
      <w:r w:rsidRPr="00AC2B6D">
        <w:rPr>
          <w:rStyle w:val="normaltextrun"/>
          <w:rFonts w:ascii="Arial" w:eastAsiaTheme="majorEastAsia" w:hAnsi="Arial" w:cs="Arial"/>
          <w:lang w:val="es-ES"/>
        </w:rPr>
        <w:t>cambios en la comprensión de las necesidades de desarrollo profesional, así como en los formatos y contenidos de formación continua. La reflexión resalta la importancia de la flexibilidad, el apoyo socioemocional y la colaboración entre pares, y subraya el valor complementario de la educación en línea. Se ofrecen recomendaciones para fortalecer el desarrollo profesional docente y directivo de forma sostenible más allá de la crisis.</w:t>
      </w:r>
    </w:p>
    <w:p w14:paraId="10A791DD" w14:textId="77777777" w:rsidR="004F7551" w:rsidRPr="008804D4" w:rsidRDefault="004F7551" w:rsidP="00656C84">
      <w:pPr>
        <w:pStyle w:val="paragraph"/>
        <w:snapToGrid w:val="0"/>
        <w:spacing w:before="0" w:beforeAutospacing="0" w:after="0" w:afterAutospacing="0"/>
        <w:jc w:val="both"/>
        <w:textAlignment w:val="baseline"/>
        <w:rPr>
          <w:rFonts w:ascii="Arial" w:hAnsi="Arial" w:cs="Arial"/>
        </w:rPr>
      </w:pPr>
      <w:r w:rsidRPr="008804D4">
        <w:rPr>
          <w:rStyle w:val="normaltextrun"/>
          <w:rFonts w:ascii="Arial" w:eastAsiaTheme="majorEastAsia" w:hAnsi="Arial" w:cs="Arial"/>
          <w:b/>
          <w:bCs/>
          <w:lang w:val="es-ES"/>
        </w:rPr>
        <w:t>Palabras clave</w:t>
      </w:r>
    </w:p>
    <w:p w14:paraId="07938EA6" w14:textId="08BF9171" w:rsidR="004F7551" w:rsidRPr="008804D4" w:rsidRDefault="004F7551" w:rsidP="00656C84">
      <w:pPr>
        <w:pStyle w:val="paragraph"/>
        <w:snapToGrid w:val="0"/>
        <w:spacing w:before="0" w:beforeAutospacing="0" w:after="240" w:afterAutospacing="0"/>
        <w:jc w:val="both"/>
        <w:textAlignment w:val="baseline"/>
        <w:rPr>
          <w:rFonts w:ascii="Arial" w:hAnsi="Arial" w:cs="Arial"/>
        </w:rPr>
      </w:pPr>
      <w:r w:rsidRPr="00AC2B6D">
        <w:rPr>
          <w:rStyle w:val="normaltextrun"/>
          <w:rFonts w:ascii="Arial" w:eastAsiaTheme="majorEastAsia" w:hAnsi="Arial" w:cs="Arial"/>
          <w:lang w:val="es-ES"/>
        </w:rPr>
        <w:t>Desarrollo profesional docente</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a</w:t>
      </w:r>
      <w:r w:rsidRPr="00AC2B6D">
        <w:rPr>
          <w:rStyle w:val="normaltextrun"/>
          <w:rFonts w:ascii="Arial" w:eastAsiaTheme="majorEastAsia" w:hAnsi="Arial" w:cs="Arial"/>
          <w:lang w:val="es-ES"/>
        </w:rPr>
        <w:t>prendizaje en línea</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t</w:t>
      </w:r>
      <w:r w:rsidRPr="00AC2B6D">
        <w:rPr>
          <w:rStyle w:val="normaltextrun"/>
          <w:rFonts w:ascii="Arial" w:eastAsiaTheme="majorEastAsia" w:hAnsi="Arial" w:cs="Arial"/>
          <w:lang w:val="es-ES"/>
        </w:rPr>
        <w:t>ransformación digital</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e</w:t>
      </w:r>
      <w:r w:rsidRPr="00AC2B6D">
        <w:rPr>
          <w:rStyle w:val="normaltextrun"/>
          <w:rFonts w:ascii="Arial" w:eastAsiaTheme="majorEastAsia" w:hAnsi="Arial" w:cs="Arial"/>
          <w:lang w:val="es-ES"/>
        </w:rPr>
        <w:t>ducación a distancia</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e</w:t>
      </w:r>
      <w:r w:rsidRPr="00AC2B6D">
        <w:rPr>
          <w:rStyle w:val="normaltextrun"/>
          <w:rFonts w:ascii="Arial" w:eastAsiaTheme="majorEastAsia" w:hAnsi="Arial" w:cs="Arial"/>
          <w:lang w:val="es-ES"/>
        </w:rPr>
        <w:t>ducación híbrida</w:t>
      </w:r>
      <w:r w:rsidR="005F72C4">
        <w:rPr>
          <w:rStyle w:val="normaltextrun"/>
          <w:rFonts w:ascii="Arial" w:eastAsiaTheme="majorEastAsia" w:hAnsi="Arial" w:cs="Arial"/>
          <w:lang w:val="es-ES"/>
        </w:rPr>
        <w:t>,</w:t>
      </w:r>
      <w:r w:rsidRPr="00AC2B6D" w:rsidDel="00BE0F89">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g</w:t>
      </w:r>
      <w:r w:rsidRPr="00AC2B6D">
        <w:rPr>
          <w:rStyle w:val="normaltextrun"/>
          <w:rFonts w:ascii="Arial" w:eastAsiaTheme="majorEastAsia" w:hAnsi="Arial" w:cs="Arial"/>
          <w:lang w:val="es-ES"/>
        </w:rPr>
        <w:t>estión educativa</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i</w:t>
      </w:r>
      <w:r w:rsidRPr="00AC2B6D">
        <w:rPr>
          <w:rStyle w:val="normaltextrun"/>
          <w:rFonts w:ascii="Arial" w:eastAsiaTheme="majorEastAsia" w:hAnsi="Arial" w:cs="Arial"/>
          <w:lang w:val="es-ES"/>
        </w:rPr>
        <w:t>nnovación educativa</w:t>
      </w:r>
      <w:r w:rsidR="005F72C4">
        <w:rPr>
          <w:rStyle w:val="normaltextrun"/>
          <w:rFonts w:ascii="Arial" w:eastAsiaTheme="majorEastAsia" w:hAnsi="Arial" w:cs="Arial"/>
          <w:lang w:val="es-ES"/>
        </w:rPr>
        <w:t>,</w:t>
      </w:r>
      <w:r w:rsidRPr="00AC2B6D">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c</w:t>
      </w:r>
      <w:r w:rsidRPr="00AC2B6D">
        <w:rPr>
          <w:rStyle w:val="normaltextrun"/>
          <w:rFonts w:ascii="Arial" w:eastAsiaTheme="majorEastAsia" w:hAnsi="Arial" w:cs="Arial"/>
          <w:lang w:val="es-ES"/>
        </w:rPr>
        <w:t>redenciales digitales</w:t>
      </w:r>
      <w:r w:rsidR="005F72C4">
        <w:rPr>
          <w:rStyle w:val="normaltextrun"/>
          <w:rFonts w:ascii="Arial" w:eastAsiaTheme="majorEastAsia" w:hAnsi="Arial" w:cs="Arial"/>
          <w:lang w:val="es-ES"/>
        </w:rPr>
        <w:t>,</w:t>
      </w:r>
      <w:r>
        <w:rPr>
          <w:rStyle w:val="normaltextrun"/>
          <w:rFonts w:ascii="Arial" w:eastAsiaTheme="majorEastAsia" w:hAnsi="Arial" w:cs="Arial"/>
          <w:lang w:val="es-ES"/>
        </w:rPr>
        <w:t xml:space="preserve"> </w:t>
      </w:r>
      <w:r w:rsidR="00164518">
        <w:rPr>
          <w:rStyle w:val="normaltextrun"/>
          <w:rFonts w:ascii="Arial" w:eastAsiaTheme="majorEastAsia" w:hAnsi="Arial" w:cs="Arial"/>
          <w:lang w:val="es-ES"/>
        </w:rPr>
        <w:t>c</w:t>
      </w:r>
      <w:r w:rsidRPr="00AC2B6D">
        <w:rPr>
          <w:rStyle w:val="normaltextrun"/>
          <w:rFonts w:ascii="Arial" w:eastAsiaTheme="majorEastAsia" w:hAnsi="Arial" w:cs="Arial"/>
          <w:lang w:val="es-ES"/>
        </w:rPr>
        <w:t>ompetencias digitales</w:t>
      </w:r>
    </w:p>
    <w:p w14:paraId="42D43518" w14:textId="77777777" w:rsidR="004F7551" w:rsidRPr="00A901C3" w:rsidRDefault="004F7551" w:rsidP="00656C84">
      <w:pPr>
        <w:pStyle w:val="paragraph"/>
        <w:snapToGrid w:val="0"/>
        <w:spacing w:before="0" w:beforeAutospacing="0" w:after="0" w:afterAutospacing="0"/>
        <w:jc w:val="both"/>
        <w:textAlignment w:val="baseline"/>
        <w:rPr>
          <w:rStyle w:val="normaltextrun"/>
          <w:rFonts w:ascii="Arial" w:eastAsiaTheme="majorEastAsia" w:hAnsi="Arial" w:cs="Arial"/>
          <w:b/>
          <w:bCs/>
          <w:lang w:val="en-US"/>
        </w:rPr>
      </w:pPr>
      <w:r w:rsidRPr="00A901C3">
        <w:rPr>
          <w:rStyle w:val="normaltextrun"/>
          <w:rFonts w:ascii="Arial" w:eastAsiaTheme="majorEastAsia" w:hAnsi="Arial" w:cs="Arial"/>
          <w:b/>
          <w:bCs/>
          <w:lang w:val="en-US"/>
        </w:rPr>
        <w:t>Abstract</w:t>
      </w:r>
    </w:p>
    <w:p w14:paraId="6205BBCC" w14:textId="77777777" w:rsidR="004F7551" w:rsidRPr="00A901C3" w:rsidRDefault="004F7551" w:rsidP="00656C84">
      <w:pPr>
        <w:pStyle w:val="paragraph"/>
        <w:snapToGrid w:val="0"/>
        <w:spacing w:before="0" w:beforeAutospacing="0" w:after="0" w:afterAutospacing="0"/>
        <w:jc w:val="both"/>
        <w:textAlignment w:val="baseline"/>
        <w:rPr>
          <w:rStyle w:val="normaltextrun"/>
          <w:rFonts w:eastAsiaTheme="majorEastAsia"/>
          <w:lang w:val="en-US"/>
        </w:rPr>
      </w:pPr>
      <w:r w:rsidRPr="00A901C3">
        <w:rPr>
          <w:rStyle w:val="normaltextrun"/>
          <w:rFonts w:ascii="Arial" w:eastAsiaTheme="majorEastAsia" w:hAnsi="Arial" w:cs="Arial"/>
          <w:lang w:val="en-US"/>
        </w:rPr>
        <w:t>During the pandemic</w:t>
      </w:r>
      <w:r>
        <w:rPr>
          <w:rStyle w:val="normaltextrun"/>
          <w:rFonts w:ascii="Arial" w:eastAsiaTheme="majorEastAsia" w:hAnsi="Arial" w:cs="Arial"/>
          <w:lang w:val="en-US"/>
        </w:rPr>
        <w:t xml:space="preserve"> provoked by </w:t>
      </w:r>
      <w:r w:rsidRPr="00A901C3">
        <w:rPr>
          <w:rStyle w:val="normaltextrun"/>
          <w:rFonts w:ascii="Arial" w:eastAsiaTheme="majorEastAsia" w:hAnsi="Arial" w:cs="Arial"/>
          <w:lang w:val="en-US"/>
        </w:rPr>
        <w:t xml:space="preserve">COVID-19, the </w:t>
      </w:r>
      <w:proofErr w:type="spellStart"/>
      <w:r w:rsidRPr="009B4E8E">
        <w:rPr>
          <w:rStyle w:val="normaltextrun"/>
          <w:rFonts w:ascii="Arial" w:eastAsiaTheme="majorEastAsia" w:hAnsi="Arial" w:cs="Arial"/>
          <w:i/>
          <w:iCs/>
          <w:lang w:val="en-US"/>
        </w:rPr>
        <w:t>Movingonline</w:t>
      </w:r>
      <w:proofErr w:type="spellEnd"/>
      <w:r w:rsidRPr="00A901C3">
        <w:rPr>
          <w:rStyle w:val="normaltextrun"/>
          <w:rFonts w:ascii="Arial" w:eastAsiaTheme="majorEastAsia" w:hAnsi="Arial" w:cs="Arial"/>
          <w:lang w:val="en-US"/>
        </w:rPr>
        <w:t xml:space="preserve"> initiative provided urgent support to students, teachers, and education managers in Latin America and the Caribbean as they transitioned to online learning. This essay analyzes key lessons from the experience, </w:t>
      </w:r>
      <w:r w:rsidRPr="0427646F">
        <w:rPr>
          <w:rStyle w:val="normaltextrun"/>
          <w:rFonts w:ascii="Arial" w:eastAsiaTheme="majorEastAsia" w:hAnsi="Arial" w:cs="Arial"/>
          <w:lang w:val="en-US"/>
        </w:rPr>
        <w:t>and its contributions to</w:t>
      </w:r>
      <w:r w:rsidRPr="00A901C3">
        <w:rPr>
          <w:rStyle w:val="normaltextrun"/>
          <w:rFonts w:ascii="Arial" w:eastAsiaTheme="majorEastAsia" w:hAnsi="Arial" w:cs="Arial"/>
          <w:lang w:val="en-US"/>
        </w:rPr>
        <w:t xml:space="preserve"> digital transformation, teaching competencies</w:t>
      </w:r>
      <w:r w:rsidRPr="0427646F">
        <w:rPr>
          <w:rStyle w:val="normaltextrun"/>
          <w:rFonts w:ascii="Arial" w:eastAsiaTheme="majorEastAsia" w:hAnsi="Arial" w:cs="Arial"/>
          <w:lang w:val="en-US"/>
        </w:rPr>
        <w:t xml:space="preserve"> development</w:t>
      </w:r>
      <w:r w:rsidRPr="00A901C3">
        <w:rPr>
          <w:rStyle w:val="normaltextrun"/>
          <w:rFonts w:ascii="Arial" w:eastAsiaTheme="majorEastAsia" w:hAnsi="Arial" w:cs="Arial"/>
          <w:lang w:val="en-US"/>
        </w:rPr>
        <w:t>, and hybrid education. It highlights shifts in understanding professional development needs and effective formats and content for ongoing training. The reflection emphasizes the importance of flexibility, socioemotional support, and peer collaboration, and underscores the complementary role of online education. The conclusions offer recommendations to sustainably strengthen teacher and leadership development beyond crisis response.</w:t>
      </w:r>
    </w:p>
    <w:p w14:paraId="11027866" w14:textId="5EEDAE8D" w:rsidR="004F7551" w:rsidRPr="00A901C3" w:rsidRDefault="004F7551" w:rsidP="00656C84">
      <w:pPr>
        <w:pStyle w:val="paragraph"/>
        <w:snapToGrid w:val="0"/>
        <w:spacing w:before="240" w:beforeAutospacing="0" w:after="0" w:afterAutospacing="0"/>
        <w:jc w:val="both"/>
        <w:textAlignment w:val="baseline"/>
        <w:rPr>
          <w:rStyle w:val="normaltextrun"/>
          <w:rFonts w:ascii="Arial" w:eastAsiaTheme="majorEastAsia" w:hAnsi="Arial" w:cs="Arial"/>
          <w:b/>
          <w:bCs/>
          <w:lang w:val="en-US"/>
        </w:rPr>
      </w:pPr>
      <w:r w:rsidRPr="00A901C3">
        <w:rPr>
          <w:rStyle w:val="normaltextrun"/>
          <w:rFonts w:ascii="Arial" w:eastAsiaTheme="majorEastAsia" w:hAnsi="Arial" w:cs="Arial"/>
          <w:b/>
          <w:bCs/>
          <w:lang w:val="en-US"/>
        </w:rPr>
        <w:t>Keyword</w:t>
      </w:r>
      <w:r w:rsidR="00B8085C">
        <w:rPr>
          <w:rStyle w:val="normaltextrun"/>
          <w:rFonts w:ascii="Arial" w:eastAsiaTheme="majorEastAsia" w:hAnsi="Arial" w:cs="Arial"/>
          <w:b/>
          <w:bCs/>
          <w:lang w:val="en-US"/>
        </w:rPr>
        <w:t>s</w:t>
      </w:r>
    </w:p>
    <w:p w14:paraId="26D19B20" w14:textId="5A8C1988" w:rsidR="004E2253" w:rsidRDefault="004F7551" w:rsidP="00656C84">
      <w:pPr>
        <w:pStyle w:val="paragraph"/>
        <w:snapToGrid w:val="0"/>
        <w:spacing w:before="0" w:beforeAutospacing="0" w:after="0" w:afterAutospacing="0"/>
        <w:jc w:val="both"/>
        <w:textAlignment w:val="baseline"/>
        <w:rPr>
          <w:rStyle w:val="normaltextrun"/>
          <w:rFonts w:ascii="Arial" w:hAnsi="Arial" w:cs="Arial"/>
          <w:lang w:val="en-US"/>
        </w:rPr>
      </w:pPr>
      <w:r w:rsidRPr="00A901C3">
        <w:rPr>
          <w:rStyle w:val="normaltextrun"/>
          <w:rFonts w:ascii="Arial" w:hAnsi="Arial" w:cs="Arial"/>
          <w:lang w:val="en-US"/>
        </w:rPr>
        <w:t>Teacher professional development</w:t>
      </w:r>
      <w:r w:rsidR="00D40A01">
        <w:rPr>
          <w:rStyle w:val="normaltextrun"/>
          <w:rFonts w:ascii="Arial" w:hAnsi="Arial" w:cs="Arial"/>
          <w:lang w:val="en-US"/>
        </w:rPr>
        <w:t>,</w:t>
      </w:r>
      <w:r w:rsidRPr="00A901C3">
        <w:rPr>
          <w:rStyle w:val="normaltextrun"/>
          <w:rFonts w:ascii="Arial" w:hAnsi="Arial" w:cs="Arial"/>
          <w:lang w:val="en-US"/>
        </w:rPr>
        <w:t xml:space="preserve"> </w:t>
      </w:r>
      <w:r w:rsidR="00861150">
        <w:rPr>
          <w:rStyle w:val="normaltextrun"/>
          <w:rFonts w:ascii="Arial" w:hAnsi="Arial" w:cs="Arial"/>
          <w:lang w:val="en-US"/>
        </w:rPr>
        <w:t>o</w:t>
      </w:r>
      <w:r w:rsidRPr="0427646F">
        <w:rPr>
          <w:rStyle w:val="normaltextrun"/>
          <w:rFonts w:ascii="Arial" w:hAnsi="Arial" w:cs="Arial"/>
          <w:lang w:val="en-US"/>
        </w:rPr>
        <w:t>nline learning</w:t>
      </w:r>
      <w:r w:rsidR="00D40A01">
        <w:rPr>
          <w:rStyle w:val="normaltextrun"/>
          <w:rFonts w:ascii="Arial" w:hAnsi="Arial" w:cs="Arial"/>
          <w:lang w:val="en-US"/>
        </w:rPr>
        <w:t>,</w:t>
      </w:r>
      <w:r w:rsidRPr="0427646F">
        <w:rPr>
          <w:rStyle w:val="normaltextrun"/>
          <w:rFonts w:ascii="Arial" w:hAnsi="Arial" w:cs="Arial"/>
          <w:lang w:val="en-US"/>
        </w:rPr>
        <w:t xml:space="preserve"> </w:t>
      </w:r>
      <w:r w:rsidR="00861150">
        <w:rPr>
          <w:rStyle w:val="normaltextrun"/>
          <w:rFonts w:ascii="Arial" w:hAnsi="Arial" w:cs="Arial"/>
          <w:lang w:val="en-US"/>
        </w:rPr>
        <w:t>d</w:t>
      </w:r>
      <w:r w:rsidRPr="00A901C3">
        <w:rPr>
          <w:rStyle w:val="normaltextrun"/>
          <w:rFonts w:ascii="Arial" w:hAnsi="Arial" w:cs="Arial"/>
          <w:lang w:val="en-US"/>
        </w:rPr>
        <w:t>igital transformation</w:t>
      </w:r>
      <w:r w:rsidR="00D40A01">
        <w:rPr>
          <w:rStyle w:val="normaltextrun"/>
          <w:rFonts w:ascii="Arial" w:hAnsi="Arial" w:cs="Arial"/>
          <w:lang w:val="en-US"/>
        </w:rPr>
        <w:t>,</w:t>
      </w:r>
      <w:r w:rsidRPr="00A901C3">
        <w:rPr>
          <w:rStyle w:val="normaltextrun"/>
          <w:rFonts w:ascii="Arial" w:hAnsi="Arial" w:cs="Arial"/>
          <w:lang w:val="en-US"/>
        </w:rPr>
        <w:t xml:space="preserve"> </w:t>
      </w:r>
      <w:r w:rsidR="00861150">
        <w:rPr>
          <w:rStyle w:val="normaltextrun"/>
          <w:rFonts w:ascii="Arial" w:hAnsi="Arial" w:cs="Arial"/>
          <w:lang w:val="en-US"/>
        </w:rPr>
        <w:t>d</w:t>
      </w:r>
      <w:r w:rsidRPr="0427646F">
        <w:rPr>
          <w:rStyle w:val="normaltextrun"/>
          <w:rFonts w:ascii="Arial" w:hAnsi="Arial" w:cs="Arial"/>
          <w:lang w:val="en-US"/>
        </w:rPr>
        <w:t>istant education</w:t>
      </w:r>
      <w:r w:rsidR="00D40A01">
        <w:rPr>
          <w:rStyle w:val="normaltextrun"/>
          <w:rFonts w:ascii="Arial" w:hAnsi="Arial" w:cs="Arial"/>
          <w:lang w:val="en-US"/>
        </w:rPr>
        <w:t>,</w:t>
      </w:r>
      <w:r w:rsidRPr="0427646F">
        <w:rPr>
          <w:rStyle w:val="normaltextrun"/>
          <w:rFonts w:ascii="Arial" w:hAnsi="Arial" w:cs="Arial"/>
          <w:lang w:val="en-US"/>
        </w:rPr>
        <w:t xml:space="preserve"> </w:t>
      </w:r>
      <w:r w:rsidR="00861150">
        <w:rPr>
          <w:rStyle w:val="normaltextrun"/>
          <w:rFonts w:ascii="Arial" w:hAnsi="Arial" w:cs="Arial"/>
          <w:lang w:val="en-US"/>
        </w:rPr>
        <w:t>h</w:t>
      </w:r>
      <w:r w:rsidRPr="0427646F">
        <w:rPr>
          <w:rStyle w:val="normaltextrun"/>
          <w:rFonts w:ascii="Arial" w:hAnsi="Arial" w:cs="Arial"/>
          <w:lang w:val="en-US"/>
        </w:rPr>
        <w:t>ybrid education</w:t>
      </w:r>
      <w:r w:rsidR="000D2F4A">
        <w:rPr>
          <w:rStyle w:val="normaltextrun"/>
          <w:rFonts w:ascii="Arial" w:hAnsi="Arial" w:cs="Arial"/>
          <w:lang w:val="en-US"/>
        </w:rPr>
        <w:t>,</w:t>
      </w:r>
      <w:r w:rsidRPr="0427646F">
        <w:rPr>
          <w:rStyle w:val="normaltextrun"/>
          <w:rFonts w:ascii="Arial" w:hAnsi="Arial" w:cs="Arial"/>
          <w:lang w:val="en-US"/>
        </w:rPr>
        <w:t xml:space="preserve"> </w:t>
      </w:r>
      <w:r w:rsidR="00861150">
        <w:rPr>
          <w:rStyle w:val="normaltextrun"/>
          <w:rFonts w:ascii="Arial" w:hAnsi="Arial" w:cs="Arial"/>
          <w:lang w:val="en-US"/>
        </w:rPr>
        <w:t>e</w:t>
      </w:r>
      <w:r w:rsidRPr="00A901C3">
        <w:rPr>
          <w:rStyle w:val="normaltextrun"/>
          <w:rFonts w:ascii="Arial" w:hAnsi="Arial" w:cs="Arial"/>
          <w:lang w:val="en-US"/>
        </w:rPr>
        <w:t>ducational management</w:t>
      </w:r>
      <w:r w:rsidR="000D2F4A">
        <w:rPr>
          <w:rStyle w:val="normaltextrun"/>
          <w:rFonts w:ascii="Arial" w:hAnsi="Arial" w:cs="Arial"/>
          <w:lang w:val="en-US"/>
        </w:rPr>
        <w:t>,</w:t>
      </w:r>
      <w:r w:rsidRPr="00A901C3">
        <w:rPr>
          <w:rStyle w:val="normaltextrun"/>
          <w:rFonts w:ascii="Arial" w:hAnsi="Arial" w:cs="Arial"/>
          <w:lang w:val="en-US"/>
        </w:rPr>
        <w:t xml:space="preserve"> </w:t>
      </w:r>
      <w:r w:rsidR="00861150">
        <w:rPr>
          <w:rStyle w:val="normaltextrun"/>
          <w:rFonts w:ascii="Arial" w:hAnsi="Arial" w:cs="Arial"/>
          <w:lang w:val="en-US"/>
        </w:rPr>
        <w:t>e</w:t>
      </w:r>
      <w:r w:rsidRPr="00A901C3">
        <w:rPr>
          <w:rStyle w:val="normaltextrun"/>
          <w:rFonts w:ascii="Arial" w:hAnsi="Arial" w:cs="Arial"/>
          <w:lang w:val="en-US"/>
        </w:rPr>
        <w:t>ducational innovation</w:t>
      </w:r>
      <w:r w:rsidR="000D2F4A">
        <w:rPr>
          <w:rStyle w:val="normaltextrun"/>
          <w:rFonts w:ascii="Arial" w:hAnsi="Arial" w:cs="Arial"/>
          <w:lang w:val="en-US"/>
        </w:rPr>
        <w:t>,</w:t>
      </w:r>
      <w:r w:rsidRPr="00A901C3">
        <w:rPr>
          <w:rStyle w:val="normaltextrun"/>
          <w:rFonts w:ascii="Arial" w:hAnsi="Arial" w:cs="Arial"/>
          <w:lang w:val="en-US"/>
        </w:rPr>
        <w:t xml:space="preserve"> </w:t>
      </w:r>
      <w:r w:rsidR="00861150">
        <w:rPr>
          <w:rStyle w:val="normaltextrun"/>
          <w:rFonts w:ascii="Arial" w:hAnsi="Arial" w:cs="Arial"/>
          <w:lang w:val="en-US"/>
        </w:rPr>
        <w:t>d</w:t>
      </w:r>
      <w:r w:rsidRPr="00A901C3">
        <w:rPr>
          <w:rStyle w:val="normaltextrun"/>
          <w:rFonts w:ascii="Arial" w:hAnsi="Arial" w:cs="Arial"/>
          <w:lang w:val="en-US"/>
        </w:rPr>
        <w:t>igital credentials</w:t>
      </w:r>
      <w:r w:rsidR="000D2F4A">
        <w:rPr>
          <w:rStyle w:val="normaltextrun"/>
          <w:rFonts w:ascii="Arial" w:hAnsi="Arial" w:cs="Arial"/>
          <w:lang w:val="en-US"/>
        </w:rPr>
        <w:t>,</w:t>
      </w:r>
      <w:r w:rsidRPr="0427646F">
        <w:rPr>
          <w:rStyle w:val="normaltextrun"/>
          <w:rFonts w:ascii="Arial" w:hAnsi="Arial" w:cs="Arial"/>
          <w:lang w:val="en-US"/>
        </w:rPr>
        <w:t xml:space="preserve"> </w:t>
      </w:r>
      <w:r w:rsidR="00861150">
        <w:rPr>
          <w:rStyle w:val="normaltextrun"/>
          <w:rFonts w:ascii="Arial" w:hAnsi="Arial" w:cs="Arial"/>
          <w:lang w:val="en-US"/>
        </w:rPr>
        <w:t>d</w:t>
      </w:r>
      <w:r w:rsidRPr="0427646F">
        <w:rPr>
          <w:rStyle w:val="normaltextrun"/>
          <w:rFonts w:ascii="Arial" w:hAnsi="Arial" w:cs="Arial"/>
          <w:lang w:val="en-US"/>
        </w:rPr>
        <w:t>igital competencies</w:t>
      </w:r>
    </w:p>
    <w:p w14:paraId="33E16B89" w14:textId="77777777" w:rsidR="004E2253" w:rsidRDefault="004E2253" w:rsidP="00656C84">
      <w:pPr>
        <w:jc w:val="both"/>
        <w:rPr>
          <w:rStyle w:val="normaltextrun"/>
          <w:rFonts w:ascii="Arial" w:hAnsi="Arial" w:cs="Arial"/>
          <w:lang w:val="en-US" w:eastAsia="es-CR"/>
        </w:rPr>
      </w:pPr>
      <w:r>
        <w:rPr>
          <w:rStyle w:val="normaltextrun"/>
          <w:rFonts w:ascii="Arial" w:hAnsi="Arial" w:cs="Arial"/>
          <w:lang w:val="en-US"/>
        </w:rPr>
        <w:br w:type="page"/>
      </w:r>
    </w:p>
    <w:p w14:paraId="42A2F41A" w14:textId="77777777" w:rsidR="004F7551" w:rsidRPr="00FB2115" w:rsidRDefault="004F7551" w:rsidP="00656C84">
      <w:pPr>
        <w:snapToGrid w:val="0"/>
        <w:spacing w:after="240" w:line="360" w:lineRule="auto"/>
        <w:jc w:val="both"/>
        <w:rPr>
          <w:rFonts w:ascii="Arial" w:hAnsi="Arial" w:cs="Arial"/>
          <w:b/>
          <w:bCs/>
          <w:color w:val="000000" w:themeColor="text1"/>
        </w:rPr>
      </w:pPr>
      <w:r w:rsidRPr="00FB2115">
        <w:rPr>
          <w:rFonts w:ascii="Arial" w:hAnsi="Arial" w:cs="Arial"/>
          <w:b/>
          <w:bCs/>
        </w:rPr>
        <w:lastRenderedPageBreak/>
        <w:t>Introducción</w:t>
      </w:r>
    </w:p>
    <w:p w14:paraId="679B459C" w14:textId="48DFC229" w:rsidR="00B0251E" w:rsidRDefault="004F7551" w:rsidP="00656C84">
      <w:pPr>
        <w:spacing w:after="240" w:line="360" w:lineRule="auto"/>
        <w:jc w:val="both"/>
        <w:rPr>
          <w:rFonts w:ascii="Arial" w:hAnsi="Arial" w:cs="Arial"/>
          <w:color w:val="000000" w:themeColor="text1"/>
        </w:rPr>
      </w:pPr>
      <w:r w:rsidRPr="69792C27">
        <w:rPr>
          <w:rFonts w:ascii="Arial" w:hAnsi="Arial" w:cs="Arial"/>
          <w:color w:val="000000" w:themeColor="text1"/>
        </w:rPr>
        <w:t xml:space="preserve">La pandemia por </w:t>
      </w:r>
      <w:r w:rsidR="002756C6" w:rsidRPr="69792C27">
        <w:rPr>
          <w:rFonts w:ascii="Arial" w:hAnsi="Arial" w:cs="Arial"/>
          <w:color w:val="000000" w:themeColor="text1"/>
        </w:rPr>
        <w:t>covid</w:t>
      </w:r>
      <w:r w:rsidRPr="69792C27">
        <w:rPr>
          <w:rFonts w:ascii="Arial" w:hAnsi="Arial" w:cs="Arial"/>
          <w:color w:val="000000" w:themeColor="text1"/>
        </w:rPr>
        <w:t xml:space="preserve">-19 desencadenó una crisis educativa sin precedentes, </w:t>
      </w:r>
      <w:r w:rsidR="00B0251E">
        <w:rPr>
          <w:rFonts w:ascii="Arial" w:hAnsi="Arial" w:cs="Arial"/>
          <w:color w:val="000000" w:themeColor="text1"/>
        </w:rPr>
        <w:t>que forzó</w:t>
      </w:r>
      <w:r w:rsidR="00B0251E" w:rsidRPr="69792C27">
        <w:rPr>
          <w:rFonts w:ascii="Arial" w:hAnsi="Arial" w:cs="Arial"/>
          <w:color w:val="000000" w:themeColor="text1"/>
        </w:rPr>
        <w:t xml:space="preserve"> </w:t>
      </w:r>
      <w:r w:rsidRPr="69792C27">
        <w:rPr>
          <w:rFonts w:ascii="Arial" w:hAnsi="Arial" w:cs="Arial"/>
          <w:color w:val="000000" w:themeColor="text1"/>
        </w:rPr>
        <w:t xml:space="preserve">el cierre de instituciones educativas y una transición repentina hacia modalidades remotas en todo el mundo. En América Latina y el Caribe, más de 160 millones de estudiantes vieron interrumpidas sus clases presenciales (Comisión Económica para América Latina y el Caribe [CEPAL] </w:t>
      </w:r>
      <w:r w:rsidR="002756C6">
        <w:rPr>
          <w:rFonts w:ascii="Arial" w:hAnsi="Arial" w:cs="Arial"/>
          <w:color w:val="000000" w:themeColor="text1"/>
        </w:rPr>
        <w:t>y</w:t>
      </w:r>
      <w:r w:rsidRPr="69792C27">
        <w:rPr>
          <w:rFonts w:ascii="Arial" w:hAnsi="Arial" w:cs="Arial"/>
          <w:color w:val="000000" w:themeColor="text1"/>
        </w:rPr>
        <w:t xml:space="preserve"> Organización de las Naciones Unidas para la Educación, la Ciencia y la Cultura [UNESCO], 2020), </w:t>
      </w:r>
      <w:r w:rsidR="00B0251E">
        <w:rPr>
          <w:rFonts w:ascii="Arial" w:hAnsi="Arial" w:cs="Arial"/>
          <w:color w:val="000000" w:themeColor="text1"/>
        </w:rPr>
        <w:t>lo cual expuso</w:t>
      </w:r>
      <w:r w:rsidR="00B0251E" w:rsidRPr="69792C27">
        <w:rPr>
          <w:rFonts w:ascii="Arial" w:hAnsi="Arial" w:cs="Arial"/>
          <w:color w:val="000000" w:themeColor="text1"/>
        </w:rPr>
        <w:t xml:space="preserve"> </w:t>
      </w:r>
      <w:r w:rsidRPr="69792C27">
        <w:rPr>
          <w:rFonts w:ascii="Arial" w:hAnsi="Arial" w:cs="Arial"/>
          <w:color w:val="000000" w:themeColor="text1"/>
        </w:rPr>
        <w:t xml:space="preserve">profundas brechas en infraestructura digital, capacitación docente y preparación institucional para la educación en línea (Álvarez Marinelli </w:t>
      </w:r>
      <w:r w:rsidRPr="00BE059F">
        <w:rPr>
          <w:rFonts w:ascii="Arial" w:hAnsi="Arial" w:cs="Arial"/>
          <w:i/>
          <w:iCs/>
          <w:color w:val="000000" w:themeColor="text1"/>
        </w:rPr>
        <w:t>et al.</w:t>
      </w:r>
      <w:r w:rsidRPr="69792C27">
        <w:rPr>
          <w:rFonts w:ascii="Arial" w:hAnsi="Arial" w:cs="Arial"/>
          <w:color w:val="000000" w:themeColor="text1"/>
        </w:rPr>
        <w:t>, 2020).</w:t>
      </w:r>
    </w:p>
    <w:p w14:paraId="007B5234" w14:textId="563A51EB" w:rsidR="004F7551" w:rsidRDefault="004F7551" w:rsidP="00656C84">
      <w:pPr>
        <w:spacing w:after="240" w:line="360" w:lineRule="auto"/>
        <w:jc w:val="both"/>
        <w:rPr>
          <w:rFonts w:ascii="Arial" w:hAnsi="Arial" w:cs="Arial"/>
          <w:color w:val="000000" w:themeColor="text1"/>
        </w:rPr>
      </w:pPr>
      <w:r w:rsidRPr="69792C27">
        <w:rPr>
          <w:rFonts w:ascii="Arial" w:hAnsi="Arial" w:cs="Arial"/>
          <w:color w:val="000000" w:themeColor="text1"/>
        </w:rPr>
        <w:t xml:space="preserve">En respuesta a esta emergencia, el Banco Interamericano de Desarrollo (BID) lanzó la iniciativa </w:t>
      </w:r>
      <w:proofErr w:type="spellStart"/>
      <w:r w:rsidRPr="69792C27">
        <w:rPr>
          <w:rFonts w:ascii="Arial" w:hAnsi="Arial" w:cs="Arial"/>
          <w:i/>
          <w:iCs/>
          <w:color w:val="000000" w:themeColor="text1"/>
        </w:rPr>
        <w:t>Movingonline</w:t>
      </w:r>
      <w:proofErr w:type="spellEnd"/>
      <w:r w:rsidRPr="69792C27">
        <w:rPr>
          <w:rFonts w:ascii="Arial" w:hAnsi="Arial" w:cs="Arial"/>
          <w:color w:val="000000" w:themeColor="text1"/>
        </w:rPr>
        <w:t xml:space="preserve">, dirigida a apoyar rápidamente a </w:t>
      </w:r>
      <w:r w:rsidR="00B0251E">
        <w:rPr>
          <w:rFonts w:ascii="Arial" w:hAnsi="Arial" w:cs="Arial"/>
          <w:color w:val="000000" w:themeColor="text1"/>
        </w:rPr>
        <w:t xml:space="preserve">personas </w:t>
      </w:r>
      <w:r w:rsidRPr="69792C27">
        <w:rPr>
          <w:rFonts w:ascii="Arial" w:hAnsi="Arial" w:cs="Arial"/>
          <w:color w:val="000000" w:themeColor="text1"/>
        </w:rPr>
        <w:t>docentes y administrador</w:t>
      </w:r>
      <w:r w:rsidR="00B0251E">
        <w:rPr>
          <w:rFonts w:ascii="Arial" w:hAnsi="Arial" w:cs="Arial"/>
          <w:color w:val="000000" w:themeColor="text1"/>
        </w:rPr>
        <w:t>a</w:t>
      </w:r>
      <w:r w:rsidRPr="69792C27">
        <w:rPr>
          <w:rFonts w:ascii="Arial" w:hAnsi="Arial" w:cs="Arial"/>
          <w:color w:val="000000" w:themeColor="text1"/>
        </w:rPr>
        <w:t>s educativ</w:t>
      </w:r>
      <w:r w:rsidR="00B0251E">
        <w:rPr>
          <w:rFonts w:ascii="Arial" w:hAnsi="Arial" w:cs="Arial"/>
          <w:color w:val="000000" w:themeColor="text1"/>
        </w:rPr>
        <w:t>a</w:t>
      </w:r>
      <w:r w:rsidRPr="69792C27">
        <w:rPr>
          <w:rFonts w:ascii="Arial" w:hAnsi="Arial" w:cs="Arial"/>
          <w:color w:val="000000" w:themeColor="text1"/>
        </w:rPr>
        <w:t xml:space="preserve">s de la región en el traslado de la enseñanza presencial a entornos virtuales. La iniciativa brindó recursos abiertos, formación acelerada (webinarios, talleres, </w:t>
      </w:r>
      <w:proofErr w:type="spellStart"/>
      <w:r w:rsidRPr="69792C27">
        <w:rPr>
          <w:rFonts w:ascii="Arial" w:hAnsi="Arial" w:cs="Arial"/>
          <w:i/>
          <w:iCs/>
          <w:color w:val="000000" w:themeColor="text1"/>
        </w:rPr>
        <w:t>bootcamps</w:t>
      </w:r>
      <w:proofErr w:type="spellEnd"/>
      <w:r w:rsidRPr="69792C27">
        <w:rPr>
          <w:rFonts w:ascii="Arial" w:hAnsi="Arial" w:cs="Arial"/>
          <w:color w:val="000000" w:themeColor="text1"/>
        </w:rPr>
        <w:t>) y espacios para comunidades de práctica, para intercambiar soluciones a los desafíos de la educación remota en el contexto de la crisis.</w:t>
      </w:r>
    </w:p>
    <w:p w14:paraId="160D56AE" w14:textId="46ACD12C" w:rsidR="004F7551" w:rsidRDefault="004F7551" w:rsidP="00656C84">
      <w:pPr>
        <w:spacing w:after="240" w:line="360" w:lineRule="auto"/>
        <w:jc w:val="both"/>
        <w:rPr>
          <w:rFonts w:ascii="Arial" w:hAnsi="Arial" w:cs="Arial"/>
          <w:color w:val="000000" w:themeColor="text1"/>
        </w:rPr>
      </w:pPr>
      <w:r w:rsidRPr="00FB2115">
        <w:rPr>
          <w:rFonts w:ascii="Arial" w:hAnsi="Arial" w:cs="Arial"/>
          <w:color w:val="000000" w:themeColor="text1"/>
        </w:rPr>
        <w:t>Aunque la educación a distancia y en línea existen desde hace décadas y se desarrollaron con fines y características propi</w:t>
      </w:r>
      <w:r w:rsidR="00B0251E">
        <w:rPr>
          <w:rFonts w:ascii="Arial" w:hAnsi="Arial" w:cs="Arial"/>
          <w:color w:val="000000" w:themeColor="text1"/>
        </w:rPr>
        <w:t>o</w:t>
      </w:r>
      <w:r w:rsidRPr="00FB2115">
        <w:rPr>
          <w:rFonts w:ascii="Arial" w:hAnsi="Arial" w:cs="Arial"/>
          <w:color w:val="000000" w:themeColor="text1"/>
        </w:rPr>
        <w:t xml:space="preserve">s, durante la emergencia sanitaria se convirtieron en una solución imprescindible. Sin embargo, es fundamental reconocer que no </w:t>
      </w:r>
      <w:r w:rsidR="00B0251E">
        <w:rPr>
          <w:rFonts w:ascii="Arial" w:hAnsi="Arial" w:cs="Arial"/>
          <w:color w:val="000000" w:themeColor="text1"/>
        </w:rPr>
        <w:t>se concibieron</w:t>
      </w:r>
      <w:r w:rsidRPr="00FB2115">
        <w:rPr>
          <w:rFonts w:ascii="Arial" w:hAnsi="Arial" w:cs="Arial"/>
          <w:color w:val="000000" w:themeColor="text1"/>
        </w:rPr>
        <w:t xml:space="preserve"> como una respuesta </w:t>
      </w:r>
      <w:r>
        <w:rPr>
          <w:rFonts w:ascii="Arial" w:hAnsi="Arial" w:cs="Arial"/>
          <w:color w:val="000000" w:themeColor="text1"/>
        </w:rPr>
        <w:t>emergente</w:t>
      </w:r>
      <w:r w:rsidRPr="00FB2115">
        <w:rPr>
          <w:rFonts w:ascii="Arial" w:hAnsi="Arial" w:cs="Arial"/>
          <w:color w:val="000000" w:themeColor="text1"/>
        </w:rPr>
        <w:t xml:space="preserve"> para reemplazar la educación presencial. Progresivamente,</w:t>
      </w:r>
      <w:r w:rsidRPr="008C11C4">
        <w:rPr>
          <w:lang w:val="es-ES"/>
        </w:rPr>
        <w:t xml:space="preserve"> </w:t>
      </w:r>
      <w:r w:rsidRPr="00FB2115">
        <w:rPr>
          <w:rFonts w:ascii="Arial" w:hAnsi="Arial" w:cs="Arial"/>
          <w:color w:val="000000" w:themeColor="text1"/>
        </w:rPr>
        <w:t xml:space="preserve">comenzaron a consolidarse enfoques híbridos </w:t>
      </w:r>
      <w:r w:rsidR="00B0251E">
        <w:rPr>
          <w:rFonts w:ascii="Arial" w:hAnsi="Arial" w:cs="Arial"/>
          <w:color w:val="000000" w:themeColor="text1"/>
        </w:rPr>
        <w:t xml:space="preserve">con </w:t>
      </w:r>
      <w:r w:rsidRPr="00FB2115">
        <w:rPr>
          <w:rFonts w:ascii="Arial" w:hAnsi="Arial" w:cs="Arial"/>
          <w:color w:val="000000" w:themeColor="text1"/>
        </w:rPr>
        <w:t xml:space="preserve">el potencial de integrar lo mejor de ambos formatos. Estos modelos </w:t>
      </w:r>
      <w:r>
        <w:rPr>
          <w:rFonts w:ascii="Arial" w:hAnsi="Arial" w:cs="Arial"/>
          <w:color w:val="000000" w:themeColor="text1"/>
        </w:rPr>
        <w:t>“</w:t>
      </w:r>
      <w:r w:rsidRPr="008C11C4">
        <w:rPr>
          <w:rFonts w:ascii="Arial" w:hAnsi="Arial" w:cs="Arial"/>
          <w:color w:val="000000" w:themeColor="text1"/>
        </w:rPr>
        <w:t xml:space="preserve">no deben reemplazar la labor docente ni suplir la presencialidad, sino </w:t>
      </w:r>
      <w:r w:rsidRPr="008C11C4">
        <w:rPr>
          <w:rFonts w:ascii="Arial" w:hAnsi="Arial" w:cs="Arial"/>
          <w:color w:val="000000" w:themeColor="text1"/>
        </w:rPr>
        <w:lastRenderedPageBreak/>
        <w:t>aprovechar las nuevas oportunidades que presentan</w:t>
      </w:r>
      <w:r>
        <w:rPr>
          <w:rFonts w:ascii="Arial" w:hAnsi="Arial" w:cs="Arial"/>
          <w:color w:val="000000" w:themeColor="text1"/>
        </w:rPr>
        <w:t>”</w:t>
      </w:r>
      <w:r w:rsidRPr="00FB2115">
        <w:rPr>
          <w:rFonts w:ascii="Arial" w:hAnsi="Arial" w:cs="Arial"/>
          <w:color w:val="000000" w:themeColor="text1"/>
        </w:rPr>
        <w:t xml:space="preserve">, y orientarse a mejorar la calidad e inclusión de los aprendizajes mediante herramientas digitales (Arias Ortiz </w:t>
      </w:r>
      <w:r w:rsidRPr="00BE059F">
        <w:rPr>
          <w:rFonts w:ascii="Arial" w:hAnsi="Arial" w:cs="Arial"/>
          <w:i/>
          <w:iCs/>
          <w:color w:val="000000" w:themeColor="text1"/>
        </w:rPr>
        <w:t>et al</w:t>
      </w:r>
      <w:r w:rsidRPr="008C11C4">
        <w:rPr>
          <w:rFonts w:ascii="Arial" w:hAnsi="Arial" w:cs="Arial"/>
          <w:color w:val="000000" w:themeColor="text1"/>
        </w:rPr>
        <w:t>.</w:t>
      </w:r>
      <w:r w:rsidRPr="00FB2115">
        <w:rPr>
          <w:rFonts w:ascii="Arial" w:hAnsi="Arial" w:cs="Arial"/>
          <w:color w:val="000000" w:themeColor="text1"/>
        </w:rPr>
        <w:t>, 2020</w:t>
      </w:r>
      <w:r w:rsidRPr="2E0525B4">
        <w:rPr>
          <w:rFonts w:ascii="Arial" w:hAnsi="Arial" w:cs="Arial"/>
          <w:color w:val="000000" w:themeColor="text1"/>
        </w:rPr>
        <w:t>, párr. 7</w:t>
      </w:r>
      <w:r w:rsidRPr="00FB2115">
        <w:rPr>
          <w:rFonts w:ascii="Arial" w:hAnsi="Arial" w:cs="Arial"/>
          <w:color w:val="000000" w:themeColor="text1"/>
        </w:rPr>
        <w:t>).</w:t>
      </w:r>
    </w:p>
    <w:p w14:paraId="24F4BD59" w14:textId="4B287A15" w:rsidR="00F45B14" w:rsidRDefault="004F7551" w:rsidP="00656C84">
      <w:pPr>
        <w:spacing w:after="240" w:line="360" w:lineRule="auto"/>
        <w:jc w:val="both"/>
        <w:rPr>
          <w:rFonts w:ascii="Arial" w:hAnsi="Arial" w:cs="Arial"/>
          <w:color w:val="000000" w:themeColor="text1"/>
        </w:rPr>
      </w:pPr>
      <w:r w:rsidRPr="00FB2115">
        <w:rPr>
          <w:rFonts w:ascii="Arial" w:hAnsi="Arial" w:cs="Arial"/>
          <w:color w:val="000000" w:themeColor="text1"/>
        </w:rPr>
        <w:t xml:space="preserve">Durante la emergencia, se generó la percepción errónea de que el modelo a distancia podría replicar el presencial, lo </w:t>
      </w:r>
      <w:r w:rsidR="00B0251E">
        <w:rPr>
          <w:rFonts w:ascii="Arial" w:hAnsi="Arial" w:cs="Arial"/>
          <w:color w:val="000000" w:themeColor="text1"/>
        </w:rPr>
        <w:t>cual</w:t>
      </w:r>
      <w:r w:rsidR="00B0251E" w:rsidRPr="00FB2115">
        <w:rPr>
          <w:rFonts w:ascii="Arial" w:hAnsi="Arial" w:cs="Arial"/>
          <w:color w:val="000000" w:themeColor="text1"/>
        </w:rPr>
        <w:t xml:space="preserve"> </w:t>
      </w:r>
      <w:r w:rsidRPr="00FB2115">
        <w:rPr>
          <w:rFonts w:ascii="Arial" w:hAnsi="Arial" w:cs="Arial"/>
          <w:color w:val="000000" w:themeColor="text1"/>
        </w:rPr>
        <w:t xml:space="preserve">ocasionó desconfianza en cuanto a su efectividad. Cada uno de estos modelos posee sus propias ventajas y limitaciones, y requiere </w:t>
      </w:r>
      <w:r w:rsidR="00B0251E">
        <w:rPr>
          <w:rFonts w:ascii="Arial" w:hAnsi="Arial" w:cs="Arial"/>
          <w:color w:val="000000" w:themeColor="text1"/>
        </w:rPr>
        <w:t xml:space="preserve">de </w:t>
      </w:r>
      <w:r w:rsidRPr="00FB2115">
        <w:rPr>
          <w:rFonts w:ascii="Arial" w:hAnsi="Arial" w:cs="Arial"/>
          <w:color w:val="000000" w:themeColor="text1"/>
        </w:rPr>
        <w:t xml:space="preserve">estrategias de enseñanza-aprendizaje diferenciadas. La reproducción mecánica de prácticas presenciales en entornos virtuales puede conducir a procesos de </w:t>
      </w:r>
      <w:proofErr w:type="spellStart"/>
      <w:r w:rsidRPr="00FB2115">
        <w:rPr>
          <w:rFonts w:ascii="Arial" w:hAnsi="Arial" w:cs="Arial"/>
          <w:color w:val="000000" w:themeColor="text1"/>
        </w:rPr>
        <w:t>esclerotización</w:t>
      </w:r>
      <w:proofErr w:type="spellEnd"/>
      <w:r w:rsidRPr="00FB2115">
        <w:rPr>
          <w:rFonts w:ascii="Arial" w:hAnsi="Arial" w:cs="Arial"/>
          <w:color w:val="000000" w:themeColor="text1"/>
        </w:rPr>
        <w:t xml:space="preserve"> (</w:t>
      </w:r>
      <w:proofErr w:type="spellStart"/>
      <w:r w:rsidRPr="00FB2115">
        <w:rPr>
          <w:rFonts w:ascii="Arial" w:hAnsi="Arial" w:cs="Arial"/>
          <w:color w:val="000000" w:themeColor="text1"/>
        </w:rPr>
        <w:t>Maggio</w:t>
      </w:r>
      <w:proofErr w:type="spellEnd"/>
      <w:r w:rsidRPr="00FB2115">
        <w:rPr>
          <w:rFonts w:ascii="Arial" w:hAnsi="Arial" w:cs="Arial"/>
          <w:color w:val="000000" w:themeColor="text1"/>
        </w:rPr>
        <w:t>, 2021)</w:t>
      </w:r>
      <w:r w:rsidR="00B0251E">
        <w:rPr>
          <w:rFonts w:ascii="Arial" w:hAnsi="Arial" w:cs="Arial"/>
          <w:color w:val="000000" w:themeColor="text1"/>
        </w:rPr>
        <w:t>;</w:t>
      </w:r>
      <w:r w:rsidRPr="00FB2115">
        <w:rPr>
          <w:rFonts w:ascii="Arial" w:hAnsi="Arial" w:cs="Arial"/>
          <w:color w:val="000000" w:themeColor="text1"/>
        </w:rPr>
        <w:t xml:space="preserve"> es decir, a una rigidez en las propuestas pedagógicas que limita la innovación y el aprovechamiento genuino de las tecnologías digitales como apoyo al proceso de aprendizaje. La educación remota no equivale a presencialidad mediada por tecnología.</w:t>
      </w:r>
    </w:p>
    <w:p w14:paraId="18C3171F" w14:textId="6FE7E5F8" w:rsidR="004F7551" w:rsidRDefault="00F45B14" w:rsidP="00656C84">
      <w:pPr>
        <w:spacing w:after="240" w:line="360" w:lineRule="auto"/>
        <w:jc w:val="both"/>
        <w:rPr>
          <w:rFonts w:ascii="Arial" w:hAnsi="Arial" w:cs="Arial"/>
          <w:color w:val="000000" w:themeColor="text1"/>
        </w:rPr>
      </w:pPr>
      <w:r>
        <w:rPr>
          <w:rFonts w:ascii="Arial" w:hAnsi="Arial" w:cs="Arial"/>
          <w:color w:val="000000" w:themeColor="text1"/>
          <w:lang w:val="es-ES"/>
        </w:rPr>
        <w:t>Así, l</w:t>
      </w:r>
      <w:r w:rsidR="004F7551" w:rsidRPr="008C11C4">
        <w:rPr>
          <w:rFonts w:ascii="Arial" w:hAnsi="Arial" w:cs="Arial"/>
          <w:color w:val="000000" w:themeColor="text1"/>
          <w:lang w:val="es-ES"/>
        </w:rPr>
        <w:t xml:space="preserve">a premisa que guía </w:t>
      </w:r>
      <w:r>
        <w:rPr>
          <w:rFonts w:ascii="Arial" w:hAnsi="Arial" w:cs="Arial"/>
          <w:color w:val="000000" w:themeColor="text1"/>
          <w:lang w:val="es-ES"/>
        </w:rPr>
        <w:t>este</w:t>
      </w:r>
      <w:r w:rsidRPr="008C11C4">
        <w:rPr>
          <w:rFonts w:ascii="Arial" w:hAnsi="Arial" w:cs="Arial"/>
          <w:color w:val="000000" w:themeColor="text1"/>
          <w:lang w:val="es-ES"/>
        </w:rPr>
        <w:t xml:space="preserve"> </w:t>
      </w:r>
      <w:r w:rsidR="004F7551" w:rsidRPr="008C11C4">
        <w:rPr>
          <w:rFonts w:ascii="Arial" w:hAnsi="Arial" w:cs="Arial"/>
          <w:color w:val="000000" w:themeColor="text1"/>
          <w:lang w:val="es-ES"/>
        </w:rPr>
        <w:t xml:space="preserve">análisis, respaldada por los hallazgos de Álvarez Marinelli </w:t>
      </w:r>
      <w:r w:rsidR="004F7551" w:rsidRPr="00BE059F">
        <w:rPr>
          <w:rFonts w:ascii="Arial" w:hAnsi="Arial" w:cs="Arial"/>
          <w:i/>
          <w:iCs/>
          <w:color w:val="000000" w:themeColor="text1"/>
          <w:lang w:val="es-ES"/>
        </w:rPr>
        <w:t>et al</w:t>
      </w:r>
      <w:r w:rsidR="004F7551" w:rsidRPr="008C11C4">
        <w:rPr>
          <w:rFonts w:ascii="Arial" w:hAnsi="Arial" w:cs="Arial"/>
          <w:color w:val="000000" w:themeColor="text1"/>
          <w:lang w:val="es-ES"/>
        </w:rPr>
        <w:t xml:space="preserve">. (2020) sobre las brechas </w:t>
      </w:r>
      <w:r>
        <w:rPr>
          <w:rFonts w:ascii="Arial" w:hAnsi="Arial" w:cs="Arial"/>
          <w:color w:val="000000" w:themeColor="text1"/>
          <w:lang w:val="es-ES"/>
        </w:rPr>
        <w:t>de la</w:t>
      </w:r>
      <w:r w:rsidRPr="008C11C4">
        <w:rPr>
          <w:rFonts w:ascii="Arial" w:hAnsi="Arial" w:cs="Arial"/>
          <w:color w:val="000000" w:themeColor="text1"/>
          <w:lang w:val="es-ES"/>
        </w:rPr>
        <w:t xml:space="preserve"> </w:t>
      </w:r>
      <w:r w:rsidR="004F7551" w:rsidRPr="008C11C4">
        <w:rPr>
          <w:rFonts w:ascii="Arial" w:hAnsi="Arial" w:cs="Arial"/>
          <w:color w:val="000000" w:themeColor="text1"/>
          <w:lang w:val="es-ES"/>
        </w:rPr>
        <w:t xml:space="preserve">preparación institucional, es que la pandemia actuó como catalizador de la transformación digital en la educación, </w:t>
      </w:r>
      <w:r>
        <w:rPr>
          <w:rFonts w:ascii="Arial" w:hAnsi="Arial" w:cs="Arial"/>
          <w:color w:val="000000" w:themeColor="text1"/>
          <w:lang w:val="es-ES"/>
        </w:rPr>
        <w:t>al revelar</w:t>
      </w:r>
      <w:r w:rsidRPr="008C11C4">
        <w:rPr>
          <w:rFonts w:ascii="Arial" w:hAnsi="Arial" w:cs="Arial"/>
          <w:color w:val="000000" w:themeColor="text1"/>
          <w:lang w:val="es-ES"/>
        </w:rPr>
        <w:t xml:space="preserve"> </w:t>
      </w:r>
      <w:r w:rsidR="004F7551" w:rsidRPr="008C11C4">
        <w:rPr>
          <w:rFonts w:ascii="Arial" w:hAnsi="Arial" w:cs="Arial"/>
          <w:color w:val="000000" w:themeColor="text1"/>
          <w:lang w:val="es-ES"/>
        </w:rPr>
        <w:t>tanto deficiencias preexistentes como innovaciones potenciales en el desarrollo profesional docente. Como señala</w:t>
      </w:r>
      <w:r w:rsidR="004F7551" w:rsidRPr="2C4B3932">
        <w:rPr>
          <w:rFonts w:ascii="Arial" w:hAnsi="Arial" w:cs="Arial"/>
          <w:color w:val="000000" w:themeColor="text1"/>
          <w:lang w:val="es-ES"/>
        </w:rPr>
        <w:t>n</w:t>
      </w:r>
      <w:r w:rsidR="004F7551" w:rsidRPr="008C11C4">
        <w:rPr>
          <w:rFonts w:ascii="Arial" w:hAnsi="Arial" w:cs="Arial"/>
          <w:color w:val="000000" w:themeColor="text1"/>
          <w:lang w:val="es-ES"/>
        </w:rPr>
        <w:t xml:space="preserve"> </w:t>
      </w:r>
      <w:r w:rsidR="004F7551" w:rsidRPr="008C11C4" w:rsidDel="00591CAB">
        <w:rPr>
          <w:rFonts w:ascii="Arial" w:hAnsi="Arial" w:cs="Arial"/>
          <w:color w:val="000000" w:themeColor="text1"/>
          <w:lang w:val="es-ES"/>
        </w:rPr>
        <w:t>Dussel</w:t>
      </w:r>
      <w:r w:rsidR="004F7551" w:rsidRPr="111EA449">
        <w:rPr>
          <w:rFonts w:ascii="Arial" w:hAnsi="Arial" w:cs="Arial"/>
          <w:color w:val="000000" w:themeColor="text1"/>
          <w:lang w:val="es-ES"/>
        </w:rPr>
        <w:t xml:space="preserve">, </w:t>
      </w:r>
      <w:proofErr w:type="spellStart"/>
      <w:r w:rsidR="004F7551" w:rsidRPr="111EA449">
        <w:rPr>
          <w:rFonts w:ascii="Arial" w:hAnsi="Arial" w:cs="Arial"/>
          <w:color w:val="000000" w:themeColor="text1"/>
          <w:lang w:val="es-ES"/>
        </w:rPr>
        <w:t>Ferrante</w:t>
      </w:r>
      <w:proofErr w:type="spellEnd"/>
      <w:r w:rsidR="004F7551" w:rsidRPr="111EA449">
        <w:rPr>
          <w:rFonts w:ascii="Arial" w:hAnsi="Arial" w:cs="Arial"/>
          <w:color w:val="000000" w:themeColor="text1"/>
          <w:lang w:val="es-ES"/>
        </w:rPr>
        <w:t xml:space="preserve"> y </w:t>
      </w:r>
      <w:proofErr w:type="spellStart"/>
      <w:r w:rsidR="004F7551" w:rsidRPr="111EA449">
        <w:rPr>
          <w:rFonts w:ascii="Arial" w:hAnsi="Arial" w:cs="Arial"/>
          <w:color w:val="000000" w:themeColor="text1"/>
          <w:lang w:val="es-ES"/>
        </w:rPr>
        <w:t>Pulfer</w:t>
      </w:r>
      <w:proofErr w:type="spellEnd"/>
      <w:r w:rsidR="004F7551" w:rsidRPr="00591CAB">
        <w:rPr>
          <w:rFonts w:ascii="Arial" w:hAnsi="Arial" w:cs="Arial"/>
          <w:color w:val="000000" w:themeColor="text1"/>
          <w:lang w:val="es-ES"/>
        </w:rPr>
        <w:t xml:space="preserve"> </w:t>
      </w:r>
      <w:r w:rsidR="004F7551" w:rsidRPr="008C11C4">
        <w:rPr>
          <w:rFonts w:ascii="Arial" w:hAnsi="Arial" w:cs="Arial"/>
          <w:color w:val="000000" w:themeColor="text1"/>
          <w:lang w:val="es-ES"/>
        </w:rPr>
        <w:t>(2020), esta crisis expuso la necesidad urgente de reconfigurar no solo las herramientas, sino los tiempos y espacios educativos.</w:t>
      </w:r>
      <w:r w:rsidR="004F7551" w:rsidRPr="0081091E" w:rsidDel="0081091E">
        <w:rPr>
          <w:rFonts w:ascii="Arial" w:hAnsi="Arial" w:cs="Arial"/>
          <w:color w:val="000000" w:themeColor="text1"/>
        </w:rPr>
        <w:t xml:space="preserve"> </w:t>
      </w:r>
      <w:r w:rsidR="004F7551" w:rsidRPr="00FB2115">
        <w:rPr>
          <w:rFonts w:ascii="Arial" w:hAnsi="Arial" w:cs="Arial"/>
          <w:color w:val="000000" w:themeColor="text1"/>
        </w:rPr>
        <w:t xml:space="preserve">La experiencia de </w:t>
      </w:r>
      <w:proofErr w:type="spellStart"/>
      <w:r w:rsidR="004F7551" w:rsidRPr="00DB6859">
        <w:rPr>
          <w:rFonts w:ascii="Arial" w:hAnsi="Arial" w:cs="Arial"/>
          <w:i/>
          <w:iCs/>
          <w:color w:val="000000" w:themeColor="text1"/>
        </w:rPr>
        <w:t>Movingonline</w:t>
      </w:r>
      <w:proofErr w:type="spellEnd"/>
      <w:r w:rsidR="004F7551" w:rsidRPr="00FB2115">
        <w:rPr>
          <w:rFonts w:ascii="Arial" w:hAnsi="Arial" w:cs="Arial"/>
          <w:color w:val="000000" w:themeColor="text1"/>
        </w:rPr>
        <w:t xml:space="preserve"> evidenció la importancia de pasar de soluciones improvisadas y reactivas</w:t>
      </w:r>
      <w:r>
        <w:rPr>
          <w:rFonts w:ascii="Arial" w:hAnsi="Arial" w:cs="Arial"/>
          <w:color w:val="000000" w:themeColor="text1"/>
        </w:rPr>
        <w:t xml:space="preserve"> </w:t>
      </w:r>
      <w:r w:rsidR="004F7551" w:rsidRPr="00FB2115">
        <w:rPr>
          <w:rFonts w:ascii="Arial" w:hAnsi="Arial" w:cs="Arial"/>
          <w:color w:val="000000" w:themeColor="text1"/>
        </w:rPr>
        <w:t xml:space="preserve">a enfoques planificados y sostenibles para el desarrollo de las competencias digitales </w:t>
      </w:r>
      <w:r w:rsidR="004F7551" w:rsidRPr="759BE691">
        <w:rPr>
          <w:rFonts w:ascii="Arial" w:hAnsi="Arial" w:cs="Arial"/>
          <w:color w:val="000000" w:themeColor="text1"/>
          <w:lang w:val="es-ES"/>
        </w:rPr>
        <w:t>del profesorado</w:t>
      </w:r>
      <w:r w:rsidR="004F7551" w:rsidRPr="00FB2115">
        <w:rPr>
          <w:rFonts w:ascii="Arial" w:hAnsi="Arial" w:cs="Arial"/>
          <w:color w:val="000000" w:themeColor="text1"/>
        </w:rPr>
        <w:t>, en línea con</w:t>
      </w:r>
      <w:r>
        <w:rPr>
          <w:rFonts w:ascii="Arial" w:hAnsi="Arial" w:cs="Arial"/>
          <w:color w:val="000000" w:themeColor="text1"/>
        </w:rPr>
        <w:t xml:space="preserve"> las</w:t>
      </w:r>
      <w:r w:rsidR="004F7551" w:rsidRPr="00FB2115">
        <w:rPr>
          <w:rFonts w:ascii="Arial" w:hAnsi="Arial" w:cs="Arial"/>
          <w:color w:val="000000" w:themeColor="text1"/>
        </w:rPr>
        <w:t xml:space="preserve"> directrices de organismos internacionales.</w:t>
      </w:r>
    </w:p>
    <w:p w14:paraId="1925BE61" w14:textId="56B00A30" w:rsidR="00F96E87" w:rsidRPr="00BE059F" w:rsidRDefault="004F7551" w:rsidP="00656C84">
      <w:pPr>
        <w:spacing w:after="240" w:line="360" w:lineRule="auto"/>
        <w:jc w:val="both"/>
        <w:rPr>
          <w:rFonts w:ascii="Arial" w:hAnsi="Arial" w:cs="Arial"/>
          <w:color w:val="000000" w:themeColor="text1"/>
        </w:rPr>
      </w:pPr>
      <w:r w:rsidRPr="69792C27">
        <w:rPr>
          <w:rFonts w:ascii="Arial" w:hAnsi="Arial" w:cs="Arial"/>
          <w:color w:val="000000" w:themeColor="text1"/>
        </w:rPr>
        <w:t xml:space="preserve">A partir de dicha experiencia, en este ensayo se analizan críticamente tres cuestiones centrales de cara al futuro del desarrollo profesional docente y de la gestión de la educación de adultos </w:t>
      </w:r>
      <w:proofErr w:type="spellStart"/>
      <w:r w:rsidRPr="69792C27">
        <w:rPr>
          <w:rFonts w:ascii="Arial" w:hAnsi="Arial" w:cs="Arial"/>
          <w:color w:val="000000" w:themeColor="text1"/>
        </w:rPr>
        <w:lastRenderedPageBreak/>
        <w:t>pospandemia</w:t>
      </w:r>
      <w:proofErr w:type="spellEnd"/>
      <w:r w:rsidRPr="69792C27">
        <w:rPr>
          <w:rFonts w:ascii="Arial" w:hAnsi="Arial" w:cs="Arial"/>
          <w:color w:val="000000" w:themeColor="text1"/>
        </w:rPr>
        <w:t xml:space="preserve">: (1) ¿qué comprendemos ahora de manera diferente sobre las necesidades de formación a largo plazo de docentes y </w:t>
      </w:r>
      <w:r w:rsidR="00F96E87">
        <w:rPr>
          <w:rFonts w:ascii="Arial" w:hAnsi="Arial" w:cs="Arial"/>
          <w:color w:val="000000" w:themeColor="text1"/>
        </w:rPr>
        <w:t xml:space="preserve">personas </w:t>
      </w:r>
      <w:r w:rsidRPr="69792C27">
        <w:rPr>
          <w:rFonts w:ascii="Arial" w:hAnsi="Arial" w:cs="Arial"/>
          <w:color w:val="000000" w:themeColor="text1"/>
        </w:rPr>
        <w:t>gestor</w:t>
      </w:r>
      <w:r w:rsidR="00F96E87">
        <w:rPr>
          <w:rFonts w:ascii="Arial" w:hAnsi="Arial" w:cs="Arial"/>
          <w:color w:val="000000" w:themeColor="text1"/>
        </w:rPr>
        <w:t>a</w:t>
      </w:r>
      <w:r w:rsidRPr="69792C27">
        <w:rPr>
          <w:rFonts w:ascii="Arial" w:hAnsi="Arial" w:cs="Arial"/>
          <w:color w:val="000000" w:themeColor="text1"/>
        </w:rPr>
        <w:t>s educativ</w:t>
      </w:r>
      <w:r w:rsidR="00F96E87">
        <w:rPr>
          <w:rFonts w:ascii="Arial" w:hAnsi="Arial" w:cs="Arial"/>
          <w:color w:val="000000" w:themeColor="text1"/>
        </w:rPr>
        <w:t>a</w:t>
      </w:r>
      <w:r w:rsidRPr="69792C27">
        <w:rPr>
          <w:rFonts w:ascii="Arial" w:hAnsi="Arial" w:cs="Arial"/>
          <w:color w:val="000000" w:themeColor="text1"/>
        </w:rPr>
        <w:t>s en América Latina?; (2) ¿cómo han cambiado nuestras apreciaciones sobre formatos, modalidades y contenidos más adecuados para la educación continua venidera</w:t>
      </w:r>
      <w:r w:rsidRPr="7AFA697A">
        <w:rPr>
          <w:rFonts w:ascii="Arial" w:hAnsi="Arial" w:cs="Arial"/>
          <w:color w:val="000000" w:themeColor="text1"/>
        </w:rPr>
        <w:t>?</w:t>
      </w:r>
      <w:r w:rsidR="743CF6A2" w:rsidRPr="7AFA697A">
        <w:rPr>
          <w:rFonts w:ascii="Arial" w:hAnsi="Arial" w:cs="Arial"/>
          <w:color w:val="000000" w:themeColor="text1"/>
        </w:rPr>
        <w:t>;</w:t>
      </w:r>
      <w:r w:rsidRPr="69792C27">
        <w:rPr>
          <w:rFonts w:ascii="Arial" w:hAnsi="Arial" w:cs="Arial"/>
          <w:color w:val="000000" w:themeColor="text1"/>
        </w:rPr>
        <w:t xml:space="preserve"> y (3)</w:t>
      </w:r>
      <w:r w:rsidR="00F96E87">
        <w:rPr>
          <w:rFonts w:ascii="Arial" w:hAnsi="Arial" w:cs="Arial"/>
          <w:color w:val="000000" w:themeColor="text1"/>
        </w:rPr>
        <w:t xml:space="preserve"> </w:t>
      </w:r>
      <w:r w:rsidR="00F96E87" w:rsidRPr="00BE059F">
        <w:rPr>
          <w:rFonts w:ascii="Arial" w:hAnsi="Arial" w:cs="Arial"/>
          <w:color w:val="000000" w:themeColor="text1"/>
        </w:rPr>
        <w:t>¿cómo pueden las iniciativas futuras aplicar estas lecciones para desarrollar capacidades institucionales de manera proactiva, en vez de limitarse a respuestas reactivas ante posibles crisis?</w:t>
      </w:r>
    </w:p>
    <w:p w14:paraId="05782F53" w14:textId="5BAE6BA7" w:rsidR="00F96E87" w:rsidRDefault="004F7551" w:rsidP="00656C84">
      <w:pPr>
        <w:spacing w:after="240" w:line="360" w:lineRule="auto"/>
        <w:jc w:val="both"/>
        <w:rPr>
          <w:rFonts w:ascii="Arial" w:hAnsi="Arial" w:cs="Arial"/>
          <w:color w:val="000000" w:themeColor="text1"/>
        </w:rPr>
      </w:pPr>
      <w:r w:rsidRPr="69792C27">
        <w:rPr>
          <w:rFonts w:ascii="Arial" w:hAnsi="Arial" w:cs="Arial"/>
          <w:color w:val="000000" w:themeColor="text1"/>
        </w:rPr>
        <w:t xml:space="preserve">Para ello, </w:t>
      </w:r>
      <w:r w:rsidR="00F96E87">
        <w:rPr>
          <w:rFonts w:ascii="Arial" w:hAnsi="Arial" w:cs="Arial"/>
          <w:color w:val="000000" w:themeColor="text1"/>
        </w:rPr>
        <w:t>se destacarán</w:t>
      </w:r>
      <w:r w:rsidR="00F96E87" w:rsidRPr="69792C27">
        <w:rPr>
          <w:rFonts w:ascii="Arial" w:hAnsi="Arial" w:cs="Arial"/>
          <w:color w:val="000000" w:themeColor="text1"/>
        </w:rPr>
        <w:t xml:space="preserve"> </w:t>
      </w:r>
      <w:r w:rsidRPr="69792C27">
        <w:rPr>
          <w:rFonts w:ascii="Arial" w:hAnsi="Arial" w:cs="Arial"/>
          <w:color w:val="000000" w:themeColor="text1"/>
        </w:rPr>
        <w:t xml:space="preserve">los aprendizajes de </w:t>
      </w:r>
      <w:proofErr w:type="spellStart"/>
      <w:r w:rsidRPr="69792C27">
        <w:rPr>
          <w:rFonts w:ascii="Arial" w:hAnsi="Arial" w:cs="Arial"/>
          <w:i/>
          <w:iCs/>
          <w:color w:val="000000" w:themeColor="text1"/>
        </w:rPr>
        <w:t>Movingonline</w:t>
      </w:r>
      <w:proofErr w:type="spellEnd"/>
      <w:r w:rsidRPr="69792C27">
        <w:rPr>
          <w:rFonts w:ascii="Arial" w:hAnsi="Arial" w:cs="Arial"/>
          <w:color w:val="000000" w:themeColor="text1"/>
        </w:rPr>
        <w:t xml:space="preserve"> y su contribución en aspectos tales como la transformación digital educativa, el desarrollo de competencias docentes y la educación híbrida. </w:t>
      </w:r>
      <w:r w:rsidR="00F96E87">
        <w:rPr>
          <w:rFonts w:ascii="Arial" w:hAnsi="Arial" w:cs="Arial"/>
          <w:color w:val="000000" w:themeColor="text1"/>
        </w:rPr>
        <w:t xml:space="preserve">Las </w:t>
      </w:r>
      <w:r>
        <w:rPr>
          <w:rFonts w:ascii="Arial" w:hAnsi="Arial" w:cs="Arial"/>
          <w:color w:val="000000" w:themeColor="text1"/>
        </w:rPr>
        <w:t xml:space="preserve">observaciones </w:t>
      </w:r>
      <w:r w:rsidR="00F96E87">
        <w:rPr>
          <w:rFonts w:ascii="Arial" w:hAnsi="Arial" w:cs="Arial"/>
          <w:color w:val="000000" w:themeColor="text1"/>
        </w:rPr>
        <w:t xml:space="preserve">se sustentan en </w:t>
      </w:r>
      <w:r>
        <w:rPr>
          <w:rFonts w:ascii="Arial" w:hAnsi="Arial" w:cs="Arial"/>
          <w:color w:val="000000" w:themeColor="text1"/>
        </w:rPr>
        <w:t>referencias</w:t>
      </w:r>
      <w:r w:rsidRPr="69792C27">
        <w:rPr>
          <w:rFonts w:ascii="Arial" w:hAnsi="Arial" w:cs="Arial"/>
          <w:color w:val="000000" w:themeColor="text1"/>
        </w:rPr>
        <w:t xml:space="preserve"> académica</w:t>
      </w:r>
      <w:r>
        <w:rPr>
          <w:rFonts w:ascii="Arial" w:hAnsi="Arial" w:cs="Arial"/>
          <w:color w:val="000000" w:themeColor="text1"/>
        </w:rPr>
        <w:t>s</w:t>
      </w:r>
      <w:r w:rsidRPr="69792C27">
        <w:rPr>
          <w:rFonts w:ascii="Arial" w:hAnsi="Arial" w:cs="Arial"/>
          <w:color w:val="000000" w:themeColor="text1"/>
        </w:rPr>
        <w:t xml:space="preserve"> y de organismos internacionales publicada</w:t>
      </w:r>
      <w:r>
        <w:rPr>
          <w:rFonts w:ascii="Arial" w:hAnsi="Arial" w:cs="Arial"/>
          <w:color w:val="000000" w:themeColor="text1"/>
        </w:rPr>
        <w:t>s</w:t>
      </w:r>
      <w:r w:rsidRPr="69792C27">
        <w:rPr>
          <w:rFonts w:ascii="Arial" w:hAnsi="Arial" w:cs="Arial"/>
          <w:color w:val="000000" w:themeColor="text1"/>
        </w:rPr>
        <w:t xml:space="preserve"> entre 2019 y 2025, incluyendo el </w:t>
      </w:r>
      <w:r w:rsidRPr="008C11C4">
        <w:rPr>
          <w:rFonts w:ascii="Arial" w:hAnsi="Arial" w:cs="Arial"/>
          <w:i/>
          <w:iCs/>
          <w:color w:val="000000" w:themeColor="text1"/>
        </w:rPr>
        <w:t>Marco de competencias de los docentes en materia de TIC</w:t>
      </w:r>
      <w:r w:rsidRPr="69792C27">
        <w:rPr>
          <w:rFonts w:ascii="Arial" w:hAnsi="Arial" w:cs="Arial"/>
          <w:color w:val="000000" w:themeColor="text1"/>
        </w:rPr>
        <w:t xml:space="preserve"> </w:t>
      </w:r>
      <w:r w:rsidRPr="008C11C4">
        <w:rPr>
          <w:rFonts w:ascii="Arial" w:hAnsi="Arial" w:cs="Arial"/>
          <w:i/>
          <w:iCs/>
          <w:color w:val="000000" w:themeColor="text1"/>
        </w:rPr>
        <w:t xml:space="preserve">UNESCO </w:t>
      </w:r>
      <w:r w:rsidRPr="69792C27">
        <w:rPr>
          <w:rFonts w:ascii="Arial" w:hAnsi="Arial" w:cs="Arial"/>
          <w:color w:val="000000" w:themeColor="text1"/>
        </w:rPr>
        <w:t>(2019) y diversos informes del B</w:t>
      </w:r>
      <w:r w:rsidR="00210272">
        <w:rPr>
          <w:rFonts w:ascii="Arial" w:hAnsi="Arial" w:cs="Arial"/>
          <w:color w:val="000000" w:themeColor="text1"/>
        </w:rPr>
        <w:t xml:space="preserve">ID </w:t>
      </w:r>
      <w:r w:rsidRPr="69792C27">
        <w:rPr>
          <w:rFonts w:ascii="Arial" w:hAnsi="Arial" w:cs="Arial"/>
          <w:color w:val="000000" w:themeColor="text1"/>
        </w:rPr>
        <w:t>(2021-2024).</w:t>
      </w:r>
    </w:p>
    <w:p w14:paraId="15436323" w14:textId="6E2D4EB1" w:rsidR="004F7551" w:rsidRDefault="004F7551" w:rsidP="00656C84">
      <w:pPr>
        <w:spacing w:after="240" w:line="360" w:lineRule="auto"/>
        <w:jc w:val="both"/>
        <w:rPr>
          <w:rFonts w:ascii="Arial" w:hAnsi="Arial" w:cs="Arial"/>
          <w:color w:val="000000" w:themeColor="text1"/>
        </w:rPr>
      </w:pPr>
      <w:r w:rsidRPr="00FB2115">
        <w:rPr>
          <w:rFonts w:ascii="Arial" w:hAnsi="Arial" w:cs="Arial"/>
          <w:color w:val="000000" w:themeColor="text1"/>
        </w:rPr>
        <w:t xml:space="preserve">Siguiendo esta línea, en primer lugar </w:t>
      </w:r>
      <w:r w:rsidR="00210272">
        <w:rPr>
          <w:rFonts w:ascii="Arial" w:hAnsi="Arial" w:cs="Arial"/>
          <w:color w:val="000000" w:themeColor="text1"/>
        </w:rPr>
        <w:t>se presentará</w:t>
      </w:r>
      <w:r w:rsidR="00210272" w:rsidRPr="00FB2115">
        <w:rPr>
          <w:rFonts w:ascii="Arial" w:hAnsi="Arial" w:cs="Arial"/>
          <w:color w:val="000000" w:themeColor="text1"/>
        </w:rPr>
        <w:t xml:space="preserve"> </w:t>
      </w:r>
      <w:r w:rsidRPr="00FB2115">
        <w:rPr>
          <w:rFonts w:ascii="Arial" w:hAnsi="Arial" w:cs="Arial"/>
          <w:color w:val="000000" w:themeColor="text1"/>
        </w:rPr>
        <w:t xml:space="preserve">una visión renovada de las necesidades formativas de </w:t>
      </w:r>
      <w:r w:rsidR="00210272">
        <w:rPr>
          <w:rFonts w:ascii="Arial" w:hAnsi="Arial" w:cs="Arial"/>
          <w:color w:val="000000" w:themeColor="text1"/>
        </w:rPr>
        <w:t xml:space="preserve">las personas </w:t>
      </w:r>
      <w:r w:rsidRPr="00FB2115">
        <w:rPr>
          <w:rFonts w:ascii="Arial" w:hAnsi="Arial" w:cs="Arial"/>
          <w:color w:val="000000" w:themeColor="text1"/>
        </w:rPr>
        <w:t>docentes y directiv</w:t>
      </w:r>
      <w:r w:rsidR="00210272">
        <w:rPr>
          <w:rFonts w:ascii="Arial" w:hAnsi="Arial" w:cs="Arial"/>
          <w:color w:val="000000" w:themeColor="text1"/>
        </w:rPr>
        <w:t>a</w:t>
      </w:r>
      <w:r w:rsidRPr="00FB2115">
        <w:rPr>
          <w:rFonts w:ascii="Arial" w:hAnsi="Arial" w:cs="Arial"/>
          <w:color w:val="000000" w:themeColor="text1"/>
        </w:rPr>
        <w:t xml:space="preserve">s tras la emergencia sanitaria; luego </w:t>
      </w:r>
      <w:r w:rsidR="00210272">
        <w:rPr>
          <w:rFonts w:ascii="Arial" w:hAnsi="Arial" w:cs="Arial"/>
          <w:color w:val="000000" w:themeColor="text1"/>
        </w:rPr>
        <w:t>se examinará</w:t>
      </w:r>
      <w:r w:rsidR="00210272" w:rsidRPr="00FB2115">
        <w:rPr>
          <w:rFonts w:ascii="Arial" w:hAnsi="Arial" w:cs="Arial"/>
          <w:color w:val="000000" w:themeColor="text1"/>
        </w:rPr>
        <w:t xml:space="preserve"> </w:t>
      </w:r>
      <w:r w:rsidRPr="00FB2115">
        <w:rPr>
          <w:rFonts w:ascii="Arial" w:hAnsi="Arial" w:cs="Arial"/>
          <w:color w:val="000000" w:themeColor="text1"/>
        </w:rPr>
        <w:t xml:space="preserve">la evolución en las estrategias pedagógicas (metodologías, modalidades, contenidos) para la capacitación continua; y, finalmente, </w:t>
      </w:r>
      <w:r w:rsidR="00210272">
        <w:rPr>
          <w:rFonts w:ascii="Arial" w:hAnsi="Arial" w:cs="Arial"/>
          <w:color w:val="000000" w:themeColor="text1"/>
        </w:rPr>
        <w:t>se discutirán las</w:t>
      </w:r>
      <w:r w:rsidR="00210272" w:rsidRPr="00FB2115">
        <w:rPr>
          <w:rFonts w:ascii="Arial" w:hAnsi="Arial" w:cs="Arial"/>
          <w:color w:val="000000" w:themeColor="text1"/>
        </w:rPr>
        <w:t xml:space="preserve"> </w:t>
      </w:r>
      <w:r w:rsidRPr="00FB2115">
        <w:rPr>
          <w:rFonts w:ascii="Arial" w:hAnsi="Arial" w:cs="Arial"/>
          <w:color w:val="000000" w:themeColor="text1"/>
        </w:rPr>
        <w:t xml:space="preserve">implicaciones en el mediano y largo plazos, proponiendo orientaciones para que las instituciones educativas construyan resiliencia y capacidades duraderas en lugar de responder abruptamente ante </w:t>
      </w:r>
      <w:r w:rsidR="00210272">
        <w:rPr>
          <w:rFonts w:ascii="Arial" w:hAnsi="Arial" w:cs="Arial"/>
          <w:color w:val="000000" w:themeColor="text1"/>
        </w:rPr>
        <w:t xml:space="preserve">las </w:t>
      </w:r>
      <w:r w:rsidRPr="00FB2115">
        <w:rPr>
          <w:rFonts w:ascii="Arial" w:hAnsi="Arial" w:cs="Arial"/>
          <w:color w:val="000000" w:themeColor="text1"/>
        </w:rPr>
        <w:t>emergencias. En todo el texto se adopta un tono técnico y reflexivo, y se respaldan los argumentos clave con evidencia documental y la experiencia directa de la iniciativa.</w:t>
      </w:r>
    </w:p>
    <w:p w14:paraId="5B30CE7D" w14:textId="77777777" w:rsidR="008311A4" w:rsidRDefault="008311A4" w:rsidP="00656C84">
      <w:pPr>
        <w:spacing w:after="240" w:line="360" w:lineRule="auto"/>
        <w:jc w:val="both"/>
        <w:rPr>
          <w:rFonts w:ascii="Arial" w:hAnsi="Arial" w:cs="Arial"/>
          <w:color w:val="000000" w:themeColor="text1"/>
        </w:rPr>
      </w:pPr>
    </w:p>
    <w:p w14:paraId="7A0E7E11" w14:textId="0FF8A81D" w:rsidR="00DA2AD0" w:rsidRDefault="004F7551" w:rsidP="00656C84">
      <w:pPr>
        <w:snapToGrid w:val="0"/>
        <w:spacing w:after="240" w:line="360" w:lineRule="auto"/>
        <w:jc w:val="both"/>
        <w:rPr>
          <w:rFonts w:ascii="Arial" w:hAnsi="Arial" w:cs="Arial"/>
          <w:b/>
          <w:bCs/>
        </w:rPr>
      </w:pPr>
      <w:proofErr w:type="spellStart"/>
      <w:r w:rsidRPr="00FB2115">
        <w:rPr>
          <w:rFonts w:ascii="Arial" w:hAnsi="Arial" w:cs="Arial"/>
          <w:b/>
          <w:bCs/>
          <w:i/>
          <w:iCs/>
        </w:rPr>
        <w:lastRenderedPageBreak/>
        <w:t>Movingonline</w:t>
      </w:r>
      <w:proofErr w:type="spellEnd"/>
      <w:r w:rsidRPr="00FB2115">
        <w:rPr>
          <w:rFonts w:ascii="Arial" w:hAnsi="Arial" w:cs="Arial"/>
          <w:b/>
          <w:bCs/>
        </w:rPr>
        <w:t xml:space="preserve">: </w:t>
      </w:r>
      <w:r w:rsidR="00210272">
        <w:rPr>
          <w:rFonts w:ascii="Arial" w:hAnsi="Arial" w:cs="Arial"/>
          <w:b/>
          <w:bCs/>
        </w:rPr>
        <w:t>a</w:t>
      </w:r>
      <w:r w:rsidRPr="00FB2115">
        <w:rPr>
          <w:rFonts w:ascii="Arial" w:hAnsi="Arial" w:cs="Arial"/>
          <w:b/>
          <w:bCs/>
        </w:rPr>
        <w:t>nálisis de la experiencia y evolución de las temáticas y de la audiencia</w:t>
      </w:r>
    </w:p>
    <w:p w14:paraId="2DD31878" w14:textId="3E11D2F0" w:rsidR="00EB15E0" w:rsidRDefault="004F7551" w:rsidP="00656C84">
      <w:pPr>
        <w:snapToGrid w:val="0"/>
        <w:spacing w:after="240" w:line="360" w:lineRule="auto"/>
        <w:jc w:val="both"/>
        <w:rPr>
          <w:rFonts w:ascii="Arial" w:hAnsi="Arial" w:cs="Arial"/>
          <w:color w:val="000000" w:themeColor="text1"/>
        </w:rPr>
      </w:pPr>
      <w:r w:rsidRPr="00FB2115">
        <w:rPr>
          <w:rFonts w:ascii="Arial" w:hAnsi="Arial" w:cs="Arial"/>
          <w:color w:val="000000" w:themeColor="text1"/>
        </w:rPr>
        <w:t xml:space="preserve">La experiencia de </w:t>
      </w:r>
      <w:proofErr w:type="spellStart"/>
      <w:r w:rsidRPr="00FB2115">
        <w:rPr>
          <w:rFonts w:ascii="Arial" w:hAnsi="Arial" w:cs="Arial"/>
          <w:i/>
          <w:iCs/>
          <w:color w:val="000000" w:themeColor="text1"/>
        </w:rPr>
        <w:t>Movingonline</w:t>
      </w:r>
      <w:proofErr w:type="spellEnd"/>
      <w:r w:rsidRPr="00FB2115">
        <w:rPr>
          <w:rFonts w:ascii="Arial" w:hAnsi="Arial" w:cs="Arial"/>
          <w:color w:val="000000" w:themeColor="text1"/>
        </w:rPr>
        <w:t xml:space="preserve"> es analizada a través de cuatro fases. La fase inicial destaca el surgimiento de la iniciativa como respuesta a la emergencia por la pandemia </w:t>
      </w:r>
      <w:r>
        <w:rPr>
          <w:rFonts w:ascii="Arial" w:hAnsi="Arial" w:cs="Arial"/>
          <w:color w:val="000000" w:themeColor="text1"/>
        </w:rPr>
        <w:t>por</w:t>
      </w:r>
      <w:r w:rsidRPr="00FB2115">
        <w:rPr>
          <w:rFonts w:ascii="Arial" w:hAnsi="Arial" w:cs="Arial"/>
          <w:color w:val="000000" w:themeColor="text1"/>
        </w:rPr>
        <w:t xml:space="preserve"> </w:t>
      </w:r>
      <w:r w:rsidR="00210272">
        <w:rPr>
          <w:rFonts w:ascii="Arial" w:hAnsi="Arial" w:cs="Arial"/>
          <w:color w:val="000000" w:themeColor="text1"/>
        </w:rPr>
        <w:t>covid</w:t>
      </w:r>
      <w:r w:rsidRPr="00FB2115">
        <w:rPr>
          <w:rFonts w:ascii="Arial" w:hAnsi="Arial" w:cs="Arial"/>
          <w:color w:val="000000" w:themeColor="text1"/>
        </w:rPr>
        <w:t xml:space="preserve">-19. La segunda fase describe la transición </w:t>
      </w:r>
      <w:r w:rsidR="00210272">
        <w:rPr>
          <w:rFonts w:ascii="Arial" w:hAnsi="Arial" w:cs="Arial"/>
          <w:color w:val="000000" w:themeColor="text1"/>
        </w:rPr>
        <w:t>dada</w:t>
      </w:r>
      <w:r w:rsidRPr="00FB2115">
        <w:rPr>
          <w:rFonts w:ascii="Arial" w:hAnsi="Arial" w:cs="Arial"/>
          <w:color w:val="000000" w:themeColor="text1"/>
        </w:rPr>
        <w:t xml:space="preserve"> en el proceso </w:t>
      </w:r>
      <w:r w:rsidRPr="0E6D92F2">
        <w:rPr>
          <w:rFonts w:ascii="Arial" w:hAnsi="Arial" w:cs="Arial"/>
          <w:color w:val="000000" w:themeColor="text1"/>
        </w:rPr>
        <w:t>de</w:t>
      </w:r>
      <w:r w:rsidRPr="00FB2115">
        <w:rPr>
          <w:rFonts w:ascii="Arial" w:hAnsi="Arial" w:cs="Arial"/>
          <w:color w:val="000000" w:themeColor="text1"/>
        </w:rPr>
        <w:t xml:space="preserve"> cubrir necesidades pedagógicas que</w:t>
      </w:r>
      <w:r w:rsidR="00210272">
        <w:rPr>
          <w:rFonts w:ascii="Arial" w:hAnsi="Arial" w:cs="Arial"/>
          <w:color w:val="000000" w:themeColor="text1"/>
        </w:rPr>
        <w:t xml:space="preserve"> evolucionaron</w:t>
      </w:r>
      <w:r w:rsidRPr="00FB2115">
        <w:rPr>
          <w:rFonts w:ascii="Arial" w:hAnsi="Arial" w:cs="Arial"/>
          <w:color w:val="000000" w:themeColor="text1"/>
        </w:rPr>
        <w:t xml:space="preserve"> en el tiempo de implementación de la iniciativa. La tercera fase describe cómo se consolida</w:t>
      </w:r>
      <w:r w:rsidR="00210272">
        <w:rPr>
          <w:rFonts w:ascii="Arial" w:hAnsi="Arial" w:cs="Arial"/>
          <w:color w:val="000000" w:themeColor="text1"/>
        </w:rPr>
        <w:t>ron</w:t>
      </w:r>
      <w:r w:rsidRPr="00FB2115">
        <w:rPr>
          <w:rFonts w:ascii="Arial" w:hAnsi="Arial" w:cs="Arial"/>
          <w:color w:val="000000" w:themeColor="text1"/>
        </w:rPr>
        <w:t xml:space="preserve"> los aprendizajes promovidos por la iniciativa, evidenciada en la exploración de otros aspectos relacionados con el desarrollo de acciones de aprendizaje en línea. Finalmente, la cuarta fase plantea la evolución </w:t>
      </w:r>
      <w:r>
        <w:rPr>
          <w:rFonts w:ascii="Arial" w:hAnsi="Arial" w:cs="Arial"/>
          <w:color w:val="000000" w:themeColor="text1"/>
        </w:rPr>
        <w:t>manifiesta</w:t>
      </w:r>
      <w:r w:rsidRPr="00FB2115">
        <w:rPr>
          <w:rFonts w:ascii="Arial" w:hAnsi="Arial" w:cs="Arial"/>
          <w:color w:val="000000" w:themeColor="text1"/>
        </w:rPr>
        <w:t xml:space="preserve"> en la exploración de nuevas posibilidades con la educación digital, luego de la consolidación descrita en la fase anterior.</w:t>
      </w:r>
    </w:p>
    <w:p w14:paraId="60264DE3" w14:textId="4EFED16C" w:rsidR="004F7551" w:rsidRPr="00311AF2" w:rsidRDefault="004F7551" w:rsidP="00656C84">
      <w:pPr>
        <w:spacing w:after="240" w:line="360" w:lineRule="auto"/>
        <w:jc w:val="both"/>
        <w:rPr>
          <w:rFonts w:ascii="Arial" w:hAnsi="Arial" w:cs="Arial"/>
          <w:b/>
          <w:bCs/>
          <w:color w:val="000000" w:themeColor="text1"/>
        </w:rPr>
      </w:pPr>
      <w:r w:rsidRPr="00311AF2">
        <w:rPr>
          <w:rFonts w:ascii="Arial" w:hAnsi="Arial" w:cs="Arial"/>
          <w:b/>
          <w:bCs/>
          <w:color w:val="000000" w:themeColor="text1"/>
        </w:rPr>
        <w:t xml:space="preserve">Fase inicial: </w:t>
      </w:r>
      <w:r w:rsidR="00CB5C09" w:rsidRPr="00311AF2">
        <w:rPr>
          <w:rFonts w:ascii="Arial" w:hAnsi="Arial" w:cs="Arial"/>
          <w:b/>
          <w:bCs/>
          <w:color w:val="000000" w:themeColor="text1"/>
        </w:rPr>
        <w:t>r</w:t>
      </w:r>
      <w:r w:rsidRPr="00311AF2">
        <w:rPr>
          <w:rFonts w:ascii="Arial" w:hAnsi="Arial" w:cs="Arial"/>
          <w:b/>
          <w:bCs/>
          <w:color w:val="000000" w:themeColor="text1"/>
        </w:rPr>
        <w:t>espuesta a una emergencia</w:t>
      </w:r>
    </w:p>
    <w:p w14:paraId="3886F786" w14:textId="5B6D7042" w:rsidR="004F7551" w:rsidRDefault="004F7551" w:rsidP="00656C84">
      <w:pPr>
        <w:spacing w:after="240" w:line="360" w:lineRule="auto"/>
        <w:jc w:val="both"/>
        <w:rPr>
          <w:rFonts w:ascii="Arial" w:hAnsi="Arial" w:cs="Arial"/>
          <w:color w:val="000000" w:themeColor="text1"/>
        </w:rPr>
      </w:pPr>
      <w:r w:rsidRPr="00FB2115">
        <w:rPr>
          <w:rFonts w:ascii="Arial" w:hAnsi="Arial" w:cs="Arial"/>
          <w:color w:val="000000" w:themeColor="text1"/>
        </w:rPr>
        <w:t xml:space="preserve">En la etapa inicial de la pandemia, la atención se centró en resolver dudas urgentes de carácter operativo. </w:t>
      </w:r>
      <w:r w:rsidRPr="58B58B60">
        <w:rPr>
          <w:rFonts w:ascii="Arial" w:hAnsi="Arial" w:cs="Arial"/>
          <w:color w:val="000000" w:themeColor="text1"/>
        </w:rPr>
        <w:t>El profesorado</w:t>
      </w:r>
      <w:r w:rsidRPr="00FB2115">
        <w:rPr>
          <w:rFonts w:ascii="Arial" w:hAnsi="Arial" w:cs="Arial"/>
          <w:color w:val="000000" w:themeColor="text1"/>
        </w:rPr>
        <w:t xml:space="preserve"> requería soluciones inmediatas para trasladar sus clases al entorno virtual. Las consultas más frecuentes incluían aspectos básicos como: gestión de plataformas, activación de videoconferencias, selección de herramientas estables para realizar clases sincrónicas y estrategias de evaluación a distancia. El enfoque era eminentemente técnico y funcional. En los talleres y webinarios se abordaron problemas concretos y puntuales</w:t>
      </w:r>
      <w:r w:rsidR="00CB5C09">
        <w:rPr>
          <w:rFonts w:ascii="Arial" w:hAnsi="Arial" w:cs="Arial"/>
          <w:color w:val="000000" w:themeColor="text1"/>
        </w:rPr>
        <w:t>; además</w:t>
      </w:r>
      <w:r w:rsidRPr="00FB2115">
        <w:rPr>
          <w:rFonts w:ascii="Arial" w:hAnsi="Arial" w:cs="Arial"/>
          <w:color w:val="000000" w:themeColor="text1"/>
        </w:rPr>
        <w:t xml:space="preserve"> </w:t>
      </w:r>
      <w:r w:rsidR="00CB5C09">
        <w:rPr>
          <w:rFonts w:ascii="Arial" w:hAnsi="Arial" w:cs="Arial"/>
          <w:color w:val="000000" w:themeColor="text1"/>
        </w:rPr>
        <w:t>las personas</w:t>
      </w:r>
      <w:r w:rsidR="00CB5C09" w:rsidRPr="00FB2115">
        <w:rPr>
          <w:rFonts w:ascii="Arial" w:hAnsi="Arial" w:cs="Arial"/>
          <w:color w:val="000000" w:themeColor="text1"/>
        </w:rPr>
        <w:t xml:space="preserve"> </w:t>
      </w:r>
      <w:r w:rsidRPr="00FB2115">
        <w:rPr>
          <w:rFonts w:ascii="Arial" w:hAnsi="Arial" w:cs="Arial"/>
          <w:color w:val="000000" w:themeColor="text1"/>
        </w:rPr>
        <w:t>profesionales compartieron sus experiencias y su manera de enfrentar la emergencia.</w:t>
      </w:r>
    </w:p>
    <w:p w14:paraId="1B9CDBCF" w14:textId="480DF300" w:rsidR="00BE0908" w:rsidRDefault="004F7551" w:rsidP="00656C84">
      <w:pPr>
        <w:spacing w:after="240" w:line="360" w:lineRule="auto"/>
        <w:jc w:val="both"/>
        <w:rPr>
          <w:rFonts w:ascii="Arial" w:hAnsi="Arial" w:cs="Arial"/>
          <w:color w:val="000000" w:themeColor="text1"/>
        </w:rPr>
      </w:pPr>
      <w:r w:rsidRPr="00FB2115">
        <w:rPr>
          <w:rFonts w:ascii="Arial" w:hAnsi="Arial" w:cs="Arial"/>
          <w:color w:val="000000" w:themeColor="text1"/>
        </w:rPr>
        <w:t xml:space="preserve">La iniciativa </w:t>
      </w:r>
      <w:proofErr w:type="spellStart"/>
      <w:r w:rsidRPr="00E74BD8">
        <w:rPr>
          <w:rFonts w:ascii="Arial" w:hAnsi="Arial" w:cs="Arial"/>
          <w:i/>
          <w:iCs/>
          <w:color w:val="000000" w:themeColor="text1"/>
        </w:rPr>
        <w:t>Movingonline</w:t>
      </w:r>
      <w:proofErr w:type="spellEnd"/>
      <w:r w:rsidRPr="00FB2115">
        <w:rPr>
          <w:rFonts w:ascii="Arial" w:hAnsi="Arial" w:cs="Arial"/>
          <w:color w:val="000000" w:themeColor="text1"/>
        </w:rPr>
        <w:t xml:space="preserve"> concibió un</w:t>
      </w:r>
      <w:r>
        <w:rPr>
          <w:rFonts w:ascii="Arial" w:hAnsi="Arial" w:cs="Arial"/>
          <w:color w:val="000000" w:themeColor="text1"/>
        </w:rPr>
        <w:t xml:space="preserve"> </w:t>
      </w:r>
      <w:proofErr w:type="spellStart"/>
      <w:r w:rsidRPr="00E74BD8">
        <w:rPr>
          <w:rFonts w:ascii="Arial" w:hAnsi="Arial" w:cs="Arial"/>
          <w:i/>
          <w:iCs/>
          <w:color w:val="000000" w:themeColor="text1"/>
        </w:rPr>
        <w:t>hub</w:t>
      </w:r>
      <w:proofErr w:type="spellEnd"/>
      <w:r>
        <w:rPr>
          <w:rFonts w:ascii="Arial" w:hAnsi="Arial" w:cs="Arial"/>
          <w:color w:val="000000" w:themeColor="text1"/>
        </w:rPr>
        <w:t xml:space="preserve"> </w:t>
      </w:r>
      <w:r w:rsidRPr="00FB2115">
        <w:rPr>
          <w:rFonts w:ascii="Arial" w:hAnsi="Arial" w:cs="Arial"/>
          <w:color w:val="000000" w:themeColor="text1"/>
        </w:rPr>
        <w:t xml:space="preserve">o eje concentrador de recursos de apoyo para las personas relacionadas con la tarea educativa en sus diferentes roles, </w:t>
      </w:r>
      <w:r w:rsidR="00CB5C09">
        <w:rPr>
          <w:rFonts w:ascii="Arial" w:hAnsi="Arial" w:cs="Arial"/>
          <w:color w:val="000000" w:themeColor="text1"/>
        </w:rPr>
        <w:t>esto con el fin de</w:t>
      </w:r>
      <w:r w:rsidR="00CB5C09" w:rsidRPr="00FB2115">
        <w:rPr>
          <w:rFonts w:ascii="Arial" w:hAnsi="Arial" w:cs="Arial"/>
          <w:color w:val="000000" w:themeColor="text1"/>
        </w:rPr>
        <w:t xml:space="preserve"> </w:t>
      </w:r>
      <w:r w:rsidRPr="00FB2115">
        <w:rPr>
          <w:rFonts w:ascii="Arial" w:hAnsi="Arial" w:cs="Arial"/>
          <w:color w:val="000000" w:themeColor="text1"/>
        </w:rPr>
        <w:t xml:space="preserve">facilitar </w:t>
      </w:r>
      <w:r w:rsidRPr="00FB2115">
        <w:rPr>
          <w:rFonts w:ascii="Arial" w:hAnsi="Arial" w:cs="Arial"/>
          <w:color w:val="000000" w:themeColor="text1"/>
        </w:rPr>
        <w:lastRenderedPageBreak/>
        <w:t xml:space="preserve">la transición urgente a la educación virtual. Este espacio virtual se fortaleció progresivamente con la colaboración de </w:t>
      </w:r>
      <w:r w:rsidRPr="0E6D92F2">
        <w:rPr>
          <w:rFonts w:ascii="Arial" w:hAnsi="Arial" w:cs="Arial"/>
          <w:color w:val="000000" w:themeColor="text1"/>
        </w:rPr>
        <w:t>las</w:t>
      </w:r>
      <w:r w:rsidR="00CB5C09">
        <w:rPr>
          <w:rFonts w:ascii="Arial" w:hAnsi="Arial" w:cs="Arial"/>
          <w:color w:val="000000" w:themeColor="text1"/>
        </w:rPr>
        <w:t xml:space="preserve"> personas</w:t>
      </w:r>
      <w:r w:rsidRPr="0E6D92F2">
        <w:rPr>
          <w:rFonts w:ascii="Arial" w:hAnsi="Arial" w:cs="Arial"/>
          <w:color w:val="000000" w:themeColor="text1"/>
        </w:rPr>
        <w:t xml:space="preserve"> </w:t>
      </w:r>
      <w:r w:rsidRPr="00FB2115">
        <w:rPr>
          <w:rFonts w:ascii="Arial" w:hAnsi="Arial" w:cs="Arial"/>
          <w:color w:val="000000" w:themeColor="text1"/>
        </w:rPr>
        <w:t>participantes que compartían recursos, experiencias y soluciones; estas contribuciones se organizaron en categorías para atender mejor las</w:t>
      </w:r>
      <w:r w:rsidR="00CB5C09" w:rsidRPr="00CB5C09">
        <w:rPr>
          <w:rFonts w:ascii="Arial" w:hAnsi="Arial" w:cs="Arial"/>
          <w:color w:val="000000" w:themeColor="text1"/>
        </w:rPr>
        <w:t xml:space="preserve"> </w:t>
      </w:r>
      <w:r w:rsidR="00CB5C09" w:rsidRPr="00FB2115">
        <w:rPr>
          <w:rFonts w:ascii="Arial" w:hAnsi="Arial" w:cs="Arial"/>
          <w:color w:val="000000" w:themeColor="text1"/>
        </w:rPr>
        <w:t>diversas</w:t>
      </w:r>
      <w:r w:rsidRPr="00FB2115">
        <w:rPr>
          <w:rFonts w:ascii="Arial" w:hAnsi="Arial" w:cs="Arial"/>
          <w:color w:val="000000" w:themeColor="text1"/>
        </w:rPr>
        <w:t xml:space="preserve"> necesidades</w:t>
      </w:r>
      <w:r>
        <w:rPr>
          <w:rFonts w:ascii="Arial" w:hAnsi="Arial" w:cs="Arial"/>
          <w:color w:val="000000" w:themeColor="text1"/>
        </w:rPr>
        <w:t>.</w:t>
      </w:r>
    </w:p>
    <w:p w14:paraId="707D174F" w14:textId="7DDBE1D7" w:rsidR="004F7551" w:rsidRPr="00311AF2" w:rsidRDefault="004F7551" w:rsidP="00656C84">
      <w:pPr>
        <w:spacing w:after="240" w:line="360" w:lineRule="auto"/>
        <w:jc w:val="both"/>
        <w:rPr>
          <w:rFonts w:ascii="Arial" w:hAnsi="Arial" w:cs="Arial"/>
          <w:b/>
          <w:bCs/>
          <w:color w:val="000000" w:themeColor="text1"/>
        </w:rPr>
      </w:pPr>
      <w:r w:rsidRPr="00311AF2">
        <w:rPr>
          <w:rFonts w:ascii="Arial" w:hAnsi="Arial" w:cs="Arial"/>
          <w:b/>
          <w:bCs/>
          <w:color w:val="000000" w:themeColor="text1"/>
        </w:rPr>
        <w:t xml:space="preserve">Segunda fase: </w:t>
      </w:r>
      <w:r w:rsidR="00CB5C09" w:rsidRPr="00311AF2">
        <w:rPr>
          <w:rFonts w:ascii="Arial" w:hAnsi="Arial" w:cs="Arial"/>
          <w:b/>
          <w:bCs/>
          <w:color w:val="000000" w:themeColor="text1"/>
        </w:rPr>
        <w:t>t</w:t>
      </w:r>
      <w:r w:rsidRPr="00311AF2">
        <w:rPr>
          <w:rFonts w:ascii="Arial" w:hAnsi="Arial" w:cs="Arial"/>
          <w:b/>
          <w:bCs/>
          <w:color w:val="000000" w:themeColor="text1"/>
        </w:rPr>
        <w:t>ransición hacia necesidades pedagógicas</w:t>
      </w:r>
    </w:p>
    <w:p w14:paraId="39826F10" w14:textId="65725CE8" w:rsidR="004F7551" w:rsidRDefault="004F7551" w:rsidP="00656C84">
      <w:pPr>
        <w:spacing w:after="240" w:line="360" w:lineRule="auto"/>
        <w:jc w:val="both"/>
        <w:rPr>
          <w:rFonts w:ascii="Arial" w:hAnsi="Arial" w:cs="Arial"/>
          <w:color w:val="000000" w:themeColor="text1"/>
        </w:rPr>
      </w:pPr>
      <w:r w:rsidRPr="6C02F5B2">
        <w:rPr>
          <w:rFonts w:ascii="Arial" w:hAnsi="Arial" w:cs="Arial"/>
          <w:color w:val="000000" w:themeColor="text1"/>
        </w:rPr>
        <w:t xml:space="preserve">Una vez superada la primera ola de urgencia técnica, emergieron inquietudes de mayor profundidad relacionadas con la pedagogía en entornos virtuales. Las personas docentes comenzaron a cuestionarse cómo convertir la experiencia didáctica presencial en un formato en línea de manera efectiva. </w:t>
      </w:r>
      <w:r w:rsidRPr="008C11C4">
        <w:rPr>
          <w:rFonts w:ascii="Arial" w:hAnsi="Arial" w:cs="Arial"/>
          <w:color w:val="000000" w:themeColor="text1"/>
          <w:lang w:val="es-ES"/>
        </w:rPr>
        <w:t xml:space="preserve">Las temáticas que resaltaron en este sentido </w:t>
      </w:r>
      <w:r w:rsidR="00EA3B62">
        <w:rPr>
          <w:rFonts w:ascii="Arial" w:hAnsi="Arial" w:cs="Arial"/>
          <w:color w:val="000000" w:themeColor="text1"/>
          <w:lang w:val="es-ES"/>
        </w:rPr>
        <w:t>destacaron</w:t>
      </w:r>
      <w:r w:rsidR="00EA3B62" w:rsidRPr="008C11C4">
        <w:rPr>
          <w:rFonts w:ascii="Arial" w:hAnsi="Arial" w:cs="Arial"/>
          <w:color w:val="000000" w:themeColor="text1"/>
          <w:lang w:val="es-ES"/>
        </w:rPr>
        <w:t xml:space="preserve"> </w:t>
      </w:r>
      <w:r w:rsidRPr="008C11C4">
        <w:rPr>
          <w:rFonts w:ascii="Arial" w:hAnsi="Arial" w:cs="Arial"/>
          <w:color w:val="000000" w:themeColor="text1"/>
          <w:lang w:val="es-ES"/>
        </w:rPr>
        <w:t>la complejidad de adaptar la enseñanza presencial a entornos virtuales, proceso que Chevallard (1985) conceptualiza como transposición didáctica</w:t>
      </w:r>
      <w:r w:rsidRPr="0E6D92F2">
        <w:rPr>
          <w:rFonts w:ascii="Arial" w:hAnsi="Arial" w:cs="Arial"/>
          <w:color w:val="000000" w:themeColor="text1"/>
          <w:lang w:val="es-ES"/>
        </w:rPr>
        <w:t>,</w:t>
      </w:r>
      <w:r w:rsidRPr="008C11C4">
        <w:rPr>
          <w:rFonts w:ascii="Arial" w:hAnsi="Arial" w:cs="Arial"/>
          <w:color w:val="000000" w:themeColor="text1"/>
          <w:lang w:val="es-ES"/>
        </w:rPr>
        <w:t xml:space="preserve"> pero que en contextos digitales adquiere nuevas dimensiones</w:t>
      </w:r>
      <w:r w:rsidRPr="6C02F5B2">
        <w:rPr>
          <w:rFonts w:ascii="Arial" w:hAnsi="Arial" w:cs="Arial"/>
          <w:color w:val="000000" w:themeColor="text1"/>
        </w:rPr>
        <w:t>:</w:t>
      </w:r>
    </w:p>
    <w:p w14:paraId="7916F20F" w14:textId="7099A091" w:rsidR="004F7551" w:rsidRPr="00311AF2" w:rsidRDefault="004F7551" w:rsidP="00656C84">
      <w:pPr>
        <w:pStyle w:val="Prrafodelista"/>
        <w:numPr>
          <w:ilvl w:val="0"/>
          <w:numId w:val="43"/>
        </w:numPr>
        <w:spacing w:line="360" w:lineRule="auto"/>
        <w:jc w:val="both"/>
        <w:rPr>
          <w:rFonts w:ascii="Arial" w:hAnsi="Arial" w:cs="Arial"/>
          <w:color w:val="000000" w:themeColor="text1"/>
        </w:rPr>
      </w:pPr>
      <w:r w:rsidRPr="00311AF2">
        <w:rPr>
          <w:rFonts w:ascii="Arial" w:hAnsi="Arial" w:cs="Arial"/>
          <w:color w:val="000000" w:themeColor="text1"/>
        </w:rPr>
        <w:t xml:space="preserve">Transposición didáctica (Chevallard, 1985): </w:t>
      </w:r>
      <w:r w:rsidR="00EA3B62" w:rsidRPr="00311AF2">
        <w:rPr>
          <w:rFonts w:ascii="Arial" w:hAnsi="Arial" w:cs="Arial"/>
          <w:color w:val="000000" w:themeColor="text1"/>
        </w:rPr>
        <w:t>r</w:t>
      </w:r>
      <w:r w:rsidRPr="00311AF2">
        <w:rPr>
          <w:rFonts w:ascii="Arial" w:hAnsi="Arial" w:cs="Arial"/>
          <w:color w:val="000000" w:themeColor="text1"/>
        </w:rPr>
        <w:t>ediseño de actividades para fomentar el aprendizaje activo en entornos sin contacto físico.</w:t>
      </w:r>
    </w:p>
    <w:p w14:paraId="00511127" w14:textId="34F88D32" w:rsidR="004F7551" w:rsidRPr="00311AF2" w:rsidRDefault="004F7551" w:rsidP="00656C84">
      <w:pPr>
        <w:pStyle w:val="Prrafodelista"/>
        <w:numPr>
          <w:ilvl w:val="0"/>
          <w:numId w:val="43"/>
        </w:numPr>
        <w:spacing w:line="360" w:lineRule="auto"/>
        <w:jc w:val="both"/>
        <w:rPr>
          <w:rFonts w:ascii="Arial" w:hAnsi="Arial" w:cs="Arial"/>
          <w:color w:val="000000" w:themeColor="text1"/>
        </w:rPr>
      </w:pPr>
      <w:r w:rsidRPr="00311AF2">
        <w:rPr>
          <w:rFonts w:ascii="Arial" w:hAnsi="Arial" w:cs="Arial"/>
          <w:color w:val="000000" w:themeColor="text1"/>
        </w:rPr>
        <w:t xml:space="preserve">Selección de herramientas tecnológicas: </w:t>
      </w:r>
      <w:r w:rsidR="00EA3B62" w:rsidRPr="00311AF2">
        <w:rPr>
          <w:rFonts w:ascii="Arial" w:hAnsi="Arial" w:cs="Arial"/>
          <w:color w:val="000000" w:themeColor="text1"/>
        </w:rPr>
        <w:t>e</w:t>
      </w:r>
      <w:r w:rsidRPr="00311AF2">
        <w:rPr>
          <w:rFonts w:ascii="Arial" w:hAnsi="Arial" w:cs="Arial"/>
          <w:color w:val="000000" w:themeColor="text1"/>
        </w:rPr>
        <w:t>valuación de tecnologías pertinentes, sostenibles y gratuitas, busca no abrumar a</w:t>
      </w:r>
      <w:r w:rsidR="00EA3B62" w:rsidRPr="00311AF2">
        <w:rPr>
          <w:rFonts w:ascii="Arial" w:hAnsi="Arial" w:cs="Arial"/>
          <w:color w:val="000000" w:themeColor="text1"/>
        </w:rPr>
        <w:t xml:space="preserve">l estudiantado </w:t>
      </w:r>
      <w:r w:rsidRPr="00311AF2">
        <w:rPr>
          <w:rFonts w:ascii="Arial" w:hAnsi="Arial" w:cs="Arial"/>
          <w:color w:val="000000" w:themeColor="text1"/>
        </w:rPr>
        <w:t>con múltiples plataformas.</w:t>
      </w:r>
    </w:p>
    <w:p w14:paraId="410BC7A1" w14:textId="3E4D8A69" w:rsidR="004F7551" w:rsidRPr="00311AF2" w:rsidRDefault="004F7551" w:rsidP="00656C84">
      <w:pPr>
        <w:pStyle w:val="Prrafodelista"/>
        <w:numPr>
          <w:ilvl w:val="0"/>
          <w:numId w:val="43"/>
        </w:numPr>
        <w:spacing w:line="360" w:lineRule="auto"/>
        <w:jc w:val="both"/>
        <w:rPr>
          <w:rFonts w:ascii="Arial" w:hAnsi="Arial" w:cs="Arial"/>
          <w:color w:val="000000" w:themeColor="text1"/>
        </w:rPr>
      </w:pPr>
      <w:r w:rsidRPr="00311AF2">
        <w:rPr>
          <w:rFonts w:ascii="Arial" w:hAnsi="Arial" w:cs="Arial"/>
          <w:color w:val="000000" w:themeColor="text1"/>
        </w:rPr>
        <w:t xml:space="preserve">Motivación estudiantil: </w:t>
      </w:r>
      <w:r w:rsidR="00EA3B62" w:rsidRPr="00311AF2">
        <w:rPr>
          <w:rFonts w:ascii="Arial" w:hAnsi="Arial" w:cs="Arial"/>
          <w:color w:val="000000" w:themeColor="text1"/>
        </w:rPr>
        <w:t>e</w:t>
      </w:r>
      <w:r w:rsidRPr="00311AF2">
        <w:rPr>
          <w:rFonts w:ascii="Arial" w:hAnsi="Arial" w:cs="Arial"/>
          <w:color w:val="000000" w:themeColor="text1"/>
        </w:rPr>
        <w:t>strategias para lograr compromiso y participación frente a la fatiga digital y el aislamiento.</w:t>
      </w:r>
    </w:p>
    <w:p w14:paraId="7BF649BF" w14:textId="3FC3B06B" w:rsidR="004F7551" w:rsidRPr="00144A3E" w:rsidRDefault="004F7551" w:rsidP="00656C84">
      <w:pPr>
        <w:pStyle w:val="Prrafodelista"/>
        <w:numPr>
          <w:ilvl w:val="0"/>
          <w:numId w:val="43"/>
        </w:numPr>
        <w:spacing w:after="240" w:line="360" w:lineRule="auto"/>
        <w:ind w:left="1077"/>
        <w:contextualSpacing w:val="0"/>
        <w:jc w:val="both"/>
        <w:rPr>
          <w:rFonts w:ascii="Arial" w:hAnsi="Arial" w:cs="Arial"/>
          <w:color w:val="000000" w:themeColor="text1"/>
        </w:rPr>
      </w:pPr>
      <w:r w:rsidRPr="00311AF2">
        <w:rPr>
          <w:rFonts w:ascii="Arial" w:hAnsi="Arial" w:cs="Arial"/>
          <w:color w:val="000000" w:themeColor="text1"/>
        </w:rPr>
        <w:t>Gestión del tiempo</w:t>
      </w:r>
      <w:r w:rsidRPr="00144A3E">
        <w:rPr>
          <w:rFonts w:ascii="Arial" w:hAnsi="Arial" w:cs="Arial"/>
          <w:color w:val="000000" w:themeColor="text1"/>
        </w:rPr>
        <w:t xml:space="preserve">: </w:t>
      </w:r>
      <w:r w:rsidR="00EA3B62">
        <w:rPr>
          <w:rFonts w:ascii="Arial" w:hAnsi="Arial" w:cs="Arial"/>
          <w:color w:val="000000" w:themeColor="text1"/>
        </w:rPr>
        <w:t>r</w:t>
      </w:r>
      <w:r w:rsidRPr="00144A3E">
        <w:rPr>
          <w:rFonts w:ascii="Arial" w:hAnsi="Arial" w:cs="Arial"/>
          <w:color w:val="000000" w:themeColor="text1"/>
        </w:rPr>
        <w:t xml:space="preserve">econfiguración del tiempo y el espacio en la virtualidad </w:t>
      </w:r>
      <w:r w:rsidRPr="16FDF337">
        <w:rPr>
          <w:rFonts w:ascii="Arial" w:hAnsi="Arial" w:cs="Arial"/>
          <w:color w:val="000000" w:themeColor="text1"/>
        </w:rPr>
        <w:t>(Dussel</w:t>
      </w:r>
      <w:r w:rsidRPr="7B8BE265">
        <w:rPr>
          <w:rFonts w:ascii="Arial" w:hAnsi="Arial" w:cs="Arial"/>
          <w:color w:val="000000" w:themeColor="text1"/>
        </w:rPr>
        <w:t xml:space="preserve"> </w:t>
      </w:r>
      <w:r w:rsidRPr="00BE059F">
        <w:rPr>
          <w:rFonts w:ascii="Arial" w:hAnsi="Arial" w:cs="Arial"/>
          <w:i/>
          <w:iCs/>
          <w:color w:val="000000" w:themeColor="text1"/>
        </w:rPr>
        <w:t>et al</w:t>
      </w:r>
      <w:r w:rsidRPr="7B8BE265">
        <w:rPr>
          <w:rFonts w:ascii="Arial" w:hAnsi="Arial" w:cs="Arial"/>
          <w:color w:val="000000" w:themeColor="text1"/>
        </w:rPr>
        <w:t>.</w:t>
      </w:r>
      <w:r w:rsidRPr="16FDF337">
        <w:rPr>
          <w:rFonts w:ascii="Arial" w:hAnsi="Arial" w:cs="Arial"/>
          <w:color w:val="000000" w:themeColor="text1"/>
        </w:rPr>
        <w:t xml:space="preserve">, </w:t>
      </w:r>
      <w:r w:rsidRPr="007E664C" w:rsidDel="007E664C">
        <w:rPr>
          <w:rFonts w:ascii="Arial" w:hAnsi="Arial" w:cs="Arial"/>
          <w:color w:val="000000" w:themeColor="text1"/>
        </w:rPr>
        <w:t>2020)</w:t>
      </w:r>
      <w:r w:rsidRPr="007E664C">
        <w:rPr>
          <w:rFonts w:ascii="Arial" w:hAnsi="Arial" w:cs="Arial"/>
          <w:color w:val="000000" w:themeColor="text1"/>
        </w:rPr>
        <w:t>,</w:t>
      </w:r>
      <w:r w:rsidRPr="00144A3E">
        <w:rPr>
          <w:rFonts w:ascii="Arial" w:hAnsi="Arial" w:cs="Arial"/>
          <w:color w:val="000000" w:themeColor="text1"/>
        </w:rPr>
        <w:t xml:space="preserve"> lo que exige reorganizar contenidos y actividades considerando nuevos ritmos y formas de participación.</w:t>
      </w:r>
    </w:p>
    <w:p w14:paraId="32781FF2" w14:textId="5153BD48" w:rsidR="004F7551" w:rsidRPr="00E74BD8" w:rsidRDefault="004F7551" w:rsidP="00656C84">
      <w:pPr>
        <w:spacing w:after="240" w:line="360" w:lineRule="auto"/>
        <w:jc w:val="both"/>
        <w:rPr>
          <w:rFonts w:ascii="Arial" w:hAnsi="Arial" w:cs="Arial"/>
          <w:color w:val="000000" w:themeColor="text1"/>
        </w:rPr>
      </w:pPr>
      <w:r w:rsidRPr="00E74BD8">
        <w:rPr>
          <w:rFonts w:ascii="Arial" w:hAnsi="Arial" w:cs="Arial"/>
          <w:color w:val="000000" w:themeColor="text1"/>
        </w:rPr>
        <w:lastRenderedPageBreak/>
        <w:t xml:space="preserve">Esta etapa trajo consigo un análisis más estratégico y reflexivo del quehacer docente en contextos digitales, </w:t>
      </w:r>
      <w:r w:rsidR="00EA3B62">
        <w:rPr>
          <w:rFonts w:ascii="Arial" w:hAnsi="Arial" w:cs="Arial"/>
          <w:color w:val="000000" w:themeColor="text1"/>
        </w:rPr>
        <w:t>lo cual</w:t>
      </w:r>
      <w:r w:rsidR="00EA3B62" w:rsidRPr="00E74BD8">
        <w:rPr>
          <w:rFonts w:ascii="Arial" w:hAnsi="Arial" w:cs="Arial"/>
          <w:color w:val="000000" w:themeColor="text1"/>
        </w:rPr>
        <w:t xml:space="preserve"> </w:t>
      </w:r>
      <w:r w:rsidRPr="00E74BD8">
        <w:rPr>
          <w:rFonts w:ascii="Arial" w:hAnsi="Arial" w:cs="Arial"/>
          <w:color w:val="000000" w:themeColor="text1"/>
        </w:rPr>
        <w:t>resaltó la necesidad de desarrollar competencias más allá del manejo técnico.</w:t>
      </w:r>
    </w:p>
    <w:p w14:paraId="456E4E9F" w14:textId="149146C7" w:rsidR="004F7551" w:rsidRDefault="004F7551" w:rsidP="00656C84">
      <w:pPr>
        <w:spacing w:after="240" w:line="360" w:lineRule="auto"/>
        <w:jc w:val="both"/>
        <w:rPr>
          <w:rFonts w:ascii="Arial" w:hAnsi="Arial" w:cs="Arial"/>
          <w:color w:val="000000" w:themeColor="text1"/>
        </w:rPr>
      </w:pPr>
      <w:r w:rsidRPr="00E74BD8">
        <w:rPr>
          <w:rFonts w:ascii="Arial" w:hAnsi="Arial" w:cs="Arial"/>
          <w:color w:val="000000" w:themeColor="text1"/>
        </w:rPr>
        <w:t xml:space="preserve">Con respecto a las acciones emprendidas en </w:t>
      </w:r>
      <w:proofErr w:type="spellStart"/>
      <w:r w:rsidRPr="00E74BD8">
        <w:rPr>
          <w:rFonts w:ascii="Arial" w:hAnsi="Arial" w:cs="Arial"/>
          <w:i/>
          <w:iCs/>
          <w:color w:val="000000" w:themeColor="text1"/>
        </w:rPr>
        <w:t>Movingonline</w:t>
      </w:r>
      <w:proofErr w:type="spellEnd"/>
      <w:r w:rsidRPr="00E74BD8">
        <w:rPr>
          <w:rFonts w:ascii="Arial" w:hAnsi="Arial" w:cs="Arial"/>
          <w:color w:val="000000" w:themeColor="text1"/>
        </w:rPr>
        <w:t>, se pus</w:t>
      </w:r>
      <w:r w:rsidR="000E63B8">
        <w:rPr>
          <w:rFonts w:ascii="Arial" w:hAnsi="Arial" w:cs="Arial"/>
          <w:color w:val="000000" w:themeColor="text1"/>
        </w:rPr>
        <w:t>ieron</w:t>
      </w:r>
      <w:r w:rsidRPr="00E74BD8">
        <w:rPr>
          <w:rFonts w:ascii="Arial" w:hAnsi="Arial" w:cs="Arial"/>
          <w:color w:val="000000" w:themeColor="text1"/>
        </w:rPr>
        <w:t xml:space="preserve"> en marcha una serie de webinarios que abordaban diversas temáticas y respondían algunas inquietudes de la audiencia. Entre abril y diciembre de</w:t>
      </w:r>
      <w:r w:rsidR="000E63B8">
        <w:rPr>
          <w:rFonts w:ascii="Arial" w:hAnsi="Arial" w:cs="Arial"/>
          <w:color w:val="000000" w:themeColor="text1"/>
        </w:rPr>
        <w:t>l</w:t>
      </w:r>
      <w:r w:rsidRPr="00E74BD8">
        <w:rPr>
          <w:rFonts w:ascii="Arial" w:hAnsi="Arial" w:cs="Arial"/>
          <w:color w:val="000000" w:themeColor="text1"/>
        </w:rPr>
        <w:t xml:space="preserve"> 2020 se realizaron 38 encuentros de este tipo, con una asistencia promedio de 200 personas de diversos países de América Latina.</w:t>
      </w:r>
    </w:p>
    <w:p w14:paraId="137BC015" w14:textId="24550F0B" w:rsidR="00BE0908" w:rsidRPr="00311AF2" w:rsidRDefault="004F7551" w:rsidP="00656C84">
      <w:pPr>
        <w:spacing w:after="240" w:line="360" w:lineRule="auto"/>
        <w:jc w:val="both"/>
        <w:rPr>
          <w:rFonts w:ascii="Arial" w:hAnsi="Arial" w:cs="Arial"/>
          <w:b/>
          <w:bCs/>
          <w:color w:val="000000" w:themeColor="text1"/>
        </w:rPr>
      </w:pPr>
      <w:r w:rsidRPr="00311AF2">
        <w:rPr>
          <w:rFonts w:ascii="Arial" w:hAnsi="Arial" w:cs="Arial"/>
          <w:b/>
          <w:bCs/>
          <w:color w:val="000000" w:themeColor="text1"/>
        </w:rPr>
        <w:t xml:space="preserve">Fase de consolidación: </w:t>
      </w:r>
      <w:r w:rsidR="000E63B8" w:rsidRPr="00311AF2">
        <w:rPr>
          <w:rFonts w:ascii="Arial" w:hAnsi="Arial" w:cs="Arial"/>
          <w:b/>
          <w:bCs/>
          <w:color w:val="000000" w:themeColor="text1"/>
        </w:rPr>
        <w:t>c</w:t>
      </w:r>
      <w:r w:rsidRPr="00311AF2">
        <w:rPr>
          <w:rFonts w:ascii="Arial" w:hAnsi="Arial" w:cs="Arial"/>
          <w:b/>
          <w:bCs/>
          <w:color w:val="000000" w:themeColor="text1"/>
        </w:rPr>
        <w:t>omunicación, diseño instruccional y rol institucional</w:t>
      </w:r>
    </w:p>
    <w:p w14:paraId="19DB164E" w14:textId="4F83EF2F" w:rsidR="004F7551" w:rsidRPr="00BE0908" w:rsidRDefault="004F7551" w:rsidP="00656C84">
      <w:pPr>
        <w:spacing w:line="360" w:lineRule="auto"/>
        <w:jc w:val="both"/>
        <w:rPr>
          <w:rFonts w:ascii="Arial" w:hAnsi="Arial" w:cs="Arial"/>
          <w:b/>
          <w:bCs/>
          <w:i/>
          <w:iCs/>
          <w:color w:val="000000" w:themeColor="text1"/>
        </w:rPr>
      </w:pPr>
      <w:r w:rsidRPr="00E74BD8">
        <w:rPr>
          <w:rFonts w:ascii="Arial" w:hAnsi="Arial" w:cs="Arial"/>
          <w:color w:val="000000" w:themeColor="text1"/>
        </w:rPr>
        <w:t xml:space="preserve">En una tercera fase, con mayor apropiación del entorno virtual, </w:t>
      </w:r>
      <w:r w:rsidRPr="0427646F">
        <w:rPr>
          <w:rFonts w:ascii="Arial" w:hAnsi="Arial" w:cs="Arial"/>
          <w:color w:val="000000" w:themeColor="text1"/>
        </w:rPr>
        <w:t>la audiencia comenzó</w:t>
      </w:r>
      <w:r w:rsidRPr="00E74BD8">
        <w:rPr>
          <w:rFonts w:ascii="Arial" w:hAnsi="Arial" w:cs="Arial"/>
          <w:color w:val="000000" w:themeColor="text1"/>
        </w:rPr>
        <w:t xml:space="preserve"> a explorar aspectos más complejos e integrales del proceso educativo:</w:t>
      </w:r>
    </w:p>
    <w:p w14:paraId="04F35BF9" w14:textId="6E2EEF29" w:rsidR="004F7551" w:rsidRPr="00311AF2" w:rsidRDefault="004F7551" w:rsidP="00656C84">
      <w:pPr>
        <w:pStyle w:val="Prrafodelista"/>
        <w:numPr>
          <w:ilvl w:val="0"/>
          <w:numId w:val="43"/>
        </w:numPr>
        <w:spacing w:line="360" w:lineRule="auto"/>
        <w:jc w:val="both"/>
        <w:rPr>
          <w:rFonts w:ascii="Arial" w:hAnsi="Arial" w:cs="Arial"/>
          <w:color w:val="000000" w:themeColor="text1"/>
        </w:rPr>
      </w:pPr>
      <w:r w:rsidRPr="00311AF2">
        <w:rPr>
          <w:rFonts w:ascii="Arial" w:hAnsi="Arial" w:cs="Arial"/>
          <w:color w:val="000000" w:themeColor="text1"/>
        </w:rPr>
        <w:t xml:space="preserve">Comunicación efectiva en entornos virtuales: </w:t>
      </w:r>
      <w:r w:rsidR="00041CE2" w:rsidRPr="00311AF2">
        <w:rPr>
          <w:rFonts w:ascii="Arial" w:hAnsi="Arial" w:cs="Arial"/>
          <w:color w:val="000000" w:themeColor="text1"/>
        </w:rPr>
        <w:t>s</w:t>
      </w:r>
      <w:r w:rsidRPr="00311AF2">
        <w:rPr>
          <w:rFonts w:ascii="Arial" w:hAnsi="Arial" w:cs="Arial"/>
          <w:color w:val="000000" w:themeColor="text1"/>
        </w:rPr>
        <w:t>e identificaron desafíos como la interpretación del tono, la gestión del silencio en foros, la retroalimentación asíncrona y la empatía digital.</w:t>
      </w:r>
    </w:p>
    <w:p w14:paraId="071C0453" w14:textId="1999F3C1" w:rsidR="004F7551" w:rsidRPr="00311AF2" w:rsidRDefault="004F7551" w:rsidP="00656C84">
      <w:pPr>
        <w:pStyle w:val="Prrafodelista"/>
        <w:numPr>
          <w:ilvl w:val="0"/>
          <w:numId w:val="43"/>
        </w:numPr>
        <w:spacing w:line="360" w:lineRule="auto"/>
        <w:jc w:val="both"/>
        <w:rPr>
          <w:rFonts w:ascii="Arial" w:hAnsi="Arial" w:cs="Arial"/>
          <w:color w:val="000000" w:themeColor="text1"/>
        </w:rPr>
      </w:pPr>
      <w:r w:rsidRPr="00311AF2">
        <w:rPr>
          <w:rFonts w:ascii="Arial" w:hAnsi="Arial" w:cs="Arial"/>
          <w:color w:val="000000" w:themeColor="text1"/>
        </w:rPr>
        <w:t xml:space="preserve">Diseño instruccional: </w:t>
      </w:r>
      <w:r w:rsidR="00041CE2" w:rsidRPr="00311AF2">
        <w:rPr>
          <w:rFonts w:ascii="Arial" w:hAnsi="Arial" w:cs="Arial"/>
          <w:color w:val="000000" w:themeColor="text1"/>
        </w:rPr>
        <w:t>s</w:t>
      </w:r>
      <w:r w:rsidRPr="00311AF2">
        <w:rPr>
          <w:rFonts w:ascii="Arial" w:hAnsi="Arial" w:cs="Arial"/>
          <w:color w:val="000000" w:themeColor="text1"/>
        </w:rPr>
        <w:t>urgió la necesidad de diseñar cursos coherentes, con rutas de aprendizaje claras, objetivos medibles y actividades alineadas a competencias específicas.</w:t>
      </w:r>
    </w:p>
    <w:p w14:paraId="58DEA5B7" w14:textId="4228F054" w:rsidR="004F7551" w:rsidRPr="00E74BD8" w:rsidRDefault="004F7551" w:rsidP="00656C84">
      <w:pPr>
        <w:pStyle w:val="Prrafodelista"/>
        <w:numPr>
          <w:ilvl w:val="0"/>
          <w:numId w:val="43"/>
        </w:numPr>
        <w:spacing w:after="240" w:line="360" w:lineRule="auto"/>
        <w:ind w:left="1077"/>
        <w:contextualSpacing w:val="0"/>
        <w:jc w:val="both"/>
        <w:rPr>
          <w:rFonts w:ascii="Arial" w:hAnsi="Arial" w:cs="Arial"/>
          <w:color w:val="000000" w:themeColor="text1"/>
        </w:rPr>
      </w:pPr>
      <w:r w:rsidRPr="00311AF2">
        <w:rPr>
          <w:rFonts w:ascii="Arial" w:hAnsi="Arial" w:cs="Arial"/>
          <w:color w:val="000000" w:themeColor="text1"/>
        </w:rPr>
        <w:t>Rol de las instituciones</w:t>
      </w:r>
      <w:r w:rsidRPr="00E74BD8">
        <w:rPr>
          <w:rFonts w:ascii="Arial" w:hAnsi="Arial" w:cs="Arial"/>
          <w:color w:val="000000" w:themeColor="text1"/>
        </w:rPr>
        <w:t xml:space="preserve">: </w:t>
      </w:r>
      <w:r w:rsidR="00041CE2">
        <w:rPr>
          <w:rFonts w:ascii="Arial" w:hAnsi="Arial" w:cs="Arial"/>
          <w:color w:val="000000" w:themeColor="text1"/>
        </w:rPr>
        <w:t>l</w:t>
      </w:r>
      <w:r>
        <w:rPr>
          <w:rFonts w:ascii="Arial" w:hAnsi="Arial" w:cs="Arial"/>
          <w:color w:val="000000" w:themeColor="text1"/>
        </w:rPr>
        <w:t>as personas</w:t>
      </w:r>
      <w:r w:rsidRPr="00E74BD8">
        <w:rPr>
          <w:rFonts w:ascii="Arial" w:hAnsi="Arial" w:cs="Arial"/>
          <w:color w:val="000000" w:themeColor="text1"/>
        </w:rPr>
        <w:t xml:space="preserve"> docentes comenzaron a demandar claridad y acompañamiento institucional sistemático.</w:t>
      </w:r>
    </w:p>
    <w:p w14:paraId="708834D8" w14:textId="77777777" w:rsidR="004F7551" w:rsidRPr="00E74BD8" w:rsidRDefault="004F7551" w:rsidP="00656C84">
      <w:pPr>
        <w:spacing w:after="240" w:line="360" w:lineRule="auto"/>
        <w:jc w:val="both"/>
        <w:rPr>
          <w:rFonts w:ascii="Arial" w:hAnsi="Arial" w:cs="Arial"/>
          <w:color w:val="000000" w:themeColor="text1"/>
        </w:rPr>
      </w:pPr>
      <w:r w:rsidRPr="00E74BD8">
        <w:rPr>
          <w:rFonts w:ascii="Arial" w:hAnsi="Arial" w:cs="Arial"/>
          <w:color w:val="000000" w:themeColor="text1"/>
        </w:rPr>
        <w:lastRenderedPageBreak/>
        <w:t xml:space="preserve">Esta etapa supuso un fortalecimiento de la visión sistémica del proceso educativo virtual, en la que la enseñanza no dependía únicamente del </w:t>
      </w:r>
      <w:r w:rsidRPr="0E6D92F2">
        <w:rPr>
          <w:rFonts w:ascii="Arial" w:hAnsi="Arial" w:cs="Arial"/>
          <w:color w:val="000000" w:themeColor="text1"/>
        </w:rPr>
        <w:t xml:space="preserve">personal </w:t>
      </w:r>
      <w:r w:rsidRPr="00E74BD8">
        <w:rPr>
          <w:rFonts w:ascii="Arial" w:hAnsi="Arial" w:cs="Arial"/>
          <w:color w:val="000000" w:themeColor="text1"/>
        </w:rPr>
        <w:t>docente, sino también del soporte y la cultura digital institucionales.</w:t>
      </w:r>
    </w:p>
    <w:p w14:paraId="34603ABB" w14:textId="3798AFB7" w:rsidR="004F7551" w:rsidRPr="00E74BD8" w:rsidRDefault="004F7551" w:rsidP="00656C84">
      <w:pPr>
        <w:spacing w:after="240" w:line="360" w:lineRule="auto"/>
        <w:jc w:val="both"/>
        <w:rPr>
          <w:rFonts w:ascii="Arial" w:hAnsi="Arial" w:cs="Arial"/>
          <w:color w:val="000000" w:themeColor="text1"/>
        </w:rPr>
      </w:pPr>
      <w:r w:rsidRPr="00E74BD8">
        <w:rPr>
          <w:rFonts w:ascii="Arial" w:hAnsi="Arial" w:cs="Arial"/>
          <w:color w:val="000000" w:themeColor="text1"/>
        </w:rPr>
        <w:t xml:space="preserve">Desde la iniciativa, se diseñaron y pusieron a disposición algunos talleres tutorizados o autogestionados con énfasis en la pedagogía y tutoría en línea, </w:t>
      </w:r>
      <w:r w:rsidR="00041CE2">
        <w:rPr>
          <w:rFonts w:ascii="Arial" w:hAnsi="Arial" w:cs="Arial"/>
          <w:color w:val="000000" w:themeColor="text1"/>
        </w:rPr>
        <w:t>así como</w:t>
      </w:r>
      <w:r w:rsidRPr="00E74BD8">
        <w:rPr>
          <w:rFonts w:ascii="Arial" w:hAnsi="Arial" w:cs="Arial"/>
          <w:color w:val="000000" w:themeColor="text1"/>
        </w:rPr>
        <w:t xml:space="preserve"> algunas estrategias para su puesta en marcha. Estos espacios llamaron la atención de grupos con necesidades diversas y fueron evolucionando con base en la demanda, las temáticas abordadas y la retroalimentación recibida.</w:t>
      </w:r>
    </w:p>
    <w:p w14:paraId="4A090D8C" w14:textId="6F3DEE92" w:rsidR="004F7551" w:rsidRDefault="004F7551" w:rsidP="00656C84">
      <w:pPr>
        <w:spacing w:after="240" w:line="360" w:lineRule="auto"/>
        <w:jc w:val="both"/>
        <w:rPr>
          <w:rFonts w:ascii="Arial" w:hAnsi="Arial" w:cs="Arial"/>
          <w:color w:val="000000" w:themeColor="text1"/>
        </w:rPr>
      </w:pPr>
      <w:r w:rsidRPr="00E74BD8">
        <w:rPr>
          <w:rFonts w:ascii="Arial" w:hAnsi="Arial" w:cs="Arial"/>
          <w:color w:val="000000" w:themeColor="text1"/>
        </w:rPr>
        <w:t xml:space="preserve">El </w:t>
      </w:r>
      <w:proofErr w:type="spellStart"/>
      <w:r w:rsidRPr="00E74BD8">
        <w:rPr>
          <w:rFonts w:ascii="Arial" w:hAnsi="Arial" w:cs="Arial"/>
          <w:i/>
          <w:iCs/>
          <w:color w:val="000000" w:themeColor="text1"/>
        </w:rPr>
        <w:t>Bootcamp</w:t>
      </w:r>
      <w:proofErr w:type="spellEnd"/>
      <w:r w:rsidRPr="00E74BD8">
        <w:rPr>
          <w:rFonts w:ascii="Arial" w:hAnsi="Arial" w:cs="Arial"/>
          <w:i/>
          <w:iCs/>
          <w:color w:val="000000" w:themeColor="text1"/>
        </w:rPr>
        <w:t xml:space="preserve"> virtual para enseñanza remota</w:t>
      </w:r>
      <w:r w:rsidRPr="00E74BD8">
        <w:rPr>
          <w:rFonts w:ascii="Arial" w:hAnsi="Arial" w:cs="Arial"/>
          <w:color w:val="000000" w:themeColor="text1"/>
        </w:rPr>
        <w:t xml:space="preserve"> tuvo como propósito que l</w:t>
      </w:r>
      <w:r w:rsidR="00041CE2">
        <w:rPr>
          <w:rFonts w:ascii="Arial" w:hAnsi="Arial" w:cs="Arial"/>
          <w:color w:val="000000" w:themeColor="text1"/>
        </w:rPr>
        <w:t>as personas</w:t>
      </w:r>
      <w:r w:rsidRPr="00E74BD8">
        <w:rPr>
          <w:rFonts w:ascii="Arial" w:hAnsi="Arial" w:cs="Arial"/>
          <w:color w:val="000000" w:themeColor="text1"/>
        </w:rPr>
        <w:t xml:space="preserve"> participantes formularan una estrategia para migrar de la docencia presencial y sincrónica a la docencia remota y asincrónica; más de 5500 personas se sumaron a este taller a lo largo de sus cinco ediciones</w:t>
      </w:r>
      <w:r>
        <w:rPr>
          <w:rFonts w:ascii="Arial" w:hAnsi="Arial" w:cs="Arial"/>
          <w:color w:val="000000" w:themeColor="text1"/>
        </w:rPr>
        <w:t xml:space="preserve"> (</w:t>
      </w:r>
      <w:r w:rsidRPr="330F43C4">
        <w:rPr>
          <w:rFonts w:ascii="Arial" w:hAnsi="Arial" w:cs="Arial"/>
          <w:color w:val="000000" w:themeColor="text1"/>
        </w:rPr>
        <w:t>F</w:t>
      </w:r>
      <w:r>
        <w:rPr>
          <w:rFonts w:ascii="Arial" w:hAnsi="Arial" w:cs="Arial"/>
          <w:color w:val="000000" w:themeColor="text1"/>
        </w:rPr>
        <w:t>igura 1)</w:t>
      </w:r>
      <w:r w:rsidRPr="00E74BD8">
        <w:rPr>
          <w:rFonts w:ascii="Arial" w:hAnsi="Arial" w:cs="Arial"/>
          <w:color w:val="000000" w:themeColor="text1"/>
        </w:rPr>
        <w:t>.</w:t>
      </w:r>
      <w:r w:rsidR="003E5F93">
        <w:rPr>
          <w:rFonts w:ascii="Arial" w:hAnsi="Arial" w:cs="Arial"/>
          <w:color w:val="000000" w:themeColor="text1"/>
        </w:rPr>
        <w:t xml:space="preserve"> </w:t>
      </w:r>
    </w:p>
    <w:p w14:paraId="6BBFD723" w14:textId="77777777" w:rsidR="00CA5E63" w:rsidRDefault="00CA5E63" w:rsidP="00656C84">
      <w:pPr>
        <w:spacing w:line="360" w:lineRule="auto"/>
        <w:jc w:val="both"/>
        <w:rPr>
          <w:rFonts w:ascii="Arial" w:hAnsi="Arial" w:cs="Arial"/>
          <w:b/>
          <w:bCs/>
          <w:color w:val="000000" w:themeColor="text1"/>
        </w:rPr>
      </w:pPr>
    </w:p>
    <w:p w14:paraId="479F1DE1" w14:textId="77777777" w:rsidR="00CA5E63" w:rsidRDefault="00CA5E63" w:rsidP="00656C84">
      <w:pPr>
        <w:spacing w:line="360" w:lineRule="auto"/>
        <w:jc w:val="both"/>
        <w:rPr>
          <w:rFonts w:ascii="Arial" w:hAnsi="Arial" w:cs="Arial"/>
          <w:b/>
          <w:bCs/>
          <w:color w:val="000000" w:themeColor="text1"/>
        </w:rPr>
      </w:pPr>
    </w:p>
    <w:p w14:paraId="3A04A74B" w14:textId="77777777" w:rsidR="00CA5E63" w:rsidRDefault="00CA5E63" w:rsidP="00656C84">
      <w:pPr>
        <w:spacing w:line="360" w:lineRule="auto"/>
        <w:jc w:val="both"/>
        <w:rPr>
          <w:rFonts w:ascii="Arial" w:hAnsi="Arial" w:cs="Arial"/>
          <w:b/>
          <w:bCs/>
          <w:color w:val="000000" w:themeColor="text1"/>
        </w:rPr>
      </w:pPr>
    </w:p>
    <w:p w14:paraId="1CFE6E3A" w14:textId="77777777" w:rsidR="00CA5E63" w:rsidRDefault="00CA5E63" w:rsidP="00656C84">
      <w:pPr>
        <w:spacing w:line="360" w:lineRule="auto"/>
        <w:jc w:val="both"/>
        <w:rPr>
          <w:rFonts w:ascii="Arial" w:hAnsi="Arial" w:cs="Arial"/>
          <w:b/>
          <w:bCs/>
          <w:color w:val="000000" w:themeColor="text1"/>
        </w:rPr>
      </w:pPr>
    </w:p>
    <w:p w14:paraId="4C9114D5" w14:textId="77777777" w:rsidR="00CA5E63" w:rsidRDefault="00CA5E63" w:rsidP="00656C84">
      <w:pPr>
        <w:spacing w:line="360" w:lineRule="auto"/>
        <w:jc w:val="both"/>
        <w:rPr>
          <w:rFonts w:ascii="Arial" w:hAnsi="Arial" w:cs="Arial"/>
          <w:b/>
          <w:bCs/>
          <w:color w:val="000000" w:themeColor="text1"/>
        </w:rPr>
      </w:pPr>
    </w:p>
    <w:p w14:paraId="44DEDF8B" w14:textId="77777777" w:rsidR="00CA5E63" w:rsidRDefault="00CA5E63" w:rsidP="00656C84">
      <w:pPr>
        <w:spacing w:line="360" w:lineRule="auto"/>
        <w:jc w:val="both"/>
        <w:rPr>
          <w:rFonts w:ascii="Arial" w:hAnsi="Arial" w:cs="Arial"/>
          <w:b/>
          <w:bCs/>
          <w:color w:val="000000" w:themeColor="text1"/>
        </w:rPr>
      </w:pPr>
    </w:p>
    <w:p w14:paraId="735A1277" w14:textId="77777777" w:rsidR="00CA5E63" w:rsidRDefault="00CA5E63" w:rsidP="00656C84">
      <w:pPr>
        <w:spacing w:line="360" w:lineRule="auto"/>
        <w:jc w:val="both"/>
        <w:rPr>
          <w:rFonts w:ascii="Arial" w:hAnsi="Arial" w:cs="Arial"/>
          <w:b/>
          <w:bCs/>
          <w:color w:val="000000" w:themeColor="text1"/>
        </w:rPr>
      </w:pPr>
    </w:p>
    <w:p w14:paraId="066FC868" w14:textId="77777777" w:rsidR="00CA5E63" w:rsidRDefault="00CA5E63" w:rsidP="00656C84">
      <w:pPr>
        <w:spacing w:line="360" w:lineRule="auto"/>
        <w:jc w:val="both"/>
        <w:rPr>
          <w:rFonts w:ascii="Arial" w:hAnsi="Arial" w:cs="Arial"/>
          <w:b/>
          <w:bCs/>
          <w:color w:val="000000" w:themeColor="text1"/>
        </w:rPr>
      </w:pPr>
    </w:p>
    <w:p w14:paraId="711E3F7C" w14:textId="77777777" w:rsidR="00CA5E63" w:rsidRDefault="00CA5E63" w:rsidP="00656C84">
      <w:pPr>
        <w:spacing w:line="360" w:lineRule="auto"/>
        <w:jc w:val="both"/>
        <w:rPr>
          <w:rFonts w:ascii="Arial" w:hAnsi="Arial" w:cs="Arial"/>
          <w:b/>
          <w:bCs/>
          <w:color w:val="000000" w:themeColor="text1"/>
        </w:rPr>
      </w:pPr>
    </w:p>
    <w:p w14:paraId="5F2301D9" w14:textId="0967E08D" w:rsidR="0012679F" w:rsidRPr="00834D2F" w:rsidRDefault="004F7551" w:rsidP="00656C84">
      <w:pPr>
        <w:spacing w:line="360" w:lineRule="auto"/>
        <w:jc w:val="both"/>
        <w:rPr>
          <w:rFonts w:ascii="Arial" w:hAnsi="Arial" w:cs="Arial"/>
          <w:b/>
          <w:bCs/>
          <w:color w:val="000000" w:themeColor="text1"/>
        </w:rPr>
      </w:pPr>
      <w:r w:rsidRPr="00E74BD8">
        <w:rPr>
          <w:rFonts w:ascii="Arial" w:hAnsi="Arial" w:cs="Arial"/>
          <w:b/>
          <w:bCs/>
          <w:color w:val="000000" w:themeColor="text1"/>
        </w:rPr>
        <w:lastRenderedPageBreak/>
        <w:t>Figura 1</w:t>
      </w:r>
    </w:p>
    <w:p w14:paraId="24961D5C" w14:textId="3F49B83B" w:rsidR="004F7551" w:rsidRPr="0037328D" w:rsidRDefault="00CA5E63" w:rsidP="00656C84">
      <w:pPr>
        <w:snapToGrid w:val="0"/>
        <w:spacing w:after="240" w:line="360" w:lineRule="auto"/>
        <w:jc w:val="both"/>
        <w:rPr>
          <w:rFonts w:ascii="Arial" w:hAnsi="Arial" w:cs="Arial"/>
          <w:color w:val="000000" w:themeColor="text1"/>
        </w:rPr>
      </w:pPr>
      <w:r>
        <w:rPr>
          <w:noProof/>
        </w:rPr>
        <w:drawing>
          <wp:anchor distT="0" distB="0" distL="114300" distR="114300" simplePos="0" relativeHeight="251663360" behindDoc="0" locked="0" layoutInCell="1" allowOverlap="1" wp14:anchorId="571565B7" wp14:editId="0A2D878E">
            <wp:simplePos x="0" y="0"/>
            <wp:positionH relativeFrom="margin">
              <wp:align>left</wp:align>
            </wp:positionH>
            <wp:positionV relativeFrom="paragraph">
              <wp:posOffset>415290</wp:posOffset>
            </wp:positionV>
            <wp:extent cx="3987165" cy="2571750"/>
            <wp:effectExtent l="0" t="0" r="0" b="0"/>
            <wp:wrapTopAndBottom/>
            <wp:docPr id="8197516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9">
                      <a:extLst>
                        <a:ext uri="{28A0092B-C50C-407E-A947-70E740481C1C}">
                          <a14:useLocalDpi xmlns:a14="http://schemas.microsoft.com/office/drawing/2010/main" val="0"/>
                        </a:ext>
                      </a:extLst>
                    </a:blip>
                    <a:stretch>
                      <a:fillRect/>
                    </a:stretch>
                  </pic:blipFill>
                  <pic:spPr>
                    <a:xfrm>
                      <a:off x="0" y="0"/>
                      <a:ext cx="3987165" cy="2571750"/>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w:t>
      </w:r>
      <w:proofErr w:type="spellStart"/>
      <w:r w:rsidR="004F7551" w:rsidRPr="0037328D">
        <w:rPr>
          <w:rFonts w:ascii="Arial" w:hAnsi="Arial" w:cs="Arial"/>
          <w:color w:val="000000" w:themeColor="text1"/>
        </w:rPr>
        <w:t>Bootcamp</w:t>
      </w:r>
      <w:proofErr w:type="spellEnd"/>
      <w:r w:rsidR="004F7551" w:rsidRPr="0037328D">
        <w:rPr>
          <w:rFonts w:ascii="Arial" w:hAnsi="Arial" w:cs="Arial"/>
          <w:color w:val="000000" w:themeColor="text1"/>
        </w:rPr>
        <w:t xml:space="preserve"> virtual para enseñanza remota</w:t>
      </w:r>
    </w:p>
    <w:p w14:paraId="354CB495" w14:textId="68271B28" w:rsidR="00A06E23" w:rsidRDefault="004F7551" w:rsidP="00656C84">
      <w:pPr>
        <w:snapToGrid w:val="0"/>
        <w:spacing w:before="240" w:after="240" w:line="360" w:lineRule="auto"/>
        <w:jc w:val="both"/>
        <w:rPr>
          <w:rFonts w:ascii="Arial" w:hAnsi="Arial" w:cs="Arial"/>
          <w:color w:val="000000" w:themeColor="text1"/>
        </w:rPr>
      </w:pPr>
      <w:r w:rsidRPr="00E74BD8">
        <w:rPr>
          <w:rFonts w:ascii="Arial" w:hAnsi="Arial" w:cs="Arial"/>
          <w:color w:val="000000" w:themeColor="text1"/>
        </w:rPr>
        <w:t xml:space="preserve">Otro ejemplo más fue el </w:t>
      </w:r>
      <w:r w:rsidRPr="00066603">
        <w:rPr>
          <w:rFonts w:ascii="Arial" w:hAnsi="Arial" w:cs="Arial"/>
          <w:i/>
          <w:iCs/>
          <w:color w:val="000000" w:themeColor="text1"/>
        </w:rPr>
        <w:t xml:space="preserve">Taller </w:t>
      </w:r>
      <w:proofErr w:type="spellStart"/>
      <w:r w:rsidRPr="00066603">
        <w:rPr>
          <w:rFonts w:ascii="Arial" w:hAnsi="Arial" w:cs="Arial"/>
          <w:i/>
          <w:iCs/>
          <w:color w:val="000000" w:themeColor="text1"/>
        </w:rPr>
        <w:t>express</w:t>
      </w:r>
      <w:proofErr w:type="spellEnd"/>
      <w:r w:rsidRPr="00066603">
        <w:rPr>
          <w:rFonts w:ascii="Arial" w:hAnsi="Arial" w:cs="Arial"/>
          <w:i/>
          <w:iCs/>
          <w:color w:val="000000" w:themeColor="text1"/>
        </w:rPr>
        <w:t xml:space="preserve"> para la pedagogía en línea</w:t>
      </w:r>
      <w:r w:rsidRPr="00E74BD8">
        <w:rPr>
          <w:rFonts w:ascii="Arial" w:hAnsi="Arial" w:cs="Arial"/>
          <w:color w:val="000000" w:themeColor="text1"/>
        </w:rPr>
        <w:t xml:space="preserve">, en el </w:t>
      </w:r>
      <w:r w:rsidR="00B72ECD">
        <w:rPr>
          <w:rFonts w:ascii="Arial" w:hAnsi="Arial" w:cs="Arial"/>
          <w:color w:val="000000" w:themeColor="text1"/>
        </w:rPr>
        <w:t>cual</w:t>
      </w:r>
      <w:r w:rsidR="00B72ECD" w:rsidRPr="00E74BD8">
        <w:rPr>
          <w:rFonts w:ascii="Arial" w:hAnsi="Arial" w:cs="Arial"/>
          <w:color w:val="000000" w:themeColor="text1"/>
        </w:rPr>
        <w:t xml:space="preserve"> </w:t>
      </w:r>
      <w:r>
        <w:rPr>
          <w:rFonts w:ascii="Arial" w:hAnsi="Arial" w:cs="Arial"/>
          <w:color w:val="000000" w:themeColor="text1"/>
        </w:rPr>
        <w:t xml:space="preserve">las </w:t>
      </w:r>
      <w:r w:rsidR="00B72ECD">
        <w:rPr>
          <w:rFonts w:ascii="Arial" w:hAnsi="Arial" w:cs="Arial"/>
          <w:color w:val="000000" w:themeColor="text1"/>
        </w:rPr>
        <w:t xml:space="preserve">personas </w:t>
      </w:r>
      <w:r w:rsidRPr="00E74BD8">
        <w:rPr>
          <w:rFonts w:ascii="Arial" w:hAnsi="Arial" w:cs="Arial"/>
          <w:color w:val="000000" w:themeColor="text1"/>
        </w:rPr>
        <w:t xml:space="preserve">participantes avanzaron en la identificación de los aspectos básicos de la mediación pedagógico-comunicativa que debían adaptarse al migrar de la presencialidad a los entornos virtuales de aprendizaje. En los primeros meses tras la declaratoria de la emergencia mundial, este programa se convirtió en una alternativa de formación para </w:t>
      </w:r>
      <w:r w:rsidR="00B72ECD">
        <w:rPr>
          <w:rFonts w:ascii="Arial" w:hAnsi="Arial" w:cs="Arial"/>
          <w:color w:val="000000" w:themeColor="text1"/>
        </w:rPr>
        <w:t>el profesorado</w:t>
      </w:r>
      <w:r>
        <w:rPr>
          <w:rFonts w:ascii="Arial" w:hAnsi="Arial" w:cs="Arial"/>
          <w:color w:val="000000" w:themeColor="text1"/>
        </w:rPr>
        <w:t xml:space="preserve"> (</w:t>
      </w:r>
      <w:r w:rsidRPr="330F43C4">
        <w:rPr>
          <w:rFonts w:ascii="Arial" w:hAnsi="Arial" w:cs="Arial"/>
          <w:color w:val="000000" w:themeColor="text1"/>
        </w:rPr>
        <w:t>Figura</w:t>
      </w:r>
      <w:r>
        <w:rPr>
          <w:rFonts w:ascii="Arial" w:hAnsi="Arial" w:cs="Arial"/>
          <w:color w:val="000000" w:themeColor="text1"/>
        </w:rPr>
        <w:t xml:space="preserve"> 2)</w:t>
      </w:r>
      <w:r w:rsidRPr="00E74BD8">
        <w:rPr>
          <w:rFonts w:ascii="Arial" w:hAnsi="Arial" w:cs="Arial"/>
          <w:color w:val="000000" w:themeColor="text1"/>
        </w:rPr>
        <w:t>.</w:t>
      </w:r>
      <w:r w:rsidR="00A06E23">
        <w:rPr>
          <w:rFonts w:ascii="Arial" w:hAnsi="Arial" w:cs="Arial"/>
          <w:color w:val="000000" w:themeColor="text1"/>
        </w:rPr>
        <w:br w:type="page"/>
      </w:r>
    </w:p>
    <w:p w14:paraId="72D66777" w14:textId="77777777"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lastRenderedPageBreak/>
        <w:t>Figura 2</w:t>
      </w:r>
    </w:p>
    <w:p w14:paraId="264C3006" w14:textId="1F572FD0" w:rsidR="004F7551" w:rsidRPr="0037328D" w:rsidRDefault="00656C84" w:rsidP="00656C84">
      <w:pPr>
        <w:snapToGrid w:val="0"/>
        <w:spacing w:after="240" w:line="360" w:lineRule="auto"/>
        <w:jc w:val="both"/>
        <w:rPr>
          <w:rFonts w:ascii="Arial" w:hAnsi="Arial" w:cs="Arial"/>
          <w:iCs/>
          <w:color w:val="000000" w:themeColor="text1"/>
        </w:rPr>
      </w:pPr>
      <w:r>
        <w:rPr>
          <w:noProof/>
        </w:rPr>
        <w:drawing>
          <wp:anchor distT="0" distB="0" distL="114300" distR="114300" simplePos="0" relativeHeight="251662336" behindDoc="0" locked="0" layoutInCell="1" allowOverlap="1" wp14:anchorId="7C6CF493" wp14:editId="13753AD4">
            <wp:simplePos x="0" y="0"/>
            <wp:positionH relativeFrom="margin">
              <wp:align>left</wp:align>
            </wp:positionH>
            <wp:positionV relativeFrom="paragraph">
              <wp:posOffset>472440</wp:posOffset>
            </wp:positionV>
            <wp:extent cx="4090670" cy="2638425"/>
            <wp:effectExtent l="0" t="0" r="0" b="0"/>
            <wp:wrapTopAndBottom/>
            <wp:docPr id="5920605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0">
                      <a:extLst>
                        <a:ext uri="{28A0092B-C50C-407E-A947-70E740481C1C}">
                          <a14:useLocalDpi xmlns:a14="http://schemas.microsoft.com/office/drawing/2010/main" val="0"/>
                        </a:ext>
                      </a:extLst>
                    </a:blip>
                    <a:stretch>
                      <a:fillRect/>
                    </a:stretch>
                  </pic:blipFill>
                  <pic:spPr>
                    <a:xfrm>
                      <a:off x="0" y="0"/>
                      <a:ext cx="4104808" cy="2647383"/>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w:t>
      </w:r>
      <w:r w:rsidR="004F7551" w:rsidRPr="0037328D">
        <w:rPr>
          <w:rFonts w:ascii="Arial" w:hAnsi="Arial" w:cs="Arial"/>
          <w:color w:val="000000" w:themeColor="text1"/>
        </w:rPr>
        <w:t xml:space="preserve">Taller </w:t>
      </w:r>
      <w:proofErr w:type="spellStart"/>
      <w:r w:rsidR="004F7551" w:rsidRPr="0037328D">
        <w:rPr>
          <w:rFonts w:ascii="Arial" w:hAnsi="Arial" w:cs="Arial"/>
          <w:color w:val="000000" w:themeColor="text1"/>
        </w:rPr>
        <w:t>express</w:t>
      </w:r>
      <w:proofErr w:type="spellEnd"/>
      <w:r w:rsidR="004F7551" w:rsidRPr="0037328D">
        <w:rPr>
          <w:rFonts w:ascii="Arial" w:hAnsi="Arial" w:cs="Arial"/>
          <w:color w:val="000000" w:themeColor="text1"/>
        </w:rPr>
        <w:t xml:space="preserve"> para la pedagogía en línea</w:t>
      </w:r>
    </w:p>
    <w:p w14:paraId="70AF5EDD" w14:textId="328A94C0" w:rsidR="00EB15E0" w:rsidRDefault="004F7551" w:rsidP="00B0054E">
      <w:pPr>
        <w:spacing w:before="240" w:line="360" w:lineRule="auto"/>
        <w:jc w:val="both"/>
        <w:rPr>
          <w:rFonts w:ascii="Arial" w:hAnsi="Arial" w:cs="Arial"/>
          <w:color w:val="000000" w:themeColor="text1"/>
        </w:rPr>
      </w:pPr>
      <w:r w:rsidRPr="00E74BD8">
        <w:rPr>
          <w:rFonts w:ascii="Arial" w:hAnsi="Arial" w:cs="Arial"/>
          <w:color w:val="000000" w:themeColor="text1"/>
        </w:rPr>
        <w:t>Poco a poco creció el interés de las audiencias por desarrollar otras habilidades pedagógicas y comunicativas necesarias para desempeñarse en el entorno virtual</w:t>
      </w:r>
      <w:r w:rsidR="00B72ECD">
        <w:rPr>
          <w:rFonts w:ascii="Arial" w:hAnsi="Arial" w:cs="Arial"/>
          <w:color w:val="000000" w:themeColor="text1"/>
        </w:rPr>
        <w:t>.</w:t>
      </w:r>
      <w:r w:rsidRPr="00E74BD8">
        <w:rPr>
          <w:rFonts w:ascii="Arial" w:hAnsi="Arial" w:cs="Arial"/>
          <w:color w:val="000000" w:themeColor="text1"/>
        </w:rPr>
        <w:t xml:space="preserve"> </w:t>
      </w:r>
      <w:r w:rsidR="00B72ECD">
        <w:rPr>
          <w:rFonts w:ascii="Arial" w:hAnsi="Arial" w:cs="Arial"/>
          <w:color w:val="000000" w:themeColor="text1"/>
        </w:rPr>
        <w:t>E</w:t>
      </w:r>
      <w:r w:rsidRPr="00E74BD8">
        <w:rPr>
          <w:rFonts w:ascii="Arial" w:hAnsi="Arial" w:cs="Arial"/>
          <w:color w:val="000000" w:themeColor="text1"/>
        </w:rPr>
        <w:t xml:space="preserve">l </w:t>
      </w:r>
      <w:proofErr w:type="spellStart"/>
      <w:r w:rsidRPr="00066603">
        <w:rPr>
          <w:rFonts w:ascii="Arial" w:hAnsi="Arial" w:cs="Arial"/>
          <w:i/>
          <w:iCs/>
          <w:color w:val="000000" w:themeColor="text1"/>
        </w:rPr>
        <w:t>Bootcamp</w:t>
      </w:r>
      <w:proofErr w:type="spellEnd"/>
      <w:r w:rsidRPr="00066603">
        <w:rPr>
          <w:rFonts w:ascii="Arial" w:hAnsi="Arial" w:cs="Arial"/>
          <w:i/>
          <w:iCs/>
          <w:color w:val="000000" w:themeColor="text1"/>
        </w:rPr>
        <w:t xml:space="preserve"> para el diseño instruccional online</w:t>
      </w:r>
      <w:r w:rsidRPr="00E74BD8">
        <w:rPr>
          <w:rFonts w:ascii="Arial" w:hAnsi="Arial" w:cs="Arial"/>
          <w:color w:val="000000" w:themeColor="text1"/>
        </w:rPr>
        <w:t xml:space="preserve"> </w:t>
      </w:r>
      <w:r w:rsidRPr="0E6D92F2">
        <w:rPr>
          <w:rFonts w:ascii="Arial" w:hAnsi="Arial" w:cs="Arial"/>
          <w:color w:val="000000" w:themeColor="text1"/>
        </w:rPr>
        <w:t>se ofreció como una capacitación intensiva para identificar los elementos básicos de la planeación didáctica de cursos en línea y la importancia de asegurar su alineación cognitiva en beneficio del aprendizaje (</w:t>
      </w:r>
      <w:r w:rsidRPr="539794B3">
        <w:rPr>
          <w:rFonts w:ascii="Arial" w:hAnsi="Arial" w:cs="Arial"/>
          <w:color w:val="000000" w:themeColor="text1"/>
        </w:rPr>
        <w:t>Figura</w:t>
      </w:r>
      <w:r w:rsidRPr="0E6D92F2">
        <w:rPr>
          <w:rFonts w:ascii="Arial" w:hAnsi="Arial" w:cs="Arial"/>
          <w:color w:val="000000" w:themeColor="text1"/>
        </w:rPr>
        <w:t xml:space="preserve"> 3).</w:t>
      </w:r>
    </w:p>
    <w:p w14:paraId="25D0B78E" w14:textId="135E919D" w:rsidR="00B0054E" w:rsidRDefault="00B0054E" w:rsidP="00656C84">
      <w:pPr>
        <w:spacing w:line="360" w:lineRule="auto"/>
        <w:jc w:val="both"/>
        <w:rPr>
          <w:rFonts w:ascii="Arial" w:hAnsi="Arial" w:cs="Arial"/>
          <w:b/>
          <w:bCs/>
          <w:color w:val="000000" w:themeColor="text1"/>
        </w:rPr>
      </w:pPr>
    </w:p>
    <w:p w14:paraId="2E04E929" w14:textId="372D87C4" w:rsidR="00CA5E63" w:rsidRDefault="00CA5E63" w:rsidP="00656C84">
      <w:pPr>
        <w:spacing w:line="360" w:lineRule="auto"/>
        <w:jc w:val="both"/>
        <w:rPr>
          <w:rFonts w:ascii="Arial" w:hAnsi="Arial" w:cs="Arial"/>
          <w:b/>
          <w:bCs/>
          <w:color w:val="000000" w:themeColor="text1"/>
        </w:rPr>
      </w:pPr>
    </w:p>
    <w:p w14:paraId="68BE3D39" w14:textId="653F976F" w:rsidR="00CA5E63" w:rsidRDefault="00CA5E63" w:rsidP="00656C84">
      <w:pPr>
        <w:spacing w:line="360" w:lineRule="auto"/>
        <w:jc w:val="both"/>
        <w:rPr>
          <w:rFonts w:ascii="Arial" w:hAnsi="Arial" w:cs="Arial"/>
          <w:b/>
          <w:bCs/>
          <w:color w:val="000000" w:themeColor="text1"/>
        </w:rPr>
      </w:pPr>
    </w:p>
    <w:p w14:paraId="53A17476" w14:textId="73FDA55C" w:rsidR="00CA5E63" w:rsidRDefault="00CA5E63" w:rsidP="00656C84">
      <w:pPr>
        <w:spacing w:line="360" w:lineRule="auto"/>
        <w:jc w:val="both"/>
        <w:rPr>
          <w:rFonts w:ascii="Arial" w:hAnsi="Arial" w:cs="Arial"/>
          <w:b/>
          <w:bCs/>
          <w:color w:val="000000" w:themeColor="text1"/>
        </w:rPr>
      </w:pPr>
    </w:p>
    <w:p w14:paraId="64BDBA19" w14:textId="5D993EB3" w:rsidR="00CA5E63" w:rsidRDefault="00CA5E63" w:rsidP="00656C84">
      <w:pPr>
        <w:spacing w:line="360" w:lineRule="auto"/>
        <w:jc w:val="both"/>
        <w:rPr>
          <w:rFonts w:ascii="Arial" w:hAnsi="Arial" w:cs="Arial"/>
          <w:b/>
          <w:bCs/>
          <w:color w:val="000000" w:themeColor="text1"/>
        </w:rPr>
      </w:pPr>
    </w:p>
    <w:p w14:paraId="14495483" w14:textId="6E1B3BC4"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lastRenderedPageBreak/>
        <w:t>Figura 3</w:t>
      </w:r>
    </w:p>
    <w:p w14:paraId="5C3BE341" w14:textId="0AD60F22" w:rsidR="004F7551" w:rsidRPr="0037328D" w:rsidRDefault="00B0054E" w:rsidP="00656C84">
      <w:pPr>
        <w:snapToGrid w:val="0"/>
        <w:spacing w:after="240" w:line="360" w:lineRule="auto"/>
        <w:jc w:val="both"/>
        <w:rPr>
          <w:rFonts w:ascii="Arial" w:hAnsi="Arial" w:cs="Arial"/>
          <w:iCs/>
          <w:color w:val="000000" w:themeColor="text1"/>
        </w:rPr>
      </w:pPr>
      <w:r>
        <w:rPr>
          <w:noProof/>
        </w:rPr>
        <w:drawing>
          <wp:anchor distT="0" distB="0" distL="114300" distR="114300" simplePos="0" relativeHeight="251661312" behindDoc="0" locked="0" layoutInCell="1" allowOverlap="1" wp14:anchorId="56B13566" wp14:editId="06F9FBA2">
            <wp:simplePos x="0" y="0"/>
            <wp:positionH relativeFrom="margin">
              <wp:align>left</wp:align>
            </wp:positionH>
            <wp:positionV relativeFrom="paragraph">
              <wp:posOffset>402590</wp:posOffset>
            </wp:positionV>
            <wp:extent cx="4045585" cy="2390775"/>
            <wp:effectExtent l="0" t="0" r="0" b="0"/>
            <wp:wrapTopAndBottom/>
            <wp:docPr id="9493968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21">
                      <a:extLst>
                        <a:ext uri="{28A0092B-C50C-407E-A947-70E740481C1C}">
                          <a14:useLocalDpi xmlns:a14="http://schemas.microsoft.com/office/drawing/2010/main" val="0"/>
                        </a:ext>
                      </a:extLst>
                    </a:blip>
                    <a:stretch>
                      <a:fillRect/>
                    </a:stretch>
                  </pic:blipFill>
                  <pic:spPr>
                    <a:xfrm>
                      <a:off x="0" y="0"/>
                      <a:ext cx="4053780" cy="2395560"/>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w:t>
      </w:r>
      <w:proofErr w:type="spellStart"/>
      <w:r w:rsidR="004F7551" w:rsidRPr="0037328D">
        <w:rPr>
          <w:rFonts w:ascii="Arial" w:hAnsi="Arial" w:cs="Arial"/>
          <w:iCs/>
          <w:color w:val="000000" w:themeColor="text1"/>
        </w:rPr>
        <w:t>Bootcamp</w:t>
      </w:r>
      <w:proofErr w:type="spellEnd"/>
      <w:r w:rsidR="004F7551" w:rsidRPr="0037328D">
        <w:rPr>
          <w:rFonts w:ascii="Arial" w:hAnsi="Arial" w:cs="Arial"/>
          <w:iCs/>
          <w:color w:val="000000" w:themeColor="text1"/>
        </w:rPr>
        <w:t xml:space="preserve"> para el diseño instruccional online</w:t>
      </w:r>
    </w:p>
    <w:p w14:paraId="737F3FA5" w14:textId="79B2E891" w:rsidR="48B78E44" w:rsidRDefault="004F7551" w:rsidP="00656C84">
      <w:pPr>
        <w:snapToGrid w:val="0"/>
        <w:spacing w:before="240" w:after="240" w:line="360" w:lineRule="auto"/>
        <w:jc w:val="both"/>
        <w:rPr>
          <w:rFonts w:ascii="Arial" w:hAnsi="Arial" w:cs="Arial"/>
          <w:color w:val="000000" w:themeColor="text1"/>
        </w:rPr>
      </w:pPr>
      <w:r w:rsidRPr="0E6D92F2">
        <w:rPr>
          <w:rFonts w:ascii="Arial" w:hAnsi="Arial" w:cs="Arial"/>
          <w:color w:val="000000" w:themeColor="text1"/>
        </w:rPr>
        <w:t>En la misma línea de formación</w:t>
      </w:r>
      <w:r w:rsidR="00B72ECD">
        <w:rPr>
          <w:rFonts w:ascii="Arial" w:hAnsi="Arial" w:cs="Arial"/>
          <w:color w:val="000000" w:themeColor="text1"/>
        </w:rPr>
        <w:t>,</w:t>
      </w:r>
      <w:r w:rsidRPr="0E6D92F2">
        <w:rPr>
          <w:rFonts w:ascii="Arial" w:hAnsi="Arial" w:cs="Arial"/>
          <w:color w:val="000000" w:themeColor="text1"/>
        </w:rPr>
        <w:t xml:space="preserve"> se puso a disposición el curso </w:t>
      </w:r>
      <w:r w:rsidRPr="0E6D92F2">
        <w:rPr>
          <w:rFonts w:ascii="Arial" w:hAnsi="Arial" w:cs="Arial"/>
          <w:i/>
          <w:iCs/>
          <w:color w:val="000000" w:themeColor="text1"/>
        </w:rPr>
        <w:t>Diseño instruccional para la tutoría en línea</w:t>
      </w:r>
      <w:r w:rsidRPr="0E6D92F2">
        <w:rPr>
          <w:rFonts w:ascii="Arial" w:hAnsi="Arial" w:cs="Arial"/>
          <w:color w:val="000000" w:themeColor="text1"/>
        </w:rPr>
        <w:t xml:space="preserve"> (</w:t>
      </w:r>
      <w:r w:rsidRPr="0C224681">
        <w:rPr>
          <w:rFonts w:ascii="Arial" w:hAnsi="Arial" w:cs="Arial"/>
          <w:color w:val="000000" w:themeColor="text1"/>
        </w:rPr>
        <w:t>Figura</w:t>
      </w:r>
      <w:r w:rsidRPr="0E6D92F2">
        <w:rPr>
          <w:rFonts w:ascii="Arial" w:hAnsi="Arial" w:cs="Arial"/>
          <w:color w:val="000000" w:themeColor="text1"/>
        </w:rPr>
        <w:t xml:space="preserve"> 4)</w:t>
      </w:r>
      <w:r w:rsidR="009F0E54">
        <w:rPr>
          <w:rFonts w:ascii="Arial" w:hAnsi="Arial" w:cs="Arial"/>
          <w:color w:val="000000" w:themeColor="text1"/>
        </w:rPr>
        <w:t>. E</w:t>
      </w:r>
      <w:r w:rsidRPr="0E6D92F2">
        <w:rPr>
          <w:rFonts w:ascii="Arial" w:hAnsi="Arial" w:cs="Arial"/>
          <w:color w:val="000000" w:themeColor="text1"/>
        </w:rPr>
        <w:t xml:space="preserve">ste programa tenía mayor duración porque buscaba que la audiencia diseñara una situación de aprendizaje completa, </w:t>
      </w:r>
      <w:r w:rsidR="009F0E54">
        <w:rPr>
          <w:rFonts w:ascii="Arial" w:hAnsi="Arial" w:cs="Arial"/>
          <w:color w:val="000000" w:themeColor="text1"/>
        </w:rPr>
        <w:t>al integrar</w:t>
      </w:r>
      <w:r w:rsidR="009F0E54" w:rsidRPr="0E6D92F2">
        <w:rPr>
          <w:rFonts w:ascii="Arial" w:hAnsi="Arial" w:cs="Arial"/>
          <w:color w:val="000000" w:themeColor="text1"/>
        </w:rPr>
        <w:t xml:space="preserve"> </w:t>
      </w:r>
      <w:r w:rsidRPr="0E6D92F2">
        <w:rPr>
          <w:rFonts w:ascii="Arial" w:hAnsi="Arial" w:cs="Arial"/>
          <w:color w:val="000000" w:themeColor="text1"/>
        </w:rPr>
        <w:t>armónicamente objetivos, actividades, recursos y criterios de evaluación.</w:t>
      </w:r>
    </w:p>
    <w:p w14:paraId="3FBE09C5" w14:textId="77777777" w:rsidR="00CA5E63" w:rsidRDefault="00CA5E63" w:rsidP="00656C84">
      <w:pPr>
        <w:spacing w:line="360" w:lineRule="auto"/>
        <w:jc w:val="both"/>
        <w:rPr>
          <w:rFonts w:ascii="Arial" w:hAnsi="Arial" w:cs="Arial"/>
          <w:b/>
          <w:bCs/>
          <w:color w:val="000000" w:themeColor="text1"/>
        </w:rPr>
      </w:pPr>
    </w:p>
    <w:p w14:paraId="51E56D6E" w14:textId="77777777" w:rsidR="00CA5E63" w:rsidRDefault="00CA5E63" w:rsidP="00656C84">
      <w:pPr>
        <w:spacing w:line="360" w:lineRule="auto"/>
        <w:jc w:val="both"/>
        <w:rPr>
          <w:rFonts w:ascii="Arial" w:hAnsi="Arial" w:cs="Arial"/>
          <w:b/>
          <w:bCs/>
          <w:color w:val="000000" w:themeColor="text1"/>
        </w:rPr>
      </w:pPr>
    </w:p>
    <w:p w14:paraId="509A0551" w14:textId="77777777" w:rsidR="00CA5E63" w:rsidRDefault="00CA5E63" w:rsidP="00656C84">
      <w:pPr>
        <w:spacing w:line="360" w:lineRule="auto"/>
        <w:jc w:val="both"/>
        <w:rPr>
          <w:rFonts w:ascii="Arial" w:hAnsi="Arial" w:cs="Arial"/>
          <w:b/>
          <w:bCs/>
          <w:color w:val="000000" w:themeColor="text1"/>
        </w:rPr>
      </w:pPr>
    </w:p>
    <w:p w14:paraId="63FB857E" w14:textId="77777777" w:rsidR="00CA5E63" w:rsidRDefault="00CA5E63" w:rsidP="00656C84">
      <w:pPr>
        <w:spacing w:line="360" w:lineRule="auto"/>
        <w:jc w:val="both"/>
        <w:rPr>
          <w:rFonts w:ascii="Arial" w:hAnsi="Arial" w:cs="Arial"/>
          <w:b/>
          <w:bCs/>
          <w:color w:val="000000" w:themeColor="text1"/>
        </w:rPr>
      </w:pPr>
    </w:p>
    <w:p w14:paraId="19DA2089" w14:textId="77777777" w:rsidR="00CA5E63" w:rsidRDefault="00CA5E63" w:rsidP="00656C84">
      <w:pPr>
        <w:spacing w:line="360" w:lineRule="auto"/>
        <w:jc w:val="both"/>
        <w:rPr>
          <w:rFonts w:ascii="Arial" w:hAnsi="Arial" w:cs="Arial"/>
          <w:b/>
          <w:bCs/>
          <w:color w:val="000000" w:themeColor="text1"/>
        </w:rPr>
      </w:pPr>
    </w:p>
    <w:p w14:paraId="1C21024D" w14:textId="77777777" w:rsidR="00CA5E63" w:rsidRDefault="00CA5E63" w:rsidP="00656C84">
      <w:pPr>
        <w:spacing w:line="360" w:lineRule="auto"/>
        <w:jc w:val="both"/>
        <w:rPr>
          <w:rFonts w:ascii="Arial" w:hAnsi="Arial" w:cs="Arial"/>
          <w:b/>
          <w:bCs/>
          <w:color w:val="000000" w:themeColor="text1"/>
        </w:rPr>
      </w:pPr>
    </w:p>
    <w:p w14:paraId="002AB3C3" w14:textId="77777777" w:rsidR="00CA5E63" w:rsidRDefault="00CA5E63" w:rsidP="00656C84">
      <w:pPr>
        <w:spacing w:line="360" w:lineRule="auto"/>
        <w:jc w:val="both"/>
        <w:rPr>
          <w:rFonts w:ascii="Arial" w:hAnsi="Arial" w:cs="Arial"/>
          <w:b/>
          <w:bCs/>
          <w:color w:val="000000" w:themeColor="text1"/>
        </w:rPr>
      </w:pPr>
    </w:p>
    <w:p w14:paraId="5A7B5C82" w14:textId="39620370"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lastRenderedPageBreak/>
        <w:t>Figura 4</w:t>
      </w:r>
    </w:p>
    <w:p w14:paraId="06C5BD3C" w14:textId="6B786551" w:rsidR="004F7551" w:rsidRPr="00816BE7" w:rsidRDefault="00816BE7" w:rsidP="00656C84">
      <w:pPr>
        <w:snapToGrid w:val="0"/>
        <w:spacing w:after="240" w:line="360" w:lineRule="auto"/>
        <w:jc w:val="both"/>
        <w:rPr>
          <w:rFonts w:ascii="Arial" w:hAnsi="Arial" w:cs="Arial"/>
          <w:i/>
          <w:iCs/>
          <w:color w:val="000000" w:themeColor="text1"/>
        </w:rPr>
      </w:pPr>
      <w:r>
        <w:rPr>
          <w:noProof/>
        </w:rPr>
        <w:drawing>
          <wp:anchor distT="0" distB="0" distL="114300" distR="114300" simplePos="0" relativeHeight="251660288" behindDoc="0" locked="0" layoutInCell="1" allowOverlap="1" wp14:anchorId="161DE72C" wp14:editId="5444EED1">
            <wp:simplePos x="0" y="0"/>
            <wp:positionH relativeFrom="margin">
              <wp:align>left</wp:align>
            </wp:positionH>
            <wp:positionV relativeFrom="paragraph">
              <wp:posOffset>275590</wp:posOffset>
            </wp:positionV>
            <wp:extent cx="4422775" cy="2647950"/>
            <wp:effectExtent l="0" t="0" r="0" b="0"/>
            <wp:wrapTopAndBottom/>
            <wp:docPr id="9427408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2">
                      <a:extLst>
                        <a:ext uri="{28A0092B-C50C-407E-A947-70E740481C1C}">
                          <a14:useLocalDpi xmlns:a14="http://schemas.microsoft.com/office/drawing/2010/main" val="0"/>
                        </a:ext>
                      </a:extLst>
                    </a:blip>
                    <a:stretch>
                      <a:fillRect/>
                    </a:stretch>
                  </pic:blipFill>
                  <pic:spPr>
                    <a:xfrm>
                      <a:off x="0" y="0"/>
                      <a:ext cx="4432253" cy="2653555"/>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curso </w:t>
      </w:r>
      <w:r w:rsidR="004F7551" w:rsidRPr="0037328D">
        <w:rPr>
          <w:rFonts w:ascii="Arial" w:hAnsi="Arial" w:cs="Arial"/>
          <w:color w:val="000000" w:themeColor="text1"/>
        </w:rPr>
        <w:t>Diseño instruccional para la tutoría en línea</w:t>
      </w:r>
    </w:p>
    <w:p w14:paraId="1CF35F79" w14:textId="6B58BA90" w:rsidR="004F7551" w:rsidRPr="00E74BD8" w:rsidRDefault="004F7551" w:rsidP="00656C84">
      <w:pPr>
        <w:snapToGrid w:val="0"/>
        <w:spacing w:before="240" w:after="240" w:line="360" w:lineRule="auto"/>
        <w:jc w:val="both"/>
        <w:rPr>
          <w:rFonts w:ascii="Arial" w:hAnsi="Arial" w:cs="Arial"/>
          <w:color w:val="000000" w:themeColor="text1"/>
        </w:rPr>
      </w:pPr>
      <w:r w:rsidRPr="00E74BD8">
        <w:rPr>
          <w:rFonts w:ascii="Arial" w:hAnsi="Arial" w:cs="Arial"/>
          <w:color w:val="000000" w:themeColor="text1"/>
        </w:rPr>
        <w:t xml:space="preserve">El interés por otras competencias de la práctica docente en línea se observó en </w:t>
      </w:r>
      <w:r w:rsidRPr="07695377">
        <w:rPr>
          <w:rFonts w:ascii="Arial" w:hAnsi="Arial" w:cs="Arial"/>
          <w:color w:val="000000" w:themeColor="text1"/>
        </w:rPr>
        <w:t>el</w:t>
      </w:r>
      <w:r w:rsidRPr="00E74BD8">
        <w:rPr>
          <w:rFonts w:ascii="Arial" w:hAnsi="Arial" w:cs="Arial"/>
          <w:color w:val="000000" w:themeColor="text1"/>
        </w:rPr>
        <w:t xml:space="preserve"> programa </w:t>
      </w:r>
      <w:r w:rsidRPr="00066603">
        <w:rPr>
          <w:rFonts w:ascii="Arial" w:hAnsi="Arial" w:cs="Arial"/>
          <w:i/>
          <w:iCs/>
          <w:color w:val="000000" w:themeColor="text1"/>
        </w:rPr>
        <w:t>Formación para la tutoría en línea</w:t>
      </w:r>
      <w:r>
        <w:rPr>
          <w:rFonts w:ascii="Arial" w:hAnsi="Arial" w:cs="Arial"/>
          <w:color w:val="000000" w:themeColor="text1"/>
        </w:rPr>
        <w:t xml:space="preserve"> (</w:t>
      </w:r>
      <w:r w:rsidRPr="0C224681">
        <w:rPr>
          <w:rFonts w:ascii="Arial" w:hAnsi="Arial" w:cs="Arial"/>
          <w:color w:val="000000" w:themeColor="text1"/>
        </w:rPr>
        <w:t>Figura</w:t>
      </w:r>
      <w:r>
        <w:rPr>
          <w:rFonts w:ascii="Arial" w:hAnsi="Arial" w:cs="Arial"/>
          <w:color w:val="000000" w:themeColor="text1"/>
        </w:rPr>
        <w:t xml:space="preserve"> 5)</w:t>
      </w:r>
      <w:r w:rsidRPr="00E74BD8">
        <w:rPr>
          <w:rFonts w:ascii="Arial" w:hAnsi="Arial" w:cs="Arial"/>
          <w:color w:val="000000" w:themeColor="text1"/>
        </w:rPr>
        <w:t xml:space="preserve">, </w:t>
      </w:r>
      <w:r w:rsidRPr="026079B3">
        <w:rPr>
          <w:rFonts w:ascii="Arial" w:hAnsi="Arial" w:cs="Arial"/>
          <w:color w:val="000000" w:themeColor="text1"/>
        </w:rPr>
        <w:t>que</w:t>
      </w:r>
      <w:r w:rsidRPr="235A42AC">
        <w:rPr>
          <w:rFonts w:ascii="Arial" w:hAnsi="Arial" w:cs="Arial"/>
          <w:color w:val="000000" w:themeColor="text1"/>
        </w:rPr>
        <w:t xml:space="preserve"> </w:t>
      </w:r>
      <w:r w:rsidRPr="31298AF7">
        <w:rPr>
          <w:rFonts w:ascii="Arial" w:hAnsi="Arial" w:cs="Arial"/>
          <w:color w:val="000000" w:themeColor="text1"/>
        </w:rPr>
        <w:t>ya tenía más de</w:t>
      </w:r>
      <w:r w:rsidRPr="1068DC81">
        <w:rPr>
          <w:rFonts w:ascii="Arial" w:hAnsi="Arial" w:cs="Arial"/>
          <w:color w:val="000000" w:themeColor="text1"/>
        </w:rPr>
        <w:t xml:space="preserve"> </w:t>
      </w:r>
      <w:r w:rsidRPr="4EDA7786">
        <w:rPr>
          <w:rFonts w:ascii="Arial" w:hAnsi="Arial" w:cs="Arial"/>
          <w:color w:val="000000" w:themeColor="text1"/>
        </w:rPr>
        <w:t xml:space="preserve">veinte ediciones </w:t>
      </w:r>
      <w:r w:rsidRPr="6417650A">
        <w:rPr>
          <w:rFonts w:ascii="Arial" w:hAnsi="Arial" w:cs="Arial"/>
          <w:color w:val="000000" w:themeColor="text1"/>
        </w:rPr>
        <w:t>en</w:t>
      </w:r>
      <w:r w:rsidRPr="4EDA7786">
        <w:rPr>
          <w:rFonts w:ascii="Arial" w:hAnsi="Arial" w:cs="Arial"/>
          <w:color w:val="000000" w:themeColor="text1"/>
        </w:rPr>
        <w:t xml:space="preserve"> </w:t>
      </w:r>
      <w:r w:rsidR="009F0E54">
        <w:rPr>
          <w:rFonts w:ascii="Arial" w:hAnsi="Arial" w:cs="Arial"/>
          <w:color w:val="000000" w:themeColor="text1"/>
        </w:rPr>
        <w:t xml:space="preserve">el </w:t>
      </w:r>
      <w:r w:rsidRPr="41C8E9EC">
        <w:rPr>
          <w:rFonts w:ascii="Arial" w:hAnsi="Arial" w:cs="Arial"/>
          <w:color w:val="000000" w:themeColor="text1"/>
        </w:rPr>
        <w:t xml:space="preserve">2020, </w:t>
      </w:r>
      <w:r w:rsidRPr="57AEA995">
        <w:rPr>
          <w:rFonts w:ascii="Arial" w:hAnsi="Arial" w:cs="Arial"/>
          <w:color w:val="000000" w:themeColor="text1"/>
        </w:rPr>
        <w:t>aunque</w:t>
      </w:r>
      <w:r w:rsidRPr="41C8E9EC">
        <w:rPr>
          <w:rFonts w:ascii="Arial" w:hAnsi="Arial" w:cs="Arial"/>
          <w:color w:val="000000" w:themeColor="text1"/>
        </w:rPr>
        <w:t xml:space="preserve"> </w:t>
      </w:r>
      <w:r w:rsidRPr="6A710D20">
        <w:rPr>
          <w:rFonts w:ascii="Arial" w:hAnsi="Arial" w:cs="Arial"/>
          <w:color w:val="000000" w:themeColor="text1"/>
        </w:rPr>
        <w:t>incrementó sus registros</w:t>
      </w:r>
      <w:r w:rsidRPr="026079B3">
        <w:rPr>
          <w:rFonts w:ascii="Arial" w:hAnsi="Arial" w:cs="Arial"/>
          <w:color w:val="000000" w:themeColor="text1"/>
        </w:rPr>
        <w:t xml:space="preserve">, </w:t>
      </w:r>
      <w:r w:rsidRPr="0709DE22">
        <w:rPr>
          <w:rFonts w:ascii="Arial" w:hAnsi="Arial" w:cs="Arial"/>
          <w:color w:val="000000" w:themeColor="text1"/>
        </w:rPr>
        <w:t>principalmente</w:t>
      </w:r>
      <w:r w:rsidRPr="026079B3">
        <w:rPr>
          <w:rFonts w:ascii="Arial" w:hAnsi="Arial" w:cs="Arial"/>
          <w:color w:val="000000" w:themeColor="text1"/>
        </w:rPr>
        <w:t xml:space="preserve"> </w:t>
      </w:r>
      <w:r w:rsidRPr="4D1C8CB7">
        <w:rPr>
          <w:rFonts w:ascii="Arial" w:hAnsi="Arial" w:cs="Arial"/>
          <w:color w:val="000000" w:themeColor="text1"/>
        </w:rPr>
        <w:t xml:space="preserve">con personas </w:t>
      </w:r>
      <w:r w:rsidRPr="2E9D249F">
        <w:rPr>
          <w:rFonts w:ascii="Arial" w:hAnsi="Arial" w:cs="Arial"/>
          <w:color w:val="000000" w:themeColor="text1"/>
        </w:rPr>
        <w:t>inquietas por</w:t>
      </w:r>
      <w:r w:rsidRPr="026079B3">
        <w:rPr>
          <w:rFonts w:ascii="Arial" w:hAnsi="Arial" w:cs="Arial"/>
          <w:color w:val="000000" w:themeColor="text1"/>
        </w:rPr>
        <w:t xml:space="preserve"> </w:t>
      </w:r>
      <w:r w:rsidRPr="426D103F">
        <w:rPr>
          <w:rFonts w:ascii="Arial" w:hAnsi="Arial" w:cs="Arial"/>
          <w:color w:val="000000" w:themeColor="text1"/>
        </w:rPr>
        <w:t xml:space="preserve">aprender </w:t>
      </w:r>
      <w:r w:rsidR="009F0E54">
        <w:rPr>
          <w:rFonts w:ascii="Arial" w:hAnsi="Arial" w:cs="Arial"/>
          <w:color w:val="000000" w:themeColor="text1"/>
        </w:rPr>
        <w:t>cómo dar acompañamiento</w:t>
      </w:r>
      <w:r w:rsidRPr="53ABBF35">
        <w:rPr>
          <w:rFonts w:ascii="Arial" w:hAnsi="Arial" w:cs="Arial"/>
          <w:color w:val="000000" w:themeColor="text1"/>
        </w:rPr>
        <w:t xml:space="preserve"> </w:t>
      </w:r>
      <w:r w:rsidRPr="37AB0B59">
        <w:rPr>
          <w:rFonts w:ascii="Arial" w:hAnsi="Arial" w:cs="Arial"/>
          <w:color w:val="000000" w:themeColor="text1"/>
        </w:rPr>
        <w:t>remoto</w:t>
      </w:r>
      <w:r w:rsidRPr="106E6783">
        <w:rPr>
          <w:rFonts w:ascii="Arial" w:hAnsi="Arial" w:cs="Arial"/>
          <w:color w:val="000000" w:themeColor="text1"/>
        </w:rPr>
        <w:t xml:space="preserve"> </w:t>
      </w:r>
      <w:r w:rsidRPr="53ABBF35">
        <w:rPr>
          <w:rFonts w:ascii="Arial" w:hAnsi="Arial" w:cs="Arial"/>
          <w:color w:val="000000" w:themeColor="text1"/>
        </w:rPr>
        <w:t>a sus estudiantes</w:t>
      </w:r>
      <w:r w:rsidRPr="106E6783">
        <w:rPr>
          <w:rFonts w:ascii="Arial" w:hAnsi="Arial" w:cs="Arial"/>
          <w:color w:val="000000" w:themeColor="text1"/>
        </w:rPr>
        <w:t>.</w:t>
      </w:r>
    </w:p>
    <w:p w14:paraId="37A99606" w14:textId="77777777" w:rsidR="00B0054E" w:rsidRDefault="00B0054E" w:rsidP="00656C84">
      <w:pPr>
        <w:spacing w:line="360" w:lineRule="auto"/>
        <w:jc w:val="both"/>
        <w:rPr>
          <w:rFonts w:ascii="Arial" w:hAnsi="Arial" w:cs="Arial"/>
          <w:b/>
          <w:bCs/>
          <w:color w:val="000000" w:themeColor="text1"/>
        </w:rPr>
      </w:pPr>
    </w:p>
    <w:p w14:paraId="49858D9A" w14:textId="77777777" w:rsidR="00B0054E" w:rsidRDefault="00B0054E" w:rsidP="00656C84">
      <w:pPr>
        <w:spacing w:line="360" w:lineRule="auto"/>
        <w:jc w:val="both"/>
        <w:rPr>
          <w:rFonts w:ascii="Arial" w:hAnsi="Arial" w:cs="Arial"/>
          <w:b/>
          <w:bCs/>
          <w:color w:val="000000" w:themeColor="text1"/>
        </w:rPr>
      </w:pPr>
    </w:p>
    <w:p w14:paraId="546BA6E5" w14:textId="77777777" w:rsidR="00B0054E" w:rsidRDefault="00B0054E" w:rsidP="00656C84">
      <w:pPr>
        <w:spacing w:line="360" w:lineRule="auto"/>
        <w:jc w:val="both"/>
        <w:rPr>
          <w:rFonts w:ascii="Arial" w:hAnsi="Arial" w:cs="Arial"/>
          <w:b/>
          <w:bCs/>
          <w:color w:val="000000" w:themeColor="text1"/>
        </w:rPr>
      </w:pPr>
    </w:p>
    <w:p w14:paraId="18EDAAD6" w14:textId="77777777" w:rsidR="00B0054E" w:rsidRDefault="00B0054E" w:rsidP="00656C84">
      <w:pPr>
        <w:spacing w:line="360" w:lineRule="auto"/>
        <w:jc w:val="both"/>
        <w:rPr>
          <w:rFonts w:ascii="Arial" w:hAnsi="Arial" w:cs="Arial"/>
          <w:b/>
          <w:bCs/>
          <w:color w:val="000000" w:themeColor="text1"/>
        </w:rPr>
      </w:pPr>
    </w:p>
    <w:p w14:paraId="02F78FE0" w14:textId="77777777" w:rsidR="00B0054E" w:rsidRDefault="00B0054E" w:rsidP="00656C84">
      <w:pPr>
        <w:spacing w:line="360" w:lineRule="auto"/>
        <w:jc w:val="both"/>
        <w:rPr>
          <w:rFonts w:ascii="Arial" w:hAnsi="Arial" w:cs="Arial"/>
          <w:b/>
          <w:bCs/>
          <w:color w:val="000000" w:themeColor="text1"/>
        </w:rPr>
      </w:pPr>
    </w:p>
    <w:p w14:paraId="24036C7E" w14:textId="77777777" w:rsidR="00B0054E" w:rsidRDefault="00B0054E" w:rsidP="00656C84">
      <w:pPr>
        <w:spacing w:line="360" w:lineRule="auto"/>
        <w:jc w:val="both"/>
        <w:rPr>
          <w:rFonts w:ascii="Arial" w:hAnsi="Arial" w:cs="Arial"/>
          <w:b/>
          <w:bCs/>
          <w:color w:val="000000" w:themeColor="text1"/>
        </w:rPr>
      </w:pPr>
    </w:p>
    <w:p w14:paraId="07E28CDF" w14:textId="77777777" w:rsidR="00B0054E" w:rsidRDefault="00B0054E" w:rsidP="00656C84">
      <w:pPr>
        <w:spacing w:line="360" w:lineRule="auto"/>
        <w:jc w:val="both"/>
        <w:rPr>
          <w:rFonts w:ascii="Arial" w:hAnsi="Arial" w:cs="Arial"/>
          <w:b/>
          <w:bCs/>
          <w:color w:val="000000" w:themeColor="text1"/>
        </w:rPr>
      </w:pPr>
    </w:p>
    <w:p w14:paraId="7D45075D" w14:textId="19430C79"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t>Figura 5</w:t>
      </w:r>
    </w:p>
    <w:p w14:paraId="5C386C26" w14:textId="68835E2A" w:rsidR="004F7551" w:rsidRPr="0037328D" w:rsidRDefault="00B0054E" w:rsidP="00656C84">
      <w:pPr>
        <w:snapToGrid w:val="0"/>
        <w:spacing w:after="240" w:line="360" w:lineRule="auto"/>
        <w:jc w:val="both"/>
        <w:rPr>
          <w:rFonts w:ascii="Arial" w:hAnsi="Arial" w:cs="Arial"/>
          <w:iCs/>
          <w:color w:val="000000" w:themeColor="text1"/>
        </w:rPr>
      </w:pPr>
      <w:r>
        <w:rPr>
          <w:noProof/>
        </w:rPr>
        <w:drawing>
          <wp:anchor distT="0" distB="0" distL="114300" distR="114300" simplePos="0" relativeHeight="251659264" behindDoc="0" locked="0" layoutInCell="1" allowOverlap="1" wp14:anchorId="1795E68F" wp14:editId="57DD34EB">
            <wp:simplePos x="0" y="0"/>
            <wp:positionH relativeFrom="margin">
              <wp:align>left</wp:align>
            </wp:positionH>
            <wp:positionV relativeFrom="paragraph">
              <wp:posOffset>412750</wp:posOffset>
            </wp:positionV>
            <wp:extent cx="4059555" cy="2438400"/>
            <wp:effectExtent l="0" t="0" r="0" b="0"/>
            <wp:wrapTopAndBottom/>
            <wp:docPr id="43417912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073969" cy="2446943"/>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curso </w:t>
      </w:r>
      <w:r w:rsidR="004F7551" w:rsidRPr="0037328D">
        <w:rPr>
          <w:rFonts w:ascii="Arial" w:hAnsi="Arial" w:cs="Arial"/>
          <w:color w:val="000000" w:themeColor="text1"/>
        </w:rPr>
        <w:t>Formación para la tutoría en línea</w:t>
      </w:r>
    </w:p>
    <w:p w14:paraId="38391C05" w14:textId="2F79A388" w:rsidR="004F7551" w:rsidRDefault="004F7551" w:rsidP="00656C84">
      <w:pPr>
        <w:spacing w:line="360" w:lineRule="auto"/>
        <w:jc w:val="both"/>
        <w:rPr>
          <w:rFonts w:ascii="Arial" w:hAnsi="Arial" w:cs="Arial"/>
          <w:color w:val="000000" w:themeColor="text1"/>
        </w:rPr>
      </w:pPr>
      <w:r w:rsidRPr="008C11C4">
        <w:rPr>
          <w:rFonts w:ascii="Arial" w:hAnsi="Arial" w:cs="Arial"/>
          <w:color w:val="000000" w:themeColor="text1"/>
        </w:rPr>
        <w:t xml:space="preserve">El taller </w:t>
      </w:r>
      <w:r w:rsidRPr="25E8156C">
        <w:rPr>
          <w:rFonts w:ascii="Arial" w:hAnsi="Arial" w:cs="Arial"/>
          <w:i/>
          <w:iCs/>
          <w:color w:val="000000" w:themeColor="text1"/>
        </w:rPr>
        <w:t>Estrategias</w:t>
      </w:r>
      <w:r w:rsidRPr="51375675">
        <w:rPr>
          <w:rFonts w:ascii="Arial" w:hAnsi="Arial" w:cs="Arial"/>
          <w:i/>
          <w:iCs/>
          <w:color w:val="000000" w:themeColor="text1"/>
        </w:rPr>
        <w:t xml:space="preserve"> y buenas prácticas en foros</w:t>
      </w:r>
      <w:r w:rsidRPr="51375675">
        <w:rPr>
          <w:rFonts w:ascii="Arial" w:hAnsi="Arial" w:cs="Arial"/>
          <w:color w:val="000000" w:themeColor="text1"/>
        </w:rPr>
        <w:t xml:space="preserve"> (</w:t>
      </w:r>
      <w:r w:rsidRPr="5A4FF7E4">
        <w:rPr>
          <w:rFonts w:ascii="Arial" w:hAnsi="Arial" w:cs="Arial"/>
          <w:color w:val="000000" w:themeColor="text1"/>
        </w:rPr>
        <w:t>Figura</w:t>
      </w:r>
      <w:r w:rsidRPr="51375675">
        <w:rPr>
          <w:rFonts w:ascii="Arial" w:hAnsi="Arial" w:cs="Arial"/>
          <w:color w:val="000000" w:themeColor="text1"/>
        </w:rPr>
        <w:t xml:space="preserve"> 6) </w:t>
      </w:r>
      <w:r w:rsidRPr="04246C2D">
        <w:rPr>
          <w:rFonts w:ascii="Arial" w:hAnsi="Arial" w:cs="Arial"/>
          <w:color w:val="000000" w:themeColor="text1"/>
        </w:rPr>
        <w:t xml:space="preserve">también </w:t>
      </w:r>
      <w:r w:rsidRPr="1A96B93E">
        <w:rPr>
          <w:rFonts w:ascii="Arial" w:hAnsi="Arial" w:cs="Arial"/>
          <w:color w:val="000000" w:themeColor="text1"/>
        </w:rPr>
        <w:t xml:space="preserve">tuvo una </w:t>
      </w:r>
      <w:r w:rsidRPr="46C794C7">
        <w:rPr>
          <w:rFonts w:ascii="Arial" w:hAnsi="Arial" w:cs="Arial"/>
          <w:color w:val="000000" w:themeColor="text1"/>
        </w:rPr>
        <w:t xml:space="preserve">inscripción </w:t>
      </w:r>
      <w:r w:rsidRPr="09829C58">
        <w:rPr>
          <w:rFonts w:ascii="Arial" w:hAnsi="Arial" w:cs="Arial"/>
          <w:color w:val="000000" w:themeColor="text1"/>
        </w:rPr>
        <w:t xml:space="preserve">mayor a la </w:t>
      </w:r>
      <w:r w:rsidRPr="30114D85">
        <w:rPr>
          <w:rFonts w:ascii="Arial" w:hAnsi="Arial" w:cs="Arial"/>
          <w:color w:val="000000" w:themeColor="text1"/>
        </w:rPr>
        <w:t xml:space="preserve">habitual en </w:t>
      </w:r>
      <w:r w:rsidRPr="6082C0C5">
        <w:rPr>
          <w:rFonts w:ascii="Arial" w:hAnsi="Arial" w:cs="Arial"/>
          <w:color w:val="000000" w:themeColor="text1"/>
        </w:rPr>
        <w:t>los primeros meses del confinamiento</w:t>
      </w:r>
      <w:r w:rsidRPr="3CE866C6">
        <w:rPr>
          <w:rFonts w:ascii="Arial" w:hAnsi="Arial" w:cs="Arial"/>
          <w:color w:val="000000" w:themeColor="text1"/>
        </w:rPr>
        <w:t xml:space="preserve">, </w:t>
      </w:r>
      <w:r w:rsidRPr="5399E557">
        <w:rPr>
          <w:rFonts w:ascii="Arial" w:hAnsi="Arial" w:cs="Arial"/>
          <w:color w:val="000000" w:themeColor="text1"/>
        </w:rPr>
        <w:t xml:space="preserve">y </w:t>
      </w:r>
      <w:r w:rsidRPr="0CF30E92">
        <w:rPr>
          <w:rFonts w:ascii="Arial" w:hAnsi="Arial" w:cs="Arial"/>
          <w:color w:val="000000" w:themeColor="text1"/>
        </w:rPr>
        <w:t xml:space="preserve">ayudó a </w:t>
      </w:r>
      <w:r w:rsidRPr="58930C25">
        <w:rPr>
          <w:rFonts w:ascii="Arial" w:hAnsi="Arial" w:cs="Arial"/>
          <w:color w:val="000000" w:themeColor="text1"/>
        </w:rPr>
        <w:t xml:space="preserve">quienes optaron por </w:t>
      </w:r>
      <w:r w:rsidRPr="3ABC0036">
        <w:rPr>
          <w:rFonts w:ascii="Arial" w:hAnsi="Arial" w:cs="Arial"/>
          <w:color w:val="000000" w:themeColor="text1"/>
        </w:rPr>
        <w:t xml:space="preserve">fortalecer la </w:t>
      </w:r>
      <w:r w:rsidRPr="22EE46A0">
        <w:rPr>
          <w:rFonts w:ascii="Arial" w:hAnsi="Arial" w:cs="Arial"/>
          <w:color w:val="000000" w:themeColor="text1"/>
        </w:rPr>
        <w:t xml:space="preserve">comunicación asincrónica a </w:t>
      </w:r>
      <w:r w:rsidRPr="064A4D34">
        <w:rPr>
          <w:rFonts w:ascii="Arial" w:hAnsi="Arial" w:cs="Arial"/>
          <w:color w:val="000000" w:themeColor="text1"/>
        </w:rPr>
        <w:t xml:space="preserve">través de los foros </w:t>
      </w:r>
      <w:r w:rsidRPr="15BE4910">
        <w:rPr>
          <w:rFonts w:ascii="Arial" w:hAnsi="Arial" w:cs="Arial"/>
          <w:color w:val="000000" w:themeColor="text1"/>
        </w:rPr>
        <w:t>virtuales.</w:t>
      </w:r>
    </w:p>
    <w:p w14:paraId="29CABADA" w14:textId="77777777" w:rsidR="00B0054E" w:rsidRDefault="00B0054E" w:rsidP="00656C84">
      <w:pPr>
        <w:spacing w:line="360" w:lineRule="auto"/>
        <w:jc w:val="both"/>
        <w:rPr>
          <w:rFonts w:ascii="Arial" w:hAnsi="Arial" w:cs="Arial"/>
          <w:b/>
          <w:bCs/>
          <w:color w:val="000000" w:themeColor="text1"/>
        </w:rPr>
      </w:pPr>
    </w:p>
    <w:p w14:paraId="39D1BFDF" w14:textId="77777777" w:rsidR="00CA5E63" w:rsidRDefault="00CA5E63" w:rsidP="00656C84">
      <w:pPr>
        <w:spacing w:line="360" w:lineRule="auto"/>
        <w:jc w:val="both"/>
        <w:rPr>
          <w:rFonts w:ascii="Arial" w:hAnsi="Arial" w:cs="Arial"/>
          <w:b/>
          <w:bCs/>
          <w:color w:val="000000" w:themeColor="text1"/>
        </w:rPr>
      </w:pPr>
    </w:p>
    <w:p w14:paraId="185BF82A" w14:textId="77777777" w:rsidR="00CA5E63" w:rsidRDefault="00CA5E63" w:rsidP="00656C84">
      <w:pPr>
        <w:spacing w:line="360" w:lineRule="auto"/>
        <w:jc w:val="both"/>
        <w:rPr>
          <w:rFonts w:ascii="Arial" w:hAnsi="Arial" w:cs="Arial"/>
          <w:b/>
          <w:bCs/>
          <w:color w:val="000000" w:themeColor="text1"/>
        </w:rPr>
      </w:pPr>
    </w:p>
    <w:p w14:paraId="5413594F" w14:textId="77777777" w:rsidR="00CA5E63" w:rsidRDefault="00CA5E63" w:rsidP="00656C84">
      <w:pPr>
        <w:spacing w:line="360" w:lineRule="auto"/>
        <w:jc w:val="both"/>
        <w:rPr>
          <w:rFonts w:ascii="Arial" w:hAnsi="Arial" w:cs="Arial"/>
          <w:b/>
          <w:bCs/>
          <w:color w:val="000000" w:themeColor="text1"/>
        </w:rPr>
      </w:pPr>
    </w:p>
    <w:p w14:paraId="5144839D" w14:textId="77777777" w:rsidR="00CA5E63" w:rsidRDefault="00CA5E63" w:rsidP="00656C84">
      <w:pPr>
        <w:spacing w:line="360" w:lineRule="auto"/>
        <w:jc w:val="both"/>
        <w:rPr>
          <w:rFonts w:ascii="Arial" w:hAnsi="Arial" w:cs="Arial"/>
          <w:b/>
          <w:bCs/>
          <w:color w:val="000000" w:themeColor="text1"/>
        </w:rPr>
      </w:pPr>
    </w:p>
    <w:p w14:paraId="7E551BF9" w14:textId="77777777" w:rsidR="00CA5E63" w:rsidRDefault="00CA5E63" w:rsidP="00656C84">
      <w:pPr>
        <w:spacing w:line="360" w:lineRule="auto"/>
        <w:jc w:val="both"/>
        <w:rPr>
          <w:rFonts w:ascii="Arial" w:hAnsi="Arial" w:cs="Arial"/>
          <w:b/>
          <w:bCs/>
          <w:color w:val="000000" w:themeColor="text1"/>
        </w:rPr>
      </w:pPr>
    </w:p>
    <w:p w14:paraId="209B164C" w14:textId="77777777" w:rsidR="00CA5E63" w:rsidRDefault="00CA5E63" w:rsidP="00656C84">
      <w:pPr>
        <w:spacing w:line="360" w:lineRule="auto"/>
        <w:jc w:val="both"/>
        <w:rPr>
          <w:rFonts w:ascii="Arial" w:hAnsi="Arial" w:cs="Arial"/>
          <w:b/>
          <w:bCs/>
          <w:color w:val="000000" w:themeColor="text1"/>
        </w:rPr>
      </w:pPr>
    </w:p>
    <w:p w14:paraId="5F24AC48" w14:textId="221F2A00"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lastRenderedPageBreak/>
        <w:t>Figura 6</w:t>
      </w:r>
    </w:p>
    <w:p w14:paraId="1CF23F65" w14:textId="3001BC64" w:rsidR="004F7551" w:rsidRPr="0037328D" w:rsidRDefault="00CA5E63" w:rsidP="00656C84">
      <w:pPr>
        <w:spacing w:after="240" w:line="360" w:lineRule="auto"/>
        <w:jc w:val="both"/>
        <w:rPr>
          <w:rFonts w:ascii="Arial" w:hAnsi="Arial" w:cs="Arial"/>
          <w:iCs/>
          <w:color w:val="000000" w:themeColor="text1"/>
        </w:rPr>
      </w:pPr>
      <w:r>
        <w:rPr>
          <w:noProof/>
        </w:rPr>
        <w:drawing>
          <wp:anchor distT="0" distB="0" distL="114300" distR="114300" simplePos="0" relativeHeight="251658240" behindDoc="0" locked="0" layoutInCell="1" allowOverlap="1" wp14:anchorId="54A30F55" wp14:editId="4DA52577">
            <wp:simplePos x="0" y="0"/>
            <wp:positionH relativeFrom="margin">
              <wp:align>left</wp:align>
            </wp:positionH>
            <wp:positionV relativeFrom="paragraph">
              <wp:posOffset>415290</wp:posOffset>
            </wp:positionV>
            <wp:extent cx="4038600" cy="2443480"/>
            <wp:effectExtent l="0" t="0" r="0" b="0"/>
            <wp:wrapTopAndBottom/>
            <wp:docPr id="10740399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4">
                      <a:extLst>
                        <a:ext uri="{28A0092B-C50C-407E-A947-70E740481C1C}">
                          <a14:useLocalDpi xmlns:a14="http://schemas.microsoft.com/office/drawing/2010/main" val="0"/>
                        </a:ext>
                      </a:extLst>
                    </a:blip>
                    <a:stretch>
                      <a:fillRect/>
                    </a:stretch>
                  </pic:blipFill>
                  <pic:spPr>
                    <a:xfrm>
                      <a:off x="0" y="0"/>
                      <a:ext cx="4038600" cy="2443480"/>
                    </a:xfrm>
                    <a:prstGeom prst="rect">
                      <a:avLst/>
                    </a:prstGeom>
                  </pic:spPr>
                </pic:pic>
              </a:graphicData>
            </a:graphic>
            <wp14:sizeRelH relativeFrom="margin">
              <wp14:pctWidth>0</wp14:pctWidth>
            </wp14:sizeRelH>
            <wp14:sizeRelV relativeFrom="margin">
              <wp14:pctHeight>0</wp14:pctHeight>
            </wp14:sizeRelV>
          </wp:anchor>
        </w:drawing>
      </w:r>
      <w:r w:rsidR="004F7551" w:rsidRPr="00C236A2">
        <w:rPr>
          <w:rFonts w:ascii="Arial" w:hAnsi="Arial" w:cs="Arial"/>
          <w:i/>
          <w:iCs/>
          <w:color w:val="000000" w:themeColor="text1"/>
        </w:rPr>
        <w:t xml:space="preserve">Participantes del taller </w:t>
      </w:r>
      <w:r w:rsidR="004F7551" w:rsidRPr="0037328D">
        <w:rPr>
          <w:rFonts w:ascii="Arial" w:hAnsi="Arial" w:cs="Arial"/>
          <w:color w:val="000000" w:themeColor="text1"/>
        </w:rPr>
        <w:t>Estrategias y buenas prácticas en foros</w:t>
      </w:r>
    </w:p>
    <w:p w14:paraId="45DE1068" w14:textId="4EEE88C5" w:rsidR="004F7551" w:rsidRPr="00E74BD8" w:rsidRDefault="009F0E54" w:rsidP="00656C84">
      <w:pPr>
        <w:spacing w:before="240" w:after="240" w:line="360" w:lineRule="auto"/>
        <w:jc w:val="both"/>
        <w:rPr>
          <w:rFonts w:ascii="Arial" w:hAnsi="Arial" w:cs="Arial"/>
          <w:color w:val="000000" w:themeColor="text1"/>
        </w:rPr>
      </w:pPr>
      <w:r>
        <w:rPr>
          <w:rFonts w:ascii="Arial" w:hAnsi="Arial" w:cs="Arial"/>
          <w:color w:val="000000" w:themeColor="text1"/>
        </w:rPr>
        <w:t>El</w:t>
      </w:r>
      <w:r w:rsidR="004F7551" w:rsidRPr="7479EB08">
        <w:rPr>
          <w:rFonts w:ascii="Arial" w:hAnsi="Arial" w:cs="Arial"/>
          <w:color w:val="000000" w:themeColor="text1"/>
        </w:rPr>
        <w:t xml:space="preserve"> taller</w:t>
      </w:r>
      <w:r w:rsidR="004F7551" w:rsidRPr="0B37BFDC">
        <w:rPr>
          <w:rFonts w:ascii="Arial" w:hAnsi="Arial" w:cs="Arial"/>
          <w:i/>
          <w:iCs/>
          <w:color w:val="000000" w:themeColor="text1"/>
        </w:rPr>
        <w:t xml:space="preserve"> </w:t>
      </w:r>
      <w:r w:rsidR="004F7551" w:rsidRPr="15A76C94">
        <w:rPr>
          <w:rFonts w:ascii="Arial" w:hAnsi="Arial" w:cs="Arial"/>
          <w:i/>
          <w:iCs/>
          <w:color w:val="000000" w:themeColor="text1"/>
        </w:rPr>
        <w:t>Evaluación</w:t>
      </w:r>
      <w:r w:rsidR="004F7551" w:rsidRPr="5E6382B3">
        <w:rPr>
          <w:rFonts w:ascii="Arial" w:hAnsi="Arial" w:cs="Arial"/>
          <w:i/>
          <w:iCs/>
          <w:color w:val="000000" w:themeColor="text1"/>
        </w:rPr>
        <w:t xml:space="preserve"> para el aprendizaje en línea</w:t>
      </w:r>
      <w:r w:rsidR="004F7551" w:rsidRPr="5E6382B3">
        <w:rPr>
          <w:rFonts w:ascii="Arial" w:hAnsi="Arial" w:cs="Arial"/>
          <w:color w:val="000000" w:themeColor="text1"/>
        </w:rPr>
        <w:t xml:space="preserve"> (</w:t>
      </w:r>
      <w:r w:rsidR="004F7551" w:rsidRPr="39D750F7">
        <w:rPr>
          <w:rFonts w:ascii="Arial" w:hAnsi="Arial" w:cs="Arial"/>
          <w:color w:val="000000" w:themeColor="text1"/>
        </w:rPr>
        <w:t>Figura</w:t>
      </w:r>
      <w:r w:rsidR="004F7551" w:rsidRPr="5E6382B3">
        <w:rPr>
          <w:rFonts w:ascii="Arial" w:hAnsi="Arial" w:cs="Arial"/>
          <w:color w:val="000000" w:themeColor="text1"/>
        </w:rPr>
        <w:t xml:space="preserve"> 7</w:t>
      </w:r>
      <w:r w:rsidR="004F7551" w:rsidRPr="2ED9ABF1">
        <w:rPr>
          <w:rFonts w:ascii="Arial" w:hAnsi="Arial" w:cs="Arial"/>
          <w:color w:val="000000" w:themeColor="text1"/>
        </w:rPr>
        <w:t>)</w:t>
      </w:r>
      <w:r>
        <w:rPr>
          <w:rFonts w:ascii="Arial" w:hAnsi="Arial" w:cs="Arial"/>
          <w:color w:val="000000" w:themeColor="text1"/>
        </w:rPr>
        <w:t xml:space="preserve"> también tuvo un aumento en la matrícula,</w:t>
      </w:r>
      <w:r w:rsidR="004F7551" w:rsidRPr="2ED9ABF1">
        <w:rPr>
          <w:rFonts w:ascii="Arial" w:hAnsi="Arial" w:cs="Arial"/>
          <w:color w:val="000000" w:themeColor="text1"/>
        </w:rPr>
        <w:t xml:space="preserve"> </w:t>
      </w:r>
      <w:r w:rsidRPr="58C23D88">
        <w:rPr>
          <w:rFonts w:ascii="Arial" w:hAnsi="Arial" w:cs="Arial"/>
          <w:color w:val="000000" w:themeColor="text1"/>
        </w:rPr>
        <w:t>donde se destacó la importancia de emplear estrategias de evaluación alineadas con los objetivos del diseño de las actividades de aprendizaje.</w:t>
      </w:r>
      <w:r w:rsidR="00900565">
        <w:rPr>
          <w:rFonts w:ascii="Arial" w:hAnsi="Arial" w:cs="Arial"/>
          <w:color w:val="000000" w:themeColor="text1"/>
        </w:rPr>
        <w:br w:type="page"/>
      </w:r>
    </w:p>
    <w:p w14:paraId="48FB588A" w14:textId="77777777" w:rsidR="004F7551" w:rsidRDefault="004F7551" w:rsidP="00656C84">
      <w:pPr>
        <w:spacing w:line="360" w:lineRule="auto"/>
        <w:jc w:val="both"/>
        <w:rPr>
          <w:rFonts w:ascii="Arial" w:hAnsi="Arial" w:cs="Arial"/>
          <w:color w:val="000000" w:themeColor="text1"/>
        </w:rPr>
      </w:pPr>
      <w:r w:rsidRPr="00E74BD8">
        <w:rPr>
          <w:rFonts w:ascii="Arial" w:hAnsi="Arial" w:cs="Arial"/>
          <w:b/>
          <w:bCs/>
          <w:color w:val="000000" w:themeColor="text1"/>
        </w:rPr>
        <w:lastRenderedPageBreak/>
        <w:t>Figura 7</w:t>
      </w:r>
    </w:p>
    <w:p w14:paraId="6D80867D" w14:textId="77777777" w:rsidR="004F7551" w:rsidRPr="009478ED" w:rsidRDefault="004F7551" w:rsidP="00656C84">
      <w:pPr>
        <w:spacing w:after="240" w:line="360" w:lineRule="auto"/>
        <w:jc w:val="both"/>
        <w:rPr>
          <w:rFonts w:ascii="Arial" w:hAnsi="Arial" w:cs="Arial"/>
          <w:i/>
          <w:iCs/>
          <w:color w:val="000000" w:themeColor="text1"/>
        </w:rPr>
      </w:pPr>
      <w:r w:rsidRPr="009478ED">
        <w:rPr>
          <w:rFonts w:ascii="Arial" w:hAnsi="Arial" w:cs="Arial"/>
          <w:i/>
          <w:iCs/>
          <w:color w:val="000000" w:themeColor="text1"/>
        </w:rPr>
        <w:t xml:space="preserve">Participantes del taller </w:t>
      </w:r>
      <w:r w:rsidRPr="0037328D">
        <w:rPr>
          <w:rFonts w:ascii="Arial" w:hAnsi="Arial" w:cs="Arial"/>
          <w:color w:val="000000" w:themeColor="text1"/>
        </w:rPr>
        <w:t>Evaluación para el aprendizaje en línea</w:t>
      </w:r>
    </w:p>
    <w:p w14:paraId="1BF0F18A" w14:textId="273E5E88" w:rsidR="005C3CF2" w:rsidRDefault="004F7551" w:rsidP="00656C84">
      <w:pPr>
        <w:spacing w:after="240" w:line="360" w:lineRule="auto"/>
        <w:jc w:val="both"/>
        <w:rPr>
          <w:rFonts w:ascii="Arial" w:hAnsi="Arial" w:cs="Arial"/>
          <w:color w:val="000000" w:themeColor="text1"/>
        </w:rPr>
      </w:pPr>
      <w:r>
        <w:rPr>
          <w:noProof/>
        </w:rPr>
        <w:drawing>
          <wp:inline distT="0" distB="0" distL="0" distR="0" wp14:anchorId="48AED40C" wp14:editId="37672253">
            <wp:extent cx="3977590" cy="2381250"/>
            <wp:effectExtent l="0" t="0" r="0" b="0"/>
            <wp:docPr id="1676789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25">
                      <a:extLst>
                        <a:ext uri="{28A0092B-C50C-407E-A947-70E740481C1C}">
                          <a14:useLocalDpi xmlns:a14="http://schemas.microsoft.com/office/drawing/2010/main" val="0"/>
                        </a:ext>
                      </a:extLst>
                    </a:blip>
                    <a:stretch>
                      <a:fillRect/>
                    </a:stretch>
                  </pic:blipFill>
                  <pic:spPr>
                    <a:xfrm>
                      <a:off x="0" y="0"/>
                      <a:ext cx="3987779" cy="2387350"/>
                    </a:xfrm>
                    <a:prstGeom prst="rect">
                      <a:avLst/>
                    </a:prstGeom>
                  </pic:spPr>
                </pic:pic>
              </a:graphicData>
            </a:graphic>
          </wp:inline>
        </w:drawing>
      </w:r>
    </w:p>
    <w:p w14:paraId="7FE8D8F0" w14:textId="09274236" w:rsidR="004F7551" w:rsidRPr="00AA4C1D" w:rsidRDefault="004F7551" w:rsidP="00656C84">
      <w:pPr>
        <w:spacing w:after="240" w:line="360" w:lineRule="auto"/>
        <w:jc w:val="both"/>
        <w:rPr>
          <w:rFonts w:ascii="Arial" w:hAnsi="Arial" w:cs="Arial"/>
          <w:color w:val="000000" w:themeColor="text1"/>
        </w:rPr>
      </w:pPr>
      <w:r w:rsidRPr="00AA4C1D">
        <w:rPr>
          <w:rFonts w:ascii="Arial" w:hAnsi="Arial" w:cs="Arial"/>
          <w:b/>
          <w:bCs/>
          <w:color w:val="000000" w:themeColor="text1"/>
        </w:rPr>
        <w:t xml:space="preserve">Fase de expansión temática: </w:t>
      </w:r>
      <w:r w:rsidR="009F0E54" w:rsidRPr="00AA4C1D">
        <w:rPr>
          <w:rFonts w:ascii="Arial" w:hAnsi="Arial" w:cs="Arial"/>
          <w:b/>
          <w:bCs/>
          <w:color w:val="000000" w:themeColor="text1"/>
        </w:rPr>
        <w:t>i</w:t>
      </w:r>
      <w:r w:rsidRPr="00AA4C1D">
        <w:rPr>
          <w:rFonts w:ascii="Arial" w:hAnsi="Arial" w:cs="Arial"/>
          <w:b/>
          <w:bCs/>
          <w:color w:val="000000" w:themeColor="text1"/>
        </w:rPr>
        <w:t>nnovación pedagógica y reconocimiento de aprendizajes</w:t>
      </w:r>
    </w:p>
    <w:p w14:paraId="22D7650D" w14:textId="0A315DA0" w:rsidR="004F7551" w:rsidRPr="006C79D6" w:rsidRDefault="004F7551" w:rsidP="00656C84">
      <w:pPr>
        <w:spacing w:line="360" w:lineRule="auto"/>
        <w:jc w:val="both"/>
        <w:rPr>
          <w:rFonts w:ascii="Arial" w:hAnsi="Arial" w:cs="Arial"/>
          <w:color w:val="000000" w:themeColor="text1"/>
        </w:rPr>
      </w:pPr>
      <w:r w:rsidRPr="006C79D6">
        <w:rPr>
          <w:rFonts w:ascii="Arial" w:hAnsi="Arial" w:cs="Arial"/>
          <w:color w:val="000000" w:themeColor="text1"/>
        </w:rPr>
        <w:t xml:space="preserve">En una fase más avanzada, la audiencia </w:t>
      </w:r>
      <w:r>
        <w:rPr>
          <w:rFonts w:ascii="Arial" w:hAnsi="Arial" w:cs="Arial"/>
          <w:color w:val="000000" w:themeColor="text1"/>
        </w:rPr>
        <w:t>–</w:t>
      </w:r>
      <w:r w:rsidRPr="006C79D6">
        <w:rPr>
          <w:rFonts w:ascii="Arial" w:hAnsi="Arial" w:cs="Arial"/>
          <w:color w:val="000000" w:themeColor="text1"/>
        </w:rPr>
        <w:t>con competencias más consolidadas</w:t>
      </w:r>
      <w:r>
        <w:rPr>
          <w:rFonts w:ascii="Arial" w:hAnsi="Arial" w:cs="Arial"/>
          <w:color w:val="000000" w:themeColor="text1"/>
        </w:rPr>
        <w:t>–</w:t>
      </w:r>
      <w:r w:rsidRPr="006C79D6">
        <w:rPr>
          <w:rFonts w:ascii="Arial" w:hAnsi="Arial" w:cs="Arial"/>
          <w:color w:val="000000" w:themeColor="text1"/>
        </w:rPr>
        <w:t xml:space="preserve"> empezó a explorar nuevas posibilidades de la educación digital:</w:t>
      </w:r>
    </w:p>
    <w:p w14:paraId="18DDEA54" w14:textId="7FF154DD" w:rsidR="00313595" w:rsidRPr="003E7265" w:rsidRDefault="004F7551" w:rsidP="00656C84">
      <w:pPr>
        <w:pStyle w:val="Prrafodelista"/>
        <w:numPr>
          <w:ilvl w:val="0"/>
          <w:numId w:val="43"/>
        </w:numPr>
        <w:spacing w:line="360" w:lineRule="auto"/>
        <w:jc w:val="both"/>
        <w:rPr>
          <w:rFonts w:ascii="Arial" w:hAnsi="Arial" w:cs="Arial"/>
          <w:color w:val="000000" w:themeColor="text1"/>
        </w:rPr>
      </w:pPr>
      <w:r w:rsidRPr="003E7265">
        <w:rPr>
          <w:rFonts w:ascii="Arial" w:hAnsi="Arial" w:cs="Arial"/>
          <w:color w:val="000000" w:themeColor="text1"/>
        </w:rPr>
        <w:t xml:space="preserve">Estrategias pedagógicas innovadoras: </w:t>
      </w:r>
      <w:r w:rsidR="005C3F8F" w:rsidRPr="003E7265">
        <w:rPr>
          <w:rFonts w:ascii="Arial" w:hAnsi="Arial" w:cs="Arial"/>
          <w:color w:val="000000" w:themeColor="text1"/>
        </w:rPr>
        <w:t>i</w:t>
      </w:r>
      <w:r w:rsidRPr="003E7265">
        <w:rPr>
          <w:rFonts w:ascii="Arial" w:hAnsi="Arial" w:cs="Arial"/>
          <w:color w:val="000000" w:themeColor="text1"/>
        </w:rPr>
        <w:t>ncorporación de gamificación, aprendizaje basado en proyectos, colaboración en línea y analíticas de aprendizaje.</w:t>
      </w:r>
    </w:p>
    <w:p w14:paraId="5BE1A159" w14:textId="3D9E4E7B" w:rsidR="004F7551" w:rsidRPr="003E7265" w:rsidRDefault="004F7551" w:rsidP="00656C84">
      <w:pPr>
        <w:pStyle w:val="Prrafodelista"/>
        <w:numPr>
          <w:ilvl w:val="0"/>
          <w:numId w:val="43"/>
        </w:numPr>
        <w:spacing w:line="360" w:lineRule="auto"/>
        <w:jc w:val="both"/>
        <w:rPr>
          <w:rFonts w:ascii="Arial" w:hAnsi="Arial" w:cs="Arial"/>
          <w:color w:val="000000" w:themeColor="text1"/>
        </w:rPr>
      </w:pPr>
      <w:r w:rsidRPr="003E7265">
        <w:rPr>
          <w:rFonts w:ascii="Arial" w:hAnsi="Arial" w:cs="Arial"/>
          <w:color w:val="000000" w:themeColor="text1"/>
        </w:rPr>
        <w:t xml:space="preserve">Trayectorias de aprendizaje personalizadas: </w:t>
      </w:r>
      <w:r w:rsidR="005C3F8F" w:rsidRPr="003E7265">
        <w:rPr>
          <w:rFonts w:ascii="Arial" w:hAnsi="Arial" w:cs="Arial"/>
          <w:color w:val="000000" w:themeColor="text1"/>
        </w:rPr>
        <w:t>i</w:t>
      </w:r>
      <w:r w:rsidRPr="003E7265">
        <w:rPr>
          <w:rFonts w:ascii="Arial" w:hAnsi="Arial" w:cs="Arial"/>
          <w:color w:val="000000" w:themeColor="text1"/>
        </w:rPr>
        <w:t>nterés por flexibilizar rutas educativas según ritmos y contextos específicos.</w:t>
      </w:r>
    </w:p>
    <w:p w14:paraId="34E544A9" w14:textId="0A4BD647" w:rsidR="004F7551" w:rsidRPr="003E7265" w:rsidRDefault="004F7551" w:rsidP="00656C84">
      <w:pPr>
        <w:pStyle w:val="Prrafodelista"/>
        <w:numPr>
          <w:ilvl w:val="0"/>
          <w:numId w:val="43"/>
        </w:numPr>
        <w:spacing w:after="240" w:line="360" w:lineRule="auto"/>
        <w:ind w:left="1077"/>
        <w:contextualSpacing w:val="0"/>
        <w:jc w:val="both"/>
        <w:rPr>
          <w:rFonts w:ascii="Arial" w:hAnsi="Arial" w:cs="Arial"/>
          <w:color w:val="000000" w:themeColor="text1"/>
        </w:rPr>
      </w:pPr>
      <w:r w:rsidRPr="003E7265">
        <w:rPr>
          <w:rFonts w:ascii="Arial" w:hAnsi="Arial" w:cs="Arial"/>
          <w:color w:val="000000" w:themeColor="text1"/>
        </w:rPr>
        <w:t xml:space="preserve">Credenciales digitales: </w:t>
      </w:r>
      <w:r w:rsidR="005C3F8F" w:rsidRPr="003E7265">
        <w:rPr>
          <w:rFonts w:ascii="Arial" w:hAnsi="Arial" w:cs="Arial"/>
          <w:color w:val="000000" w:themeColor="text1"/>
        </w:rPr>
        <w:t>r</w:t>
      </w:r>
      <w:r w:rsidRPr="003E7265">
        <w:rPr>
          <w:rFonts w:ascii="Arial" w:hAnsi="Arial" w:cs="Arial"/>
          <w:color w:val="000000" w:themeColor="text1"/>
        </w:rPr>
        <w:t>eflexión sob</w:t>
      </w:r>
      <w:r w:rsidRPr="00E0339D">
        <w:rPr>
          <w:rFonts w:ascii="Arial" w:hAnsi="Arial" w:cs="Arial"/>
          <w:color w:val="000000" w:themeColor="text1"/>
        </w:rPr>
        <w:t>re el reconocimiento formal de aprendizajes mediante microcredenciales o insignias digitales.</w:t>
      </w:r>
    </w:p>
    <w:p w14:paraId="2F1FB29F" w14:textId="21AEFED7" w:rsidR="004F7551" w:rsidRDefault="004F7551" w:rsidP="00656C84">
      <w:pPr>
        <w:snapToGrid w:val="0"/>
        <w:spacing w:after="240" w:line="360" w:lineRule="auto"/>
        <w:jc w:val="both"/>
        <w:rPr>
          <w:rFonts w:ascii="Arial" w:hAnsi="Arial" w:cs="Arial"/>
          <w:color w:val="000000" w:themeColor="text1"/>
        </w:rPr>
      </w:pPr>
      <w:r w:rsidRPr="006C79D6">
        <w:rPr>
          <w:rFonts w:ascii="Arial" w:hAnsi="Arial" w:cs="Arial"/>
          <w:color w:val="000000" w:themeColor="text1"/>
        </w:rPr>
        <w:lastRenderedPageBreak/>
        <w:t xml:space="preserve">Estas nuevas temáticas, abordadas principalmente en ciclos de conferencias realizados en los años posteriores al </w:t>
      </w:r>
      <w:r w:rsidR="005C3F8F">
        <w:rPr>
          <w:rFonts w:ascii="Arial" w:hAnsi="Arial" w:cs="Arial"/>
          <w:color w:val="000000" w:themeColor="text1"/>
        </w:rPr>
        <w:t>covid</w:t>
      </w:r>
      <w:r w:rsidRPr="006C79D6">
        <w:rPr>
          <w:rFonts w:ascii="Arial" w:hAnsi="Arial" w:cs="Arial"/>
          <w:color w:val="000000" w:themeColor="text1"/>
        </w:rPr>
        <w:t>-19, reflejaron una madurez creciente de</w:t>
      </w:r>
      <w:r w:rsidR="005C3F8F">
        <w:rPr>
          <w:rFonts w:ascii="Arial" w:hAnsi="Arial" w:cs="Arial"/>
          <w:color w:val="000000" w:themeColor="text1"/>
        </w:rPr>
        <w:t xml:space="preserve"> personas</w:t>
      </w:r>
      <w:r w:rsidRPr="006C79D6">
        <w:rPr>
          <w:rFonts w:ascii="Arial" w:hAnsi="Arial" w:cs="Arial"/>
          <w:color w:val="000000" w:themeColor="text1"/>
        </w:rPr>
        <w:t xml:space="preserve"> docentes y gestor</w:t>
      </w:r>
      <w:r w:rsidR="005C3F8F">
        <w:rPr>
          <w:rFonts w:ascii="Arial" w:hAnsi="Arial" w:cs="Arial"/>
          <w:color w:val="000000" w:themeColor="text1"/>
        </w:rPr>
        <w:t>a</w:t>
      </w:r>
      <w:r w:rsidRPr="006C79D6">
        <w:rPr>
          <w:rFonts w:ascii="Arial" w:hAnsi="Arial" w:cs="Arial"/>
          <w:color w:val="000000" w:themeColor="text1"/>
        </w:rPr>
        <w:t>s, quienes pasaron de una lógica de supervivencia tecnológica a una visión de oportunidad y transformación educativa.</w:t>
      </w:r>
    </w:p>
    <w:p w14:paraId="5FAD0704" w14:textId="77777777" w:rsidR="00BE0908" w:rsidRDefault="004F7551" w:rsidP="00656C84">
      <w:pPr>
        <w:spacing w:after="240" w:line="360" w:lineRule="auto"/>
        <w:jc w:val="both"/>
        <w:rPr>
          <w:rFonts w:ascii="Arial" w:hAnsi="Arial" w:cs="Arial"/>
          <w:b/>
          <w:bCs/>
          <w:color w:val="000000" w:themeColor="text1"/>
        </w:rPr>
      </w:pPr>
      <w:r w:rsidRPr="00E0339D">
        <w:rPr>
          <w:rFonts w:ascii="Arial" w:hAnsi="Arial" w:cs="Arial"/>
          <w:b/>
          <w:bCs/>
          <w:color w:val="000000" w:themeColor="text1"/>
        </w:rPr>
        <w:t>Nuevas comprensiones sobre las necesidades de desarrollo profesional a largo plazo</w:t>
      </w:r>
    </w:p>
    <w:p w14:paraId="6B9DB55F" w14:textId="3767B050" w:rsidR="004F7551" w:rsidRPr="00BE0908" w:rsidRDefault="004F7551" w:rsidP="00656C84">
      <w:pPr>
        <w:spacing w:after="240" w:line="360" w:lineRule="auto"/>
        <w:jc w:val="both"/>
        <w:rPr>
          <w:rFonts w:ascii="Arial" w:hAnsi="Arial" w:cs="Arial"/>
          <w:b/>
          <w:bCs/>
          <w:color w:val="000000" w:themeColor="text1"/>
        </w:rPr>
      </w:pPr>
      <w:r w:rsidRPr="006C79D6">
        <w:rPr>
          <w:rFonts w:ascii="Arial" w:hAnsi="Arial" w:cs="Arial"/>
          <w:color w:val="000000" w:themeColor="text1"/>
        </w:rPr>
        <w:t xml:space="preserve">La implementación de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ofreció aprendizajes valiosos que modificaron </w:t>
      </w:r>
      <w:r w:rsidR="005C3F8F">
        <w:rPr>
          <w:rFonts w:ascii="Arial" w:hAnsi="Arial" w:cs="Arial"/>
          <w:color w:val="000000" w:themeColor="text1"/>
        </w:rPr>
        <w:t>la</w:t>
      </w:r>
      <w:r w:rsidR="005C3F8F" w:rsidRPr="006C79D6">
        <w:rPr>
          <w:rFonts w:ascii="Arial" w:hAnsi="Arial" w:cs="Arial"/>
          <w:color w:val="000000" w:themeColor="text1"/>
        </w:rPr>
        <w:t xml:space="preserve"> </w:t>
      </w:r>
      <w:r w:rsidRPr="006C79D6">
        <w:rPr>
          <w:rFonts w:ascii="Arial" w:hAnsi="Arial" w:cs="Arial"/>
          <w:color w:val="000000" w:themeColor="text1"/>
        </w:rPr>
        <w:t xml:space="preserve">comprensión de las necesidades formativas de </w:t>
      </w:r>
      <w:r w:rsidR="005C3F8F">
        <w:rPr>
          <w:rFonts w:ascii="Arial" w:hAnsi="Arial" w:cs="Arial"/>
          <w:color w:val="000000" w:themeColor="text1"/>
        </w:rPr>
        <w:t xml:space="preserve">personas </w:t>
      </w:r>
      <w:r w:rsidRPr="006C79D6">
        <w:rPr>
          <w:rFonts w:ascii="Arial" w:hAnsi="Arial" w:cs="Arial"/>
          <w:color w:val="000000" w:themeColor="text1"/>
        </w:rPr>
        <w:t>docentes y administrador</w:t>
      </w:r>
      <w:r w:rsidR="005C3F8F">
        <w:rPr>
          <w:rFonts w:ascii="Arial" w:hAnsi="Arial" w:cs="Arial"/>
          <w:color w:val="000000" w:themeColor="text1"/>
        </w:rPr>
        <w:t>a</w:t>
      </w:r>
      <w:r w:rsidRPr="006C79D6">
        <w:rPr>
          <w:rFonts w:ascii="Arial" w:hAnsi="Arial" w:cs="Arial"/>
          <w:color w:val="000000" w:themeColor="text1"/>
        </w:rPr>
        <w:t>s a mediano y largo plazos.</w:t>
      </w:r>
    </w:p>
    <w:p w14:paraId="1C43FF24" w14:textId="5347E9A2" w:rsidR="004F7551" w:rsidRPr="006C79D6" w:rsidRDefault="005C3F8F" w:rsidP="00656C84">
      <w:pPr>
        <w:spacing w:after="240" w:line="360" w:lineRule="auto"/>
        <w:jc w:val="both"/>
        <w:rPr>
          <w:rFonts w:ascii="Arial" w:hAnsi="Arial" w:cs="Arial"/>
          <w:color w:val="000000" w:themeColor="text1"/>
        </w:rPr>
      </w:pPr>
      <w:r>
        <w:rPr>
          <w:rFonts w:ascii="Arial" w:hAnsi="Arial" w:cs="Arial"/>
          <w:color w:val="000000" w:themeColor="text1"/>
        </w:rPr>
        <w:t>La</w:t>
      </w:r>
      <w:r w:rsidRPr="006C79D6">
        <w:rPr>
          <w:rFonts w:ascii="Arial" w:hAnsi="Arial" w:cs="Arial"/>
          <w:color w:val="000000" w:themeColor="text1"/>
        </w:rPr>
        <w:t xml:space="preserve"> </w:t>
      </w:r>
      <w:r w:rsidR="004F7551" w:rsidRPr="006C79D6">
        <w:rPr>
          <w:rFonts w:ascii="Arial" w:hAnsi="Arial" w:cs="Arial"/>
          <w:color w:val="000000" w:themeColor="text1"/>
        </w:rPr>
        <w:t xml:space="preserve">primera lección de esta experiencia fue el reconocimiento de la importancia de trascender la respuesta inmediata a la crisis y enfocarse en la construcción sostenida de capacidades. </w:t>
      </w:r>
      <w:r w:rsidR="004F7551" w:rsidRPr="008C11C4">
        <w:rPr>
          <w:rFonts w:ascii="Arial" w:hAnsi="Arial" w:cs="Arial"/>
          <w:color w:val="000000" w:themeColor="text1"/>
          <w:lang w:val="es-ES"/>
        </w:rPr>
        <w:t xml:space="preserve">Esta observación se respalda con los datos de participación de la propia iniciativa: más de 5500 personas participaron en el </w:t>
      </w:r>
      <w:proofErr w:type="spellStart"/>
      <w:r w:rsidR="004F7551" w:rsidRPr="008C11C4">
        <w:rPr>
          <w:rFonts w:ascii="Arial" w:hAnsi="Arial" w:cs="Arial"/>
          <w:i/>
          <w:iCs/>
          <w:color w:val="000000" w:themeColor="text1"/>
          <w:lang w:val="es-ES"/>
        </w:rPr>
        <w:t>Bootcamp</w:t>
      </w:r>
      <w:proofErr w:type="spellEnd"/>
      <w:r w:rsidR="004F7551" w:rsidRPr="008C11C4">
        <w:rPr>
          <w:rFonts w:ascii="Arial" w:hAnsi="Arial" w:cs="Arial"/>
          <w:color w:val="000000" w:themeColor="text1"/>
          <w:lang w:val="es-ES"/>
        </w:rPr>
        <w:t xml:space="preserve"> virtual (Figura 1), </w:t>
      </w:r>
      <w:r>
        <w:rPr>
          <w:rFonts w:ascii="Arial" w:hAnsi="Arial" w:cs="Arial"/>
          <w:color w:val="000000" w:themeColor="text1"/>
          <w:lang w:val="es-ES"/>
        </w:rPr>
        <w:t>lo cual evidencia</w:t>
      </w:r>
      <w:r w:rsidRPr="008C11C4">
        <w:rPr>
          <w:rFonts w:ascii="Arial" w:hAnsi="Arial" w:cs="Arial"/>
          <w:color w:val="000000" w:themeColor="text1"/>
          <w:lang w:val="es-ES"/>
        </w:rPr>
        <w:t xml:space="preserve"> </w:t>
      </w:r>
      <w:r w:rsidR="004F7551" w:rsidRPr="008C11C4">
        <w:rPr>
          <w:rFonts w:ascii="Arial" w:hAnsi="Arial" w:cs="Arial"/>
          <w:color w:val="000000" w:themeColor="text1"/>
          <w:lang w:val="es-ES"/>
        </w:rPr>
        <w:t>una demanda sostenida que trascendió la respuesta inmediata a la emergencia.</w:t>
      </w:r>
      <w:r w:rsidR="004F7551" w:rsidRPr="00722793">
        <w:rPr>
          <w:rFonts w:ascii="Arial" w:hAnsi="Arial" w:cs="Arial"/>
          <w:color w:val="000000" w:themeColor="text1"/>
        </w:rPr>
        <w:t xml:space="preserve"> </w:t>
      </w:r>
      <w:r w:rsidR="004F7551" w:rsidRPr="006C79D6">
        <w:rPr>
          <w:rFonts w:ascii="Arial" w:hAnsi="Arial" w:cs="Arial"/>
          <w:color w:val="000000" w:themeColor="text1"/>
        </w:rPr>
        <w:t xml:space="preserve">En el apogeo de la pandemia, los esfuerzos formativos del programa tuvieron un carácter principalmente reactivo, orientados a proveer habilidades de supervivencia digital para la enseñanza remota de emergencia. Sin embargo, con el paso del tiempo se evidenció la necesidad de transformar ese enfoque en uno más proactivo y estructural para asegurar resultados sostenibles. Aunque estas conclusiones derivan de un caso particular y situado, invitan a reflexionar sobre la relevancia de establecer programas permanentes de desarrollo profesional que fortalezcan la capacidad institucional para adaptarse a los cambios tecnológicos y pedagógicos del momento. Este enfoque implicaría incorporar la formación docente como un pilar estratégico, </w:t>
      </w:r>
      <w:r w:rsidR="004F7551" w:rsidRPr="006C79D6">
        <w:rPr>
          <w:rFonts w:ascii="Arial" w:hAnsi="Arial" w:cs="Arial"/>
          <w:color w:val="000000" w:themeColor="text1"/>
        </w:rPr>
        <w:lastRenderedPageBreak/>
        <w:t>sostenido por políticas claras y liderazgo institucional, más allá de respuestas puntuales a situaciones críticas.</w:t>
      </w:r>
    </w:p>
    <w:p w14:paraId="7798F2FA" w14:textId="1C7BF40D" w:rsidR="009D6DB3"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Segundo, la experiencia mostró que las competencias digitales </w:t>
      </w:r>
      <w:r w:rsidRPr="10D6BB28">
        <w:rPr>
          <w:rFonts w:ascii="Arial" w:hAnsi="Arial" w:cs="Arial"/>
          <w:color w:val="000000" w:themeColor="text1"/>
        </w:rPr>
        <w:t>del personal</w:t>
      </w:r>
      <w:r w:rsidRPr="006C79D6">
        <w:rPr>
          <w:rFonts w:ascii="Arial" w:hAnsi="Arial" w:cs="Arial"/>
          <w:color w:val="000000" w:themeColor="text1"/>
        </w:rPr>
        <w:t xml:space="preserve"> docente deben desarrollarse de manera más profunda y holística. </w:t>
      </w:r>
      <w:r w:rsidR="009D6DB3">
        <w:rPr>
          <w:rFonts w:ascii="Arial" w:hAnsi="Arial" w:cs="Arial"/>
          <w:color w:val="000000" w:themeColor="text1"/>
        </w:rPr>
        <w:t>Con esto se evidencia</w:t>
      </w:r>
      <w:r w:rsidR="009D6DB3" w:rsidRPr="006C79D6">
        <w:rPr>
          <w:rFonts w:ascii="Arial" w:hAnsi="Arial" w:cs="Arial"/>
          <w:color w:val="000000" w:themeColor="text1"/>
        </w:rPr>
        <w:t xml:space="preserve"> </w:t>
      </w:r>
      <w:r w:rsidRPr="006C79D6">
        <w:rPr>
          <w:rFonts w:ascii="Arial" w:hAnsi="Arial" w:cs="Arial"/>
          <w:color w:val="000000" w:themeColor="text1"/>
        </w:rPr>
        <w:t xml:space="preserve">la importancia y utilidad de contar con un marco integral de competencias, como el </w:t>
      </w:r>
      <w:r w:rsidRPr="00066603">
        <w:rPr>
          <w:rFonts w:ascii="Arial" w:hAnsi="Arial" w:cs="Arial"/>
          <w:i/>
          <w:iCs/>
          <w:color w:val="000000" w:themeColor="text1"/>
        </w:rPr>
        <w:t>Marco de competencias de los docentes en materia de TIC</w:t>
      </w:r>
      <w:r w:rsidRPr="006C79D6">
        <w:rPr>
          <w:rFonts w:ascii="Arial" w:hAnsi="Arial" w:cs="Arial"/>
          <w:color w:val="000000" w:themeColor="text1"/>
        </w:rPr>
        <w:t xml:space="preserve"> </w:t>
      </w:r>
      <w:r w:rsidRPr="0A7EF683">
        <w:rPr>
          <w:rFonts w:ascii="Arial" w:hAnsi="Arial" w:cs="Arial"/>
          <w:i/>
          <w:iCs/>
          <w:color w:val="000000" w:themeColor="text1"/>
        </w:rPr>
        <w:t xml:space="preserve">UNESCO </w:t>
      </w:r>
      <w:r w:rsidRPr="006C79D6">
        <w:rPr>
          <w:rFonts w:ascii="Arial" w:hAnsi="Arial" w:cs="Arial"/>
          <w:color w:val="000000" w:themeColor="text1"/>
        </w:rPr>
        <w:t>(2019), que organiza 18 competencias en seis áreas de la práctica docente y tres niveles de progresión. Este marco subraya que</w:t>
      </w:r>
      <w:r w:rsidR="3B466435" w:rsidRPr="015B17AA">
        <w:rPr>
          <w:rFonts w:ascii="Arial" w:hAnsi="Arial" w:cs="Arial"/>
          <w:color w:val="000000" w:themeColor="text1"/>
        </w:rPr>
        <w:t>,</w:t>
      </w:r>
      <w:r w:rsidRPr="006C79D6">
        <w:rPr>
          <w:rFonts w:ascii="Arial" w:hAnsi="Arial" w:cs="Arial"/>
          <w:color w:val="000000" w:themeColor="text1"/>
        </w:rPr>
        <w:t xml:space="preserve"> para impartir educación de calidad en la era digital, </w:t>
      </w:r>
      <w:r w:rsidRPr="5431B545">
        <w:rPr>
          <w:rFonts w:ascii="Arial" w:hAnsi="Arial" w:cs="Arial"/>
          <w:color w:val="000000" w:themeColor="text1"/>
        </w:rPr>
        <w:t>el profesorado</w:t>
      </w:r>
      <w:r w:rsidRPr="006C79D6">
        <w:rPr>
          <w:rFonts w:ascii="Arial" w:hAnsi="Arial" w:cs="Arial"/>
          <w:color w:val="000000" w:themeColor="text1"/>
        </w:rPr>
        <w:t xml:space="preserve"> debe dominar aspectos que van desde el uso pedagógico de las TIC en el aula, hasta la planificación institucional y su propio aprendizaje continuo.</w:t>
      </w:r>
    </w:p>
    <w:p w14:paraId="76581D36" w14:textId="042158FE" w:rsidR="00C236A2" w:rsidRDefault="004F7551" w:rsidP="00656C84">
      <w:pPr>
        <w:spacing w:after="240" w:line="360" w:lineRule="auto"/>
        <w:jc w:val="both"/>
        <w:rPr>
          <w:rFonts w:ascii="Arial" w:hAnsi="Arial" w:cs="Arial"/>
          <w:color w:val="000000" w:themeColor="text1"/>
        </w:rPr>
      </w:pPr>
      <w:r w:rsidRPr="008C11C4">
        <w:rPr>
          <w:rFonts w:ascii="Arial" w:hAnsi="Arial" w:cs="Arial"/>
          <w:color w:val="000000" w:themeColor="text1"/>
          <w:lang w:val="es-ES"/>
        </w:rPr>
        <w:t xml:space="preserve">La experiencia de </w:t>
      </w:r>
      <w:proofErr w:type="spellStart"/>
      <w:r w:rsidRPr="008C11C4">
        <w:rPr>
          <w:rFonts w:ascii="Arial" w:hAnsi="Arial" w:cs="Arial"/>
          <w:i/>
          <w:color w:val="000000" w:themeColor="text1"/>
          <w:lang w:val="es-ES"/>
        </w:rPr>
        <w:t>Movingonline</w:t>
      </w:r>
      <w:proofErr w:type="spellEnd"/>
      <w:r w:rsidRPr="008C11C4">
        <w:rPr>
          <w:rFonts w:ascii="Arial" w:hAnsi="Arial" w:cs="Arial"/>
          <w:color w:val="000000" w:themeColor="text1"/>
          <w:lang w:val="es-ES"/>
        </w:rPr>
        <w:t xml:space="preserve"> confirmó la pertinencia de </w:t>
      </w:r>
      <w:r w:rsidR="009D6DB3">
        <w:rPr>
          <w:rFonts w:ascii="Arial" w:hAnsi="Arial" w:cs="Arial"/>
          <w:color w:val="000000" w:themeColor="text1"/>
          <w:lang w:val="es-ES"/>
        </w:rPr>
        <w:t>dicho</w:t>
      </w:r>
      <w:r w:rsidR="009D6DB3" w:rsidRPr="008C11C4">
        <w:rPr>
          <w:rFonts w:ascii="Arial" w:hAnsi="Arial" w:cs="Arial"/>
          <w:color w:val="000000" w:themeColor="text1"/>
          <w:lang w:val="es-ES"/>
        </w:rPr>
        <w:t xml:space="preserve"> </w:t>
      </w:r>
      <w:r w:rsidRPr="008C11C4">
        <w:rPr>
          <w:rFonts w:ascii="Arial" w:hAnsi="Arial" w:cs="Arial"/>
          <w:color w:val="000000" w:themeColor="text1"/>
          <w:lang w:val="es-ES"/>
        </w:rPr>
        <w:t xml:space="preserve">marco: </w:t>
      </w:r>
      <w:r w:rsidR="009D6DB3">
        <w:rPr>
          <w:rFonts w:ascii="Arial" w:hAnsi="Arial" w:cs="Arial"/>
          <w:color w:val="000000" w:themeColor="text1"/>
          <w:lang w:val="es-ES"/>
        </w:rPr>
        <w:t>se observa</w:t>
      </w:r>
      <w:r w:rsidR="009D6DB3" w:rsidRPr="008C11C4">
        <w:rPr>
          <w:rFonts w:ascii="Arial" w:hAnsi="Arial" w:cs="Arial"/>
          <w:color w:val="000000" w:themeColor="text1"/>
          <w:lang w:val="es-ES"/>
        </w:rPr>
        <w:t xml:space="preserve"> </w:t>
      </w:r>
      <w:r w:rsidRPr="008C11C4">
        <w:rPr>
          <w:rFonts w:ascii="Arial" w:hAnsi="Arial" w:cs="Arial"/>
          <w:color w:val="000000" w:themeColor="text1"/>
          <w:lang w:val="es-ES"/>
        </w:rPr>
        <w:t xml:space="preserve">que </w:t>
      </w:r>
      <w:r>
        <w:rPr>
          <w:rFonts w:ascii="Arial" w:hAnsi="Arial" w:cs="Arial"/>
          <w:color w:val="000000" w:themeColor="text1"/>
          <w:lang w:val="es-ES"/>
        </w:rPr>
        <w:t>las</w:t>
      </w:r>
      <w:r w:rsidR="009D6DB3">
        <w:rPr>
          <w:rFonts w:ascii="Arial" w:hAnsi="Arial" w:cs="Arial"/>
          <w:color w:val="000000" w:themeColor="text1"/>
          <w:lang w:val="es-ES"/>
        </w:rPr>
        <w:t xml:space="preserve"> personas</w:t>
      </w:r>
      <w:r>
        <w:rPr>
          <w:rFonts w:ascii="Arial" w:hAnsi="Arial" w:cs="Arial"/>
          <w:color w:val="000000" w:themeColor="text1"/>
          <w:lang w:val="es-ES"/>
        </w:rPr>
        <w:t xml:space="preserve"> </w:t>
      </w:r>
      <w:r w:rsidRPr="008C11C4">
        <w:rPr>
          <w:rFonts w:ascii="Arial" w:hAnsi="Arial" w:cs="Arial"/>
          <w:color w:val="000000" w:themeColor="text1"/>
          <w:lang w:val="es-ES"/>
        </w:rPr>
        <w:t xml:space="preserve">participantes progresaron desde competencias básicas </w:t>
      </w:r>
      <w:r w:rsidRPr="0427646F">
        <w:rPr>
          <w:rFonts w:ascii="Arial" w:hAnsi="Arial" w:cs="Arial"/>
          <w:color w:val="000000" w:themeColor="text1"/>
        </w:rPr>
        <w:t>en el</w:t>
      </w:r>
      <w:r w:rsidRPr="008C11C4">
        <w:rPr>
          <w:rFonts w:ascii="Arial" w:hAnsi="Arial" w:cs="Arial"/>
          <w:color w:val="000000" w:themeColor="text1"/>
          <w:lang w:val="es-ES"/>
        </w:rPr>
        <w:t xml:space="preserve"> uso de </w:t>
      </w:r>
      <w:r w:rsidRPr="0427646F">
        <w:rPr>
          <w:rFonts w:ascii="Arial" w:hAnsi="Arial" w:cs="Arial"/>
          <w:color w:val="000000" w:themeColor="text1"/>
          <w:lang w:val="es-ES"/>
        </w:rPr>
        <w:t xml:space="preserve">las </w:t>
      </w:r>
      <w:r w:rsidRPr="008C11C4">
        <w:rPr>
          <w:rFonts w:ascii="Arial" w:hAnsi="Arial" w:cs="Arial"/>
          <w:color w:val="000000" w:themeColor="text1"/>
          <w:lang w:val="es-ES"/>
        </w:rPr>
        <w:t xml:space="preserve">TIC </w:t>
      </w:r>
      <w:r w:rsidR="009D6DB3">
        <w:rPr>
          <w:rFonts w:ascii="Arial" w:hAnsi="Arial" w:cs="Arial"/>
          <w:color w:val="000000" w:themeColor="text1"/>
          <w:lang w:val="es-ES"/>
        </w:rPr>
        <w:t>hasta</w:t>
      </w:r>
      <w:r w:rsidR="009D6DB3" w:rsidRPr="008C11C4">
        <w:rPr>
          <w:rFonts w:ascii="Arial" w:hAnsi="Arial" w:cs="Arial"/>
          <w:color w:val="000000" w:themeColor="text1"/>
          <w:lang w:val="es-ES"/>
        </w:rPr>
        <w:t xml:space="preserve"> </w:t>
      </w:r>
      <w:r w:rsidRPr="008C11C4">
        <w:rPr>
          <w:rFonts w:ascii="Arial" w:hAnsi="Arial" w:cs="Arial"/>
          <w:color w:val="000000" w:themeColor="text1"/>
          <w:lang w:val="es-ES"/>
        </w:rPr>
        <w:t xml:space="preserve">niveles más avanzados de innovación pedagógica, siguiendo </w:t>
      </w:r>
      <w:r>
        <w:rPr>
          <w:rFonts w:ascii="Arial" w:hAnsi="Arial" w:cs="Arial"/>
          <w:color w:val="000000" w:themeColor="text1"/>
          <w:lang w:val="es-ES"/>
        </w:rPr>
        <w:t>aparentemente</w:t>
      </w:r>
      <w:r w:rsidRPr="008C11C4">
        <w:rPr>
          <w:rFonts w:ascii="Arial" w:hAnsi="Arial" w:cs="Arial"/>
          <w:color w:val="000000" w:themeColor="text1"/>
          <w:lang w:val="es-ES"/>
        </w:rPr>
        <w:t xml:space="preserve"> la progresión de</w:t>
      </w:r>
      <w:r w:rsidR="0040387B">
        <w:rPr>
          <w:rFonts w:ascii="Arial" w:hAnsi="Arial" w:cs="Arial"/>
          <w:color w:val="000000" w:themeColor="text1"/>
          <w:lang w:val="es-ES"/>
        </w:rPr>
        <w:t xml:space="preserve"> los</w:t>
      </w:r>
      <w:r w:rsidRPr="008C11C4">
        <w:rPr>
          <w:rFonts w:ascii="Arial" w:hAnsi="Arial" w:cs="Arial"/>
          <w:color w:val="000000" w:themeColor="text1"/>
          <w:lang w:val="es-ES"/>
        </w:rPr>
        <w:t xml:space="preserve"> tres niveles que propone </w:t>
      </w:r>
      <w:r w:rsidR="0040387B">
        <w:rPr>
          <w:rFonts w:ascii="Arial" w:hAnsi="Arial" w:cs="Arial"/>
          <w:color w:val="000000" w:themeColor="text1"/>
          <w:lang w:val="es-ES"/>
        </w:rPr>
        <w:t xml:space="preserve">la </w:t>
      </w:r>
      <w:r w:rsidRPr="008C11C4">
        <w:rPr>
          <w:rFonts w:ascii="Arial" w:hAnsi="Arial" w:cs="Arial"/>
          <w:color w:val="000000" w:themeColor="text1"/>
          <w:lang w:val="es-ES"/>
        </w:rPr>
        <w:t>U</w:t>
      </w:r>
      <w:r w:rsidR="0040387B" w:rsidRPr="008C11C4">
        <w:rPr>
          <w:rFonts w:ascii="Arial" w:hAnsi="Arial" w:cs="Arial"/>
          <w:color w:val="000000" w:themeColor="text1"/>
          <w:lang w:val="es-ES"/>
        </w:rPr>
        <w:t>nesco</w:t>
      </w:r>
      <w:r w:rsidRPr="008C11C4">
        <w:rPr>
          <w:rFonts w:ascii="Arial" w:hAnsi="Arial" w:cs="Arial"/>
          <w:color w:val="000000" w:themeColor="text1"/>
          <w:lang w:val="es-ES"/>
        </w:rPr>
        <w:t xml:space="preserve"> (adquisición de conocimientos, profundización del conocimiento y creación de conocimientos)</w:t>
      </w:r>
      <w:r>
        <w:rPr>
          <w:rFonts w:ascii="Arial" w:hAnsi="Arial" w:cs="Arial"/>
          <w:color w:val="000000" w:themeColor="text1"/>
          <w:lang w:val="es-ES"/>
        </w:rPr>
        <w:t>.</w:t>
      </w:r>
      <w:r w:rsidRPr="002F6969">
        <w:rPr>
          <w:rFonts w:ascii="Arial" w:hAnsi="Arial" w:cs="Arial"/>
          <w:color w:val="000000" w:themeColor="text1"/>
        </w:rPr>
        <w:t xml:space="preserve"> </w:t>
      </w:r>
      <w:r w:rsidRPr="006C79D6">
        <w:rPr>
          <w:rFonts w:ascii="Arial" w:hAnsi="Arial" w:cs="Arial"/>
          <w:color w:val="000000" w:themeColor="text1"/>
        </w:rPr>
        <w:t xml:space="preserve">La adopción de tales directrices de formación continua permite alinear las competencias individuales con las prioridades institucionales y nacionales, </w:t>
      </w:r>
      <w:r w:rsidR="0040387B">
        <w:rPr>
          <w:rFonts w:ascii="Arial" w:hAnsi="Arial" w:cs="Arial"/>
          <w:color w:val="000000" w:themeColor="text1"/>
        </w:rPr>
        <w:t>lo cual asegura</w:t>
      </w:r>
      <w:r w:rsidR="0040387B" w:rsidRPr="006C79D6">
        <w:rPr>
          <w:rFonts w:ascii="Arial" w:hAnsi="Arial" w:cs="Arial"/>
          <w:color w:val="000000" w:themeColor="text1"/>
        </w:rPr>
        <w:t xml:space="preserve"> </w:t>
      </w:r>
      <w:r w:rsidRPr="006C79D6">
        <w:rPr>
          <w:rFonts w:ascii="Arial" w:hAnsi="Arial" w:cs="Arial"/>
          <w:color w:val="000000" w:themeColor="text1"/>
        </w:rPr>
        <w:t>que el desarrollo profesional responda a objetivos de largo plazo y no solo a necesidades inmediatas.</w:t>
      </w:r>
    </w:p>
    <w:p w14:paraId="4749B87B" w14:textId="7A458C9B"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Tercero, emergió con fuerza la necesidad de incluir dimensiones socioemocionales en los programas de desarrollo profesional, aspecto que antes estaba subestimado.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reveló que acompañar a</w:t>
      </w:r>
      <w:r w:rsidR="00396D34">
        <w:rPr>
          <w:rFonts w:ascii="Arial" w:hAnsi="Arial" w:cs="Arial"/>
          <w:color w:val="000000" w:themeColor="text1"/>
        </w:rPr>
        <w:t xml:space="preserve">l profesorado </w:t>
      </w:r>
      <w:r w:rsidRPr="006C79D6">
        <w:rPr>
          <w:rFonts w:ascii="Arial" w:hAnsi="Arial" w:cs="Arial"/>
          <w:color w:val="000000" w:themeColor="text1"/>
        </w:rPr>
        <w:t xml:space="preserve">en la adopción de nuevas tecnologías no puede limitarse </w:t>
      </w:r>
      <w:r w:rsidRPr="006C79D6">
        <w:rPr>
          <w:rFonts w:ascii="Arial" w:hAnsi="Arial" w:cs="Arial"/>
          <w:color w:val="000000" w:themeColor="text1"/>
        </w:rPr>
        <w:lastRenderedPageBreak/>
        <w:t xml:space="preserve">a aspectos técnicos o didácticos; </w:t>
      </w:r>
      <w:r w:rsidR="00396D34">
        <w:rPr>
          <w:rFonts w:ascii="Arial" w:hAnsi="Arial" w:cs="Arial"/>
          <w:color w:val="000000" w:themeColor="text1"/>
        </w:rPr>
        <w:t>además, resulta</w:t>
      </w:r>
      <w:r w:rsidR="00396D34" w:rsidRPr="006C79D6">
        <w:rPr>
          <w:rFonts w:ascii="Arial" w:hAnsi="Arial" w:cs="Arial"/>
          <w:color w:val="000000" w:themeColor="text1"/>
        </w:rPr>
        <w:t xml:space="preserve"> </w:t>
      </w:r>
      <w:r w:rsidRPr="006C79D6">
        <w:rPr>
          <w:rFonts w:ascii="Arial" w:hAnsi="Arial" w:cs="Arial"/>
          <w:color w:val="000000" w:themeColor="text1"/>
        </w:rPr>
        <w:t xml:space="preserve">igualmente importante brindar apoyo emocional, fomentar la empatía y crear redes de contención entre pares. Durante la crisis, </w:t>
      </w:r>
      <w:r w:rsidR="00396D34" w:rsidRPr="0427646F">
        <w:rPr>
          <w:rFonts w:ascii="Arial" w:hAnsi="Arial" w:cs="Arial"/>
          <w:color w:val="000000" w:themeColor="text1"/>
        </w:rPr>
        <w:t xml:space="preserve">personal </w:t>
      </w:r>
      <w:r w:rsidRPr="006C79D6">
        <w:rPr>
          <w:rFonts w:ascii="Arial" w:hAnsi="Arial" w:cs="Arial"/>
          <w:color w:val="000000" w:themeColor="text1"/>
        </w:rPr>
        <w:t xml:space="preserve">docente y </w:t>
      </w:r>
      <w:r w:rsidRPr="0427646F">
        <w:rPr>
          <w:rFonts w:ascii="Arial" w:hAnsi="Arial" w:cs="Arial"/>
          <w:color w:val="000000" w:themeColor="text1"/>
        </w:rPr>
        <w:t>directivo</w:t>
      </w:r>
      <w:r w:rsidRPr="006C79D6">
        <w:rPr>
          <w:rFonts w:ascii="Arial" w:hAnsi="Arial" w:cs="Arial"/>
          <w:color w:val="000000" w:themeColor="text1"/>
        </w:rPr>
        <w:t xml:space="preserve"> </w:t>
      </w:r>
      <w:r w:rsidR="00396D34" w:rsidRPr="006C79D6">
        <w:rPr>
          <w:rFonts w:ascii="Arial" w:hAnsi="Arial" w:cs="Arial"/>
          <w:color w:val="000000" w:themeColor="text1"/>
        </w:rPr>
        <w:t>enfrent</w:t>
      </w:r>
      <w:r w:rsidR="00396D34">
        <w:rPr>
          <w:rFonts w:ascii="Arial" w:hAnsi="Arial" w:cs="Arial"/>
          <w:color w:val="000000" w:themeColor="text1"/>
        </w:rPr>
        <w:t>ó</w:t>
      </w:r>
      <w:r w:rsidR="00396D34" w:rsidRPr="006C79D6">
        <w:rPr>
          <w:rFonts w:ascii="Arial" w:hAnsi="Arial" w:cs="Arial"/>
          <w:color w:val="000000" w:themeColor="text1"/>
        </w:rPr>
        <w:t xml:space="preserve"> </w:t>
      </w:r>
      <w:r w:rsidRPr="006C79D6">
        <w:rPr>
          <w:rFonts w:ascii="Arial" w:hAnsi="Arial" w:cs="Arial"/>
          <w:color w:val="000000" w:themeColor="text1"/>
        </w:rPr>
        <w:t xml:space="preserve">altos niveles de estrés, sobrecarga laboral y desafíos personales al adaptar sus cursos, una situación que puso de manifiesto la necesidad de reconocer las condiciones laborales y emocionales del </w:t>
      </w:r>
      <w:r w:rsidRPr="0427646F">
        <w:rPr>
          <w:rFonts w:ascii="Arial" w:hAnsi="Arial" w:cs="Arial"/>
          <w:color w:val="000000" w:themeColor="text1"/>
        </w:rPr>
        <w:t xml:space="preserve">personal </w:t>
      </w:r>
      <w:r w:rsidRPr="006C79D6">
        <w:rPr>
          <w:rFonts w:ascii="Arial" w:hAnsi="Arial" w:cs="Arial"/>
          <w:color w:val="000000" w:themeColor="text1"/>
        </w:rPr>
        <w:t>docente como factores clave en la implementación efectiva de innovaciones pedagógicas.</w:t>
      </w:r>
    </w:p>
    <w:p w14:paraId="72371C06" w14:textId="20413EC0"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Cuarto, el desarrollo profesional continuo debe ser mucho más flexible y personalizado para atender la diversidad de necesidades </w:t>
      </w:r>
      <w:r w:rsidR="00396D34">
        <w:rPr>
          <w:rFonts w:ascii="Arial" w:hAnsi="Arial" w:cs="Arial"/>
          <w:color w:val="000000" w:themeColor="text1"/>
        </w:rPr>
        <w:t>del profesorado</w:t>
      </w:r>
      <w:r w:rsidRPr="006C79D6">
        <w:rPr>
          <w:rFonts w:ascii="Arial" w:hAnsi="Arial" w:cs="Arial"/>
          <w:color w:val="000000" w:themeColor="text1"/>
        </w:rPr>
        <w:t xml:space="preserve">.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mostró que </w:t>
      </w:r>
      <w:r w:rsidRPr="0427646F">
        <w:rPr>
          <w:rFonts w:ascii="Arial" w:hAnsi="Arial" w:cs="Arial"/>
          <w:color w:val="000000" w:themeColor="text1"/>
        </w:rPr>
        <w:t>las personas</w:t>
      </w:r>
      <w:r w:rsidRPr="006C79D6">
        <w:rPr>
          <w:rFonts w:ascii="Arial" w:hAnsi="Arial" w:cs="Arial"/>
          <w:color w:val="000000" w:themeColor="text1"/>
        </w:rPr>
        <w:t xml:space="preserve"> docentes de la región tenían puntos de partida muy heterogéneos: </w:t>
      </w:r>
      <w:r w:rsidRPr="7BE36C92">
        <w:rPr>
          <w:rFonts w:ascii="Arial" w:hAnsi="Arial" w:cs="Arial"/>
          <w:color w:val="000000" w:themeColor="text1"/>
        </w:rPr>
        <w:t>algunas</w:t>
      </w:r>
      <w:r w:rsidRPr="006C79D6">
        <w:rPr>
          <w:rFonts w:ascii="Arial" w:hAnsi="Arial" w:cs="Arial"/>
          <w:color w:val="000000" w:themeColor="text1"/>
        </w:rPr>
        <w:t xml:space="preserve"> con experiencia previa en entornos virtuales y </w:t>
      </w:r>
      <w:r w:rsidRPr="4ABEFD0B">
        <w:rPr>
          <w:rFonts w:ascii="Arial" w:hAnsi="Arial" w:cs="Arial"/>
          <w:color w:val="000000" w:themeColor="text1"/>
        </w:rPr>
        <w:t>otras</w:t>
      </w:r>
      <w:r w:rsidRPr="006C79D6">
        <w:rPr>
          <w:rFonts w:ascii="Arial" w:hAnsi="Arial" w:cs="Arial"/>
          <w:color w:val="000000" w:themeColor="text1"/>
        </w:rPr>
        <w:t xml:space="preserve"> enfrentando</w:t>
      </w:r>
      <w:r w:rsidR="00396D34">
        <w:rPr>
          <w:rFonts w:ascii="Arial" w:hAnsi="Arial" w:cs="Arial"/>
          <w:color w:val="000000" w:themeColor="text1"/>
        </w:rPr>
        <w:t>,</w:t>
      </w:r>
      <w:r w:rsidRPr="006C79D6">
        <w:rPr>
          <w:rFonts w:ascii="Arial" w:hAnsi="Arial" w:cs="Arial"/>
          <w:color w:val="000000" w:themeColor="text1"/>
        </w:rPr>
        <w:t xml:space="preserve"> por primera vez</w:t>
      </w:r>
      <w:r w:rsidR="00396D34">
        <w:rPr>
          <w:rFonts w:ascii="Arial" w:hAnsi="Arial" w:cs="Arial"/>
          <w:color w:val="000000" w:themeColor="text1"/>
        </w:rPr>
        <w:t>,</w:t>
      </w:r>
      <w:r w:rsidRPr="006C79D6">
        <w:rPr>
          <w:rFonts w:ascii="Arial" w:hAnsi="Arial" w:cs="Arial"/>
          <w:color w:val="000000" w:themeColor="text1"/>
        </w:rPr>
        <w:t xml:space="preserve"> una videoconferencia. Esta variedad de caminos formativos (la autonomía en el aprendizaje) resultó ser un factor clave de éxito, pues </w:t>
      </w:r>
      <w:r w:rsidR="00090800">
        <w:rPr>
          <w:rFonts w:ascii="Arial" w:hAnsi="Arial" w:cs="Arial"/>
          <w:color w:val="000000" w:themeColor="text1"/>
        </w:rPr>
        <w:t>consideró</w:t>
      </w:r>
      <w:r w:rsidRPr="006C79D6">
        <w:rPr>
          <w:rFonts w:ascii="Arial" w:hAnsi="Arial" w:cs="Arial"/>
          <w:color w:val="000000" w:themeColor="text1"/>
        </w:rPr>
        <w:t xml:space="preserve"> las distintas necesidades y horarios </w:t>
      </w:r>
      <w:r w:rsidRPr="0427646F">
        <w:rPr>
          <w:rFonts w:ascii="Arial" w:hAnsi="Arial" w:cs="Arial"/>
          <w:color w:val="000000" w:themeColor="text1"/>
        </w:rPr>
        <w:t>del personal</w:t>
      </w:r>
      <w:r w:rsidRPr="006C79D6">
        <w:rPr>
          <w:rFonts w:ascii="Arial" w:hAnsi="Arial" w:cs="Arial"/>
          <w:color w:val="000000" w:themeColor="text1"/>
        </w:rPr>
        <w:t xml:space="preserve"> docente y propició una mayor participación. </w:t>
      </w:r>
      <w:r w:rsidRPr="008C11C4">
        <w:rPr>
          <w:rFonts w:ascii="Arial" w:hAnsi="Arial" w:cs="Arial"/>
          <w:color w:val="000000" w:themeColor="text1"/>
          <w:lang w:val="es-ES"/>
        </w:rPr>
        <w:t xml:space="preserve">Los datos de las figuras 1-7 confirman esta necesidad de diversificación: mientras algunos programas como el </w:t>
      </w:r>
      <w:proofErr w:type="spellStart"/>
      <w:r w:rsidRPr="008C11C4">
        <w:rPr>
          <w:rFonts w:ascii="Arial" w:hAnsi="Arial" w:cs="Arial"/>
          <w:i/>
          <w:iCs/>
          <w:color w:val="000000" w:themeColor="text1"/>
          <w:lang w:val="es-ES"/>
        </w:rPr>
        <w:t>Bootcamp</w:t>
      </w:r>
      <w:proofErr w:type="spellEnd"/>
      <w:r w:rsidRPr="008C11C4">
        <w:rPr>
          <w:rFonts w:ascii="Arial" w:hAnsi="Arial" w:cs="Arial"/>
          <w:color w:val="000000" w:themeColor="text1"/>
          <w:lang w:val="es-ES"/>
        </w:rPr>
        <w:t xml:space="preserve"> para diseño instruccional mantuvieron audiencias especializadas de 400-500 participantes, otros como el </w:t>
      </w:r>
      <w:r w:rsidRPr="008C11C4">
        <w:rPr>
          <w:rFonts w:ascii="Arial" w:hAnsi="Arial" w:cs="Arial"/>
          <w:i/>
          <w:iCs/>
          <w:color w:val="000000" w:themeColor="text1"/>
          <w:lang w:val="es-ES"/>
        </w:rPr>
        <w:t>Taller Express</w:t>
      </w:r>
      <w:r w:rsidRPr="008C11C4">
        <w:rPr>
          <w:rFonts w:ascii="Arial" w:hAnsi="Arial" w:cs="Arial"/>
          <w:color w:val="000000" w:themeColor="text1"/>
          <w:lang w:val="es-ES"/>
        </w:rPr>
        <w:t xml:space="preserve"> alcanzaron </w:t>
      </w:r>
      <w:r w:rsidR="00090800">
        <w:rPr>
          <w:rFonts w:ascii="Arial" w:hAnsi="Arial" w:cs="Arial"/>
          <w:color w:val="000000" w:themeColor="text1"/>
          <w:lang w:val="es-ES"/>
        </w:rPr>
        <w:t>a más de</w:t>
      </w:r>
      <w:r w:rsidRPr="008C11C4">
        <w:rPr>
          <w:rFonts w:ascii="Arial" w:hAnsi="Arial" w:cs="Arial"/>
          <w:color w:val="000000" w:themeColor="text1"/>
          <w:lang w:val="es-ES"/>
        </w:rPr>
        <w:t xml:space="preserve"> 1000</w:t>
      </w:r>
      <w:r w:rsidR="00090800">
        <w:rPr>
          <w:rFonts w:ascii="Arial" w:hAnsi="Arial" w:cs="Arial"/>
          <w:color w:val="000000" w:themeColor="text1"/>
          <w:lang w:val="es-ES"/>
        </w:rPr>
        <w:t xml:space="preserve"> personas; esto</w:t>
      </w:r>
      <w:r w:rsidRPr="008C11C4">
        <w:rPr>
          <w:rFonts w:ascii="Arial" w:hAnsi="Arial" w:cs="Arial"/>
          <w:color w:val="000000" w:themeColor="text1"/>
          <w:lang w:val="es-ES"/>
        </w:rPr>
        <w:t xml:space="preserve"> </w:t>
      </w:r>
      <w:r w:rsidR="00090800">
        <w:rPr>
          <w:rFonts w:ascii="Arial" w:hAnsi="Arial" w:cs="Arial"/>
          <w:color w:val="000000" w:themeColor="text1"/>
          <w:lang w:val="es-ES"/>
        </w:rPr>
        <w:t>demuestra</w:t>
      </w:r>
      <w:r w:rsidR="00090800" w:rsidRPr="008C11C4">
        <w:rPr>
          <w:rFonts w:ascii="Arial" w:hAnsi="Arial" w:cs="Arial"/>
          <w:color w:val="000000" w:themeColor="text1"/>
          <w:lang w:val="es-ES"/>
        </w:rPr>
        <w:t xml:space="preserve"> </w:t>
      </w:r>
      <w:r w:rsidRPr="008C11C4">
        <w:rPr>
          <w:rFonts w:ascii="Arial" w:hAnsi="Arial" w:cs="Arial"/>
          <w:color w:val="000000" w:themeColor="text1"/>
          <w:lang w:val="es-ES"/>
        </w:rPr>
        <w:t>que diferentes formatos responden a distintas necesidades formativas.</w:t>
      </w:r>
      <w:r w:rsidRPr="00337AF3">
        <w:rPr>
          <w:rFonts w:ascii="Arial" w:hAnsi="Arial" w:cs="Arial"/>
          <w:color w:val="000000" w:themeColor="text1"/>
        </w:rPr>
        <w:t xml:space="preserve"> </w:t>
      </w:r>
      <w:r w:rsidRPr="006C79D6">
        <w:rPr>
          <w:rFonts w:ascii="Arial" w:hAnsi="Arial" w:cs="Arial"/>
          <w:color w:val="000000" w:themeColor="text1"/>
        </w:rPr>
        <w:t xml:space="preserve">Asimismo, ofrecer la capacitación </w:t>
      </w:r>
      <w:proofErr w:type="spellStart"/>
      <w:r w:rsidRPr="00E0339D">
        <w:rPr>
          <w:rFonts w:ascii="Arial" w:hAnsi="Arial" w:cs="Arial"/>
          <w:i/>
          <w:iCs/>
          <w:color w:val="000000" w:themeColor="text1"/>
        </w:rPr>
        <w:t>just</w:t>
      </w:r>
      <w:proofErr w:type="spellEnd"/>
      <w:r w:rsidRPr="00E0339D">
        <w:rPr>
          <w:rFonts w:ascii="Arial" w:hAnsi="Arial" w:cs="Arial"/>
          <w:i/>
          <w:iCs/>
          <w:color w:val="000000" w:themeColor="text1"/>
        </w:rPr>
        <w:t>-</w:t>
      </w:r>
      <w:proofErr w:type="spellStart"/>
      <w:r w:rsidRPr="00E0339D">
        <w:rPr>
          <w:rFonts w:ascii="Arial" w:hAnsi="Arial" w:cs="Arial"/>
          <w:i/>
          <w:iCs/>
          <w:color w:val="000000" w:themeColor="text1"/>
        </w:rPr>
        <w:t>in-time</w:t>
      </w:r>
      <w:proofErr w:type="spellEnd"/>
      <w:r w:rsidRPr="006C79D6">
        <w:rPr>
          <w:rFonts w:ascii="Arial" w:hAnsi="Arial" w:cs="Arial"/>
          <w:color w:val="000000" w:themeColor="text1"/>
        </w:rPr>
        <w:t xml:space="preserve"> </w:t>
      </w:r>
      <w:r>
        <w:rPr>
          <w:rFonts w:ascii="Arial" w:hAnsi="Arial" w:cs="Arial"/>
          <w:color w:val="000000" w:themeColor="text1"/>
        </w:rPr>
        <w:t>–</w:t>
      </w:r>
      <w:r w:rsidRPr="006C79D6">
        <w:rPr>
          <w:rFonts w:ascii="Arial" w:hAnsi="Arial" w:cs="Arial"/>
          <w:color w:val="000000" w:themeColor="text1"/>
        </w:rPr>
        <w:t xml:space="preserve">por ejemplo, </w:t>
      </w:r>
      <w:r w:rsidR="00090800">
        <w:rPr>
          <w:rFonts w:ascii="Arial" w:hAnsi="Arial" w:cs="Arial"/>
          <w:color w:val="000000" w:themeColor="text1"/>
        </w:rPr>
        <w:t>al recurrir</w:t>
      </w:r>
      <w:r w:rsidR="00090800" w:rsidRPr="006C79D6">
        <w:rPr>
          <w:rFonts w:ascii="Arial" w:hAnsi="Arial" w:cs="Arial"/>
          <w:color w:val="000000" w:themeColor="text1"/>
        </w:rPr>
        <w:t xml:space="preserve"> </w:t>
      </w:r>
      <w:r w:rsidRPr="006C79D6">
        <w:rPr>
          <w:rFonts w:ascii="Arial" w:hAnsi="Arial" w:cs="Arial"/>
          <w:color w:val="000000" w:themeColor="text1"/>
        </w:rPr>
        <w:t xml:space="preserve">a </w:t>
      </w:r>
      <w:proofErr w:type="spellStart"/>
      <w:r w:rsidRPr="006C79D6">
        <w:rPr>
          <w:rFonts w:ascii="Arial" w:hAnsi="Arial" w:cs="Arial"/>
          <w:color w:val="000000" w:themeColor="text1"/>
        </w:rPr>
        <w:t>microcapacitaciones</w:t>
      </w:r>
      <w:proofErr w:type="spellEnd"/>
      <w:r w:rsidRPr="006C79D6">
        <w:rPr>
          <w:rFonts w:ascii="Arial" w:hAnsi="Arial" w:cs="Arial"/>
          <w:color w:val="000000" w:themeColor="text1"/>
        </w:rPr>
        <w:t xml:space="preserve"> sobre herramientas o metodologías específicas cuando </w:t>
      </w:r>
      <w:r w:rsidRPr="0427646F">
        <w:rPr>
          <w:rFonts w:ascii="Arial" w:hAnsi="Arial" w:cs="Arial"/>
          <w:color w:val="000000" w:themeColor="text1"/>
        </w:rPr>
        <w:t>la persona</w:t>
      </w:r>
      <w:r w:rsidRPr="006C79D6">
        <w:rPr>
          <w:rFonts w:ascii="Arial" w:hAnsi="Arial" w:cs="Arial"/>
          <w:color w:val="000000" w:themeColor="text1"/>
        </w:rPr>
        <w:t xml:space="preserve"> docente necesita implementarlas</w:t>
      </w:r>
      <w:r>
        <w:rPr>
          <w:rFonts w:ascii="Arial" w:hAnsi="Arial" w:cs="Arial"/>
          <w:color w:val="000000" w:themeColor="text1"/>
        </w:rPr>
        <w:t>–</w:t>
      </w:r>
      <w:r w:rsidRPr="006C79D6">
        <w:rPr>
          <w:rFonts w:ascii="Arial" w:hAnsi="Arial" w:cs="Arial"/>
          <w:color w:val="000000" w:themeColor="text1"/>
        </w:rPr>
        <w:t xml:space="preserve"> demostró ser más efectivo que formaciones extensas desconectadas de la práctica cotidiana.</w:t>
      </w:r>
    </w:p>
    <w:p w14:paraId="473B0E1C" w14:textId="77777777"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Quinto, las insignias digitales abiertas (Porto, 2015) demostraron ser una herramienta valiosa para el reconocimiento de las competencias adquiridas en las distintas actividades realizadas </w:t>
      </w:r>
      <w:r w:rsidRPr="006C79D6">
        <w:rPr>
          <w:rFonts w:ascii="Arial" w:hAnsi="Arial" w:cs="Arial"/>
          <w:color w:val="000000" w:themeColor="text1"/>
        </w:rPr>
        <w:lastRenderedPageBreak/>
        <w:t xml:space="preserve">dentro de la iniciativa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Estas credenciales no solo hacen visible la participación en diversas experiencias de aprendizaje, sino que también sirven como elemento motivador y han introducido un concepto de reconocimiento flexible que resultó novedoso para esta audiencia.</w:t>
      </w:r>
    </w:p>
    <w:p w14:paraId="3F9932A5" w14:textId="5A4E50DE" w:rsidR="004F7551"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Finalmente, en los últimos años </w:t>
      </w:r>
      <w:r w:rsidR="004B7C05">
        <w:rPr>
          <w:rFonts w:ascii="Arial" w:hAnsi="Arial" w:cs="Arial"/>
          <w:color w:val="000000" w:themeColor="text1"/>
        </w:rPr>
        <w:t>emergió la idea de</w:t>
      </w:r>
      <w:r w:rsidRPr="006C79D6">
        <w:rPr>
          <w:rFonts w:ascii="Arial" w:hAnsi="Arial" w:cs="Arial"/>
          <w:color w:val="000000" w:themeColor="text1"/>
        </w:rPr>
        <w:t xml:space="preserve"> que la educación en línea y la presencial se complementan dentro de una oferta educativa diversa, </w:t>
      </w:r>
      <w:r w:rsidR="004B7C05">
        <w:rPr>
          <w:rFonts w:ascii="Arial" w:hAnsi="Arial" w:cs="Arial"/>
          <w:color w:val="000000" w:themeColor="text1"/>
        </w:rPr>
        <w:t>en respuesta</w:t>
      </w:r>
      <w:r w:rsidR="004B7C05" w:rsidRPr="006C79D6">
        <w:rPr>
          <w:rFonts w:ascii="Arial" w:hAnsi="Arial" w:cs="Arial"/>
          <w:color w:val="000000" w:themeColor="text1"/>
        </w:rPr>
        <w:t xml:space="preserve"> </w:t>
      </w:r>
      <w:r w:rsidRPr="006C79D6">
        <w:rPr>
          <w:rFonts w:ascii="Arial" w:hAnsi="Arial" w:cs="Arial"/>
          <w:color w:val="000000" w:themeColor="text1"/>
        </w:rPr>
        <w:t xml:space="preserve">a necesidades, contextos y trayectorias estudiantiles diferentes. Mientras que la modalidad presencial facilita la construcción de vínculos y una dimensión comunitaria, la educación en línea amplía el acceso para quienes no pueden asistir físicamente. Este entendimiento influye </w:t>
      </w:r>
      <w:r w:rsidR="004B7C05">
        <w:rPr>
          <w:rFonts w:ascii="Arial" w:hAnsi="Arial" w:cs="Arial"/>
          <w:color w:val="000000" w:themeColor="text1"/>
        </w:rPr>
        <w:t>de forma directa</w:t>
      </w:r>
      <w:r w:rsidR="004B7C05" w:rsidRPr="006C79D6">
        <w:rPr>
          <w:rFonts w:ascii="Arial" w:hAnsi="Arial" w:cs="Arial"/>
          <w:color w:val="000000" w:themeColor="text1"/>
        </w:rPr>
        <w:t xml:space="preserve"> </w:t>
      </w:r>
      <w:r w:rsidRPr="006C79D6">
        <w:rPr>
          <w:rFonts w:ascii="Arial" w:hAnsi="Arial" w:cs="Arial"/>
          <w:color w:val="000000" w:themeColor="text1"/>
        </w:rPr>
        <w:t xml:space="preserve">en el desarrollo profesional: </w:t>
      </w:r>
      <w:r w:rsidRPr="0427646F">
        <w:rPr>
          <w:rFonts w:ascii="Arial" w:hAnsi="Arial" w:cs="Arial"/>
          <w:color w:val="000000" w:themeColor="text1"/>
        </w:rPr>
        <w:t>las personas</w:t>
      </w:r>
      <w:r w:rsidRPr="006C79D6">
        <w:rPr>
          <w:rFonts w:ascii="Arial" w:hAnsi="Arial" w:cs="Arial"/>
          <w:color w:val="000000" w:themeColor="text1"/>
        </w:rPr>
        <w:t xml:space="preserve"> docentes requieren formarse para diseñar experiencias de calidad en cualquier modalidad, </w:t>
      </w:r>
      <w:r w:rsidR="004B7C05">
        <w:rPr>
          <w:rFonts w:ascii="Arial" w:hAnsi="Arial" w:cs="Arial"/>
          <w:color w:val="000000" w:themeColor="text1"/>
        </w:rPr>
        <w:t>siempre y cuando</w:t>
      </w:r>
      <w:r w:rsidR="004B7C05" w:rsidRPr="006C79D6">
        <w:rPr>
          <w:rFonts w:ascii="Arial" w:hAnsi="Arial" w:cs="Arial"/>
          <w:color w:val="000000" w:themeColor="text1"/>
        </w:rPr>
        <w:t xml:space="preserve"> </w:t>
      </w:r>
      <w:r w:rsidRPr="006C79D6">
        <w:rPr>
          <w:rFonts w:ascii="Arial" w:hAnsi="Arial" w:cs="Arial"/>
          <w:color w:val="000000" w:themeColor="text1"/>
        </w:rPr>
        <w:t>respondan a las condiciones reales del estudiantado sin limitarse a replicar modelos tradicionales.</w:t>
      </w:r>
    </w:p>
    <w:p w14:paraId="7338C20C" w14:textId="4AF4083F"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Las acciones desplegadas en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han modificado sustancialmente </w:t>
      </w:r>
      <w:r w:rsidR="004B7C05">
        <w:rPr>
          <w:rFonts w:ascii="Arial" w:hAnsi="Arial" w:cs="Arial"/>
          <w:color w:val="000000" w:themeColor="text1"/>
        </w:rPr>
        <w:t>la</w:t>
      </w:r>
      <w:r w:rsidR="004B7C05" w:rsidRPr="006C79D6">
        <w:rPr>
          <w:rFonts w:ascii="Arial" w:hAnsi="Arial" w:cs="Arial"/>
          <w:color w:val="000000" w:themeColor="text1"/>
        </w:rPr>
        <w:t xml:space="preserve"> </w:t>
      </w:r>
      <w:r w:rsidRPr="006C79D6">
        <w:rPr>
          <w:rFonts w:ascii="Arial" w:hAnsi="Arial" w:cs="Arial"/>
          <w:color w:val="000000" w:themeColor="text1"/>
        </w:rPr>
        <w:t xml:space="preserve">percepción de cuáles son los formatos, </w:t>
      </w:r>
      <w:r w:rsidR="004B7C05">
        <w:rPr>
          <w:rFonts w:ascii="Arial" w:hAnsi="Arial" w:cs="Arial"/>
          <w:color w:val="000000" w:themeColor="text1"/>
        </w:rPr>
        <w:t xml:space="preserve">las </w:t>
      </w:r>
      <w:r w:rsidRPr="006C79D6">
        <w:rPr>
          <w:rFonts w:ascii="Arial" w:hAnsi="Arial" w:cs="Arial"/>
          <w:color w:val="000000" w:themeColor="text1"/>
        </w:rPr>
        <w:t xml:space="preserve">modalidades y </w:t>
      </w:r>
      <w:r w:rsidR="004B7C05">
        <w:rPr>
          <w:rFonts w:ascii="Arial" w:hAnsi="Arial" w:cs="Arial"/>
          <w:color w:val="000000" w:themeColor="text1"/>
        </w:rPr>
        <w:t xml:space="preserve">los </w:t>
      </w:r>
      <w:r w:rsidRPr="006C79D6">
        <w:rPr>
          <w:rFonts w:ascii="Arial" w:hAnsi="Arial" w:cs="Arial"/>
          <w:color w:val="000000" w:themeColor="text1"/>
        </w:rPr>
        <w:t xml:space="preserve">contenidos más adecuados para la formación continua de docentes y </w:t>
      </w:r>
      <w:r w:rsidRPr="0427646F">
        <w:rPr>
          <w:rFonts w:ascii="Arial" w:hAnsi="Arial" w:cs="Arial"/>
          <w:color w:val="000000" w:themeColor="text1"/>
        </w:rPr>
        <w:t xml:space="preserve">personal </w:t>
      </w:r>
      <w:r w:rsidRPr="006C79D6">
        <w:rPr>
          <w:rFonts w:ascii="Arial" w:hAnsi="Arial" w:cs="Arial"/>
          <w:color w:val="000000" w:themeColor="text1"/>
        </w:rPr>
        <w:t>directivo a futuro.</w:t>
      </w:r>
    </w:p>
    <w:p w14:paraId="4B9837BA" w14:textId="4D8F384A" w:rsidR="00900565"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w:t>
      </w:r>
      <w:r w:rsidR="004B7C05">
        <w:rPr>
          <w:rFonts w:ascii="Arial" w:hAnsi="Arial" w:cs="Arial"/>
          <w:color w:val="000000" w:themeColor="text1"/>
        </w:rPr>
        <w:t xml:space="preserve">el </w:t>
      </w:r>
      <w:r w:rsidRPr="006C79D6">
        <w:rPr>
          <w:rFonts w:ascii="Arial" w:hAnsi="Arial" w:cs="Arial"/>
          <w:color w:val="000000" w:themeColor="text1"/>
        </w:rPr>
        <w:t xml:space="preserve">2020, la formación de emergencia se centró en capacitaciones breves y utilitarias, bajo la premisa de enseñar lo básico rápidamente. Si bien esas acciones paliativas fueron necesarias, hoy </w:t>
      </w:r>
      <w:r w:rsidR="00A033D2">
        <w:rPr>
          <w:rFonts w:ascii="Arial" w:hAnsi="Arial" w:cs="Arial"/>
          <w:color w:val="000000" w:themeColor="text1"/>
        </w:rPr>
        <w:t>se observan</w:t>
      </w:r>
      <w:r w:rsidR="00A033D2" w:rsidRPr="006C79D6">
        <w:rPr>
          <w:rFonts w:ascii="Arial" w:hAnsi="Arial" w:cs="Arial"/>
          <w:color w:val="000000" w:themeColor="text1"/>
        </w:rPr>
        <w:t xml:space="preserve"> </w:t>
      </w:r>
      <w:r w:rsidRPr="006C79D6">
        <w:rPr>
          <w:rFonts w:ascii="Arial" w:hAnsi="Arial" w:cs="Arial"/>
          <w:color w:val="000000" w:themeColor="text1"/>
        </w:rPr>
        <w:t>con mirada crítica los elementos metodológicos que funcionaron</w:t>
      </w:r>
      <w:r w:rsidR="00A033D2">
        <w:rPr>
          <w:rFonts w:ascii="Arial" w:hAnsi="Arial" w:cs="Arial"/>
          <w:color w:val="000000" w:themeColor="text1"/>
        </w:rPr>
        <w:t xml:space="preserve"> en realidad</w:t>
      </w:r>
      <w:r w:rsidRPr="006C79D6">
        <w:rPr>
          <w:rFonts w:ascii="Arial" w:hAnsi="Arial" w:cs="Arial"/>
          <w:color w:val="000000" w:themeColor="text1"/>
        </w:rPr>
        <w:t>, así como aquellos que deben mejorarse para la educación continua del futuro.</w:t>
      </w:r>
    </w:p>
    <w:p w14:paraId="7DCC919A" w14:textId="77777777" w:rsidR="008311A4" w:rsidRDefault="008311A4" w:rsidP="00656C84">
      <w:pPr>
        <w:spacing w:after="240" w:line="360" w:lineRule="auto"/>
        <w:jc w:val="both"/>
        <w:rPr>
          <w:rFonts w:ascii="Arial" w:hAnsi="Arial" w:cs="Arial"/>
          <w:b/>
          <w:bCs/>
          <w:iCs/>
          <w:color w:val="000000" w:themeColor="text1"/>
        </w:rPr>
      </w:pPr>
    </w:p>
    <w:p w14:paraId="44FDF2B5" w14:textId="7A6E8AB7" w:rsidR="00DA7154" w:rsidRPr="00B1737D" w:rsidRDefault="004F7551" w:rsidP="00656C84">
      <w:pPr>
        <w:spacing w:after="240" w:line="360" w:lineRule="auto"/>
        <w:jc w:val="both"/>
        <w:rPr>
          <w:rFonts w:ascii="Arial" w:hAnsi="Arial" w:cs="Arial"/>
          <w:b/>
          <w:bCs/>
          <w:iCs/>
          <w:color w:val="000000" w:themeColor="text1"/>
        </w:rPr>
      </w:pPr>
      <w:bookmarkStart w:id="4" w:name="_GoBack"/>
      <w:bookmarkEnd w:id="4"/>
      <w:r w:rsidRPr="00B1737D">
        <w:rPr>
          <w:rFonts w:ascii="Arial" w:hAnsi="Arial" w:cs="Arial"/>
          <w:b/>
          <w:bCs/>
          <w:iCs/>
          <w:color w:val="000000" w:themeColor="text1"/>
        </w:rPr>
        <w:lastRenderedPageBreak/>
        <w:t>Diversificación de formatos y vías de aprendizaje</w:t>
      </w:r>
    </w:p>
    <w:p w14:paraId="7265EBEF" w14:textId="6FBC2DF2" w:rsidR="004F7551" w:rsidRPr="00DA7154" w:rsidRDefault="004F7551" w:rsidP="00656C84">
      <w:pPr>
        <w:spacing w:after="240" w:line="360" w:lineRule="auto"/>
        <w:jc w:val="both"/>
        <w:rPr>
          <w:rFonts w:ascii="Arial" w:hAnsi="Arial" w:cs="Arial"/>
          <w:i/>
          <w:color w:val="000000" w:themeColor="text1"/>
        </w:rPr>
      </w:pPr>
      <w:r w:rsidRPr="006C79D6">
        <w:rPr>
          <w:rFonts w:ascii="Arial" w:hAnsi="Arial" w:cs="Arial"/>
          <w:color w:val="000000" w:themeColor="text1"/>
        </w:rPr>
        <w:t xml:space="preserve">Una de las lecciones más claras es que no existe un único formato </w:t>
      </w:r>
      <w:r>
        <w:rPr>
          <w:rFonts w:ascii="Arial" w:hAnsi="Arial" w:cs="Arial"/>
          <w:color w:val="000000" w:themeColor="text1"/>
        </w:rPr>
        <w:t>“</w:t>
      </w:r>
      <w:r w:rsidRPr="006C79D6">
        <w:rPr>
          <w:rFonts w:ascii="Arial" w:hAnsi="Arial" w:cs="Arial"/>
          <w:color w:val="000000" w:themeColor="text1"/>
        </w:rPr>
        <w:t>mágico</w:t>
      </w:r>
      <w:r>
        <w:rPr>
          <w:rFonts w:ascii="Arial" w:hAnsi="Arial" w:cs="Arial"/>
          <w:color w:val="000000" w:themeColor="text1"/>
        </w:rPr>
        <w:t>”</w:t>
      </w:r>
      <w:r w:rsidRPr="006C79D6">
        <w:rPr>
          <w:rFonts w:ascii="Arial" w:hAnsi="Arial" w:cs="Arial"/>
          <w:color w:val="000000" w:themeColor="text1"/>
        </w:rPr>
        <w:t xml:space="preserve"> para capacitar a </w:t>
      </w:r>
      <w:r w:rsidRPr="0427646F">
        <w:rPr>
          <w:rFonts w:ascii="Arial" w:hAnsi="Arial" w:cs="Arial"/>
          <w:color w:val="000000" w:themeColor="text1"/>
        </w:rPr>
        <w:t>las personas</w:t>
      </w:r>
      <w:r w:rsidRPr="006C79D6">
        <w:rPr>
          <w:rFonts w:ascii="Arial" w:hAnsi="Arial" w:cs="Arial"/>
          <w:color w:val="000000" w:themeColor="text1"/>
        </w:rPr>
        <w:t xml:space="preserve"> docentes, sino que la combinación de múltiples </w:t>
      </w:r>
      <w:r w:rsidR="00A033D2">
        <w:rPr>
          <w:rFonts w:ascii="Arial" w:hAnsi="Arial" w:cs="Arial"/>
          <w:color w:val="000000" w:themeColor="text1"/>
        </w:rPr>
        <w:t>estrategias</w:t>
      </w:r>
      <w:r w:rsidR="00A033D2" w:rsidRPr="006C79D6">
        <w:rPr>
          <w:rFonts w:ascii="Arial" w:hAnsi="Arial" w:cs="Arial"/>
          <w:color w:val="000000" w:themeColor="text1"/>
        </w:rPr>
        <w:t xml:space="preserve"> </w:t>
      </w:r>
      <w:r w:rsidRPr="006C79D6">
        <w:rPr>
          <w:rFonts w:ascii="Arial" w:hAnsi="Arial" w:cs="Arial"/>
          <w:color w:val="000000" w:themeColor="text1"/>
        </w:rPr>
        <w:t xml:space="preserve">es lo que ofrece mejores resultados. </w:t>
      </w:r>
      <w:r w:rsidR="00A033D2">
        <w:rPr>
          <w:rFonts w:ascii="Arial" w:hAnsi="Arial" w:cs="Arial"/>
          <w:color w:val="000000" w:themeColor="text1"/>
        </w:rPr>
        <w:t>D</w:t>
      </w:r>
      <w:r w:rsidRPr="006C79D6">
        <w:rPr>
          <w:rFonts w:ascii="Arial" w:hAnsi="Arial" w:cs="Arial"/>
          <w:color w:val="000000" w:themeColor="text1"/>
        </w:rPr>
        <w:t>esde el inicio</w:t>
      </w:r>
      <w:r w:rsidR="00A033D2">
        <w:rPr>
          <w:rFonts w:ascii="Arial" w:hAnsi="Arial" w:cs="Arial"/>
          <w:color w:val="000000" w:themeColor="text1"/>
        </w:rPr>
        <w:t>,</w:t>
      </w:r>
      <w:r w:rsidRPr="006C79D6">
        <w:rPr>
          <w:rFonts w:ascii="Arial" w:hAnsi="Arial" w:cs="Arial"/>
          <w:color w:val="000000" w:themeColor="text1"/>
        </w:rPr>
        <w:t xml:space="preserve"> </w:t>
      </w:r>
      <w:proofErr w:type="spellStart"/>
      <w:r w:rsidR="00A033D2" w:rsidRPr="00E0339D">
        <w:rPr>
          <w:rFonts w:ascii="Arial" w:hAnsi="Arial" w:cs="Arial"/>
          <w:i/>
          <w:iCs/>
          <w:color w:val="000000" w:themeColor="text1"/>
        </w:rPr>
        <w:t>Movingonline</w:t>
      </w:r>
      <w:proofErr w:type="spellEnd"/>
      <w:r w:rsidR="00A033D2" w:rsidRPr="006C79D6">
        <w:rPr>
          <w:rFonts w:ascii="Arial" w:hAnsi="Arial" w:cs="Arial"/>
          <w:color w:val="000000" w:themeColor="text1"/>
        </w:rPr>
        <w:t xml:space="preserve"> adoptó </w:t>
      </w:r>
      <w:r w:rsidRPr="006C79D6">
        <w:rPr>
          <w:rFonts w:ascii="Arial" w:hAnsi="Arial" w:cs="Arial"/>
          <w:color w:val="000000" w:themeColor="text1"/>
        </w:rPr>
        <w:t xml:space="preserve">un enfoque multimodal: se organizaron webinarios abiertos para difundir ideas y motivar cambios de paradigma; se impartieron cursos estructurados (como un </w:t>
      </w:r>
      <w:proofErr w:type="spellStart"/>
      <w:r w:rsidRPr="00E0339D">
        <w:rPr>
          <w:rFonts w:ascii="Arial" w:hAnsi="Arial" w:cs="Arial"/>
          <w:i/>
          <w:iCs/>
          <w:color w:val="000000" w:themeColor="text1"/>
        </w:rPr>
        <w:t>bootcamp</w:t>
      </w:r>
      <w:proofErr w:type="spellEnd"/>
      <w:r w:rsidRPr="006C79D6">
        <w:rPr>
          <w:rFonts w:ascii="Arial" w:hAnsi="Arial" w:cs="Arial"/>
          <w:color w:val="000000" w:themeColor="text1"/>
        </w:rPr>
        <w:t xml:space="preserve">) para enseñar de manera más sistemática el diseño de cursos en línea y se habilitó un </w:t>
      </w:r>
      <w:r w:rsidRPr="00E0339D">
        <w:rPr>
          <w:rFonts w:ascii="Arial" w:hAnsi="Arial" w:cs="Arial"/>
          <w:i/>
          <w:iCs/>
          <w:color w:val="000000" w:themeColor="text1"/>
        </w:rPr>
        <w:t>foro virtual</w:t>
      </w:r>
      <w:r w:rsidRPr="006C79D6">
        <w:rPr>
          <w:rFonts w:ascii="Arial" w:hAnsi="Arial" w:cs="Arial"/>
          <w:color w:val="000000" w:themeColor="text1"/>
        </w:rPr>
        <w:t xml:space="preserve"> para consultas y discusión entre pares.</w:t>
      </w:r>
    </w:p>
    <w:p w14:paraId="1C43BD1C" w14:textId="76CC72F3" w:rsidR="00900565"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Esta estrategia de formación escalonada mostró efectos sinérgicos. Por un lado, los webinarios </w:t>
      </w:r>
      <w:r>
        <w:rPr>
          <w:rFonts w:ascii="Arial" w:hAnsi="Arial" w:cs="Arial"/>
          <w:color w:val="000000" w:themeColor="text1"/>
        </w:rPr>
        <w:t>–</w:t>
      </w:r>
      <w:r w:rsidRPr="006C79D6">
        <w:rPr>
          <w:rFonts w:ascii="Arial" w:hAnsi="Arial" w:cs="Arial"/>
          <w:color w:val="000000" w:themeColor="text1"/>
        </w:rPr>
        <w:t>abiertos a cientos de participantes</w:t>
      </w:r>
      <w:r>
        <w:rPr>
          <w:rFonts w:ascii="Arial" w:hAnsi="Arial" w:cs="Arial"/>
          <w:color w:val="000000" w:themeColor="text1"/>
        </w:rPr>
        <w:t>–</w:t>
      </w:r>
      <w:r w:rsidRPr="006C79D6">
        <w:rPr>
          <w:rFonts w:ascii="Arial" w:hAnsi="Arial" w:cs="Arial"/>
          <w:color w:val="000000" w:themeColor="text1"/>
        </w:rPr>
        <w:t xml:space="preserve"> lograron sensibilizar rápidamente a la audiencia sobre temas clave. Estos eventos cortos generaron enseguida un sentido de comunidad y sirvieron como </w:t>
      </w:r>
      <w:r w:rsidR="00A033D2">
        <w:rPr>
          <w:rFonts w:ascii="Arial" w:hAnsi="Arial" w:cs="Arial"/>
          <w:color w:val="000000" w:themeColor="text1"/>
        </w:rPr>
        <w:t>“</w:t>
      </w:r>
      <w:r w:rsidRPr="006C79D6">
        <w:rPr>
          <w:rFonts w:ascii="Arial" w:hAnsi="Arial" w:cs="Arial"/>
          <w:color w:val="000000" w:themeColor="text1"/>
        </w:rPr>
        <w:t>puerta de entrada</w:t>
      </w:r>
      <w:r w:rsidR="00A033D2">
        <w:rPr>
          <w:rFonts w:ascii="Arial" w:hAnsi="Arial" w:cs="Arial"/>
          <w:color w:val="000000" w:themeColor="text1"/>
        </w:rPr>
        <w:t>”</w:t>
      </w:r>
      <w:r w:rsidRPr="006C79D6">
        <w:rPr>
          <w:rFonts w:ascii="Arial" w:hAnsi="Arial" w:cs="Arial"/>
          <w:color w:val="000000" w:themeColor="text1"/>
        </w:rPr>
        <w:t xml:space="preserve">, </w:t>
      </w:r>
      <w:r w:rsidR="00A033D2">
        <w:rPr>
          <w:rFonts w:ascii="Arial" w:hAnsi="Arial" w:cs="Arial"/>
          <w:color w:val="000000" w:themeColor="text1"/>
        </w:rPr>
        <w:t>inspiraron</w:t>
      </w:r>
      <w:r w:rsidR="00A033D2" w:rsidRPr="006C79D6">
        <w:rPr>
          <w:rFonts w:ascii="Arial" w:hAnsi="Arial" w:cs="Arial"/>
          <w:color w:val="000000" w:themeColor="text1"/>
        </w:rPr>
        <w:t xml:space="preserve"> </w:t>
      </w:r>
      <w:r w:rsidRPr="006C79D6">
        <w:rPr>
          <w:rFonts w:ascii="Arial" w:hAnsi="Arial" w:cs="Arial"/>
          <w:color w:val="000000" w:themeColor="text1"/>
        </w:rPr>
        <w:t xml:space="preserve">a </w:t>
      </w:r>
      <w:r w:rsidRPr="0427646F">
        <w:rPr>
          <w:rFonts w:ascii="Arial" w:hAnsi="Arial" w:cs="Arial"/>
          <w:color w:val="000000" w:themeColor="text1"/>
        </w:rPr>
        <w:t>muchas personas</w:t>
      </w:r>
      <w:r w:rsidRPr="006C79D6">
        <w:rPr>
          <w:rFonts w:ascii="Arial" w:hAnsi="Arial" w:cs="Arial"/>
          <w:color w:val="000000" w:themeColor="text1"/>
        </w:rPr>
        <w:t xml:space="preserve"> docentes a profundizar. Por otro lado, </w:t>
      </w:r>
      <w:r w:rsidRPr="0427646F">
        <w:rPr>
          <w:rFonts w:ascii="Arial" w:hAnsi="Arial" w:cs="Arial"/>
          <w:color w:val="000000" w:themeColor="text1"/>
        </w:rPr>
        <w:t>quienes en su rol educativo</w:t>
      </w:r>
      <w:r w:rsidRPr="006C79D6">
        <w:rPr>
          <w:rFonts w:ascii="Arial" w:hAnsi="Arial" w:cs="Arial"/>
          <w:color w:val="000000" w:themeColor="text1"/>
        </w:rPr>
        <w:t xml:space="preserve"> requerían desarrollar habilidades más prácticas o particulares pudieron inscribirse en talleres y cursos de larga duración, en los </w:t>
      </w:r>
      <w:r w:rsidR="00A033D2">
        <w:rPr>
          <w:rFonts w:ascii="Arial" w:hAnsi="Arial" w:cs="Arial"/>
          <w:color w:val="000000" w:themeColor="text1"/>
        </w:rPr>
        <w:t>cuales</w:t>
      </w:r>
      <w:r w:rsidR="00A033D2" w:rsidRPr="006C79D6">
        <w:rPr>
          <w:rFonts w:ascii="Arial" w:hAnsi="Arial" w:cs="Arial"/>
          <w:color w:val="000000" w:themeColor="text1"/>
        </w:rPr>
        <w:t xml:space="preserve"> </w:t>
      </w:r>
      <w:r w:rsidRPr="006C79D6">
        <w:rPr>
          <w:rFonts w:ascii="Arial" w:hAnsi="Arial" w:cs="Arial"/>
          <w:color w:val="000000" w:themeColor="text1"/>
        </w:rPr>
        <w:t>se estudiaban contenidos paso a paso, con actividades aplicadas y retroalimentación personalizada. Esta lección apunta a que la formación continua eficaz debe concebirse como un ecosistema de oportunidades de aprendizaje, más que como un evento aislado.</w:t>
      </w:r>
    </w:p>
    <w:p w14:paraId="6DBA90D1" w14:textId="77777777" w:rsidR="004F7551" w:rsidRPr="00EB15E0" w:rsidRDefault="004F7551" w:rsidP="00656C84">
      <w:pPr>
        <w:spacing w:after="240" w:line="360" w:lineRule="auto"/>
        <w:jc w:val="both"/>
        <w:rPr>
          <w:rFonts w:ascii="Arial" w:hAnsi="Arial" w:cs="Arial"/>
          <w:b/>
          <w:bCs/>
          <w:iCs/>
          <w:color w:val="000000" w:themeColor="text1"/>
        </w:rPr>
      </w:pPr>
      <w:r w:rsidRPr="00EB15E0">
        <w:rPr>
          <w:rFonts w:ascii="Arial" w:hAnsi="Arial" w:cs="Arial"/>
          <w:b/>
          <w:bCs/>
          <w:iCs/>
          <w:color w:val="000000" w:themeColor="text1"/>
        </w:rPr>
        <w:t>El papel renovado de la interacción sincrónica</w:t>
      </w:r>
    </w:p>
    <w:p w14:paraId="2952A43A" w14:textId="038B5CE6"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Paradójicamente, algo que cambió en </w:t>
      </w:r>
      <w:r w:rsidR="00660946">
        <w:rPr>
          <w:rFonts w:ascii="Arial" w:hAnsi="Arial" w:cs="Arial"/>
          <w:color w:val="000000" w:themeColor="text1"/>
        </w:rPr>
        <w:t>las</w:t>
      </w:r>
      <w:r w:rsidR="00660946" w:rsidRPr="006C79D6">
        <w:rPr>
          <w:rFonts w:ascii="Arial" w:hAnsi="Arial" w:cs="Arial"/>
          <w:color w:val="000000" w:themeColor="text1"/>
        </w:rPr>
        <w:t xml:space="preserve"> </w:t>
      </w:r>
      <w:r w:rsidRPr="006C79D6">
        <w:rPr>
          <w:rFonts w:ascii="Arial" w:hAnsi="Arial" w:cs="Arial"/>
          <w:color w:val="000000" w:themeColor="text1"/>
        </w:rPr>
        <w:t>observaciones es el reconocimiento del valor de lo sincrónico en la formación docente, siempre y cuando se use estratégicamente. Antes de</w:t>
      </w:r>
      <w:r w:rsidR="00846614">
        <w:rPr>
          <w:rFonts w:ascii="Arial" w:hAnsi="Arial" w:cs="Arial"/>
          <w:color w:val="000000" w:themeColor="text1"/>
        </w:rPr>
        <w:t>l</w:t>
      </w:r>
      <w:r w:rsidRPr="006C79D6">
        <w:rPr>
          <w:rFonts w:ascii="Arial" w:hAnsi="Arial" w:cs="Arial"/>
          <w:color w:val="000000" w:themeColor="text1"/>
        </w:rPr>
        <w:t xml:space="preserve"> </w:t>
      </w:r>
      <w:r w:rsidRPr="006C79D6">
        <w:rPr>
          <w:rFonts w:ascii="Arial" w:hAnsi="Arial" w:cs="Arial"/>
          <w:color w:val="000000" w:themeColor="text1"/>
        </w:rPr>
        <w:lastRenderedPageBreak/>
        <w:t xml:space="preserve">2020, muchas iniciativas de desarrollo profesional en línea privilegiaban la asincronía por su flexibilidad; sin embargo, tras meses de webinarios y clases en vivo forzadas por el encierro, </w:t>
      </w:r>
      <w:r w:rsidR="00333A27">
        <w:rPr>
          <w:rFonts w:ascii="Arial" w:hAnsi="Arial" w:cs="Arial"/>
          <w:color w:val="000000" w:themeColor="text1"/>
        </w:rPr>
        <w:t>se llegó a comprender</w:t>
      </w:r>
      <w:r w:rsidR="00333A27" w:rsidRPr="006C79D6">
        <w:rPr>
          <w:rFonts w:ascii="Arial" w:hAnsi="Arial" w:cs="Arial"/>
          <w:color w:val="000000" w:themeColor="text1"/>
        </w:rPr>
        <w:t xml:space="preserve"> </w:t>
      </w:r>
      <w:r w:rsidRPr="006C79D6">
        <w:rPr>
          <w:rFonts w:ascii="Arial" w:hAnsi="Arial" w:cs="Arial"/>
          <w:color w:val="000000" w:themeColor="text1"/>
        </w:rPr>
        <w:t xml:space="preserve">cuál es el lugar óptimo de las sesiones sincrónicas: su mayor fortaleza está en facilitar la interacción humana directa, el debate y la </w:t>
      </w:r>
      <w:proofErr w:type="spellStart"/>
      <w:r w:rsidRPr="006C79D6">
        <w:rPr>
          <w:rFonts w:ascii="Arial" w:hAnsi="Arial" w:cs="Arial"/>
          <w:color w:val="000000" w:themeColor="text1"/>
        </w:rPr>
        <w:t>cocreación</w:t>
      </w:r>
      <w:proofErr w:type="spellEnd"/>
      <w:r w:rsidRPr="006C79D6">
        <w:rPr>
          <w:rFonts w:ascii="Arial" w:hAnsi="Arial" w:cs="Arial"/>
          <w:color w:val="000000" w:themeColor="text1"/>
        </w:rPr>
        <w:t xml:space="preserve"> en tiempo real. Esta interacción generó motivación y compromiso emocional, y sentó las bases para que </w:t>
      </w:r>
      <w:r w:rsidRPr="0427646F">
        <w:rPr>
          <w:rFonts w:ascii="Arial" w:hAnsi="Arial" w:cs="Arial"/>
          <w:color w:val="000000" w:themeColor="text1"/>
        </w:rPr>
        <w:t>la audiencia</w:t>
      </w:r>
      <w:r w:rsidRPr="006C79D6">
        <w:rPr>
          <w:rFonts w:ascii="Arial" w:hAnsi="Arial" w:cs="Arial"/>
          <w:color w:val="000000" w:themeColor="text1"/>
        </w:rPr>
        <w:t xml:space="preserve"> hiciera un abordaje autónomo posterior.</w:t>
      </w:r>
    </w:p>
    <w:p w14:paraId="45795B7C" w14:textId="270CA7EA" w:rsidR="00EB15E0"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Por ejemplo, en los talleres de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se aplicó el modelo de aula invertida (</w:t>
      </w:r>
      <w:proofErr w:type="spellStart"/>
      <w:r w:rsidRPr="2499D2C2">
        <w:rPr>
          <w:rFonts w:ascii="Arial" w:hAnsi="Arial" w:cs="Arial"/>
          <w:color w:val="000000" w:themeColor="text1"/>
        </w:rPr>
        <w:t>Bergmann</w:t>
      </w:r>
      <w:proofErr w:type="spellEnd"/>
      <w:r w:rsidRPr="006C79D6">
        <w:rPr>
          <w:rFonts w:ascii="Arial" w:hAnsi="Arial" w:cs="Arial"/>
          <w:color w:val="000000" w:themeColor="text1"/>
        </w:rPr>
        <w:t xml:space="preserve"> y </w:t>
      </w:r>
      <w:proofErr w:type="spellStart"/>
      <w:r w:rsidRPr="006C79D6">
        <w:rPr>
          <w:rFonts w:ascii="Arial" w:hAnsi="Arial" w:cs="Arial"/>
          <w:color w:val="000000" w:themeColor="text1"/>
        </w:rPr>
        <w:t>Sams</w:t>
      </w:r>
      <w:proofErr w:type="spellEnd"/>
      <w:r w:rsidRPr="006C79D6">
        <w:rPr>
          <w:rFonts w:ascii="Arial" w:hAnsi="Arial" w:cs="Arial"/>
          <w:color w:val="000000" w:themeColor="text1"/>
        </w:rPr>
        <w:t xml:space="preserve">, 2012): </w:t>
      </w:r>
      <w:r w:rsidRPr="0427646F">
        <w:rPr>
          <w:rFonts w:ascii="Arial" w:hAnsi="Arial" w:cs="Arial"/>
          <w:color w:val="000000" w:themeColor="text1"/>
        </w:rPr>
        <w:t>las personas</w:t>
      </w:r>
      <w:r w:rsidRPr="006C79D6">
        <w:rPr>
          <w:rFonts w:ascii="Arial" w:hAnsi="Arial" w:cs="Arial"/>
          <w:color w:val="000000" w:themeColor="text1"/>
        </w:rPr>
        <w:t xml:space="preserve"> participantes revisaban materiales con anticipación, y la sesión sincrónica se dedicaba a discutir casos, resolver dudas y realizar ejercicios prácticos colaborativos. Esta metodología aseguró un uso más efectivo del tiempo sincrónico, centrado en los aspectos de mayor valor añadido (la interacción experta y entre pares). Las iniciativas futuras deberían, por tanto, incorporar modelos híbridos de capacitación, en los </w:t>
      </w:r>
      <w:r w:rsidR="009A72EC">
        <w:rPr>
          <w:rFonts w:ascii="Arial" w:hAnsi="Arial" w:cs="Arial"/>
          <w:color w:val="000000" w:themeColor="text1"/>
        </w:rPr>
        <w:t>cuales</w:t>
      </w:r>
      <w:r w:rsidR="009A72EC" w:rsidRPr="006C79D6">
        <w:rPr>
          <w:rFonts w:ascii="Arial" w:hAnsi="Arial" w:cs="Arial"/>
          <w:color w:val="000000" w:themeColor="text1"/>
        </w:rPr>
        <w:t xml:space="preserve"> </w:t>
      </w:r>
      <w:r w:rsidRPr="006C79D6">
        <w:rPr>
          <w:rFonts w:ascii="Arial" w:hAnsi="Arial" w:cs="Arial"/>
          <w:color w:val="000000" w:themeColor="text1"/>
        </w:rPr>
        <w:t>la parte expositiva se ofrezca de forma asíncrona, mientras que la sincrónica se reserv</w:t>
      </w:r>
      <w:r w:rsidR="009A72EC">
        <w:rPr>
          <w:rFonts w:ascii="Arial" w:hAnsi="Arial" w:cs="Arial"/>
          <w:color w:val="000000" w:themeColor="text1"/>
        </w:rPr>
        <w:t>a</w:t>
      </w:r>
      <w:r w:rsidRPr="006C79D6">
        <w:rPr>
          <w:rFonts w:ascii="Arial" w:hAnsi="Arial" w:cs="Arial"/>
          <w:color w:val="000000" w:themeColor="text1"/>
        </w:rPr>
        <w:t xml:space="preserve"> para mentorías, laboratorios de práctica, retroalimentación grupal o aprendizaje entre pares.</w:t>
      </w:r>
      <w:r w:rsidR="00E72268">
        <w:rPr>
          <w:rFonts w:ascii="Arial" w:hAnsi="Arial" w:cs="Arial"/>
          <w:color w:val="000000" w:themeColor="text1"/>
        </w:rPr>
        <w:t xml:space="preserve"> </w:t>
      </w:r>
    </w:p>
    <w:p w14:paraId="74BDAA97" w14:textId="77777777" w:rsidR="004F7551" w:rsidRPr="00EB15E0" w:rsidRDefault="004F7551" w:rsidP="00656C84">
      <w:pPr>
        <w:spacing w:after="240" w:line="360" w:lineRule="auto"/>
        <w:jc w:val="both"/>
        <w:rPr>
          <w:rFonts w:ascii="Arial" w:hAnsi="Arial" w:cs="Arial"/>
          <w:b/>
          <w:bCs/>
          <w:iCs/>
          <w:color w:val="000000" w:themeColor="text1"/>
        </w:rPr>
      </w:pPr>
      <w:r w:rsidRPr="00EB15E0">
        <w:rPr>
          <w:rFonts w:ascii="Arial" w:hAnsi="Arial" w:cs="Arial"/>
          <w:b/>
          <w:bCs/>
          <w:iCs/>
          <w:color w:val="000000" w:themeColor="text1"/>
        </w:rPr>
        <w:t>Contenidos y enfoques pedagógicos emergentes</w:t>
      </w:r>
    </w:p>
    <w:p w14:paraId="2B465DD0" w14:textId="50B4CB67"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cuanto a </w:t>
      </w:r>
      <w:r w:rsidRPr="00C236A2">
        <w:rPr>
          <w:rFonts w:ascii="Arial" w:hAnsi="Arial" w:cs="Arial"/>
          <w:bCs/>
          <w:color w:val="000000" w:themeColor="text1"/>
        </w:rPr>
        <w:t>qué</w:t>
      </w:r>
      <w:r w:rsidRPr="00C236A2">
        <w:rPr>
          <w:rFonts w:ascii="Arial" w:hAnsi="Arial" w:cs="Arial"/>
          <w:color w:val="000000" w:themeColor="text1"/>
        </w:rPr>
        <w:t xml:space="preserve"> </w:t>
      </w:r>
      <w:r w:rsidRPr="006C79D6">
        <w:rPr>
          <w:rFonts w:ascii="Arial" w:hAnsi="Arial" w:cs="Arial"/>
          <w:color w:val="000000" w:themeColor="text1"/>
        </w:rPr>
        <w:t xml:space="preserve">contenidos serán prioritarios en la formación continua </w:t>
      </w:r>
      <w:proofErr w:type="spellStart"/>
      <w:r w:rsidRPr="006C79D6">
        <w:rPr>
          <w:rFonts w:ascii="Arial" w:hAnsi="Arial" w:cs="Arial"/>
          <w:color w:val="000000" w:themeColor="text1"/>
        </w:rPr>
        <w:t>pospandemia</w:t>
      </w:r>
      <w:proofErr w:type="spellEnd"/>
      <w:r w:rsidRPr="006C79D6">
        <w:rPr>
          <w:rFonts w:ascii="Arial" w:hAnsi="Arial" w:cs="Arial"/>
          <w:color w:val="000000" w:themeColor="text1"/>
        </w:rPr>
        <w:t xml:space="preserve">, </w:t>
      </w:r>
      <w:r w:rsidR="009A72EC">
        <w:rPr>
          <w:rFonts w:ascii="Arial" w:hAnsi="Arial" w:cs="Arial"/>
          <w:color w:val="000000" w:themeColor="text1"/>
        </w:rPr>
        <w:t>las</w:t>
      </w:r>
      <w:r w:rsidR="009A72EC" w:rsidRPr="006C79D6">
        <w:rPr>
          <w:rFonts w:ascii="Arial" w:hAnsi="Arial" w:cs="Arial"/>
          <w:color w:val="000000" w:themeColor="text1"/>
        </w:rPr>
        <w:t xml:space="preserve"> </w:t>
      </w:r>
      <w:r w:rsidRPr="006C79D6">
        <w:rPr>
          <w:rFonts w:ascii="Arial" w:hAnsi="Arial" w:cs="Arial"/>
          <w:color w:val="000000" w:themeColor="text1"/>
        </w:rPr>
        <w:t xml:space="preserve">observaciones apuntan a una evolución interesante. Al inicio de la pandemia, los contenidos giraban en torno a cómo usar una herramienta (Zoom, Moodle, etc.), o cómo convertir </w:t>
      </w:r>
      <w:r>
        <w:rPr>
          <w:rFonts w:ascii="Arial" w:hAnsi="Arial" w:cs="Arial"/>
          <w:color w:val="000000" w:themeColor="text1"/>
        </w:rPr>
        <w:t>la</w:t>
      </w:r>
      <w:r w:rsidRPr="006C79D6">
        <w:rPr>
          <w:rFonts w:ascii="Arial" w:hAnsi="Arial" w:cs="Arial"/>
          <w:color w:val="000000" w:themeColor="text1"/>
        </w:rPr>
        <w:t xml:space="preserve"> clase presencial en virtual; es decir, los contenidos eran eminentemente prácticos y centrados en la tecnología. Hoy, tras varios años de experimentación, </w:t>
      </w:r>
      <w:r w:rsidR="008D403E">
        <w:rPr>
          <w:rFonts w:ascii="Arial" w:hAnsi="Arial" w:cs="Arial"/>
          <w:color w:val="000000" w:themeColor="text1"/>
        </w:rPr>
        <w:t xml:space="preserve">se </w:t>
      </w:r>
      <w:r w:rsidRPr="006C79D6">
        <w:rPr>
          <w:rFonts w:ascii="Arial" w:hAnsi="Arial" w:cs="Arial"/>
          <w:color w:val="000000" w:themeColor="text1"/>
        </w:rPr>
        <w:t>adv</w:t>
      </w:r>
      <w:r w:rsidR="008D403E">
        <w:rPr>
          <w:rFonts w:ascii="Arial" w:hAnsi="Arial" w:cs="Arial"/>
          <w:color w:val="000000" w:themeColor="text1"/>
        </w:rPr>
        <w:t>ierte</w:t>
      </w:r>
      <w:r w:rsidRPr="006C79D6">
        <w:rPr>
          <w:rFonts w:ascii="Arial" w:hAnsi="Arial" w:cs="Arial"/>
          <w:color w:val="000000" w:themeColor="text1"/>
        </w:rPr>
        <w:t xml:space="preserve"> un desplazamiento del </w:t>
      </w:r>
      <w:r w:rsidRPr="006C79D6">
        <w:rPr>
          <w:rFonts w:ascii="Arial" w:hAnsi="Arial" w:cs="Arial"/>
          <w:color w:val="000000" w:themeColor="text1"/>
        </w:rPr>
        <w:lastRenderedPageBreak/>
        <w:t>énfasis en herramientas hacia la incorporación de estrategias pedagógicas y competencias más amplias para la enseñanza híbrida.</w:t>
      </w:r>
    </w:p>
    <w:p w14:paraId="3CFD7B7F" w14:textId="2B92958C" w:rsidR="00FD7ACF"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w:t>
      </w:r>
      <w:proofErr w:type="spellStart"/>
      <w:r w:rsidRPr="00E0339D">
        <w:rPr>
          <w:rFonts w:ascii="Arial" w:hAnsi="Arial" w:cs="Arial"/>
          <w:i/>
          <w:iCs/>
          <w:color w:val="000000" w:themeColor="text1"/>
        </w:rPr>
        <w:t>Movingonline</w:t>
      </w:r>
      <w:proofErr w:type="spellEnd"/>
      <w:r w:rsidRPr="006C79D6">
        <w:rPr>
          <w:rFonts w:ascii="Arial" w:hAnsi="Arial" w:cs="Arial"/>
          <w:color w:val="000000" w:themeColor="text1"/>
        </w:rPr>
        <w:t xml:space="preserve">, conforme avanzaba el programa, se incorporaron más temas de innovación pedagógica: aprendizaje activo, evaluación formativa en entornos virtuales, inclusión digital, accesibilidad para estudiantes con discapacidad, gamificación, aprendizaje basado en proyectos, entre otros. De hecho, hacia </w:t>
      </w:r>
      <w:r w:rsidR="00D324DE">
        <w:rPr>
          <w:rFonts w:ascii="Arial" w:hAnsi="Arial" w:cs="Arial"/>
          <w:color w:val="000000" w:themeColor="text1"/>
        </w:rPr>
        <w:t xml:space="preserve">el </w:t>
      </w:r>
      <w:r w:rsidRPr="006C79D6">
        <w:rPr>
          <w:rFonts w:ascii="Arial" w:hAnsi="Arial" w:cs="Arial"/>
          <w:color w:val="000000" w:themeColor="text1"/>
        </w:rPr>
        <w:t xml:space="preserve">2021 se ofrecieron sesiones sobre reconocimiento de aprendizajes mediante insignias digitales, diseño universal de aprendizaje y, recientemente, se abrieron discusiones sobre el impacto de la inteligencia artificial generativa en la educación. Los temas en evolución reflejan la progresión que </w:t>
      </w:r>
      <w:r w:rsidR="00723F26">
        <w:rPr>
          <w:rFonts w:ascii="Arial" w:hAnsi="Arial" w:cs="Arial"/>
          <w:color w:val="000000" w:themeColor="text1"/>
        </w:rPr>
        <w:t>se observa</w:t>
      </w:r>
      <w:r w:rsidR="00723F26" w:rsidRPr="006C79D6">
        <w:rPr>
          <w:rFonts w:ascii="Arial" w:hAnsi="Arial" w:cs="Arial"/>
          <w:color w:val="000000" w:themeColor="text1"/>
        </w:rPr>
        <w:t xml:space="preserve"> </w:t>
      </w:r>
      <w:r w:rsidRPr="006C79D6">
        <w:rPr>
          <w:rFonts w:ascii="Arial" w:hAnsi="Arial" w:cs="Arial"/>
          <w:color w:val="000000" w:themeColor="text1"/>
        </w:rPr>
        <w:t xml:space="preserve">en </w:t>
      </w:r>
      <w:r w:rsidR="00723F26">
        <w:rPr>
          <w:rFonts w:ascii="Arial" w:hAnsi="Arial" w:cs="Arial"/>
          <w:color w:val="000000" w:themeColor="text1"/>
        </w:rPr>
        <w:t>las personas</w:t>
      </w:r>
      <w:r w:rsidR="00723F26" w:rsidRPr="006C79D6">
        <w:rPr>
          <w:rFonts w:ascii="Arial" w:hAnsi="Arial" w:cs="Arial"/>
          <w:color w:val="000000" w:themeColor="text1"/>
        </w:rPr>
        <w:t xml:space="preserve"> </w:t>
      </w:r>
      <w:r w:rsidRPr="006C79D6">
        <w:rPr>
          <w:rFonts w:ascii="Arial" w:hAnsi="Arial" w:cs="Arial"/>
          <w:color w:val="000000" w:themeColor="text1"/>
        </w:rPr>
        <w:t xml:space="preserve">participantes. </w:t>
      </w:r>
      <w:r w:rsidR="00723F26">
        <w:rPr>
          <w:rFonts w:ascii="Arial" w:hAnsi="Arial" w:cs="Arial"/>
          <w:color w:val="000000" w:themeColor="text1"/>
        </w:rPr>
        <w:t>En un inicio</w:t>
      </w:r>
      <w:r w:rsidRPr="006C79D6">
        <w:rPr>
          <w:rFonts w:ascii="Arial" w:hAnsi="Arial" w:cs="Arial"/>
          <w:color w:val="000000" w:themeColor="text1"/>
        </w:rPr>
        <w:t xml:space="preserve">, había una necesidad de información básica para abordar situaciones de emergencia; con el tiempo, </w:t>
      </w:r>
      <w:r w:rsidR="00723F26">
        <w:rPr>
          <w:rFonts w:ascii="Arial" w:hAnsi="Arial" w:cs="Arial"/>
          <w:color w:val="000000" w:themeColor="text1"/>
        </w:rPr>
        <w:t>la</w:t>
      </w:r>
      <w:r w:rsidR="00723F26" w:rsidRPr="006C79D6">
        <w:rPr>
          <w:rFonts w:ascii="Arial" w:hAnsi="Arial" w:cs="Arial"/>
          <w:color w:val="000000" w:themeColor="text1"/>
        </w:rPr>
        <w:t xml:space="preserve"> </w:t>
      </w:r>
      <w:r w:rsidRPr="006C79D6">
        <w:rPr>
          <w:rFonts w:ascii="Arial" w:hAnsi="Arial" w:cs="Arial"/>
          <w:color w:val="000000" w:themeColor="text1"/>
        </w:rPr>
        <w:t>audiencia maduró y se volvió más dispuesta a adoptar e implementar nuevas tecnologías y modelos pedagógicos.</w:t>
      </w:r>
    </w:p>
    <w:p w14:paraId="532D522D" w14:textId="77777777" w:rsidR="004F7551" w:rsidRPr="00EB15E0" w:rsidRDefault="004F7551" w:rsidP="00656C84">
      <w:pPr>
        <w:spacing w:after="240" w:line="360" w:lineRule="auto"/>
        <w:jc w:val="both"/>
        <w:rPr>
          <w:rFonts w:ascii="Arial" w:hAnsi="Arial" w:cs="Arial"/>
          <w:b/>
          <w:bCs/>
          <w:iCs/>
          <w:color w:val="000000" w:themeColor="text1"/>
        </w:rPr>
      </w:pPr>
      <w:r w:rsidRPr="00EB15E0">
        <w:rPr>
          <w:rFonts w:ascii="Arial" w:hAnsi="Arial" w:cs="Arial"/>
          <w:b/>
          <w:bCs/>
          <w:iCs/>
          <w:color w:val="000000" w:themeColor="text1"/>
        </w:rPr>
        <w:t>Colaboración y aprendizaje entre pares</w:t>
      </w:r>
    </w:p>
    <w:p w14:paraId="6DAC8A58" w14:textId="15277226" w:rsidR="001A2995" w:rsidRPr="00BE059F"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términos de modalidad, </w:t>
      </w:r>
      <w:r w:rsidR="00392F40">
        <w:rPr>
          <w:rFonts w:ascii="Arial" w:hAnsi="Arial" w:cs="Arial"/>
          <w:color w:val="000000" w:themeColor="text1"/>
        </w:rPr>
        <w:t>se debe destacar</w:t>
      </w:r>
      <w:r w:rsidRPr="006C79D6">
        <w:rPr>
          <w:rFonts w:ascii="Arial" w:hAnsi="Arial" w:cs="Arial"/>
          <w:color w:val="000000" w:themeColor="text1"/>
        </w:rPr>
        <w:t xml:space="preserve"> el poder de las comunidades de práctica y del aprendizaje colaborativo entre docentes durante la iniciativa. Una de las apuestas de </w:t>
      </w:r>
      <w:proofErr w:type="spellStart"/>
      <w:r w:rsidRPr="00F81D99">
        <w:rPr>
          <w:rFonts w:ascii="Arial" w:hAnsi="Arial" w:cs="Arial"/>
          <w:i/>
          <w:iCs/>
          <w:color w:val="000000" w:themeColor="text1"/>
        </w:rPr>
        <w:t>Movingonline</w:t>
      </w:r>
      <w:proofErr w:type="spellEnd"/>
      <w:r w:rsidRPr="006C79D6">
        <w:rPr>
          <w:rFonts w:ascii="Arial" w:hAnsi="Arial" w:cs="Arial"/>
          <w:color w:val="000000" w:themeColor="text1"/>
        </w:rPr>
        <w:t xml:space="preserve"> fue crear no solo cursos, sino una </w:t>
      </w:r>
      <w:r w:rsidRPr="00F81D99">
        <w:rPr>
          <w:rFonts w:ascii="Arial" w:hAnsi="Arial" w:cs="Arial"/>
          <w:i/>
          <w:iCs/>
          <w:color w:val="000000" w:themeColor="text1"/>
        </w:rPr>
        <w:t>comunidad horizontal</w:t>
      </w:r>
      <w:r w:rsidRPr="006C79D6">
        <w:rPr>
          <w:rFonts w:ascii="Arial" w:hAnsi="Arial" w:cs="Arial"/>
          <w:color w:val="000000" w:themeColor="text1"/>
        </w:rPr>
        <w:t xml:space="preserve"> donde </w:t>
      </w:r>
      <w:r w:rsidRPr="0427646F">
        <w:rPr>
          <w:rFonts w:ascii="Arial" w:hAnsi="Arial" w:cs="Arial"/>
          <w:color w:val="000000" w:themeColor="text1"/>
        </w:rPr>
        <w:t xml:space="preserve">el personal educativo </w:t>
      </w:r>
      <w:r w:rsidRPr="006C79D6">
        <w:rPr>
          <w:rFonts w:ascii="Arial" w:hAnsi="Arial" w:cs="Arial"/>
          <w:color w:val="000000" w:themeColor="text1"/>
        </w:rPr>
        <w:t xml:space="preserve">pudiera compartir libremente sus experiencias, retos y consejos. Esta dinámica de pares resultó ser un formidable catalizador de aprendizaje: </w:t>
      </w:r>
      <w:r w:rsidRPr="0427646F">
        <w:rPr>
          <w:rFonts w:ascii="Arial" w:hAnsi="Arial" w:cs="Arial"/>
          <w:color w:val="000000" w:themeColor="text1"/>
        </w:rPr>
        <w:t>las personas</w:t>
      </w:r>
      <w:r w:rsidRPr="006C79D6">
        <w:rPr>
          <w:rFonts w:ascii="Arial" w:hAnsi="Arial" w:cs="Arial"/>
          <w:color w:val="000000" w:themeColor="text1"/>
        </w:rPr>
        <w:t xml:space="preserve"> docentes no solo recibían contenido de </w:t>
      </w:r>
      <w:r w:rsidRPr="0427646F">
        <w:rPr>
          <w:rFonts w:ascii="Arial" w:hAnsi="Arial" w:cs="Arial"/>
          <w:color w:val="000000" w:themeColor="text1"/>
        </w:rPr>
        <w:t>especialistas</w:t>
      </w:r>
      <w:r w:rsidRPr="006C79D6">
        <w:rPr>
          <w:rFonts w:ascii="Arial" w:hAnsi="Arial" w:cs="Arial"/>
          <w:color w:val="000000" w:themeColor="text1"/>
        </w:rPr>
        <w:t>, sino que aprendían de las soluciones e ideas de colegas que enfrentaban problemas similares.</w:t>
      </w:r>
      <w:r>
        <w:rPr>
          <w:rFonts w:ascii="Arial" w:hAnsi="Arial" w:cs="Arial"/>
          <w:color w:val="000000" w:themeColor="text1"/>
        </w:rPr>
        <w:t xml:space="preserve"> </w:t>
      </w:r>
      <w:r w:rsidRPr="008C11C4">
        <w:rPr>
          <w:rFonts w:ascii="Arial" w:hAnsi="Arial" w:cs="Arial"/>
          <w:color w:val="000000" w:themeColor="text1"/>
          <w:lang w:val="es-ES"/>
        </w:rPr>
        <w:t xml:space="preserve">Esta efectividad coincide con lo planteado en el </w:t>
      </w:r>
      <w:r w:rsidRPr="008C11C4">
        <w:rPr>
          <w:rFonts w:ascii="Arial" w:hAnsi="Arial" w:cs="Arial"/>
          <w:i/>
          <w:color w:val="000000" w:themeColor="text1"/>
          <w:lang w:val="es-ES"/>
        </w:rPr>
        <w:t>Marco de competencias de los docentes en materia de TIC</w:t>
      </w:r>
      <w:r w:rsidRPr="008C11C4">
        <w:rPr>
          <w:rFonts w:ascii="Arial" w:hAnsi="Arial" w:cs="Arial"/>
          <w:color w:val="000000" w:themeColor="text1"/>
          <w:lang w:val="es-ES"/>
        </w:rPr>
        <w:t xml:space="preserve"> </w:t>
      </w:r>
      <w:r w:rsidRPr="008C11C4">
        <w:rPr>
          <w:rFonts w:ascii="Arial" w:hAnsi="Arial" w:cs="Arial"/>
          <w:i/>
          <w:color w:val="000000" w:themeColor="text1"/>
          <w:lang w:val="es-ES"/>
        </w:rPr>
        <w:t xml:space="preserve">UNESCO </w:t>
      </w:r>
      <w:r w:rsidRPr="008C11C4">
        <w:rPr>
          <w:rFonts w:ascii="Arial" w:hAnsi="Arial" w:cs="Arial"/>
          <w:color w:val="000000" w:themeColor="text1"/>
          <w:lang w:val="es-ES"/>
        </w:rPr>
        <w:t xml:space="preserve">(2019), </w:t>
      </w:r>
      <w:r w:rsidR="001708A1">
        <w:rPr>
          <w:rFonts w:ascii="Arial" w:hAnsi="Arial" w:cs="Arial"/>
          <w:color w:val="000000" w:themeColor="text1"/>
          <w:lang w:val="es-ES"/>
        </w:rPr>
        <w:t>el cual</w:t>
      </w:r>
      <w:r w:rsidR="001708A1" w:rsidRPr="008C11C4">
        <w:rPr>
          <w:rFonts w:ascii="Arial" w:hAnsi="Arial" w:cs="Arial"/>
          <w:color w:val="000000" w:themeColor="text1"/>
          <w:lang w:val="es-ES"/>
        </w:rPr>
        <w:t xml:space="preserve"> </w:t>
      </w:r>
      <w:r w:rsidRPr="008C11C4">
        <w:rPr>
          <w:rFonts w:ascii="Arial" w:hAnsi="Arial" w:cs="Arial"/>
          <w:color w:val="000000" w:themeColor="text1"/>
          <w:lang w:val="es-ES"/>
        </w:rPr>
        <w:t>enfatiza</w:t>
      </w:r>
      <w:r w:rsidR="001708A1">
        <w:rPr>
          <w:rFonts w:ascii="Arial" w:hAnsi="Arial" w:cs="Arial"/>
          <w:color w:val="000000" w:themeColor="text1"/>
          <w:lang w:val="es-ES"/>
        </w:rPr>
        <w:t xml:space="preserve"> en</w:t>
      </w:r>
      <w:r w:rsidRPr="008C11C4">
        <w:rPr>
          <w:rFonts w:ascii="Arial" w:hAnsi="Arial" w:cs="Arial"/>
          <w:color w:val="000000" w:themeColor="text1"/>
          <w:lang w:val="es-ES"/>
        </w:rPr>
        <w:t xml:space="preserve"> la </w:t>
      </w:r>
      <w:r w:rsidRPr="008C11C4">
        <w:rPr>
          <w:rFonts w:ascii="Arial" w:hAnsi="Arial" w:cs="Arial"/>
          <w:color w:val="000000" w:themeColor="text1"/>
          <w:lang w:val="es-ES"/>
        </w:rPr>
        <w:lastRenderedPageBreak/>
        <w:t>importancia del aprendizaje colaborativo y las comunidades de práctica para el desarrollo profesional continuo en contextos digitales</w:t>
      </w:r>
      <w:r>
        <w:rPr>
          <w:rFonts w:ascii="Arial" w:hAnsi="Arial" w:cs="Arial"/>
          <w:color w:val="000000" w:themeColor="text1"/>
          <w:lang w:val="es-ES"/>
        </w:rPr>
        <w:t>.</w:t>
      </w:r>
    </w:p>
    <w:p w14:paraId="4B57A351" w14:textId="775C5281"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Un aspecto clave a considerar es la importancia de utilizar estrategias para mantener viva la comunidad, al menos hasta que esta cumpla sus objetivos. Algunas estrategias pueden ser institucionales, haciendo de estas comunidades un espacio en </w:t>
      </w:r>
      <w:r w:rsidR="001708A1">
        <w:rPr>
          <w:rFonts w:ascii="Arial" w:hAnsi="Arial" w:cs="Arial"/>
          <w:color w:val="000000" w:themeColor="text1"/>
        </w:rPr>
        <w:t>donde</w:t>
      </w:r>
      <w:r w:rsidRPr="006C79D6">
        <w:rPr>
          <w:rFonts w:ascii="Arial" w:hAnsi="Arial" w:cs="Arial"/>
          <w:color w:val="000000" w:themeColor="text1"/>
        </w:rPr>
        <w:t xml:space="preserve"> continuamente se abordan problemáticas comunes y nuevos desafíos (como ha ocurrido con el uso de la inteligencia artificial generativa en procesos de enseñanza-aprendizaje), y donde </w:t>
      </w:r>
      <w:r>
        <w:rPr>
          <w:rFonts w:ascii="Arial" w:hAnsi="Arial" w:cs="Arial"/>
          <w:color w:val="000000" w:themeColor="text1"/>
        </w:rPr>
        <w:t>l</w:t>
      </w:r>
      <w:r w:rsidRPr="0427646F">
        <w:rPr>
          <w:rFonts w:ascii="Arial" w:hAnsi="Arial" w:cs="Arial"/>
          <w:color w:val="000000" w:themeColor="text1"/>
        </w:rPr>
        <w:t>as personas</w:t>
      </w:r>
      <w:r w:rsidRPr="006C79D6">
        <w:rPr>
          <w:rFonts w:ascii="Arial" w:hAnsi="Arial" w:cs="Arial"/>
          <w:color w:val="000000" w:themeColor="text1"/>
        </w:rPr>
        <w:t xml:space="preserve"> docentes encuentran respuestas u orientación para afrontarlas; otras pueden ser impulsadas por quienes integran la comunidad, lo cual requiere mantener el interés y la motivación para continuar el desarrollo de las competencias digitales.</w:t>
      </w:r>
    </w:p>
    <w:p w14:paraId="7C2139CE" w14:textId="4D5C2469" w:rsidR="004F7551"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síntesis, </w:t>
      </w:r>
      <w:r w:rsidR="00C77807">
        <w:rPr>
          <w:rFonts w:ascii="Arial" w:hAnsi="Arial" w:cs="Arial"/>
          <w:color w:val="000000" w:themeColor="text1"/>
        </w:rPr>
        <w:t>se ha</w:t>
      </w:r>
      <w:r w:rsidR="00C77807" w:rsidRPr="006C79D6">
        <w:rPr>
          <w:rFonts w:ascii="Arial" w:hAnsi="Arial" w:cs="Arial"/>
          <w:color w:val="000000" w:themeColor="text1"/>
        </w:rPr>
        <w:t xml:space="preserve"> </w:t>
      </w:r>
      <w:r w:rsidRPr="006C79D6">
        <w:rPr>
          <w:rFonts w:ascii="Arial" w:hAnsi="Arial" w:cs="Arial"/>
          <w:color w:val="000000" w:themeColor="text1"/>
        </w:rPr>
        <w:t xml:space="preserve">pasado de ver la formación docente como cursos esporádicos y homogéneos a concebirla como un proceso continuo, flexible, multimodal y centrado en </w:t>
      </w:r>
      <w:r w:rsidRPr="0427646F">
        <w:rPr>
          <w:rFonts w:ascii="Arial" w:hAnsi="Arial" w:cs="Arial"/>
          <w:color w:val="000000" w:themeColor="text1"/>
        </w:rPr>
        <w:t>el personal docente.</w:t>
      </w:r>
      <w:r w:rsidRPr="006C79D6">
        <w:rPr>
          <w:rFonts w:ascii="Arial" w:hAnsi="Arial" w:cs="Arial"/>
          <w:color w:val="000000" w:themeColor="text1"/>
        </w:rPr>
        <w:t xml:space="preserve"> Los formatos se diversifican, las modalidades incluyen tanto el trabajo virtual como las sesiones presenciales integradas en esquemas híbridos, y los contenidos evolucionan para abordar no solo el manejo de herramientas, sino la mejora de la práctica pedagógica mediada por tecnología, el desarrollo de competencias emergentes y el liderazgo en la innovación.</w:t>
      </w:r>
    </w:p>
    <w:p w14:paraId="21B39CCF" w14:textId="77777777" w:rsidR="004F7551" w:rsidRPr="00F81D99" w:rsidRDefault="004F7551" w:rsidP="00656C84">
      <w:pPr>
        <w:spacing w:after="240" w:line="360" w:lineRule="auto"/>
        <w:jc w:val="both"/>
        <w:rPr>
          <w:rFonts w:ascii="Arial" w:hAnsi="Arial" w:cs="Arial"/>
          <w:b/>
          <w:bCs/>
          <w:color w:val="000000" w:themeColor="text1"/>
        </w:rPr>
      </w:pPr>
      <w:r w:rsidRPr="00F81D99">
        <w:rPr>
          <w:rFonts w:ascii="Arial" w:hAnsi="Arial" w:cs="Arial"/>
          <w:b/>
          <w:bCs/>
          <w:color w:val="000000" w:themeColor="text1"/>
        </w:rPr>
        <w:t>Hacia la construcción proactiva de capacidades institucionales</w:t>
      </w:r>
    </w:p>
    <w:p w14:paraId="0293662D" w14:textId="25C316D2"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Un punto culminante de la reflexión es cómo aprovechar todo lo aprendido para que las futuras iniciativas y políticas educativas construyan capacidades institucionales de forma proactiva, en </w:t>
      </w:r>
      <w:r w:rsidRPr="006C79D6">
        <w:rPr>
          <w:rFonts w:ascii="Arial" w:hAnsi="Arial" w:cs="Arial"/>
          <w:color w:val="000000" w:themeColor="text1"/>
        </w:rPr>
        <w:lastRenderedPageBreak/>
        <w:t xml:space="preserve">lugar de limitarse a reacciones ante emergencias. La pandemia funcionó como una </w:t>
      </w:r>
      <w:r>
        <w:rPr>
          <w:rFonts w:ascii="Arial" w:hAnsi="Arial" w:cs="Arial"/>
          <w:color w:val="000000" w:themeColor="text1"/>
        </w:rPr>
        <w:t>“</w:t>
      </w:r>
      <w:r w:rsidRPr="006C79D6">
        <w:rPr>
          <w:rFonts w:ascii="Arial" w:hAnsi="Arial" w:cs="Arial"/>
          <w:color w:val="000000" w:themeColor="text1"/>
        </w:rPr>
        <w:t>prueba de resiliencia</w:t>
      </w:r>
      <w:r>
        <w:rPr>
          <w:rFonts w:ascii="Arial" w:hAnsi="Arial" w:cs="Arial"/>
          <w:color w:val="000000" w:themeColor="text1"/>
        </w:rPr>
        <w:t>”</w:t>
      </w:r>
      <w:r w:rsidRPr="006C79D6">
        <w:rPr>
          <w:rFonts w:ascii="Arial" w:hAnsi="Arial" w:cs="Arial"/>
          <w:color w:val="000000" w:themeColor="text1"/>
        </w:rPr>
        <w:t xml:space="preserve"> de los sistemas educativos</w:t>
      </w:r>
      <w:r w:rsidR="009627CC">
        <w:rPr>
          <w:rFonts w:ascii="Arial" w:hAnsi="Arial" w:cs="Arial"/>
          <w:color w:val="000000" w:themeColor="text1"/>
        </w:rPr>
        <w:t>, pues</w:t>
      </w:r>
      <w:r w:rsidRPr="006C79D6">
        <w:rPr>
          <w:rFonts w:ascii="Arial" w:hAnsi="Arial" w:cs="Arial"/>
          <w:color w:val="000000" w:themeColor="text1"/>
        </w:rPr>
        <w:t xml:space="preserve"> aquellas instituciones que contaban con cierta capacidad instalada en educación en línea pudieron responder con mayor celeridad, mientras que otras quedaron paralizadas al no tener personal </w:t>
      </w:r>
      <w:r w:rsidR="009627CC">
        <w:rPr>
          <w:rFonts w:ascii="Arial" w:hAnsi="Arial" w:cs="Arial"/>
          <w:color w:val="000000" w:themeColor="text1"/>
        </w:rPr>
        <w:t>capacitado</w:t>
      </w:r>
      <w:r w:rsidR="009627CC" w:rsidRPr="006C79D6">
        <w:rPr>
          <w:rFonts w:ascii="Arial" w:hAnsi="Arial" w:cs="Arial"/>
          <w:color w:val="000000" w:themeColor="text1"/>
        </w:rPr>
        <w:t xml:space="preserve"> </w:t>
      </w:r>
      <w:r w:rsidRPr="006C79D6">
        <w:rPr>
          <w:rFonts w:ascii="Arial" w:hAnsi="Arial" w:cs="Arial"/>
          <w:color w:val="000000" w:themeColor="text1"/>
        </w:rPr>
        <w:t>ni infraestructura adecuada</w:t>
      </w:r>
      <w:r w:rsidRPr="2499D2C2">
        <w:rPr>
          <w:rFonts w:ascii="Arial" w:hAnsi="Arial" w:cs="Arial"/>
          <w:color w:val="000000" w:themeColor="text1"/>
        </w:rPr>
        <w:t xml:space="preserve"> (</w:t>
      </w:r>
      <w:r w:rsidR="009627CC" w:rsidRPr="2499D2C2">
        <w:rPr>
          <w:rFonts w:ascii="Arial" w:hAnsi="Arial" w:cs="Arial"/>
          <w:lang w:val="es-ES"/>
        </w:rPr>
        <w:t>U</w:t>
      </w:r>
      <w:r w:rsidR="009627CC">
        <w:rPr>
          <w:rFonts w:ascii="Arial" w:hAnsi="Arial" w:cs="Arial"/>
          <w:lang w:val="es-ES"/>
        </w:rPr>
        <w:t>nesco</w:t>
      </w:r>
      <w:r w:rsidRPr="2499D2C2">
        <w:rPr>
          <w:rFonts w:ascii="Arial" w:hAnsi="Arial" w:cs="Arial"/>
          <w:lang w:val="es-ES"/>
        </w:rPr>
        <w:t xml:space="preserve">, </w:t>
      </w:r>
      <w:r w:rsidRPr="5AF26A5A">
        <w:rPr>
          <w:rFonts w:ascii="Arial" w:hAnsi="Arial" w:cs="Arial"/>
          <w:lang w:val="es-ES"/>
        </w:rPr>
        <w:t>2020)</w:t>
      </w:r>
      <w:r w:rsidRPr="5AF26A5A">
        <w:rPr>
          <w:rFonts w:ascii="Arial" w:hAnsi="Arial" w:cs="Arial"/>
          <w:color w:val="000000" w:themeColor="text1"/>
        </w:rPr>
        <w:t>.</w:t>
      </w:r>
      <w:r w:rsidRPr="006C79D6">
        <w:rPr>
          <w:rFonts w:ascii="Arial" w:hAnsi="Arial" w:cs="Arial"/>
          <w:color w:val="000000" w:themeColor="text1"/>
        </w:rPr>
        <w:t xml:space="preserve"> </w:t>
      </w:r>
      <w:r w:rsidRPr="008C11C4">
        <w:rPr>
          <w:rFonts w:ascii="Arial" w:hAnsi="Arial" w:cs="Arial"/>
          <w:color w:val="000000" w:themeColor="text1"/>
          <w:lang w:val="es-ES"/>
        </w:rPr>
        <w:t>Esta diferencia se documenta en el informe de</w:t>
      </w:r>
      <w:r w:rsidR="009627CC">
        <w:rPr>
          <w:rFonts w:ascii="Arial" w:hAnsi="Arial" w:cs="Arial"/>
          <w:color w:val="000000" w:themeColor="text1"/>
          <w:lang w:val="es-ES"/>
        </w:rPr>
        <w:t xml:space="preserve"> la</w:t>
      </w:r>
      <w:r w:rsidRPr="008C11C4">
        <w:rPr>
          <w:rFonts w:ascii="Arial" w:hAnsi="Arial" w:cs="Arial"/>
          <w:color w:val="000000" w:themeColor="text1"/>
          <w:lang w:val="es-ES"/>
        </w:rPr>
        <w:t xml:space="preserve"> CEPAL </w:t>
      </w:r>
      <w:r w:rsidRPr="61D5F97E">
        <w:rPr>
          <w:rFonts w:ascii="Arial" w:hAnsi="Arial" w:cs="Arial"/>
          <w:color w:val="000000" w:themeColor="text1"/>
          <w:lang w:val="es-ES"/>
        </w:rPr>
        <w:t>y</w:t>
      </w:r>
      <w:r w:rsidRPr="008C11C4">
        <w:rPr>
          <w:rFonts w:ascii="Arial" w:hAnsi="Arial" w:cs="Arial"/>
          <w:color w:val="000000" w:themeColor="text1"/>
          <w:lang w:val="es-ES"/>
        </w:rPr>
        <w:t xml:space="preserve"> </w:t>
      </w:r>
      <w:r w:rsidR="009627CC">
        <w:rPr>
          <w:rFonts w:ascii="Arial" w:hAnsi="Arial" w:cs="Arial"/>
          <w:color w:val="000000" w:themeColor="text1"/>
          <w:lang w:val="es-ES"/>
        </w:rPr>
        <w:t xml:space="preserve">la </w:t>
      </w:r>
      <w:r w:rsidR="009627CC" w:rsidRPr="008C11C4">
        <w:rPr>
          <w:rFonts w:ascii="Arial" w:hAnsi="Arial" w:cs="Arial"/>
          <w:color w:val="000000" w:themeColor="text1"/>
          <w:lang w:val="es-ES"/>
        </w:rPr>
        <w:t>U</w:t>
      </w:r>
      <w:r w:rsidR="009627CC">
        <w:rPr>
          <w:rFonts w:ascii="Arial" w:hAnsi="Arial" w:cs="Arial"/>
          <w:color w:val="000000" w:themeColor="text1"/>
          <w:lang w:val="es-ES"/>
        </w:rPr>
        <w:t>nesco</w:t>
      </w:r>
      <w:r w:rsidR="009627CC" w:rsidRPr="008C11C4">
        <w:rPr>
          <w:rFonts w:ascii="Arial" w:hAnsi="Arial" w:cs="Arial"/>
          <w:color w:val="000000" w:themeColor="text1"/>
          <w:lang w:val="es-ES"/>
        </w:rPr>
        <w:t xml:space="preserve"> </w:t>
      </w:r>
      <w:r w:rsidRPr="008C11C4">
        <w:rPr>
          <w:rFonts w:ascii="Arial" w:hAnsi="Arial" w:cs="Arial"/>
          <w:color w:val="000000" w:themeColor="text1"/>
          <w:lang w:val="es-ES"/>
        </w:rPr>
        <w:t xml:space="preserve">(2020), </w:t>
      </w:r>
      <w:r w:rsidR="009627CC">
        <w:rPr>
          <w:rFonts w:ascii="Arial" w:hAnsi="Arial" w:cs="Arial"/>
          <w:color w:val="000000" w:themeColor="text1"/>
          <w:lang w:val="es-ES"/>
        </w:rPr>
        <w:t>el cual</w:t>
      </w:r>
      <w:r w:rsidR="009627CC" w:rsidRPr="008C11C4">
        <w:rPr>
          <w:rFonts w:ascii="Arial" w:hAnsi="Arial" w:cs="Arial"/>
          <w:color w:val="000000" w:themeColor="text1"/>
          <w:lang w:val="es-ES"/>
        </w:rPr>
        <w:t xml:space="preserve"> </w:t>
      </w:r>
      <w:r w:rsidRPr="008C11C4">
        <w:rPr>
          <w:rFonts w:ascii="Arial" w:hAnsi="Arial" w:cs="Arial"/>
          <w:color w:val="000000" w:themeColor="text1"/>
          <w:lang w:val="es-ES"/>
        </w:rPr>
        <w:t>mostró cómo las instituciones con planes de contingencia digital previos lograron mantener mayor continuidad académica que aquellas que improvisaron soluciones durante la crisis.</w:t>
      </w:r>
      <w:r w:rsidRPr="00814EE6">
        <w:rPr>
          <w:rFonts w:ascii="Arial" w:hAnsi="Arial" w:cs="Arial"/>
          <w:color w:val="000000" w:themeColor="text1"/>
        </w:rPr>
        <w:t xml:space="preserve"> </w:t>
      </w:r>
      <w:r w:rsidRPr="006C79D6">
        <w:rPr>
          <w:rFonts w:ascii="Arial" w:hAnsi="Arial" w:cs="Arial"/>
          <w:color w:val="000000" w:themeColor="text1"/>
        </w:rPr>
        <w:t>Es imperativo, entonces, institucionalizar las lecciones para no repetir improvisaciones.</w:t>
      </w:r>
    </w:p>
    <w:p w14:paraId="6BC38FEE" w14:textId="21C84172" w:rsidR="004F7551" w:rsidRPr="006C79D6" w:rsidRDefault="004F7551" w:rsidP="00656C84">
      <w:pPr>
        <w:spacing w:after="240" w:line="360" w:lineRule="auto"/>
        <w:jc w:val="both"/>
        <w:rPr>
          <w:rFonts w:ascii="Arial" w:hAnsi="Arial" w:cs="Arial"/>
          <w:color w:val="000000" w:themeColor="text1"/>
        </w:rPr>
      </w:pPr>
      <w:r w:rsidRPr="69792C27">
        <w:rPr>
          <w:rFonts w:ascii="Arial" w:hAnsi="Arial" w:cs="Arial"/>
          <w:color w:val="000000" w:themeColor="text1"/>
        </w:rPr>
        <w:t>¿Cuáles serían las capacidades por construir? En primer lugar, la planificación estratégica y normativa para la educación digital. Muchas instituciones en</w:t>
      </w:r>
      <w:r w:rsidR="00944EAC">
        <w:rPr>
          <w:rFonts w:ascii="Arial" w:hAnsi="Arial" w:cs="Arial"/>
          <w:color w:val="000000" w:themeColor="text1"/>
        </w:rPr>
        <w:t xml:space="preserve"> el</w:t>
      </w:r>
      <w:r w:rsidRPr="69792C27">
        <w:rPr>
          <w:rFonts w:ascii="Arial" w:hAnsi="Arial" w:cs="Arial"/>
          <w:color w:val="000000" w:themeColor="text1"/>
        </w:rPr>
        <w:t xml:space="preserve"> 2020 carecían de un plan de contingencia o de lineamientos claros para la educación virtual (CEPAL </w:t>
      </w:r>
      <w:r>
        <w:rPr>
          <w:rFonts w:ascii="Arial" w:hAnsi="Arial" w:cs="Arial"/>
          <w:color w:val="000000" w:themeColor="text1"/>
        </w:rPr>
        <w:t>y</w:t>
      </w:r>
      <w:r w:rsidRPr="69792C27">
        <w:rPr>
          <w:rFonts w:ascii="Arial" w:hAnsi="Arial" w:cs="Arial"/>
          <w:color w:val="000000" w:themeColor="text1"/>
        </w:rPr>
        <w:t xml:space="preserve"> </w:t>
      </w:r>
      <w:r w:rsidR="00944EAC" w:rsidRPr="69792C27">
        <w:rPr>
          <w:rFonts w:ascii="Arial" w:hAnsi="Arial" w:cs="Arial"/>
          <w:color w:val="000000" w:themeColor="text1"/>
        </w:rPr>
        <w:t>U</w:t>
      </w:r>
      <w:r w:rsidR="00944EAC">
        <w:rPr>
          <w:rFonts w:ascii="Arial" w:hAnsi="Arial" w:cs="Arial"/>
          <w:color w:val="000000" w:themeColor="text1"/>
        </w:rPr>
        <w:t>nesco</w:t>
      </w:r>
      <w:r w:rsidRPr="69792C27">
        <w:rPr>
          <w:rFonts w:ascii="Arial" w:hAnsi="Arial" w:cs="Arial"/>
          <w:color w:val="000000" w:themeColor="text1"/>
        </w:rPr>
        <w:t xml:space="preserve">, 2020). Construir capacidades significa que las universidades desarrollen planes permanentes de educación híbrida, con protocolos definidos para activación de clases en línea en caso necesario, con adecuaciones curriculares listas para distintos escenarios. </w:t>
      </w:r>
      <w:proofErr w:type="spellStart"/>
      <w:r w:rsidRPr="69792C27">
        <w:rPr>
          <w:rFonts w:ascii="Arial" w:hAnsi="Arial" w:cs="Arial"/>
          <w:i/>
          <w:iCs/>
          <w:color w:val="000000" w:themeColor="text1"/>
        </w:rPr>
        <w:t>Movingonline</w:t>
      </w:r>
      <w:proofErr w:type="spellEnd"/>
      <w:r w:rsidRPr="69792C27">
        <w:rPr>
          <w:rFonts w:ascii="Arial" w:hAnsi="Arial" w:cs="Arial"/>
          <w:color w:val="000000" w:themeColor="text1"/>
        </w:rPr>
        <w:t xml:space="preserve"> hizo evidente que la flexibilización de</w:t>
      </w:r>
      <w:r w:rsidR="0045188E">
        <w:rPr>
          <w:rFonts w:ascii="Arial" w:hAnsi="Arial" w:cs="Arial"/>
          <w:color w:val="000000" w:themeColor="text1"/>
        </w:rPr>
        <w:t xml:space="preserve"> las</w:t>
      </w:r>
      <w:r w:rsidRPr="69792C27">
        <w:rPr>
          <w:rFonts w:ascii="Arial" w:hAnsi="Arial" w:cs="Arial"/>
          <w:color w:val="000000" w:themeColor="text1"/>
        </w:rPr>
        <w:t xml:space="preserve"> normativas fue crucial en la emergencia; ahora mismo, tal flexibilidad debería incorporarse </w:t>
      </w:r>
      <w:r w:rsidR="0045188E">
        <w:rPr>
          <w:rFonts w:ascii="Arial" w:hAnsi="Arial" w:cs="Arial"/>
          <w:color w:val="000000" w:themeColor="text1"/>
        </w:rPr>
        <w:t>de forma anticipada</w:t>
      </w:r>
      <w:r w:rsidR="0045188E" w:rsidRPr="69792C27">
        <w:rPr>
          <w:rFonts w:ascii="Arial" w:hAnsi="Arial" w:cs="Arial"/>
          <w:color w:val="000000" w:themeColor="text1"/>
        </w:rPr>
        <w:t xml:space="preserve"> </w:t>
      </w:r>
      <w:r w:rsidRPr="69792C27">
        <w:rPr>
          <w:rFonts w:ascii="Arial" w:hAnsi="Arial" w:cs="Arial"/>
          <w:color w:val="000000" w:themeColor="text1"/>
        </w:rPr>
        <w:t>en la regulación interna, de modo que, ante cualquier evento disruptivo, la continuidad académica esté suficientemente garantizada.</w:t>
      </w:r>
    </w:p>
    <w:p w14:paraId="48759785" w14:textId="3DFFAC77"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segundo lugar, la infraestructura tecnológica y de apoyo debe verse como parte del fortalecimiento institucional a desarrollar. La crisis mostró que la conectividad y los sistemas de gestión de aprendizaje son tan esenciales como la energía eléctrica en una entidad educativa moderna. Futuras iniciativas deben trabajar con las administraciones para invertir en plataformas robustas, asegurar conectividad universal y establecer unidades de soporte </w:t>
      </w:r>
      <w:r w:rsidRPr="006C79D6">
        <w:rPr>
          <w:rFonts w:ascii="Arial" w:hAnsi="Arial" w:cs="Arial"/>
          <w:color w:val="000000" w:themeColor="text1"/>
        </w:rPr>
        <w:lastRenderedPageBreak/>
        <w:t xml:space="preserve">técnico-pedagógico. Idealmente, cada institución debería contar con un centro de excelencia en educación digital, </w:t>
      </w:r>
      <w:r w:rsidR="00BC3A55">
        <w:rPr>
          <w:rFonts w:ascii="Arial" w:hAnsi="Arial" w:cs="Arial"/>
          <w:color w:val="000000" w:themeColor="text1"/>
        </w:rPr>
        <w:t>capaz de proveer de</w:t>
      </w:r>
      <w:r w:rsidR="00BC3A55" w:rsidRPr="006C79D6">
        <w:rPr>
          <w:rFonts w:ascii="Arial" w:hAnsi="Arial" w:cs="Arial"/>
          <w:color w:val="000000" w:themeColor="text1"/>
        </w:rPr>
        <w:t xml:space="preserve"> </w:t>
      </w:r>
      <w:r w:rsidRPr="006C79D6">
        <w:rPr>
          <w:rFonts w:ascii="Arial" w:hAnsi="Arial" w:cs="Arial"/>
          <w:color w:val="000000" w:themeColor="text1"/>
        </w:rPr>
        <w:t>asesoría continua, capacitación interna y acompañamiento en proyectos de mejora educativa con tecnología.</w:t>
      </w:r>
    </w:p>
    <w:p w14:paraId="6242B609" w14:textId="77777777"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tercer lugar, es crucial empoderar a las personas dentro de la institución para liderar cambios. La construcción de capacidad no es solo técnica, es también humana y cultural. Futuras iniciativas deben identificar y formar agentes de cambio internos: </w:t>
      </w:r>
      <w:r w:rsidRPr="0427646F">
        <w:rPr>
          <w:rFonts w:ascii="Arial" w:hAnsi="Arial" w:cs="Arial"/>
          <w:color w:val="000000" w:themeColor="text1"/>
        </w:rPr>
        <w:t>las personas</w:t>
      </w:r>
      <w:r w:rsidRPr="006C79D6">
        <w:rPr>
          <w:rFonts w:ascii="Arial" w:hAnsi="Arial" w:cs="Arial"/>
          <w:color w:val="000000" w:themeColor="text1"/>
        </w:rPr>
        <w:t xml:space="preserve"> docentes </w:t>
      </w:r>
      <w:r w:rsidRPr="0427646F">
        <w:rPr>
          <w:rFonts w:ascii="Arial" w:hAnsi="Arial" w:cs="Arial"/>
          <w:color w:val="000000" w:themeColor="text1"/>
        </w:rPr>
        <w:t>innovadoras tempranas</w:t>
      </w:r>
      <w:r w:rsidRPr="006C79D6">
        <w:rPr>
          <w:rFonts w:ascii="Arial" w:hAnsi="Arial" w:cs="Arial"/>
          <w:color w:val="000000" w:themeColor="text1"/>
        </w:rPr>
        <w:t xml:space="preserve">, o </w:t>
      </w:r>
      <w:r w:rsidRPr="0427646F">
        <w:rPr>
          <w:rFonts w:ascii="Arial" w:hAnsi="Arial" w:cs="Arial"/>
          <w:color w:val="000000" w:themeColor="text1"/>
        </w:rPr>
        <w:t>responsables</w:t>
      </w:r>
      <w:r w:rsidRPr="006C79D6">
        <w:rPr>
          <w:rFonts w:ascii="Arial" w:hAnsi="Arial" w:cs="Arial"/>
          <w:color w:val="000000" w:themeColor="text1"/>
        </w:rPr>
        <w:t xml:space="preserve"> académicos abiertos a nuevas ideas, que puedan actuar como multiplicadores.</w:t>
      </w:r>
    </w:p>
    <w:p w14:paraId="344E669D" w14:textId="77777777"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Durante </w:t>
      </w:r>
      <w:proofErr w:type="spellStart"/>
      <w:r w:rsidRPr="00F81D99">
        <w:rPr>
          <w:rFonts w:ascii="Arial" w:hAnsi="Arial" w:cs="Arial"/>
          <w:i/>
          <w:iCs/>
          <w:color w:val="000000" w:themeColor="text1"/>
        </w:rPr>
        <w:t>Movingonline</w:t>
      </w:r>
      <w:proofErr w:type="spellEnd"/>
      <w:r w:rsidRPr="006C79D6">
        <w:rPr>
          <w:rFonts w:ascii="Arial" w:hAnsi="Arial" w:cs="Arial"/>
          <w:color w:val="000000" w:themeColor="text1"/>
        </w:rPr>
        <w:t xml:space="preserve">, se observó que </w:t>
      </w:r>
      <w:r w:rsidRPr="0427646F">
        <w:rPr>
          <w:rFonts w:ascii="Arial" w:hAnsi="Arial" w:cs="Arial"/>
          <w:color w:val="000000" w:themeColor="text1"/>
        </w:rPr>
        <w:t>las personas</w:t>
      </w:r>
      <w:r w:rsidRPr="006C79D6">
        <w:rPr>
          <w:rFonts w:ascii="Arial" w:hAnsi="Arial" w:cs="Arial"/>
          <w:color w:val="000000" w:themeColor="text1"/>
        </w:rPr>
        <w:t xml:space="preserve"> docentes </w:t>
      </w:r>
      <w:r w:rsidRPr="0427646F">
        <w:rPr>
          <w:rFonts w:ascii="Arial" w:hAnsi="Arial" w:cs="Arial"/>
          <w:color w:val="000000" w:themeColor="text1"/>
        </w:rPr>
        <w:t>motivadas</w:t>
      </w:r>
      <w:r>
        <w:rPr>
          <w:rFonts w:ascii="Arial" w:hAnsi="Arial" w:cs="Arial"/>
          <w:color w:val="000000" w:themeColor="text1"/>
        </w:rPr>
        <w:t>,</w:t>
      </w:r>
      <w:r w:rsidRPr="006C79D6">
        <w:rPr>
          <w:rFonts w:ascii="Arial" w:hAnsi="Arial" w:cs="Arial"/>
          <w:color w:val="000000" w:themeColor="text1"/>
        </w:rPr>
        <w:t xml:space="preserve"> con competencias digitales y con el respaldo institucional adecuado</w:t>
      </w:r>
      <w:r>
        <w:rPr>
          <w:rFonts w:ascii="Arial" w:hAnsi="Arial" w:cs="Arial"/>
          <w:color w:val="000000" w:themeColor="text1"/>
        </w:rPr>
        <w:t>,</w:t>
      </w:r>
      <w:r w:rsidRPr="006C79D6">
        <w:rPr>
          <w:rFonts w:ascii="Arial" w:hAnsi="Arial" w:cs="Arial"/>
          <w:color w:val="000000" w:themeColor="text1"/>
        </w:rPr>
        <w:t xml:space="preserve"> se consideraban a sí </w:t>
      </w:r>
      <w:r w:rsidRPr="0427646F">
        <w:rPr>
          <w:rFonts w:ascii="Arial" w:hAnsi="Arial" w:cs="Arial"/>
          <w:color w:val="000000" w:themeColor="text1"/>
        </w:rPr>
        <w:t>mismas</w:t>
      </w:r>
      <w:r w:rsidRPr="006C79D6">
        <w:rPr>
          <w:rFonts w:ascii="Arial" w:hAnsi="Arial" w:cs="Arial"/>
          <w:color w:val="000000" w:themeColor="text1"/>
        </w:rPr>
        <w:t xml:space="preserve"> más capaces de atender a las necesidades de su contexto.</w:t>
      </w:r>
    </w:p>
    <w:p w14:paraId="3EC36BBA" w14:textId="77777777" w:rsidR="004F7551" w:rsidRPr="006C79D6" w:rsidRDefault="004F7551" w:rsidP="00656C84">
      <w:pPr>
        <w:snapToGrid w:val="0"/>
        <w:spacing w:after="240" w:line="360" w:lineRule="auto"/>
        <w:jc w:val="both"/>
        <w:rPr>
          <w:rFonts w:ascii="Arial" w:hAnsi="Arial" w:cs="Arial"/>
          <w:color w:val="000000" w:themeColor="text1"/>
        </w:rPr>
      </w:pPr>
      <w:r w:rsidRPr="006C79D6">
        <w:rPr>
          <w:rFonts w:ascii="Arial" w:hAnsi="Arial" w:cs="Arial"/>
          <w:color w:val="000000" w:themeColor="text1"/>
        </w:rPr>
        <w:t xml:space="preserve">Un enfoque proactivo sería que cada facultad o departamento cuente con </w:t>
      </w:r>
      <w:r w:rsidRPr="0427646F">
        <w:rPr>
          <w:rFonts w:ascii="Arial" w:hAnsi="Arial" w:cs="Arial"/>
          <w:color w:val="000000" w:themeColor="text1"/>
        </w:rPr>
        <w:t xml:space="preserve">un reconocido liderazgo </w:t>
      </w:r>
      <w:r w:rsidRPr="006C79D6">
        <w:rPr>
          <w:rFonts w:ascii="Arial" w:hAnsi="Arial" w:cs="Arial"/>
          <w:color w:val="000000" w:themeColor="text1"/>
        </w:rPr>
        <w:t>en pedagogía digital, que reciba formación avanzada y tenga horas asignadas para apoyar a colegas</w:t>
      </w:r>
      <w:r>
        <w:rPr>
          <w:rFonts w:ascii="Arial" w:hAnsi="Arial" w:cs="Arial"/>
          <w:color w:val="000000" w:themeColor="text1"/>
        </w:rPr>
        <w:t xml:space="preserve"> y</w:t>
      </w:r>
      <w:r w:rsidRPr="006C79D6">
        <w:rPr>
          <w:rFonts w:ascii="Arial" w:hAnsi="Arial" w:cs="Arial"/>
          <w:color w:val="000000" w:themeColor="text1"/>
        </w:rPr>
        <w:t xml:space="preserve"> desarrollar recursos educativos abiertos adaptados a la institución, </w:t>
      </w:r>
      <w:r>
        <w:rPr>
          <w:rFonts w:ascii="Arial" w:hAnsi="Arial" w:cs="Arial"/>
          <w:color w:val="000000" w:themeColor="text1"/>
        </w:rPr>
        <w:t>entre otras tareas</w:t>
      </w:r>
      <w:r w:rsidRPr="006C79D6">
        <w:rPr>
          <w:rFonts w:ascii="Arial" w:hAnsi="Arial" w:cs="Arial"/>
          <w:color w:val="000000" w:themeColor="text1"/>
        </w:rPr>
        <w:t>.</w:t>
      </w:r>
    </w:p>
    <w:p w14:paraId="6A089E7A" w14:textId="671FF4CA" w:rsidR="004F7551" w:rsidRPr="006C79D6"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Asimismo, las alianzas interinstitucionales y el aprendizaje colaborativo entre universidades se revelan como estrategia para construir capacidad sectorial. El BID (</w:t>
      </w:r>
      <w:proofErr w:type="spellStart"/>
      <w:r>
        <w:rPr>
          <w:rFonts w:ascii="Arial" w:hAnsi="Arial" w:cs="Arial"/>
          <w:color w:val="000000" w:themeColor="text1"/>
        </w:rPr>
        <w:t>Lustosa</w:t>
      </w:r>
      <w:proofErr w:type="spellEnd"/>
      <w:r>
        <w:rPr>
          <w:rFonts w:ascii="Arial" w:hAnsi="Arial" w:cs="Arial"/>
          <w:color w:val="000000" w:themeColor="text1"/>
        </w:rPr>
        <w:t xml:space="preserve"> Rosario </w:t>
      </w:r>
      <w:r w:rsidRPr="00BE059F">
        <w:rPr>
          <w:rFonts w:ascii="Arial" w:hAnsi="Arial" w:cs="Arial"/>
          <w:i/>
          <w:iCs/>
          <w:color w:val="000000" w:themeColor="text1"/>
        </w:rPr>
        <w:t>et al</w:t>
      </w:r>
      <w:r w:rsidRPr="008C11C4">
        <w:rPr>
          <w:rFonts w:ascii="Arial" w:hAnsi="Arial" w:cs="Arial"/>
          <w:color w:val="000000" w:themeColor="text1"/>
        </w:rPr>
        <w:t>.</w:t>
      </w:r>
      <w:r>
        <w:rPr>
          <w:rFonts w:ascii="Arial" w:hAnsi="Arial" w:cs="Arial"/>
          <w:i/>
          <w:iCs/>
          <w:color w:val="000000" w:themeColor="text1"/>
        </w:rPr>
        <w:t>,</w:t>
      </w:r>
      <w:r>
        <w:rPr>
          <w:rFonts w:ascii="Arial" w:hAnsi="Arial" w:cs="Arial"/>
          <w:color w:val="000000" w:themeColor="text1"/>
        </w:rPr>
        <w:t xml:space="preserve"> </w:t>
      </w:r>
      <w:r w:rsidRPr="006C79D6">
        <w:rPr>
          <w:rFonts w:ascii="Arial" w:hAnsi="Arial" w:cs="Arial"/>
          <w:color w:val="000000" w:themeColor="text1"/>
        </w:rPr>
        <w:t xml:space="preserve">2021) encontró que un tercio de las instituciones de educación superior en América Latina y el Caribe </w:t>
      </w:r>
      <w:r w:rsidR="005D685A">
        <w:rPr>
          <w:rFonts w:ascii="Arial" w:hAnsi="Arial" w:cs="Arial"/>
          <w:color w:val="000000" w:themeColor="text1"/>
        </w:rPr>
        <w:t>aprobaba</w:t>
      </w:r>
      <w:r w:rsidRPr="006C79D6">
        <w:rPr>
          <w:rFonts w:ascii="Arial" w:hAnsi="Arial" w:cs="Arial"/>
          <w:color w:val="000000" w:themeColor="text1"/>
        </w:rPr>
        <w:t xml:space="preserve"> la creación de redes regionales de colaboración para apoyarse mutuamente en la construcción de capacidades digitales. </w:t>
      </w:r>
      <w:r w:rsidRPr="008C11C4">
        <w:rPr>
          <w:rFonts w:ascii="Arial" w:hAnsi="Arial" w:cs="Arial"/>
          <w:color w:val="000000" w:themeColor="text1"/>
          <w:lang w:val="es-ES"/>
        </w:rPr>
        <w:t xml:space="preserve">Este hallazgo del estudio del BID sobre </w:t>
      </w:r>
      <w:r w:rsidR="005D685A">
        <w:rPr>
          <w:rFonts w:ascii="Arial" w:hAnsi="Arial" w:cs="Arial"/>
          <w:color w:val="000000" w:themeColor="text1"/>
          <w:lang w:val="es-ES"/>
        </w:rPr>
        <w:t xml:space="preserve">la </w:t>
      </w:r>
      <w:r w:rsidRPr="008C11C4">
        <w:rPr>
          <w:rFonts w:ascii="Arial" w:hAnsi="Arial" w:cs="Arial"/>
          <w:color w:val="000000" w:themeColor="text1"/>
          <w:lang w:val="es-ES"/>
        </w:rPr>
        <w:lastRenderedPageBreak/>
        <w:t xml:space="preserve">transformación digital en educación superior refuerza la importancia de institucionalizar la colaboración como estrategia sistemática, no solo como </w:t>
      </w:r>
      <w:r w:rsidR="005C34A7">
        <w:rPr>
          <w:rFonts w:ascii="Arial" w:hAnsi="Arial" w:cs="Arial"/>
          <w:color w:val="000000" w:themeColor="text1"/>
          <w:lang w:val="es-ES"/>
        </w:rPr>
        <w:t xml:space="preserve">una </w:t>
      </w:r>
      <w:r w:rsidRPr="008C11C4">
        <w:rPr>
          <w:rFonts w:ascii="Arial" w:hAnsi="Arial" w:cs="Arial"/>
          <w:color w:val="000000" w:themeColor="text1"/>
          <w:lang w:val="es-ES"/>
        </w:rPr>
        <w:t>respuesta a emergencias</w:t>
      </w:r>
      <w:r>
        <w:rPr>
          <w:rFonts w:ascii="Arial" w:hAnsi="Arial" w:cs="Arial"/>
          <w:color w:val="000000" w:themeColor="text1"/>
          <w:lang w:val="es-ES"/>
        </w:rPr>
        <w:t>.</w:t>
      </w:r>
      <w:r w:rsidRPr="009B2F88">
        <w:rPr>
          <w:rFonts w:ascii="Arial" w:hAnsi="Arial" w:cs="Arial"/>
          <w:color w:val="000000" w:themeColor="text1"/>
        </w:rPr>
        <w:t xml:space="preserve"> </w:t>
      </w:r>
      <w:r w:rsidRPr="006C79D6">
        <w:rPr>
          <w:rFonts w:ascii="Arial" w:hAnsi="Arial" w:cs="Arial"/>
          <w:color w:val="000000" w:themeColor="text1"/>
        </w:rPr>
        <w:t xml:space="preserve">Aprovechar estas sinergias de manera sistemática aceleraría la curva de aprendizaje del conjunto, </w:t>
      </w:r>
      <w:r w:rsidR="005C34A7">
        <w:rPr>
          <w:rFonts w:ascii="Arial" w:hAnsi="Arial" w:cs="Arial"/>
          <w:color w:val="000000" w:themeColor="text1"/>
        </w:rPr>
        <w:t>al reducir</w:t>
      </w:r>
      <w:r w:rsidR="005C34A7" w:rsidRPr="006C79D6">
        <w:rPr>
          <w:rFonts w:ascii="Arial" w:hAnsi="Arial" w:cs="Arial"/>
          <w:color w:val="000000" w:themeColor="text1"/>
        </w:rPr>
        <w:t xml:space="preserve"> </w:t>
      </w:r>
      <w:r w:rsidRPr="006C79D6">
        <w:rPr>
          <w:rFonts w:ascii="Arial" w:hAnsi="Arial" w:cs="Arial"/>
          <w:color w:val="000000" w:themeColor="text1"/>
        </w:rPr>
        <w:t xml:space="preserve">los costos y </w:t>
      </w:r>
      <w:r w:rsidR="005C34A7">
        <w:rPr>
          <w:rFonts w:ascii="Arial" w:hAnsi="Arial" w:cs="Arial"/>
          <w:color w:val="000000" w:themeColor="text1"/>
        </w:rPr>
        <w:t>evitar</w:t>
      </w:r>
      <w:r w:rsidR="005C34A7" w:rsidRPr="006C79D6">
        <w:rPr>
          <w:rFonts w:ascii="Arial" w:hAnsi="Arial" w:cs="Arial"/>
          <w:color w:val="000000" w:themeColor="text1"/>
        </w:rPr>
        <w:t xml:space="preserve"> </w:t>
      </w:r>
      <w:r w:rsidRPr="006C79D6">
        <w:rPr>
          <w:rFonts w:ascii="Arial" w:hAnsi="Arial" w:cs="Arial"/>
          <w:color w:val="000000" w:themeColor="text1"/>
        </w:rPr>
        <w:t>la duplicación de esfuerzos.</w:t>
      </w:r>
    </w:p>
    <w:p w14:paraId="268CF423" w14:textId="5E24A952" w:rsidR="001A2995" w:rsidRDefault="004F7551" w:rsidP="00656C84">
      <w:pPr>
        <w:spacing w:after="240" w:line="360" w:lineRule="auto"/>
        <w:jc w:val="both"/>
        <w:rPr>
          <w:rFonts w:ascii="Arial" w:hAnsi="Arial" w:cs="Arial"/>
          <w:color w:val="000000" w:themeColor="text1"/>
        </w:rPr>
      </w:pPr>
      <w:r w:rsidRPr="006C79D6">
        <w:rPr>
          <w:rFonts w:ascii="Arial" w:hAnsi="Arial" w:cs="Arial"/>
          <w:color w:val="000000" w:themeColor="text1"/>
        </w:rPr>
        <w:t xml:space="preserve">En suma, construir capacidades institucionales de manera proactiva requiere un enfoque integral: políticas y planes claros, infraestructura y soporte robustos, personas formadas y empoderadas, redes de colaboración, liderazgo comprometido y financiamiento sostenible. La experiencia de </w:t>
      </w:r>
      <w:proofErr w:type="spellStart"/>
      <w:r w:rsidRPr="00F81D99">
        <w:rPr>
          <w:rFonts w:ascii="Arial" w:hAnsi="Arial" w:cs="Arial"/>
          <w:i/>
          <w:iCs/>
          <w:color w:val="000000" w:themeColor="text1"/>
        </w:rPr>
        <w:t>Movingonline</w:t>
      </w:r>
      <w:proofErr w:type="spellEnd"/>
      <w:r w:rsidRPr="006C79D6">
        <w:rPr>
          <w:rFonts w:ascii="Arial" w:hAnsi="Arial" w:cs="Arial"/>
          <w:color w:val="000000" w:themeColor="text1"/>
        </w:rPr>
        <w:t xml:space="preserve"> dejó la convicción de que invertir por anticipado en la preparación </w:t>
      </w:r>
      <w:r w:rsidR="00C77807">
        <w:rPr>
          <w:rFonts w:ascii="Arial" w:hAnsi="Arial" w:cs="Arial"/>
          <w:color w:val="000000" w:themeColor="text1"/>
        </w:rPr>
        <w:t>da</w:t>
      </w:r>
      <w:r w:rsidR="00C77807" w:rsidRPr="006C79D6">
        <w:rPr>
          <w:rFonts w:ascii="Arial" w:hAnsi="Arial" w:cs="Arial"/>
          <w:color w:val="000000" w:themeColor="text1"/>
        </w:rPr>
        <w:t xml:space="preserve"> </w:t>
      </w:r>
      <w:r w:rsidRPr="006C79D6">
        <w:rPr>
          <w:rFonts w:ascii="Arial" w:hAnsi="Arial" w:cs="Arial"/>
          <w:color w:val="000000" w:themeColor="text1"/>
        </w:rPr>
        <w:t>enormes dividendos en resiliencia.</w:t>
      </w:r>
    </w:p>
    <w:p w14:paraId="16B83D76" w14:textId="77777777" w:rsidR="004F7551" w:rsidRPr="00F81D99" w:rsidRDefault="004F7551" w:rsidP="00656C84">
      <w:pPr>
        <w:spacing w:after="240" w:line="360" w:lineRule="auto"/>
        <w:jc w:val="both"/>
        <w:rPr>
          <w:rFonts w:ascii="Arial" w:hAnsi="Arial" w:cs="Arial"/>
          <w:b/>
          <w:bCs/>
        </w:rPr>
      </w:pPr>
      <w:r w:rsidRPr="00F81D99">
        <w:rPr>
          <w:rFonts w:ascii="Arial" w:hAnsi="Arial" w:cs="Arial"/>
          <w:b/>
          <w:bCs/>
        </w:rPr>
        <w:t>Conclusiones</w:t>
      </w:r>
    </w:p>
    <w:p w14:paraId="351A9E13" w14:textId="43D16733" w:rsidR="004F7551" w:rsidRPr="006C79D6" w:rsidRDefault="004F7551" w:rsidP="00656C84">
      <w:pPr>
        <w:spacing w:after="240" w:line="360" w:lineRule="auto"/>
        <w:jc w:val="both"/>
        <w:rPr>
          <w:rFonts w:ascii="Arial" w:hAnsi="Arial" w:cs="Arial"/>
        </w:rPr>
      </w:pPr>
      <w:r w:rsidRPr="006C79D6">
        <w:rPr>
          <w:rFonts w:ascii="Arial" w:hAnsi="Arial" w:cs="Arial"/>
        </w:rPr>
        <w:t xml:space="preserve">La iniciativa </w:t>
      </w:r>
      <w:proofErr w:type="spellStart"/>
      <w:r w:rsidRPr="00F81D99">
        <w:rPr>
          <w:rFonts w:ascii="Arial" w:hAnsi="Arial" w:cs="Arial"/>
          <w:i/>
          <w:iCs/>
        </w:rPr>
        <w:t>Movingonline</w:t>
      </w:r>
      <w:proofErr w:type="spellEnd"/>
      <w:r w:rsidRPr="006C79D6">
        <w:rPr>
          <w:rFonts w:ascii="Arial" w:hAnsi="Arial" w:cs="Arial"/>
        </w:rPr>
        <w:t xml:space="preserve">, impulsada en el contexto dramático de la pandemia, ofreció aprendizajes significativos para la transformación educativa en América Latina. A través de esta reflexión, </w:t>
      </w:r>
      <w:r w:rsidR="00746B3B">
        <w:rPr>
          <w:rFonts w:ascii="Arial" w:hAnsi="Arial" w:cs="Arial"/>
        </w:rPr>
        <w:t>se ha</w:t>
      </w:r>
      <w:r w:rsidR="00FF1134">
        <w:rPr>
          <w:rFonts w:ascii="Arial" w:hAnsi="Arial" w:cs="Arial"/>
        </w:rPr>
        <w:t>n</w:t>
      </w:r>
      <w:r w:rsidR="00746B3B" w:rsidRPr="006C79D6">
        <w:rPr>
          <w:rFonts w:ascii="Arial" w:hAnsi="Arial" w:cs="Arial"/>
        </w:rPr>
        <w:t xml:space="preserve"> </w:t>
      </w:r>
      <w:r w:rsidRPr="006C79D6">
        <w:rPr>
          <w:rFonts w:ascii="Arial" w:hAnsi="Arial" w:cs="Arial"/>
        </w:rPr>
        <w:t>articulado esos aprendizajes con referentes teóricos y recomendaciones de organismos internacionales, lo que permite extraer conclusiones integradoras.</w:t>
      </w:r>
    </w:p>
    <w:p w14:paraId="592F204F" w14:textId="5370D8CE" w:rsidR="004F7551" w:rsidRPr="006C79D6" w:rsidRDefault="004F7551" w:rsidP="00656C84">
      <w:pPr>
        <w:spacing w:after="240" w:line="360" w:lineRule="auto"/>
        <w:jc w:val="both"/>
        <w:rPr>
          <w:rFonts w:ascii="Arial" w:hAnsi="Arial" w:cs="Arial"/>
        </w:rPr>
      </w:pPr>
      <w:r w:rsidRPr="006C79D6">
        <w:rPr>
          <w:rFonts w:ascii="Arial" w:hAnsi="Arial" w:cs="Arial"/>
        </w:rPr>
        <w:t xml:space="preserve">En primer lugar, </w:t>
      </w:r>
      <w:r w:rsidR="00FF1134">
        <w:rPr>
          <w:rFonts w:ascii="Arial" w:hAnsi="Arial" w:cs="Arial"/>
        </w:rPr>
        <w:t>se entiende</w:t>
      </w:r>
      <w:r w:rsidR="00FF1134" w:rsidRPr="006C79D6">
        <w:rPr>
          <w:rFonts w:ascii="Arial" w:hAnsi="Arial" w:cs="Arial"/>
        </w:rPr>
        <w:t xml:space="preserve"> </w:t>
      </w:r>
      <w:r w:rsidRPr="006C79D6">
        <w:rPr>
          <w:rFonts w:ascii="Arial" w:hAnsi="Arial" w:cs="Arial"/>
        </w:rPr>
        <w:t xml:space="preserve">que el desarrollo profesional a largo plazo </w:t>
      </w:r>
      <w:r w:rsidRPr="0427646F">
        <w:rPr>
          <w:rFonts w:ascii="Arial" w:hAnsi="Arial" w:cs="Arial"/>
        </w:rPr>
        <w:t>del personal</w:t>
      </w:r>
      <w:r w:rsidRPr="006C79D6">
        <w:rPr>
          <w:rFonts w:ascii="Arial" w:hAnsi="Arial" w:cs="Arial"/>
        </w:rPr>
        <w:t xml:space="preserve"> docente y </w:t>
      </w:r>
      <w:r w:rsidRPr="0427646F">
        <w:rPr>
          <w:rFonts w:ascii="Arial" w:hAnsi="Arial" w:cs="Arial"/>
        </w:rPr>
        <w:t>administrativo</w:t>
      </w:r>
      <w:r w:rsidRPr="006C79D6">
        <w:rPr>
          <w:rFonts w:ascii="Arial" w:hAnsi="Arial" w:cs="Arial"/>
        </w:rPr>
        <w:t xml:space="preserve"> debe asumir un carácter permanente, integral y anticipatorio. La transformación digital de la educación exige docentes competentes no solo en el uso de tecnologías, sino en la reinvención de sus prácticas con apoyo digital; y esto solo se logra mediante programas continuos que acompañen </w:t>
      </w:r>
      <w:r w:rsidRPr="0E4C8B29">
        <w:rPr>
          <w:rFonts w:ascii="Arial" w:hAnsi="Arial" w:cs="Arial"/>
        </w:rPr>
        <w:t>a</w:t>
      </w:r>
      <w:r w:rsidRPr="006C79D6">
        <w:rPr>
          <w:rFonts w:ascii="Arial" w:hAnsi="Arial" w:cs="Arial"/>
        </w:rPr>
        <w:t xml:space="preserve"> </w:t>
      </w:r>
      <w:r w:rsidRPr="0427646F">
        <w:rPr>
          <w:rFonts w:ascii="Arial" w:hAnsi="Arial" w:cs="Arial"/>
        </w:rPr>
        <w:t>las personas</w:t>
      </w:r>
      <w:r w:rsidRPr="0427646F" w:rsidDel="006C79D6">
        <w:rPr>
          <w:rFonts w:ascii="Arial" w:hAnsi="Arial" w:cs="Arial"/>
        </w:rPr>
        <w:t xml:space="preserve"> </w:t>
      </w:r>
      <w:r w:rsidRPr="0427646F">
        <w:rPr>
          <w:rFonts w:ascii="Arial" w:hAnsi="Arial" w:cs="Arial"/>
        </w:rPr>
        <w:t>docentes</w:t>
      </w:r>
      <w:r w:rsidRPr="006C79D6">
        <w:rPr>
          <w:rFonts w:ascii="Arial" w:hAnsi="Arial" w:cs="Arial"/>
        </w:rPr>
        <w:t xml:space="preserve"> a lo largo de su carrera. Además, la perspectiva de educación híbrida que prevalecerá requiere de profesionales de la educación </w:t>
      </w:r>
      <w:r w:rsidRPr="006C79D6">
        <w:rPr>
          <w:rFonts w:ascii="Arial" w:hAnsi="Arial" w:cs="Arial"/>
        </w:rPr>
        <w:lastRenderedPageBreak/>
        <w:t>dúctiles, capaces de moverse entre lo presencial y lo virtual fluidamente. Por tanto, los sistemas educativos y las universidades deben incorporar la formación continua docente como un elemento estratégico de largo plazo, con visión de futuro y no solo como respuesta reactiva ante urgencias.</w:t>
      </w:r>
    </w:p>
    <w:p w14:paraId="7FF755A1" w14:textId="1F4DB9F8" w:rsidR="004F7551" w:rsidRPr="006C79D6" w:rsidRDefault="004F7551" w:rsidP="00656C84">
      <w:pPr>
        <w:spacing w:after="240" w:line="360" w:lineRule="auto"/>
        <w:jc w:val="both"/>
        <w:rPr>
          <w:rFonts w:ascii="Arial" w:hAnsi="Arial" w:cs="Arial"/>
        </w:rPr>
      </w:pPr>
      <w:r w:rsidRPr="006C79D6">
        <w:rPr>
          <w:rFonts w:ascii="Arial" w:hAnsi="Arial" w:cs="Arial"/>
        </w:rPr>
        <w:t xml:space="preserve">En segundo lugar, </w:t>
      </w:r>
      <w:r w:rsidR="00D85374">
        <w:rPr>
          <w:rFonts w:ascii="Arial" w:hAnsi="Arial" w:cs="Arial"/>
        </w:rPr>
        <w:t>se identificó</w:t>
      </w:r>
      <w:r w:rsidR="00D85374" w:rsidRPr="006C79D6">
        <w:rPr>
          <w:rFonts w:ascii="Arial" w:hAnsi="Arial" w:cs="Arial"/>
        </w:rPr>
        <w:t xml:space="preserve"> </w:t>
      </w:r>
      <w:r w:rsidRPr="006C79D6">
        <w:rPr>
          <w:rFonts w:ascii="Arial" w:hAnsi="Arial" w:cs="Arial"/>
        </w:rPr>
        <w:t xml:space="preserve">que los formatos, modalidades y contenidos de la formación continua necesitan innovarse para estar a la altura de los desafíos actuales. La experiencia de </w:t>
      </w:r>
      <w:proofErr w:type="spellStart"/>
      <w:r w:rsidRPr="00F81D99">
        <w:rPr>
          <w:rFonts w:ascii="Arial" w:hAnsi="Arial" w:cs="Arial"/>
          <w:i/>
          <w:iCs/>
        </w:rPr>
        <w:t>Movingonline</w:t>
      </w:r>
      <w:proofErr w:type="spellEnd"/>
      <w:r w:rsidRPr="006C79D6">
        <w:rPr>
          <w:rFonts w:ascii="Arial" w:hAnsi="Arial" w:cs="Arial"/>
        </w:rPr>
        <w:t xml:space="preserve"> confirmó el poder de combinar elementos: formación en servicio situada, </w:t>
      </w:r>
      <w:proofErr w:type="spellStart"/>
      <w:r w:rsidRPr="006C79D6">
        <w:rPr>
          <w:rFonts w:ascii="Arial" w:hAnsi="Arial" w:cs="Arial"/>
        </w:rPr>
        <w:t>microaprendizajes</w:t>
      </w:r>
      <w:proofErr w:type="spellEnd"/>
      <w:r w:rsidRPr="006C79D6">
        <w:rPr>
          <w:rFonts w:ascii="Arial" w:hAnsi="Arial" w:cs="Arial"/>
        </w:rPr>
        <w:t xml:space="preserve"> en línea, talleres sincrónicos interactivos</w:t>
      </w:r>
      <w:r w:rsidR="00435DD1">
        <w:rPr>
          <w:rFonts w:ascii="Arial" w:hAnsi="Arial" w:cs="Arial"/>
        </w:rPr>
        <w:t xml:space="preserve">, </w:t>
      </w:r>
      <w:r w:rsidRPr="006C79D6">
        <w:rPr>
          <w:rFonts w:ascii="Arial" w:hAnsi="Arial" w:cs="Arial"/>
        </w:rPr>
        <w:t xml:space="preserve">comunidades virtuales de práctica, </w:t>
      </w:r>
      <w:r w:rsidRPr="6945EF15">
        <w:rPr>
          <w:rFonts w:ascii="Arial" w:hAnsi="Arial" w:cs="Arial"/>
        </w:rPr>
        <w:t>entre otros.</w:t>
      </w:r>
      <w:r w:rsidRPr="006C79D6">
        <w:rPr>
          <w:rFonts w:ascii="Arial" w:hAnsi="Arial" w:cs="Arial"/>
        </w:rPr>
        <w:t xml:space="preserve"> Al mismo tiempo, el enfoque de contenidos se ha desplazado desde lo instrumental </w:t>
      </w:r>
      <w:r w:rsidR="00E85898">
        <w:rPr>
          <w:rFonts w:ascii="Arial" w:hAnsi="Arial" w:cs="Arial"/>
        </w:rPr>
        <w:t>hasta</w:t>
      </w:r>
      <w:r w:rsidR="00E85898" w:rsidRPr="006C79D6">
        <w:rPr>
          <w:rFonts w:ascii="Arial" w:hAnsi="Arial" w:cs="Arial"/>
        </w:rPr>
        <w:t xml:space="preserve"> </w:t>
      </w:r>
      <w:r w:rsidRPr="006C79D6">
        <w:rPr>
          <w:rFonts w:ascii="Arial" w:hAnsi="Arial" w:cs="Arial"/>
        </w:rPr>
        <w:t xml:space="preserve">lo pedagógico y humano. La formación continua del futuro debe diseñarse bajo principios de personalización, hibridación e integralidad: personalizada en ritmo y nivel, híbrida en el sentido de aprovechar </w:t>
      </w:r>
      <w:r w:rsidR="00E85898">
        <w:rPr>
          <w:rFonts w:ascii="Arial" w:hAnsi="Arial" w:cs="Arial"/>
        </w:rPr>
        <w:t xml:space="preserve">las </w:t>
      </w:r>
      <w:r w:rsidRPr="006C79D6">
        <w:rPr>
          <w:rFonts w:ascii="Arial" w:hAnsi="Arial" w:cs="Arial"/>
        </w:rPr>
        <w:t>distintas modalidades, e integral al abarcar competencias técnicas, pedagógicas y socioemocionales.</w:t>
      </w:r>
    </w:p>
    <w:p w14:paraId="4E9D0703" w14:textId="62A8BA2E" w:rsidR="004F7551" w:rsidRDefault="004F7551" w:rsidP="00656C84">
      <w:pPr>
        <w:spacing w:after="240" w:line="360" w:lineRule="auto"/>
        <w:jc w:val="both"/>
        <w:rPr>
          <w:rFonts w:ascii="Arial" w:hAnsi="Arial" w:cs="Arial"/>
        </w:rPr>
      </w:pPr>
      <w:r w:rsidRPr="006C79D6">
        <w:rPr>
          <w:rFonts w:ascii="Arial" w:hAnsi="Arial" w:cs="Arial"/>
        </w:rPr>
        <w:t xml:space="preserve">La dinámica requerida para el desarrollo de </w:t>
      </w:r>
      <w:r w:rsidR="00E85898">
        <w:rPr>
          <w:rFonts w:ascii="Arial" w:hAnsi="Arial" w:cs="Arial"/>
        </w:rPr>
        <w:t xml:space="preserve">las </w:t>
      </w:r>
      <w:r w:rsidRPr="006C79D6">
        <w:rPr>
          <w:rFonts w:ascii="Arial" w:hAnsi="Arial" w:cs="Arial"/>
        </w:rPr>
        <w:t xml:space="preserve">capacidades docentes e institucionales requiere mecanismos apropiados para reconocer la diversidad de experiencias de aprendizaje que surgen en respuesta </w:t>
      </w:r>
      <w:r w:rsidR="00E85898">
        <w:rPr>
          <w:rFonts w:ascii="Arial" w:hAnsi="Arial" w:cs="Arial"/>
        </w:rPr>
        <w:t xml:space="preserve">de </w:t>
      </w:r>
      <w:r w:rsidRPr="006C79D6">
        <w:rPr>
          <w:rFonts w:ascii="Arial" w:hAnsi="Arial" w:cs="Arial"/>
        </w:rPr>
        <w:t xml:space="preserve">un entorno cambiante. En este particular, el reconocimiento abierto a través de las insignias digitales constituye una innovación importante para validar procesos formativos no formales, </w:t>
      </w:r>
      <w:r w:rsidR="00304CC0">
        <w:rPr>
          <w:rFonts w:ascii="Arial" w:hAnsi="Arial" w:cs="Arial"/>
        </w:rPr>
        <w:t>lo cual le permite</w:t>
      </w:r>
      <w:r w:rsidR="00304CC0" w:rsidRPr="006C79D6">
        <w:rPr>
          <w:rFonts w:ascii="Arial" w:hAnsi="Arial" w:cs="Arial"/>
        </w:rPr>
        <w:t xml:space="preserve"> </w:t>
      </w:r>
      <w:r w:rsidRPr="0427646F">
        <w:rPr>
          <w:rFonts w:ascii="Arial" w:hAnsi="Arial" w:cs="Arial"/>
        </w:rPr>
        <w:t xml:space="preserve">al personal </w:t>
      </w:r>
      <w:r w:rsidRPr="006C79D6">
        <w:rPr>
          <w:rFonts w:ascii="Arial" w:hAnsi="Arial" w:cs="Arial"/>
        </w:rPr>
        <w:t>docente documentar y compartir sus logros de manera flexible. Estas credenciales alternativas representan un paso hacia sistemas de reconocimiento más ágiles y adaptados a las necesidades de desarrollo profesional continuo.</w:t>
      </w:r>
    </w:p>
    <w:p w14:paraId="7922CBCA" w14:textId="2F114E97" w:rsidR="004F7551" w:rsidRDefault="004F7551" w:rsidP="00656C84">
      <w:pPr>
        <w:spacing w:after="240" w:line="360" w:lineRule="auto"/>
        <w:jc w:val="both"/>
        <w:rPr>
          <w:rFonts w:ascii="Arial" w:hAnsi="Arial" w:cs="Arial"/>
          <w:lang w:val="es-ES"/>
        </w:rPr>
      </w:pPr>
      <w:r w:rsidRPr="008C11C4">
        <w:rPr>
          <w:rFonts w:ascii="Arial" w:hAnsi="Arial" w:cs="Arial"/>
          <w:lang w:val="es-ES"/>
        </w:rPr>
        <w:lastRenderedPageBreak/>
        <w:t>Es importante reconocer las limitaciones de esta reflexión. Como señalan Álvarez Marinelli</w:t>
      </w:r>
      <w:r w:rsidRPr="00BE059F">
        <w:rPr>
          <w:rFonts w:ascii="Arial" w:hAnsi="Arial" w:cs="Arial"/>
          <w:i/>
          <w:iCs/>
          <w:lang w:val="es-ES"/>
        </w:rPr>
        <w:t xml:space="preserve"> et al.</w:t>
      </w:r>
      <w:r w:rsidRPr="008C11C4">
        <w:rPr>
          <w:rFonts w:ascii="Arial" w:hAnsi="Arial" w:cs="Arial"/>
          <w:lang w:val="es-ES"/>
        </w:rPr>
        <w:t xml:space="preserve"> (2020), las brechas en infraestructura digital y preparación docente varían significativamente entre países y contextos institucionales en América Latina, lo </w:t>
      </w:r>
      <w:r w:rsidR="00304CC0">
        <w:rPr>
          <w:rFonts w:ascii="Arial" w:hAnsi="Arial" w:cs="Arial"/>
          <w:lang w:val="es-ES"/>
        </w:rPr>
        <w:t>cual</w:t>
      </w:r>
      <w:r w:rsidR="00304CC0" w:rsidRPr="008C11C4">
        <w:rPr>
          <w:rFonts w:ascii="Arial" w:hAnsi="Arial" w:cs="Arial"/>
          <w:lang w:val="es-ES"/>
        </w:rPr>
        <w:t xml:space="preserve"> </w:t>
      </w:r>
      <w:r w:rsidRPr="008C11C4">
        <w:rPr>
          <w:rFonts w:ascii="Arial" w:hAnsi="Arial" w:cs="Arial"/>
          <w:lang w:val="es-ES"/>
        </w:rPr>
        <w:t xml:space="preserve">puede limitar la generalización directa de </w:t>
      </w:r>
      <w:r w:rsidR="00304CC0">
        <w:rPr>
          <w:rFonts w:ascii="Arial" w:hAnsi="Arial" w:cs="Arial"/>
          <w:lang w:val="es-ES"/>
        </w:rPr>
        <w:t>los</w:t>
      </w:r>
      <w:r w:rsidR="00304CC0" w:rsidRPr="008C11C4">
        <w:rPr>
          <w:rFonts w:ascii="Arial" w:hAnsi="Arial" w:cs="Arial"/>
          <w:lang w:val="es-ES"/>
        </w:rPr>
        <w:t xml:space="preserve"> </w:t>
      </w:r>
      <w:r w:rsidRPr="008C11C4">
        <w:rPr>
          <w:rFonts w:ascii="Arial" w:hAnsi="Arial" w:cs="Arial"/>
          <w:lang w:val="es-ES"/>
        </w:rPr>
        <w:t>hallazgos a todas las realidades regionales.</w:t>
      </w:r>
    </w:p>
    <w:p w14:paraId="397EE77C" w14:textId="79F17921" w:rsidR="00EB15E0" w:rsidRDefault="004F7551" w:rsidP="00656C84">
      <w:pPr>
        <w:spacing w:after="240" w:line="360" w:lineRule="auto"/>
        <w:jc w:val="both"/>
        <w:rPr>
          <w:rFonts w:ascii="Arial" w:hAnsi="Arial" w:cs="Arial"/>
        </w:rPr>
      </w:pPr>
      <w:r w:rsidRPr="006C79D6">
        <w:rPr>
          <w:rFonts w:ascii="Arial" w:hAnsi="Arial" w:cs="Arial"/>
        </w:rPr>
        <w:t xml:space="preserve">Por último, cabe resaltar una reflexión transversal: la educación a distancia y en línea no reemplaza el encuentro humano, pero lo complementa y extiende de formas valiosas cuando se utiliza adecuadamente. Lejos de la dicotomía presencialidad </w:t>
      </w:r>
      <w:r w:rsidRPr="00BE059F">
        <w:rPr>
          <w:rFonts w:ascii="Arial" w:hAnsi="Arial" w:cs="Arial"/>
        </w:rPr>
        <w:t>versus</w:t>
      </w:r>
      <w:r w:rsidRPr="006C79D6">
        <w:rPr>
          <w:rFonts w:ascii="Arial" w:hAnsi="Arial" w:cs="Arial"/>
        </w:rPr>
        <w:t xml:space="preserve"> virtualidad, el camino recorrido invita a integrar ambas dimensiones. La pandemia derribó prejuicios y</w:t>
      </w:r>
      <w:r w:rsidR="00304CC0">
        <w:rPr>
          <w:rFonts w:ascii="Arial" w:hAnsi="Arial" w:cs="Arial"/>
        </w:rPr>
        <w:t>,</w:t>
      </w:r>
      <w:r w:rsidRPr="006C79D6">
        <w:rPr>
          <w:rFonts w:ascii="Arial" w:hAnsi="Arial" w:cs="Arial"/>
        </w:rPr>
        <w:t xml:space="preserve"> a la vez</w:t>
      </w:r>
      <w:r w:rsidR="00304CC0">
        <w:rPr>
          <w:rFonts w:ascii="Arial" w:hAnsi="Arial" w:cs="Arial"/>
        </w:rPr>
        <w:t>,</w:t>
      </w:r>
      <w:r w:rsidRPr="006C79D6">
        <w:rPr>
          <w:rFonts w:ascii="Arial" w:hAnsi="Arial" w:cs="Arial"/>
        </w:rPr>
        <w:t xml:space="preserve"> confirmó la esencia insustituible de la </w:t>
      </w:r>
      <w:r w:rsidRPr="0427646F">
        <w:rPr>
          <w:rFonts w:ascii="Arial" w:hAnsi="Arial" w:cs="Arial"/>
        </w:rPr>
        <w:t>enseñanza: docentes</w:t>
      </w:r>
      <w:r w:rsidRPr="006C79D6">
        <w:rPr>
          <w:rFonts w:ascii="Arial" w:hAnsi="Arial" w:cs="Arial"/>
        </w:rPr>
        <w:t xml:space="preserve"> y estudiantes necesitan conectarse </w:t>
      </w:r>
      <w:r>
        <w:rPr>
          <w:rFonts w:ascii="Arial" w:hAnsi="Arial" w:cs="Arial"/>
          <w:color w:val="000000" w:themeColor="text1"/>
        </w:rPr>
        <w:t>–</w:t>
      </w:r>
      <w:r w:rsidRPr="006C79D6">
        <w:rPr>
          <w:rFonts w:ascii="Arial" w:hAnsi="Arial" w:cs="Arial"/>
        </w:rPr>
        <w:t>sea en un salón de clase o a través de una pantalla</w:t>
      </w:r>
      <w:r>
        <w:rPr>
          <w:rFonts w:ascii="Arial" w:hAnsi="Arial" w:cs="Arial"/>
          <w:color w:val="000000" w:themeColor="text1"/>
        </w:rPr>
        <w:t>–</w:t>
      </w:r>
      <w:r w:rsidRPr="006C79D6">
        <w:rPr>
          <w:rFonts w:ascii="Arial" w:hAnsi="Arial" w:cs="Arial"/>
        </w:rPr>
        <w:t xml:space="preserve"> para que ocurra el aprendizaje significativo. </w:t>
      </w:r>
      <w:proofErr w:type="spellStart"/>
      <w:r w:rsidRPr="00F81D99">
        <w:rPr>
          <w:rFonts w:ascii="Arial" w:hAnsi="Arial" w:cs="Arial"/>
          <w:i/>
          <w:iCs/>
        </w:rPr>
        <w:t>Movingonline</w:t>
      </w:r>
      <w:proofErr w:type="spellEnd"/>
      <w:r w:rsidRPr="006C79D6">
        <w:rPr>
          <w:rFonts w:ascii="Arial" w:hAnsi="Arial" w:cs="Arial"/>
        </w:rPr>
        <w:t xml:space="preserve"> fue concebida como una iniciativa de emergencia, pero sus legados son de transformación permanente. </w:t>
      </w:r>
      <w:r w:rsidR="003C2803">
        <w:rPr>
          <w:rFonts w:ascii="Arial" w:hAnsi="Arial" w:cs="Arial"/>
        </w:rPr>
        <w:t>Ante esto, deben aprovecharse</w:t>
      </w:r>
      <w:r w:rsidR="003C2803" w:rsidRPr="006C79D6">
        <w:rPr>
          <w:rFonts w:ascii="Arial" w:hAnsi="Arial" w:cs="Arial"/>
        </w:rPr>
        <w:t xml:space="preserve"> </w:t>
      </w:r>
      <w:r w:rsidRPr="006C79D6">
        <w:rPr>
          <w:rFonts w:ascii="Arial" w:hAnsi="Arial" w:cs="Arial"/>
        </w:rPr>
        <w:t xml:space="preserve">esas lecciones para </w:t>
      </w:r>
      <w:proofErr w:type="spellStart"/>
      <w:r w:rsidRPr="006C79D6">
        <w:rPr>
          <w:rFonts w:ascii="Arial" w:hAnsi="Arial" w:cs="Arial"/>
        </w:rPr>
        <w:t>reimaginar</w:t>
      </w:r>
      <w:proofErr w:type="spellEnd"/>
      <w:r w:rsidRPr="006C79D6">
        <w:rPr>
          <w:rFonts w:ascii="Arial" w:hAnsi="Arial" w:cs="Arial"/>
        </w:rPr>
        <w:t xml:space="preserve"> el desarrollo profesional docente y directivo como un pilar fundamental de la transformación educativa de </w:t>
      </w:r>
      <w:r w:rsidR="003C2803">
        <w:rPr>
          <w:rFonts w:ascii="Arial" w:hAnsi="Arial" w:cs="Arial"/>
        </w:rPr>
        <w:t>la</w:t>
      </w:r>
      <w:r w:rsidR="003C2803" w:rsidRPr="006C79D6">
        <w:rPr>
          <w:rFonts w:ascii="Arial" w:hAnsi="Arial" w:cs="Arial"/>
        </w:rPr>
        <w:t xml:space="preserve"> </w:t>
      </w:r>
      <w:r w:rsidRPr="006C79D6">
        <w:rPr>
          <w:rFonts w:ascii="Arial" w:hAnsi="Arial" w:cs="Arial"/>
        </w:rPr>
        <w:t>región.</w:t>
      </w:r>
    </w:p>
    <w:p w14:paraId="1D9F103A" w14:textId="76E2E060" w:rsidR="004F7551" w:rsidRPr="008B47A6" w:rsidRDefault="009B2526" w:rsidP="00656C84">
      <w:pPr>
        <w:spacing w:after="240" w:line="360" w:lineRule="auto"/>
        <w:jc w:val="both"/>
        <w:rPr>
          <w:rFonts w:ascii="Arial" w:hAnsi="Arial" w:cs="Arial"/>
        </w:rPr>
      </w:pPr>
      <w:r>
        <w:rPr>
          <w:rFonts w:ascii="Arial" w:hAnsi="Arial" w:cs="Arial"/>
          <w:b/>
          <w:bCs/>
        </w:rPr>
        <w:t>REFERENCIAS</w:t>
      </w:r>
    </w:p>
    <w:p w14:paraId="7A3E4D92" w14:textId="7A366E3E" w:rsidR="004F7551" w:rsidRPr="00C236A2" w:rsidRDefault="004F7551" w:rsidP="00656C84">
      <w:pPr>
        <w:snapToGrid w:val="0"/>
        <w:spacing w:line="360" w:lineRule="auto"/>
        <w:ind w:left="720" w:hanging="720"/>
        <w:jc w:val="both"/>
        <w:rPr>
          <w:rFonts w:ascii="Arial" w:hAnsi="Arial" w:cs="Arial"/>
          <w:color w:val="0563C1" w:themeColor="hyperlink"/>
          <w:highlight w:val="yellow"/>
          <w:u w:val="single"/>
          <w:lang w:val="es-VE"/>
        </w:rPr>
      </w:pPr>
      <w:r w:rsidRPr="00575F44">
        <w:rPr>
          <w:rFonts w:ascii="Arial" w:hAnsi="Arial" w:cs="Arial"/>
          <w:lang w:val="es-ES"/>
        </w:rPr>
        <w:t>Álvarez Marinelli, H</w:t>
      </w:r>
      <w:r w:rsidRPr="6CF60E9C">
        <w:rPr>
          <w:rFonts w:ascii="Arial" w:hAnsi="Arial" w:cs="Arial"/>
          <w:lang w:val="es-ES"/>
        </w:rPr>
        <w:t>.,</w:t>
      </w:r>
      <w:r w:rsidRPr="00575F44">
        <w:rPr>
          <w:rFonts w:ascii="Arial" w:hAnsi="Arial" w:cs="Arial"/>
          <w:lang w:val="es-ES"/>
        </w:rPr>
        <w:t xml:space="preserve"> Arias Ortiz, E.</w:t>
      </w:r>
      <w:r w:rsidRPr="6CF60E9C">
        <w:rPr>
          <w:rFonts w:ascii="Arial" w:hAnsi="Arial" w:cs="Arial"/>
          <w:lang w:val="es-ES"/>
        </w:rPr>
        <w:t>,</w:t>
      </w:r>
      <w:r w:rsidRPr="00575F44">
        <w:rPr>
          <w:rFonts w:ascii="Arial" w:hAnsi="Arial" w:cs="Arial"/>
          <w:lang w:val="es-ES"/>
        </w:rPr>
        <w:t xml:space="preserve"> </w:t>
      </w:r>
      <w:proofErr w:type="spellStart"/>
      <w:r w:rsidRPr="00575F44">
        <w:rPr>
          <w:rFonts w:ascii="Arial" w:hAnsi="Arial" w:cs="Arial"/>
          <w:lang w:val="es-ES"/>
        </w:rPr>
        <w:t>Bergamaschi</w:t>
      </w:r>
      <w:proofErr w:type="spellEnd"/>
      <w:r w:rsidRPr="00575F44">
        <w:rPr>
          <w:rFonts w:ascii="Arial" w:hAnsi="Arial" w:cs="Arial"/>
          <w:lang w:val="es-ES"/>
        </w:rPr>
        <w:t>, A</w:t>
      </w:r>
      <w:r w:rsidRPr="6CF60E9C">
        <w:rPr>
          <w:rFonts w:ascii="Arial" w:hAnsi="Arial" w:cs="Arial"/>
          <w:lang w:val="es-ES"/>
        </w:rPr>
        <w:t>.,</w:t>
      </w:r>
      <w:r w:rsidRPr="00575F44">
        <w:rPr>
          <w:rFonts w:ascii="Arial" w:hAnsi="Arial" w:cs="Arial"/>
          <w:lang w:val="es-ES"/>
        </w:rPr>
        <w:t xml:space="preserve"> López Sánchez, Á</w:t>
      </w:r>
      <w:r w:rsidRPr="6CF60E9C">
        <w:rPr>
          <w:rFonts w:ascii="Arial" w:hAnsi="Arial" w:cs="Arial"/>
          <w:lang w:val="es-ES"/>
        </w:rPr>
        <w:t>.,</w:t>
      </w:r>
      <w:r w:rsidRPr="00575F44">
        <w:rPr>
          <w:rFonts w:ascii="Arial" w:hAnsi="Arial" w:cs="Arial"/>
          <w:lang w:val="es-ES"/>
        </w:rPr>
        <w:t xml:space="preserve"> Noli, A</w:t>
      </w:r>
      <w:r w:rsidRPr="6CF60E9C">
        <w:rPr>
          <w:rFonts w:ascii="Arial" w:hAnsi="Arial" w:cs="Arial"/>
          <w:lang w:val="es-ES"/>
        </w:rPr>
        <w:t>.,</w:t>
      </w:r>
      <w:r w:rsidRPr="00575F44">
        <w:rPr>
          <w:rFonts w:ascii="Arial" w:hAnsi="Arial" w:cs="Arial"/>
          <w:lang w:val="es-ES"/>
        </w:rPr>
        <w:t xml:space="preserve"> Ortiz Guerrero, M</w:t>
      </w:r>
      <w:r w:rsidRPr="6CF60E9C">
        <w:rPr>
          <w:rFonts w:ascii="Arial" w:hAnsi="Arial" w:cs="Arial"/>
          <w:lang w:val="es-ES"/>
        </w:rPr>
        <w:t>.,</w:t>
      </w:r>
      <w:r w:rsidRPr="00575F44">
        <w:rPr>
          <w:rFonts w:ascii="Arial" w:hAnsi="Arial" w:cs="Arial"/>
          <w:lang w:val="es-ES"/>
        </w:rPr>
        <w:t xml:space="preserve"> Pérez</w:t>
      </w:r>
      <w:r>
        <w:rPr>
          <w:rFonts w:ascii="Arial" w:hAnsi="Arial" w:cs="Arial"/>
          <w:lang w:val="es-ES"/>
        </w:rPr>
        <w:t xml:space="preserve"> </w:t>
      </w:r>
      <w:r w:rsidRPr="00575F44">
        <w:rPr>
          <w:rFonts w:ascii="Arial" w:hAnsi="Arial" w:cs="Arial"/>
          <w:lang w:val="es-ES"/>
        </w:rPr>
        <w:t>Alfaro, M</w:t>
      </w:r>
      <w:r w:rsidRPr="6CF60E9C">
        <w:rPr>
          <w:rFonts w:ascii="Arial" w:hAnsi="Arial" w:cs="Arial"/>
          <w:lang w:val="es-ES"/>
        </w:rPr>
        <w:t>.,</w:t>
      </w:r>
      <w:r w:rsidRPr="00575F44">
        <w:rPr>
          <w:rFonts w:ascii="Arial" w:hAnsi="Arial" w:cs="Arial"/>
          <w:lang w:val="es-ES"/>
        </w:rPr>
        <w:t xml:space="preserve"> </w:t>
      </w:r>
      <w:proofErr w:type="spellStart"/>
      <w:r w:rsidRPr="00575F44">
        <w:rPr>
          <w:rFonts w:ascii="Arial" w:hAnsi="Arial" w:cs="Arial"/>
          <w:lang w:val="es-ES"/>
        </w:rPr>
        <w:t>Rieble</w:t>
      </w:r>
      <w:r>
        <w:rPr>
          <w:rFonts w:ascii="Arial" w:hAnsi="Arial" w:cs="Arial"/>
          <w:lang w:val="es-ES"/>
        </w:rPr>
        <w:t>-</w:t>
      </w:r>
      <w:r w:rsidRPr="00575F44">
        <w:rPr>
          <w:rFonts w:ascii="Arial" w:hAnsi="Arial" w:cs="Arial"/>
          <w:lang w:val="es-ES"/>
        </w:rPr>
        <w:t>Aubourg</w:t>
      </w:r>
      <w:proofErr w:type="spellEnd"/>
      <w:r w:rsidRPr="00575F44">
        <w:rPr>
          <w:rFonts w:ascii="Arial" w:hAnsi="Arial" w:cs="Arial"/>
          <w:lang w:val="es-ES"/>
        </w:rPr>
        <w:t>, S</w:t>
      </w:r>
      <w:r w:rsidRPr="6CF60E9C">
        <w:rPr>
          <w:rFonts w:ascii="Arial" w:hAnsi="Arial" w:cs="Arial"/>
          <w:lang w:val="es-ES"/>
        </w:rPr>
        <w:t>.,</w:t>
      </w:r>
      <w:r w:rsidRPr="00575F44">
        <w:rPr>
          <w:rFonts w:ascii="Arial" w:hAnsi="Arial" w:cs="Arial"/>
          <w:lang w:val="es-ES"/>
        </w:rPr>
        <w:t xml:space="preserve"> Rivera, M. C</w:t>
      </w:r>
      <w:r w:rsidRPr="6CF60E9C">
        <w:rPr>
          <w:rFonts w:ascii="Arial" w:hAnsi="Arial" w:cs="Arial"/>
          <w:lang w:val="es-ES"/>
        </w:rPr>
        <w:t>.,</w:t>
      </w:r>
      <w:r w:rsidRPr="00575F44">
        <w:rPr>
          <w:rFonts w:ascii="Arial" w:hAnsi="Arial" w:cs="Arial"/>
          <w:lang w:val="es-ES"/>
        </w:rPr>
        <w:t xml:space="preserve"> </w:t>
      </w:r>
      <w:proofErr w:type="spellStart"/>
      <w:r w:rsidRPr="00575F44">
        <w:rPr>
          <w:rFonts w:ascii="Arial" w:hAnsi="Arial" w:cs="Arial"/>
          <w:lang w:val="es-ES"/>
        </w:rPr>
        <w:t>Scannone</w:t>
      </w:r>
      <w:proofErr w:type="spellEnd"/>
      <w:r w:rsidRPr="00575F44">
        <w:rPr>
          <w:rFonts w:ascii="Arial" w:hAnsi="Arial" w:cs="Arial"/>
          <w:lang w:val="es-ES"/>
        </w:rPr>
        <w:t>, R</w:t>
      </w:r>
      <w:r w:rsidRPr="6CF60E9C">
        <w:rPr>
          <w:rFonts w:ascii="Arial" w:hAnsi="Arial" w:cs="Arial"/>
          <w:lang w:val="es-ES"/>
        </w:rPr>
        <w:t>.,</w:t>
      </w:r>
      <w:r w:rsidRPr="00575F44">
        <w:rPr>
          <w:rFonts w:ascii="Arial" w:hAnsi="Arial" w:cs="Arial"/>
          <w:lang w:val="es-ES"/>
        </w:rPr>
        <w:t xml:space="preserve"> Vásquez, M</w:t>
      </w:r>
      <w:r w:rsidRPr="6CF60E9C">
        <w:rPr>
          <w:rFonts w:ascii="Arial" w:hAnsi="Arial" w:cs="Arial"/>
          <w:lang w:val="es-ES"/>
        </w:rPr>
        <w:t>.</w:t>
      </w:r>
      <w:r w:rsidR="002756C6">
        <w:rPr>
          <w:rFonts w:ascii="Arial" w:hAnsi="Arial" w:cs="Arial"/>
          <w:lang w:val="es-ES"/>
        </w:rPr>
        <w:t xml:space="preserve"> y</w:t>
      </w:r>
      <w:r w:rsidRPr="00575F44">
        <w:rPr>
          <w:rFonts w:ascii="Arial" w:hAnsi="Arial" w:cs="Arial"/>
          <w:lang w:val="es-ES"/>
        </w:rPr>
        <w:t xml:space="preserve"> Viteri, A. (2020). </w:t>
      </w:r>
      <w:r w:rsidRPr="00575F44">
        <w:rPr>
          <w:rFonts w:ascii="Arial" w:hAnsi="Arial" w:cs="Arial"/>
          <w:i/>
          <w:iCs/>
          <w:lang w:val="es-VE"/>
        </w:rPr>
        <w:t>La educación en tiempos del coronavirus: Los sistemas educativos de América Latina y el Caribe ante COVID-19</w:t>
      </w:r>
      <w:r w:rsidRPr="00575F44">
        <w:rPr>
          <w:rFonts w:ascii="Arial" w:hAnsi="Arial" w:cs="Arial"/>
          <w:lang w:val="es-VE"/>
        </w:rPr>
        <w:t xml:space="preserve">. Banco Interamericano de Desarrollo. </w:t>
      </w:r>
      <w:hyperlink r:id="rId26" w:history="1">
        <w:r w:rsidRPr="00C236A2">
          <w:rPr>
            <w:rStyle w:val="Hipervnculo"/>
            <w:rFonts w:ascii="Arial" w:hAnsi="Arial" w:cs="Arial"/>
          </w:rPr>
          <w:t>https://publications.iadb.org/publications/spanish/document/La-educacion-</w:t>
        </w:r>
        <w:r w:rsidRPr="00C236A2">
          <w:rPr>
            <w:rStyle w:val="Hipervnculo"/>
            <w:rFonts w:ascii="Arial" w:hAnsi="Arial" w:cs="Arial"/>
          </w:rPr>
          <w:lastRenderedPageBreak/>
          <w:t>en-tiempos-del-coronavirus-Los-sistemas-educativos-de-America-Latina-y-el-Caribe-ante-COVID-19.pdf</w:t>
        </w:r>
      </w:hyperlink>
    </w:p>
    <w:p w14:paraId="4332C556" w14:textId="6E870A17" w:rsidR="004F7551" w:rsidRPr="00575F44" w:rsidRDefault="004F7551" w:rsidP="00656C84">
      <w:pPr>
        <w:snapToGrid w:val="0"/>
        <w:spacing w:line="360" w:lineRule="auto"/>
        <w:ind w:left="720" w:hanging="720"/>
        <w:jc w:val="both"/>
        <w:rPr>
          <w:rFonts w:ascii="Arial" w:hAnsi="Arial" w:cs="Arial"/>
          <w:lang w:val="es-ES"/>
        </w:rPr>
      </w:pPr>
      <w:r w:rsidRPr="00575F44">
        <w:rPr>
          <w:rFonts w:ascii="Arial" w:hAnsi="Arial" w:cs="Arial"/>
          <w:lang w:val="es-ES"/>
        </w:rPr>
        <w:t>Arias Ortiz, E</w:t>
      </w:r>
      <w:r w:rsidRPr="6CF60E9C">
        <w:rPr>
          <w:rFonts w:ascii="Arial" w:hAnsi="Arial" w:cs="Arial"/>
          <w:lang w:val="es-ES"/>
        </w:rPr>
        <w:t>.,</w:t>
      </w:r>
      <w:r w:rsidRPr="00575F44">
        <w:rPr>
          <w:rFonts w:ascii="Arial" w:hAnsi="Arial" w:cs="Arial"/>
          <w:lang w:val="es-ES"/>
        </w:rPr>
        <w:t xml:space="preserve"> </w:t>
      </w:r>
      <w:proofErr w:type="spellStart"/>
      <w:r w:rsidRPr="00575F44">
        <w:rPr>
          <w:rFonts w:ascii="Arial" w:hAnsi="Arial" w:cs="Arial"/>
          <w:lang w:val="es-ES"/>
        </w:rPr>
        <w:t>Bergamaschi</w:t>
      </w:r>
      <w:proofErr w:type="spellEnd"/>
      <w:r w:rsidRPr="00575F44">
        <w:rPr>
          <w:rFonts w:ascii="Arial" w:hAnsi="Arial" w:cs="Arial"/>
          <w:lang w:val="es-ES"/>
        </w:rPr>
        <w:t>, A</w:t>
      </w:r>
      <w:r w:rsidRPr="6CF60E9C">
        <w:rPr>
          <w:rFonts w:ascii="Arial" w:hAnsi="Arial" w:cs="Arial"/>
          <w:lang w:val="es-ES"/>
        </w:rPr>
        <w:t>.,</w:t>
      </w:r>
      <w:r w:rsidRPr="00575F44">
        <w:rPr>
          <w:rFonts w:ascii="Arial" w:hAnsi="Arial" w:cs="Arial"/>
          <w:lang w:val="es-ES"/>
        </w:rPr>
        <w:t xml:space="preserve"> Pérez Alfaro, M</w:t>
      </w:r>
      <w:r w:rsidRPr="6CF60E9C">
        <w:rPr>
          <w:rFonts w:ascii="Arial" w:hAnsi="Arial" w:cs="Arial"/>
          <w:lang w:val="es-ES"/>
        </w:rPr>
        <w:t>.,</w:t>
      </w:r>
      <w:r w:rsidRPr="00575F44">
        <w:rPr>
          <w:rFonts w:ascii="Arial" w:hAnsi="Arial" w:cs="Arial"/>
          <w:lang w:val="es-ES"/>
        </w:rPr>
        <w:t xml:space="preserve"> Vásquez, M</w:t>
      </w:r>
      <w:r w:rsidRPr="6CF60E9C">
        <w:rPr>
          <w:rFonts w:ascii="Arial" w:hAnsi="Arial" w:cs="Arial"/>
          <w:lang w:val="es-ES"/>
        </w:rPr>
        <w:t>.</w:t>
      </w:r>
      <w:r w:rsidR="002756C6">
        <w:rPr>
          <w:rFonts w:ascii="Arial" w:hAnsi="Arial" w:cs="Arial"/>
          <w:lang w:val="es-ES"/>
        </w:rPr>
        <w:t xml:space="preserve"> y</w:t>
      </w:r>
      <w:r w:rsidRPr="00575F44">
        <w:rPr>
          <w:rFonts w:ascii="Arial" w:hAnsi="Arial" w:cs="Arial"/>
          <w:lang w:val="es-ES"/>
        </w:rPr>
        <w:t xml:space="preserve"> Brechner, M. (</w:t>
      </w:r>
      <w:r w:rsidR="002756C6" w:rsidRPr="00575F44">
        <w:rPr>
          <w:rFonts w:ascii="Arial" w:hAnsi="Arial" w:cs="Arial"/>
          <w:lang w:val="es-ES"/>
        </w:rPr>
        <w:t xml:space="preserve">16 de julio </w:t>
      </w:r>
      <w:r w:rsidR="002756C6">
        <w:rPr>
          <w:rFonts w:ascii="Arial" w:hAnsi="Arial" w:cs="Arial"/>
          <w:lang w:val="es-ES"/>
        </w:rPr>
        <w:t xml:space="preserve">de </w:t>
      </w:r>
      <w:r w:rsidRPr="00575F44">
        <w:rPr>
          <w:rFonts w:ascii="Arial" w:hAnsi="Arial" w:cs="Arial"/>
          <w:lang w:val="es-ES"/>
        </w:rPr>
        <w:t xml:space="preserve">2020). </w:t>
      </w:r>
      <w:r w:rsidRPr="00575F44">
        <w:rPr>
          <w:rFonts w:ascii="Arial" w:hAnsi="Arial" w:cs="Arial"/>
          <w:i/>
          <w:lang w:val="es-ES"/>
        </w:rPr>
        <w:t>De la educación a distancia a la educación híbrida: 4 elementos clave para hacerla realidad</w:t>
      </w:r>
      <w:r w:rsidRPr="00575F44">
        <w:rPr>
          <w:rFonts w:ascii="Arial" w:hAnsi="Arial" w:cs="Arial"/>
          <w:lang w:val="es-ES"/>
        </w:rPr>
        <w:t xml:space="preserve">. [Blog]. Banco Interamericano de Desarrollo. </w:t>
      </w:r>
      <w:hyperlink r:id="rId27">
        <w:r w:rsidRPr="00575F44">
          <w:rPr>
            <w:rFonts w:ascii="Arial" w:hAnsi="Arial" w:cs="Arial"/>
            <w:color w:val="1155CC"/>
            <w:u w:val="single"/>
            <w:lang w:val="es-ES"/>
          </w:rPr>
          <w:t>https://blogs.iadb.org/educacion/es/eduhibrida/</w:t>
        </w:r>
      </w:hyperlink>
    </w:p>
    <w:p w14:paraId="0DC95248" w14:textId="4D9AFA1C" w:rsidR="004F7551" w:rsidRPr="00EB57DD" w:rsidRDefault="004F7551" w:rsidP="00656C84">
      <w:pPr>
        <w:snapToGrid w:val="0"/>
        <w:spacing w:line="360" w:lineRule="auto"/>
        <w:ind w:left="720" w:hanging="720"/>
        <w:jc w:val="both"/>
        <w:rPr>
          <w:rFonts w:ascii="Arial" w:hAnsi="Arial" w:cs="Arial"/>
          <w:lang w:val="es-VE"/>
        </w:rPr>
      </w:pPr>
      <w:r w:rsidRPr="004F7551">
        <w:rPr>
          <w:rFonts w:ascii="Arial" w:hAnsi="Arial" w:cs="Arial"/>
          <w:lang w:val="en-US"/>
        </w:rPr>
        <w:t>Bergmann, J.</w:t>
      </w:r>
      <w:r w:rsidR="002756C6">
        <w:rPr>
          <w:rFonts w:ascii="Arial" w:hAnsi="Arial" w:cs="Arial"/>
          <w:lang w:val="en-US"/>
        </w:rPr>
        <w:t xml:space="preserve"> y</w:t>
      </w:r>
      <w:r w:rsidRPr="004F7551">
        <w:rPr>
          <w:rFonts w:ascii="Arial" w:hAnsi="Arial" w:cs="Arial"/>
          <w:lang w:val="en-US"/>
        </w:rPr>
        <w:t xml:space="preserve"> Sams, A. (2012). </w:t>
      </w:r>
      <w:r w:rsidRPr="004F7551">
        <w:rPr>
          <w:rFonts w:ascii="Arial" w:hAnsi="Arial" w:cs="Arial"/>
          <w:i/>
          <w:lang w:val="en-US"/>
        </w:rPr>
        <w:t>Flip your classroom: Reach every student in every class every day</w:t>
      </w:r>
      <w:r w:rsidRPr="004F7551">
        <w:rPr>
          <w:rFonts w:ascii="Arial" w:hAnsi="Arial" w:cs="Arial"/>
          <w:lang w:val="en-US"/>
        </w:rPr>
        <w:t xml:space="preserve">. </w:t>
      </w:r>
      <w:r w:rsidRPr="00EB57DD">
        <w:rPr>
          <w:rFonts w:ascii="Arial" w:hAnsi="Arial" w:cs="Arial"/>
          <w:lang w:val="es-MX"/>
        </w:rPr>
        <w:t>International Society for Technology in Education.</w:t>
      </w:r>
    </w:p>
    <w:p w14:paraId="640E38F1" w14:textId="5F3EE8AD" w:rsidR="00F77A54" w:rsidRDefault="004F7551" w:rsidP="00656C84">
      <w:pPr>
        <w:snapToGrid w:val="0"/>
        <w:spacing w:line="360" w:lineRule="auto"/>
        <w:ind w:left="720" w:hanging="720"/>
        <w:jc w:val="both"/>
        <w:rPr>
          <w:rFonts w:ascii="Arial" w:hAnsi="Arial" w:cs="Arial"/>
          <w:color w:val="1155CC"/>
          <w:u w:val="single"/>
          <w:lang w:val="es-ES"/>
        </w:rPr>
      </w:pPr>
      <w:r w:rsidRPr="102AD2EE">
        <w:rPr>
          <w:rFonts w:ascii="Arial" w:hAnsi="Arial" w:cs="Arial"/>
          <w:lang w:val="es-ES"/>
        </w:rPr>
        <w:t>Comisión</w:t>
      </w:r>
      <w:r w:rsidRPr="0FD05F64">
        <w:rPr>
          <w:rFonts w:ascii="Arial" w:hAnsi="Arial" w:cs="Arial"/>
          <w:lang w:val="es-ES"/>
        </w:rPr>
        <w:t xml:space="preserve"> Económica para América Latina y el Caribe y Organización de las Naciones Unidas para la Educación, la Ciencia y la Cultura (2020).</w:t>
      </w:r>
      <w:r w:rsidRPr="00575F44">
        <w:rPr>
          <w:rFonts w:ascii="Arial" w:hAnsi="Arial" w:cs="Arial"/>
          <w:lang w:val="es-ES"/>
        </w:rPr>
        <w:t xml:space="preserve"> </w:t>
      </w:r>
      <w:r w:rsidRPr="00575F44">
        <w:rPr>
          <w:rFonts w:ascii="Arial" w:hAnsi="Arial" w:cs="Arial"/>
          <w:i/>
          <w:lang w:val="es-ES"/>
        </w:rPr>
        <w:t>La educación en tiempos de la pandemia de COVID-19</w:t>
      </w:r>
      <w:r w:rsidRPr="00575F44">
        <w:rPr>
          <w:rFonts w:ascii="Arial" w:hAnsi="Arial" w:cs="Arial"/>
          <w:lang w:val="es-ES"/>
        </w:rPr>
        <w:t>. Naciones Unidas.</w:t>
      </w:r>
      <w:r>
        <w:rPr>
          <w:rFonts w:ascii="Arial" w:hAnsi="Arial" w:cs="Arial"/>
          <w:lang w:val="es-ES"/>
        </w:rPr>
        <w:t xml:space="preserve"> </w:t>
      </w:r>
      <w:hyperlink r:id="rId28" w:history="1">
        <w:r w:rsidR="00F77A54" w:rsidRPr="00EC6A11">
          <w:rPr>
            <w:rStyle w:val="Hipervnculo"/>
            <w:rFonts w:ascii="Arial" w:hAnsi="Arial" w:cs="Arial"/>
            <w:lang w:val="es-ES"/>
          </w:rPr>
          <w:t>https://repositorio.cepal.org/handle/11362/45904</w:t>
        </w:r>
      </w:hyperlink>
    </w:p>
    <w:p w14:paraId="119A863E" w14:textId="77777777" w:rsidR="004F7551" w:rsidRPr="00575F44" w:rsidRDefault="004F7551" w:rsidP="00656C84">
      <w:pPr>
        <w:snapToGrid w:val="0"/>
        <w:spacing w:line="360" w:lineRule="auto"/>
        <w:ind w:left="720" w:hanging="720"/>
        <w:jc w:val="both"/>
        <w:rPr>
          <w:rFonts w:ascii="Arial" w:hAnsi="Arial" w:cs="Arial"/>
          <w:lang w:val="es-ES"/>
        </w:rPr>
      </w:pPr>
      <w:r w:rsidRPr="00575F44">
        <w:rPr>
          <w:rFonts w:ascii="Arial" w:hAnsi="Arial" w:cs="Arial"/>
          <w:lang w:val="es-ES"/>
        </w:rPr>
        <w:t xml:space="preserve">Chevallard, Y. (1985). </w:t>
      </w:r>
      <w:r w:rsidRPr="00575F44">
        <w:rPr>
          <w:rFonts w:ascii="Arial" w:hAnsi="Arial" w:cs="Arial"/>
          <w:i/>
          <w:iCs/>
          <w:lang w:val="fr-FR"/>
        </w:rPr>
        <w:t xml:space="preserve">La transposition </w:t>
      </w:r>
      <w:proofErr w:type="gramStart"/>
      <w:r w:rsidRPr="00575F44">
        <w:rPr>
          <w:rFonts w:ascii="Arial" w:hAnsi="Arial" w:cs="Arial"/>
          <w:i/>
          <w:iCs/>
          <w:lang w:val="fr-FR"/>
        </w:rPr>
        <w:t>didactique:</w:t>
      </w:r>
      <w:proofErr w:type="gramEnd"/>
      <w:r w:rsidRPr="00575F44">
        <w:rPr>
          <w:rFonts w:ascii="Arial" w:hAnsi="Arial" w:cs="Arial"/>
          <w:i/>
          <w:iCs/>
          <w:lang w:val="fr-FR"/>
        </w:rPr>
        <w:t xml:space="preserve"> Du savoir savant au savoir enseigné</w:t>
      </w:r>
      <w:r w:rsidRPr="00575F44">
        <w:rPr>
          <w:rFonts w:ascii="Arial" w:hAnsi="Arial" w:cs="Arial"/>
          <w:lang w:val="fr-FR"/>
        </w:rPr>
        <w:t xml:space="preserve">. </w:t>
      </w:r>
      <w:r w:rsidRPr="00575F44">
        <w:rPr>
          <w:rFonts w:ascii="Arial" w:hAnsi="Arial" w:cs="Arial"/>
          <w:lang w:val="es-ES"/>
        </w:rPr>
        <w:t xml:space="preserve">La </w:t>
      </w:r>
      <w:proofErr w:type="spellStart"/>
      <w:r w:rsidRPr="00575F44">
        <w:rPr>
          <w:rFonts w:ascii="Arial" w:hAnsi="Arial" w:cs="Arial"/>
          <w:lang w:val="es-ES"/>
        </w:rPr>
        <w:t>Pensée</w:t>
      </w:r>
      <w:proofErr w:type="spellEnd"/>
      <w:r w:rsidRPr="00575F44">
        <w:rPr>
          <w:rFonts w:ascii="Arial" w:hAnsi="Arial" w:cs="Arial"/>
          <w:lang w:val="es-ES"/>
        </w:rPr>
        <w:t xml:space="preserve"> </w:t>
      </w:r>
      <w:proofErr w:type="spellStart"/>
      <w:r w:rsidRPr="00575F44">
        <w:rPr>
          <w:rFonts w:ascii="Arial" w:hAnsi="Arial" w:cs="Arial"/>
          <w:lang w:val="es-ES"/>
        </w:rPr>
        <w:t>Sauvage</w:t>
      </w:r>
      <w:proofErr w:type="spellEnd"/>
      <w:r w:rsidRPr="00575F44">
        <w:rPr>
          <w:rFonts w:ascii="Arial" w:hAnsi="Arial" w:cs="Arial"/>
          <w:lang w:val="es-ES"/>
        </w:rPr>
        <w:t>.</w:t>
      </w:r>
    </w:p>
    <w:p w14:paraId="701CB570" w14:textId="5564007D" w:rsidR="004F7551" w:rsidRPr="00EE7831" w:rsidRDefault="004F7551" w:rsidP="00656C84">
      <w:pPr>
        <w:snapToGrid w:val="0"/>
        <w:spacing w:line="360" w:lineRule="auto"/>
        <w:ind w:left="720" w:hanging="720"/>
        <w:jc w:val="both"/>
        <w:rPr>
          <w:rFonts w:ascii="Arial" w:hAnsi="Arial" w:cs="Arial"/>
          <w:lang w:val="es-ES"/>
        </w:rPr>
      </w:pPr>
      <w:r w:rsidRPr="00575F44">
        <w:rPr>
          <w:rFonts w:ascii="Arial" w:hAnsi="Arial" w:cs="Arial"/>
          <w:color w:val="000000" w:themeColor="text1"/>
          <w:lang w:val="es-ES"/>
        </w:rPr>
        <w:t>Dussel, I</w:t>
      </w:r>
      <w:r w:rsidRPr="3B3E632D">
        <w:rPr>
          <w:rFonts w:ascii="Arial" w:hAnsi="Arial" w:cs="Arial"/>
          <w:color w:val="000000" w:themeColor="text1"/>
          <w:lang w:val="es-ES"/>
        </w:rPr>
        <w:t xml:space="preserve">., </w:t>
      </w:r>
      <w:proofErr w:type="spellStart"/>
      <w:r w:rsidRPr="3B3E632D">
        <w:rPr>
          <w:rFonts w:ascii="Arial" w:hAnsi="Arial" w:cs="Arial"/>
          <w:color w:val="000000" w:themeColor="text1"/>
          <w:lang w:val="es-ES"/>
        </w:rPr>
        <w:t>Ferrante</w:t>
      </w:r>
      <w:proofErr w:type="spellEnd"/>
      <w:r w:rsidRPr="3B3E632D">
        <w:rPr>
          <w:rFonts w:ascii="Arial" w:hAnsi="Arial" w:cs="Arial"/>
          <w:color w:val="000000" w:themeColor="text1"/>
          <w:lang w:val="es-ES"/>
        </w:rPr>
        <w:t xml:space="preserve">, P. y </w:t>
      </w:r>
      <w:proofErr w:type="spellStart"/>
      <w:r w:rsidRPr="3B3E632D">
        <w:rPr>
          <w:rFonts w:ascii="Arial" w:hAnsi="Arial" w:cs="Arial"/>
          <w:color w:val="000000" w:themeColor="text1"/>
          <w:lang w:val="es-ES"/>
        </w:rPr>
        <w:t>Pulfer</w:t>
      </w:r>
      <w:proofErr w:type="spellEnd"/>
      <w:r w:rsidRPr="3B3E632D">
        <w:rPr>
          <w:rFonts w:ascii="Arial" w:hAnsi="Arial" w:cs="Arial"/>
          <w:color w:val="000000" w:themeColor="text1"/>
          <w:lang w:val="es-ES"/>
        </w:rPr>
        <w:t xml:space="preserve">, </w:t>
      </w:r>
      <w:r w:rsidRPr="34A1238F">
        <w:rPr>
          <w:rFonts w:ascii="Arial" w:hAnsi="Arial" w:cs="Arial"/>
          <w:color w:val="000000" w:themeColor="text1"/>
          <w:lang w:val="es-ES"/>
        </w:rPr>
        <w:t>D.</w:t>
      </w:r>
      <w:r w:rsidRPr="00575F44">
        <w:rPr>
          <w:rFonts w:ascii="Arial" w:hAnsi="Arial" w:cs="Arial"/>
          <w:color w:val="000000" w:themeColor="text1"/>
          <w:lang w:val="es-ES"/>
        </w:rPr>
        <w:t xml:space="preserve"> (2020). </w:t>
      </w:r>
      <w:r w:rsidRPr="37109E01">
        <w:rPr>
          <w:rFonts w:ascii="Arial" w:eastAsia="Arial" w:hAnsi="Arial" w:cs="Arial"/>
          <w:lang w:val="es-ES"/>
        </w:rPr>
        <w:t>Nuevas</w:t>
      </w:r>
      <w:r w:rsidRPr="4EE3294A">
        <w:rPr>
          <w:rFonts w:ascii="Arial" w:eastAsia="Arial" w:hAnsi="Arial" w:cs="Arial"/>
          <w:lang w:val="es-ES"/>
        </w:rPr>
        <w:t xml:space="preserve"> ecuaciones entre educación, sociedad, tecnología y Estado</w:t>
      </w:r>
      <w:r w:rsidRPr="4EE3294A">
        <w:rPr>
          <w:rFonts w:ascii="Arial" w:hAnsi="Arial" w:cs="Arial"/>
          <w:color w:val="000000" w:themeColor="text1"/>
          <w:lang w:val="es-ES"/>
        </w:rPr>
        <w:t>.</w:t>
      </w:r>
      <w:r w:rsidRPr="00575F44">
        <w:rPr>
          <w:rFonts w:ascii="Arial" w:hAnsi="Arial" w:cs="Arial"/>
          <w:color w:val="000000" w:themeColor="text1"/>
          <w:lang w:val="es-ES"/>
        </w:rPr>
        <w:t xml:space="preserve"> En I. Dussel</w:t>
      </w:r>
      <w:r w:rsidRPr="16A96347">
        <w:rPr>
          <w:rFonts w:ascii="Arial" w:hAnsi="Arial" w:cs="Arial"/>
          <w:color w:val="000000" w:themeColor="text1"/>
          <w:lang w:val="es-ES"/>
        </w:rPr>
        <w:t>, P</w:t>
      </w:r>
      <w:r w:rsidRPr="28A5347B">
        <w:rPr>
          <w:rFonts w:ascii="Arial" w:hAnsi="Arial" w:cs="Arial"/>
          <w:color w:val="000000" w:themeColor="text1"/>
          <w:lang w:val="es-ES"/>
        </w:rPr>
        <w:t xml:space="preserve">. </w:t>
      </w:r>
      <w:proofErr w:type="spellStart"/>
      <w:r w:rsidRPr="28A5347B">
        <w:rPr>
          <w:rFonts w:ascii="Arial" w:hAnsi="Arial" w:cs="Arial"/>
          <w:color w:val="000000" w:themeColor="text1"/>
          <w:lang w:val="es-ES"/>
        </w:rPr>
        <w:t>Ferrante</w:t>
      </w:r>
      <w:proofErr w:type="spellEnd"/>
      <w:r w:rsidRPr="00575F44">
        <w:rPr>
          <w:rFonts w:ascii="Arial" w:hAnsi="Arial" w:cs="Arial"/>
          <w:color w:val="000000" w:themeColor="text1"/>
          <w:lang w:val="es-ES"/>
        </w:rPr>
        <w:t xml:space="preserve"> </w:t>
      </w:r>
      <w:r w:rsidRPr="28A5347B">
        <w:rPr>
          <w:rFonts w:ascii="Arial" w:hAnsi="Arial" w:cs="Arial"/>
          <w:color w:val="000000" w:themeColor="text1"/>
          <w:lang w:val="es-ES"/>
        </w:rPr>
        <w:t xml:space="preserve">y </w:t>
      </w:r>
      <w:r w:rsidR="002756C6" w:rsidRPr="28A5347B">
        <w:rPr>
          <w:rFonts w:ascii="Arial" w:hAnsi="Arial" w:cs="Arial"/>
          <w:color w:val="000000" w:themeColor="text1"/>
          <w:lang w:val="es-ES"/>
        </w:rPr>
        <w:t>D</w:t>
      </w:r>
      <w:r w:rsidR="002756C6">
        <w:rPr>
          <w:rFonts w:ascii="Arial" w:hAnsi="Arial" w:cs="Arial"/>
          <w:color w:val="000000" w:themeColor="text1"/>
          <w:lang w:val="es-ES"/>
        </w:rPr>
        <w:t>.</w:t>
      </w:r>
      <w:r w:rsidR="002756C6" w:rsidRPr="28A5347B">
        <w:rPr>
          <w:rFonts w:ascii="Arial" w:hAnsi="Arial" w:cs="Arial"/>
          <w:color w:val="000000" w:themeColor="text1"/>
          <w:lang w:val="es-ES"/>
        </w:rPr>
        <w:t xml:space="preserve"> </w:t>
      </w:r>
      <w:proofErr w:type="spellStart"/>
      <w:r w:rsidRPr="28A5347B">
        <w:rPr>
          <w:rFonts w:ascii="Arial" w:hAnsi="Arial" w:cs="Arial"/>
          <w:color w:val="000000" w:themeColor="text1"/>
          <w:lang w:val="es-ES"/>
        </w:rPr>
        <w:t>Pulfer</w:t>
      </w:r>
      <w:proofErr w:type="spellEnd"/>
      <w:r w:rsidRPr="00575F44">
        <w:rPr>
          <w:rFonts w:ascii="Arial" w:hAnsi="Arial" w:cs="Arial"/>
          <w:color w:val="000000" w:themeColor="text1"/>
          <w:lang w:val="es-ES"/>
        </w:rPr>
        <w:t xml:space="preserve"> (</w:t>
      </w:r>
      <w:proofErr w:type="spellStart"/>
      <w:r w:rsidRPr="00575F44">
        <w:rPr>
          <w:rFonts w:ascii="Arial" w:hAnsi="Arial" w:cs="Arial"/>
          <w:color w:val="000000" w:themeColor="text1"/>
          <w:lang w:val="es-ES"/>
        </w:rPr>
        <w:t>Comps</w:t>
      </w:r>
      <w:proofErr w:type="spellEnd"/>
      <w:r w:rsidRPr="00575F44">
        <w:rPr>
          <w:rFonts w:ascii="Arial" w:hAnsi="Arial" w:cs="Arial"/>
          <w:color w:val="000000" w:themeColor="text1"/>
          <w:lang w:val="es-ES"/>
        </w:rPr>
        <w:t xml:space="preserve">.), </w:t>
      </w:r>
      <w:r w:rsidRPr="00575F44">
        <w:rPr>
          <w:rFonts w:ascii="Arial" w:hAnsi="Arial" w:cs="Arial"/>
          <w:i/>
          <w:iCs/>
          <w:color w:val="000000" w:themeColor="text1"/>
          <w:lang w:val="es-ES"/>
        </w:rPr>
        <w:t>Pensar la educación en tiempos de pandemia: Entre la emergencia, el experimento y el cambio</w:t>
      </w:r>
      <w:r w:rsidRPr="00575F44">
        <w:rPr>
          <w:rFonts w:ascii="Arial" w:hAnsi="Arial" w:cs="Arial"/>
          <w:color w:val="000000" w:themeColor="text1"/>
          <w:lang w:val="es-ES"/>
        </w:rPr>
        <w:t xml:space="preserve"> (pp. </w:t>
      </w:r>
      <w:r w:rsidRPr="56E696EF">
        <w:rPr>
          <w:rFonts w:ascii="Arial" w:hAnsi="Arial" w:cs="Arial"/>
          <w:color w:val="000000" w:themeColor="text1"/>
          <w:lang w:val="es-ES"/>
        </w:rPr>
        <w:t>351-364).</w:t>
      </w:r>
      <w:r w:rsidRPr="00575F44">
        <w:rPr>
          <w:rFonts w:ascii="Arial" w:hAnsi="Arial" w:cs="Arial"/>
          <w:color w:val="000000" w:themeColor="text1"/>
          <w:lang w:val="es-ES"/>
        </w:rPr>
        <w:t xml:space="preserve"> UNIPE. </w:t>
      </w:r>
      <w:hyperlink r:id="rId29" w:history="1">
        <w:r w:rsidRPr="00EE7831">
          <w:rPr>
            <w:rStyle w:val="Hipervnculo"/>
            <w:rFonts w:ascii="Arial" w:hAnsi="Arial" w:cs="Arial"/>
          </w:rPr>
          <w:t>https://biblioteca.clacso.edu.ar/Argentina/unipe/20200820015548/Pensar-la-educacion.pdf</w:t>
        </w:r>
      </w:hyperlink>
      <w:r w:rsidR="00EE7831">
        <w:rPr>
          <w:rFonts w:ascii="Arial" w:hAnsi="Arial" w:cs="Arial"/>
          <w:lang w:val="es-ES"/>
        </w:rPr>
        <w:t xml:space="preserve"> </w:t>
      </w:r>
    </w:p>
    <w:p w14:paraId="18697D61" w14:textId="78739698" w:rsidR="004F7551" w:rsidRPr="00EE7831" w:rsidRDefault="004F7551" w:rsidP="00656C84">
      <w:pPr>
        <w:snapToGrid w:val="0"/>
        <w:spacing w:line="360" w:lineRule="auto"/>
        <w:ind w:left="720" w:hanging="720"/>
        <w:jc w:val="both"/>
        <w:rPr>
          <w:rFonts w:ascii="Arial" w:hAnsi="Arial" w:cs="Arial"/>
          <w:lang w:val="es-ES"/>
        </w:rPr>
      </w:pPr>
      <w:proofErr w:type="spellStart"/>
      <w:r w:rsidRPr="541BA739">
        <w:rPr>
          <w:rFonts w:ascii="Arial" w:hAnsi="Arial" w:cs="Arial"/>
          <w:lang w:val="es-ES"/>
        </w:rPr>
        <w:t>Lustosa</w:t>
      </w:r>
      <w:proofErr w:type="spellEnd"/>
      <w:r w:rsidRPr="541BA739">
        <w:rPr>
          <w:rFonts w:ascii="Arial" w:hAnsi="Arial" w:cs="Arial"/>
          <w:lang w:val="es-ES"/>
        </w:rPr>
        <w:t xml:space="preserve"> Rosario, A. C., Ben </w:t>
      </w:r>
      <w:proofErr w:type="spellStart"/>
      <w:r w:rsidRPr="541BA739">
        <w:rPr>
          <w:rFonts w:ascii="Arial" w:hAnsi="Arial" w:cs="Arial"/>
          <w:lang w:val="es-ES"/>
        </w:rPr>
        <w:t>Yaacov</w:t>
      </w:r>
      <w:proofErr w:type="spellEnd"/>
      <w:r w:rsidRPr="541BA739">
        <w:rPr>
          <w:rFonts w:ascii="Arial" w:hAnsi="Arial" w:cs="Arial"/>
          <w:lang w:val="es-ES"/>
        </w:rPr>
        <w:t>, B., Franco Segura, C., Arias Ortiz, E., Heredero, E., Botero, J.</w:t>
      </w:r>
      <w:r w:rsidR="002756C6">
        <w:rPr>
          <w:rFonts w:ascii="Arial" w:hAnsi="Arial" w:cs="Arial"/>
          <w:lang w:val="es-ES"/>
        </w:rPr>
        <w:t xml:space="preserve"> y</w:t>
      </w:r>
      <w:r w:rsidRPr="541BA739">
        <w:rPr>
          <w:rFonts w:ascii="Arial" w:hAnsi="Arial" w:cs="Arial"/>
          <w:lang w:val="es-ES"/>
        </w:rPr>
        <w:t xml:space="preserve"> </w:t>
      </w:r>
      <w:proofErr w:type="spellStart"/>
      <w:r w:rsidRPr="541BA739">
        <w:rPr>
          <w:rFonts w:ascii="Arial" w:hAnsi="Arial" w:cs="Arial"/>
          <w:lang w:val="es-ES"/>
        </w:rPr>
        <w:t>Spies</w:t>
      </w:r>
      <w:proofErr w:type="spellEnd"/>
      <w:r w:rsidRPr="541BA739">
        <w:rPr>
          <w:rFonts w:ascii="Arial" w:hAnsi="Arial" w:cs="Arial"/>
          <w:lang w:val="es-ES"/>
        </w:rPr>
        <w:t xml:space="preserve">, M. (2021). </w:t>
      </w:r>
      <w:r w:rsidRPr="00BE059F">
        <w:rPr>
          <w:rFonts w:ascii="Arial" w:hAnsi="Arial" w:cs="Arial"/>
          <w:i/>
          <w:iCs/>
          <w:lang w:val="es-ES"/>
        </w:rPr>
        <w:t xml:space="preserve">Transformación digital en la educación superior: América </w:t>
      </w:r>
      <w:r w:rsidRPr="00BE059F">
        <w:rPr>
          <w:rFonts w:ascii="Arial" w:hAnsi="Arial" w:cs="Arial"/>
          <w:i/>
          <w:iCs/>
          <w:lang w:val="es-ES"/>
        </w:rPr>
        <w:lastRenderedPageBreak/>
        <w:t>Latina y el Caribe.</w:t>
      </w:r>
      <w:r w:rsidRPr="541BA739">
        <w:rPr>
          <w:rFonts w:ascii="Arial" w:hAnsi="Arial" w:cs="Arial"/>
          <w:lang w:val="es-ES"/>
        </w:rPr>
        <w:t xml:space="preserve"> Banco Interamericano de Desarrollo.</w:t>
      </w:r>
      <w:r w:rsidRPr="008D0A2C">
        <w:rPr>
          <w:rFonts w:ascii="Arial" w:eastAsia="Arial" w:hAnsi="Arial" w:cs="Arial"/>
          <w:lang w:val="es-ES"/>
        </w:rPr>
        <w:t xml:space="preserve"> </w:t>
      </w:r>
      <w:hyperlink r:id="rId30">
        <w:r w:rsidRPr="00A06E23">
          <w:rPr>
            <w:rStyle w:val="Hipervnculo"/>
            <w:rFonts w:ascii="Arial" w:hAnsi="Arial" w:cs="Arial"/>
          </w:rPr>
          <w:t>http://dx.doi.org/10.18235/0003829</w:t>
        </w:r>
      </w:hyperlink>
    </w:p>
    <w:p w14:paraId="21FBB719" w14:textId="3A83BD89" w:rsidR="004F7551" w:rsidRDefault="004F7551" w:rsidP="00656C84">
      <w:pPr>
        <w:snapToGrid w:val="0"/>
        <w:spacing w:line="360" w:lineRule="auto"/>
        <w:ind w:left="720" w:hanging="720"/>
        <w:jc w:val="both"/>
        <w:rPr>
          <w:rFonts w:ascii="Arial" w:hAnsi="Arial" w:cs="Arial"/>
          <w:lang w:val="es-ES"/>
        </w:rPr>
      </w:pPr>
      <w:proofErr w:type="spellStart"/>
      <w:r w:rsidRPr="119813FB">
        <w:rPr>
          <w:rFonts w:ascii="Arial" w:hAnsi="Arial" w:cs="Arial"/>
          <w:lang w:val="es-ES"/>
        </w:rPr>
        <w:t>Maggio</w:t>
      </w:r>
      <w:proofErr w:type="spellEnd"/>
      <w:r w:rsidRPr="119813FB">
        <w:rPr>
          <w:rFonts w:ascii="Arial" w:hAnsi="Arial" w:cs="Arial"/>
          <w:lang w:val="es-ES"/>
        </w:rPr>
        <w:t xml:space="preserve">, M. (2021). Esclerotización o salto hacia adelante. Prácticas de la enseñanza en la universidad emergente de la pandemia. </w:t>
      </w:r>
      <w:r w:rsidRPr="119813FB">
        <w:rPr>
          <w:rFonts w:ascii="Arial" w:hAnsi="Arial" w:cs="Arial"/>
          <w:i/>
          <w:iCs/>
          <w:lang w:val="es-ES"/>
        </w:rPr>
        <w:t xml:space="preserve">Revista </w:t>
      </w:r>
      <w:proofErr w:type="spellStart"/>
      <w:r w:rsidRPr="119813FB">
        <w:rPr>
          <w:rFonts w:ascii="Arial" w:hAnsi="Arial" w:cs="Arial"/>
          <w:i/>
          <w:iCs/>
          <w:lang w:val="es-ES"/>
        </w:rPr>
        <w:t>Didac</w:t>
      </w:r>
      <w:proofErr w:type="spellEnd"/>
      <w:r w:rsidR="002756C6">
        <w:rPr>
          <w:rFonts w:ascii="Arial" w:hAnsi="Arial" w:cs="Arial"/>
          <w:i/>
          <w:iCs/>
          <w:lang w:val="es-ES"/>
        </w:rPr>
        <w:t>,</w:t>
      </w:r>
      <w:r w:rsidRPr="119813FB">
        <w:rPr>
          <w:rFonts w:ascii="Arial" w:hAnsi="Arial" w:cs="Arial"/>
          <w:lang w:val="es-ES"/>
        </w:rPr>
        <w:t xml:space="preserve"> (</w:t>
      </w:r>
      <w:r w:rsidRPr="119813FB">
        <w:rPr>
          <w:rFonts w:ascii="Arial" w:hAnsi="Arial" w:cs="Arial"/>
          <w:i/>
          <w:iCs/>
          <w:lang w:val="es-ES"/>
        </w:rPr>
        <w:t>77</w:t>
      </w:r>
      <w:r w:rsidRPr="119813FB">
        <w:rPr>
          <w:rFonts w:ascii="Arial" w:hAnsi="Arial" w:cs="Arial"/>
          <w:lang w:val="es-ES"/>
        </w:rPr>
        <w:t xml:space="preserve">), </w:t>
      </w:r>
      <w:r w:rsidRPr="0FD9A466">
        <w:rPr>
          <w:rFonts w:ascii="Arial" w:hAnsi="Arial" w:cs="Arial"/>
          <w:lang w:val="es-ES"/>
        </w:rPr>
        <w:t xml:space="preserve">62-69. </w:t>
      </w:r>
      <w:hyperlink r:id="rId31">
        <w:r w:rsidRPr="0FD9A466">
          <w:rPr>
            <w:rStyle w:val="Hipervnculo"/>
            <w:rFonts w:ascii="Arial" w:hAnsi="Arial" w:cs="Arial"/>
            <w:lang w:val="es-ES"/>
          </w:rPr>
          <w:t>https://doi.org/10.48102/didac.2022..80_JUL-DIC.103</w:t>
        </w:r>
      </w:hyperlink>
    </w:p>
    <w:p w14:paraId="50AC1126" w14:textId="77777777" w:rsidR="004F7551" w:rsidRPr="00575F44" w:rsidRDefault="004F7551" w:rsidP="00656C84">
      <w:pPr>
        <w:snapToGrid w:val="0"/>
        <w:spacing w:line="360" w:lineRule="auto"/>
        <w:ind w:left="720" w:hanging="720"/>
        <w:jc w:val="both"/>
        <w:rPr>
          <w:rFonts w:ascii="Arial" w:hAnsi="Arial" w:cs="Arial"/>
          <w:lang w:val="es-ES"/>
        </w:rPr>
      </w:pPr>
      <w:r w:rsidRPr="63868CA5">
        <w:rPr>
          <w:rFonts w:ascii="Arial" w:hAnsi="Arial" w:cs="Arial"/>
          <w:lang w:val="es-ES"/>
        </w:rPr>
        <w:t xml:space="preserve">Organización de las Naciones Unidas para la Educación, la Ciencia y la Cultura (2019). </w:t>
      </w:r>
      <w:r w:rsidRPr="63868CA5">
        <w:rPr>
          <w:rFonts w:ascii="Arial" w:hAnsi="Arial" w:cs="Arial"/>
          <w:i/>
          <w:iCs/>
          <w:lang w:val="es-ES"/>
        </w:rPr>
        <w:t>Marco de competencias de los docentes en materia de TIC UNESCO</w:t>
      </w:r>
      <w:r w:rsidRPr="413000A1">
        <w:rPr>
          <w:rFonts w:ascii="Arial" w:hAnsi="Arial" w:cs="Arial"/>
          <w:i/>
          <w:iCs/>
          <w:lang w:val="es-ES"/>
        </w:rPr>
        <w:t>.</w:t>
      </w:r>
      <w:r w:rsidRPr="63868CA5">
        <w:rPr>
          <w:rFonts w:ascii="Arial" w:hAnsi="Arial" w:cs="Arial"/>
          <w:lang w:val="es-ES"/>
        </w:rPr>
        <w:t xml:space="preserve"> </w:t>
      </w:r>
      <w:hyperlink r:id="rId32" w:history="1">
        <w:r w:rsidRPr="63868CA5">
          <w:rPr>
            <w:rStyle w:val="Hipervnculo"/>
            <w:rFonts w:ascii="Arial" w:hAnsi="Arial" w:cs="Arial"/>
            <w:color w:val="1155CC"/>
            <w:lang w:val="es-ES"/>
          </w:rPr>
          <w:t>https://unesdoc.unesco.org/ark:/48223/pf0000371024</w:t>
        </w:r>
      </w:hyperlink>
      <w:r w:rsidRPr="63868CA5">
        <w:rPr>
          <w:rFonts w:ascii="Arial" w:hAnsi="Arial" w:cs="Arial"/>
          <w:color w:val="1155CC"/>
          <w:lang w:val="es-ES"/>
        </w:rPr>
        <w:t xml:space="preserve"> </w:t>
      </w:r>
    </w:p>
    <w:p w14:paraId="741ABB30" w14:textId="77777777" w:rsidR="004F7551" w:rsidRPr="00575F44" w:rsidRDefault="004F7551" w:rsidP="00656C84">
      <w:pPr>
        <w:snapToGrid w:val="0"/>
        <w:spacing w:line="360" w:lineRule="auto"/>
        <w:ind w:left="720" w:hanging="720"/>
        <w:jc w:val="both"/>
        <w:rPr>
          <w:rFonts w:ascii="Arial" w:hAnsi="Arial" w:cs="Arial"/>
          <w:lang w:val="es-ES"/>
        </w:rPr>
      </w:pPr>
      <w:r w:rsidRPr="5CF0C975">
        <w:rPr>
          <w:rFonts w:ascii="Arial" w:hAnsi="Arial" w:cs="Arial"/>
          <w:lang w:val="es-ES"/>
        </w:rPr>
        <w:t xml:space="preserve">Organización de las Naciones Unidas para la Educación, la Ciencia y la Cultura (2020). </w:t>
      </w:r>
      <w:r w:rsidRPr="00BE059F">
        <w:rPr>
          <w:rFonts w:ascii="Arial" w:hAnsi="Arial" w:cs="Arial"/>
          <w:i/>
          <w:iCs/>
          <w:lang w:val="es-ES"/>
        </w:rPr>
        <w:t>Sistematización de respuestas de los sistemas educativos de América Latina a la crisis de la COVID-19</w:t>
      </w:r>
      <w:r w:rsidRPr="5CF0C975">
        <w:rPr>
          <w:rFonts w:ascii="Arial" w:hAnsi="Arial" w:cs="Arial"/>
          <w:lang w:val="es-ES"/>
        </w:rPr>
        <w:t xml:space="preserve">. </w:t>
      </w:r>
      <w:hyperlink r:id="rId33" w:history="1">
        <w:r w:rsidRPr="5CF0C975">
          <w:rPr>
            <w:rStyle w:val="Hipervnculo"/>
            <w:rFonts w:ascii="Arial" w:hAnsi="Arial" w:cs="Arial"/>
            <w:lang w:val="es-ES"/>
          </w:rPr>
          <w:t>https://siteal.iiep.unesco.org/respuestas_educativas_covid_19</w:t>
        </w:r>
      </w:hyperlink>
      <w:r w:rsidRPr="5CF0C975">
        <w:rPr>
          <w:rFonts w:ascii="Arial" w:hAnsi="Arial" w:cs="Arial"/>
          <w:lang w:val="es-ES"/>
        </w:rPr>
        <w:t xml:space="preserve"> </w:t>
      </w:r>
    </w:p>
    <w:p w14:paraId="3BD5C038" w14:textId="5A9F2F54" w:rsidR="00190DE8" w:rsidRPr="00C236A2" w:rsidRDefault="004F7551" w:rsidP="00656C84">
      <w:pPr>
        <w:snapToGrid w:val="0"/>
        <w:spacing w:line="360" w:lineRule="auto"/>
        <w:ind w:left="720" w:hanging="720"/>
        <w:jc w:val="both"/>
        <w:rPr>
          <w:rFonts w:ascii="Arial" w:hAnsi="Arial" w:cs="Arial"/>
          <w:color w:val="0563C1" w:themeColor="hyperlink"/>
          <w:highlight w:val="cyan"/>
          <w:u w:val="single"/>
          <w:lang w:val="es-419"/>
        </w:rPr>
      </w:pPr>
      <w:r w:rsidRPr="00575F44">
        <w:rPr>
          <w:rFonts w:ascii="Arial" w:hAnsi="Arial" w:cs="Arial"/>
          <w:lang w:val="es-ES"/>
        </w:rPr>
        <w:t xml:space="preserve">Porto, S. </w:t>
      </w:r>
      <w:r w:rsidRPr="6246AE29">
        <w:rPr>
          <w:rFonts w:ascii="Arial" w:hAnsi="Arial" w:cs="Arial"/>
          <w:lang w:val="es-ES"/>
        </w:rPr>
        <w:t>(</w:t>
      </w:r>
      <w:r w:rsidR="002756C6" w:rsidRPr="6246AE29">
        <w:rPr>
          <w:rFonts w:ascii="Arial" w:hAnsi="Arial" w:cs="Arial"/>
          <w:lang w:val="es-ES"/>
        </w:rPr>
        <w:t>17</w:t>
      </w:r>
      <w:r w:rsidR="002756C6" w:rsidRPr="00575F44">
        <w:rPr>
          <w:rFonts w:ascii="Arial" w:hAnsi="Arial" w:cs="Arial"/>
          <w:lang w:val="es-ES"/>
        </w:rPr>
        <w:t xml:space="preserve"> de marzo</w:t>
      </w:r>
      <w:r w:rsidR="002756C6" w:rsidRPr="6246AE29">
        <w:rPr>
          <w:rFonts w:ascii="Arial" w:hAnsi="Arial" w:cs="Arial"/>
          <w:lang w:val="es-ES"/>
        </w:rPr>
        <w:t xml:space="preserve"> </w:t>
      </w:r>
      <w:r w:rsidR="002756C6">
        <w:rPr>
          <w:rFonts w:ascii="Arial" w:hAnsi="Arial" w:cs="Arial"/>
          <w:lang w:val="es-ES"/>
        </w:rPr>
        <w:t xml:space="preserve">de </w:t>
      </w:r>
      <w:r w:rsidRPr="6246AE29">
        <w:rPr>
          <w:rFonts w:ascii="Arial" w:hAnsi="Arial" w:cs="Arial"/>
          <w:lang w:val="es-ES"/>
        </w:rPr>
        <w:t>2015</w:t>
      </w:r>
      <w:r w:rsidRPr="00575F44">
        <w:rPr>
          <w:rFonts w:ascii="Arial" w:hAnsi="Arial" w:cs="Arial"/>
          <w:lang w:val="es-ES"/>
        </w:rPr>
        <w:t>).</w:t>
      </w:r>
      <w:r w:rsidRPr="00575F44">
        <w:rPr>
          <w:rFonts w:ascii="Arial" w:eastAsia="Arial" w:hAnsi="Arial" w:cs="Arial"/>
          <w:b/>
          <w:bCs/>
          <w:color w:val="212529"/>
          <w:lang w:val="es-ES"/>
        </w:rPr>
        <w:t xml:space="preserve"> </w:t>
      </w:r>
      <w:r w:rsidRPr="00C236A2">
        <w:rPr>
          <w:rFonts w:ascii="Arial" w:eastAsia="Montserrat" w:hAnsi="Arial" w:cs="Arial"/>
          <w:i/>
          <w:lang w:val="es-ES"/>
        </w:rPr>
        <w:t>Cómo las insignias abiertas digitales pueden ayudar a destacar competencias profesionales</w:t>
      </w:r>
      <w:r w:rsidRPr="00C236A2">
        <w:rPr>
          <w:rFonts w:ascii="Arial" w:hAnsi="Arial" w:cs="Arial"/>
          <w:lang w:val="es-ES"/>
        </w:rPr>
        <w:t xml:space="preserve">. </w:t>
      </w:r>
      <w:r w:rsidRPr="46517F18">
        <w:rPr>
          <w:rFonts w:ascii="Arial" w:hAnsi="Arial" w:cs="Arial"/>
          <w:lang w:val="es-ES"/>
        </w:rPr>
        <w:t xml:space="preserve">[Blog]. </w:t>
      </w:r>
      <w:r w:rsidRPr="0DA050B8">
        <w:rPr>
          <w:rFonts w:ascii="Arial" w:hAnsi="Arial" w:cs="Arial"/>
          <w:lang w:val="es-ES"/>
        </w:rPr>
        <w:t>Banco Interamericano de Desarrollo.</w:t>
      </w:r>
      <w:r w:rsidRPr="46517F18">
        <w:rPr>
          <w:rFonts w:ascii="Arial" w:hAnsi="Arial" w:cs="Arial"/>
          <w:lang w:val="es-ES"/>
        </w:rPr>
        <w:t xml:space="preserve"> </w:t>
      </w:r>
      <w:hyperlink r:id="rId34">
        <w:r w:rsidRPr="00C236A2">
          <w:rPr>
            <w:rStyle w:val="Hipervnculo"/>
            <w:rFonts w:ascii="Arial" w:hAnsi="Arial" w:cs="Arial"/>
            <w:lang w:val="es-419"/>
          </w:rPr>
          <w:t>https://blogs.iadb.org/conocimiento-abierto/es/como-las-insignias-abiertas-digitales-pueden-ayudar-destacar-competencias-profesionales/</w:t>
        </w:r>
      </w:hyperlink>
      <w:bookmarkEnd w:id="3"/>
      <w:r w:rsidR="00C236A2" w:rsidRPr="00C236A2">
        <w:rPr>
          <w:rFonts w:ascii="Arial" w:hAnsi="Arial" w:cs="Arial"/>
          <w:color w:val="0563C1" w:themeColor="hyperlink"/>
          <w:highlight w:val="cyan"/>
          <w:u w:val="single"/>
          <w:lang w:val="es-419"/>
        </w:rPr>
        <w:t xml:space="preserve"> </w:t>
      </w:r>
    </w:p>
    <w:sectPr w:rsidR="00190DE8" w:rsidRPr="00C236A2" w:rsidSect="00D337CB">
      <w:type w:val="continuous"/>
      <w:pgSz w:w="12240" w:h="15840"/>
      <w:pgMar w:top="1134" w:right="1134" w:bottom="1134" w:left="1134" w:header="680" w:footer="680"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9FC5" w14:textId="77777777" w:rsidR="004C688D" w:rsidRDefault="004C688D" w:rsidP="003C3F58">
      <w:r>
        <w:separator/>
      </w:r>
    </w:p>
  </w:endnote>
  <w:endnote w:type="continuationSeparator" w:id="0">
    <w:p w14:paraId="4B01D940" w14:textId="77777777" w:rsidR="004C688D" w:rsidRDefault="004C688D"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97907280"/>
      <w:docPartObj>
        <w:docPartGallery w:val="Page Numbers (Bottom of Page)"/>
        <w:docPartUnique/>
      </w:docPartObj>
    </w:sdtPr>
    <w:sdtEndPr>
      <w:rPr>
        <w:rStyle w:val="Nmerodepgina"/>
      </w:rPr>
    </w:sdtEndPr>
    <w:sdtContent>
      <w:p w14:paraId="1390EF66" w14:textId="4BFD8E8A" w:rsidR="00361751" w:rsidRDefault="00361751" w:rsidP="00A71B3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17F168D" w14:textId="77777777" w:rsidR="00361751" w:rsidRDefault="00361751" w:rsidP="0036175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eastAsia="es-ES"/>
      </w:rPr>
      <w:id w:val="1359244672"/>
      <w:docPartObj>
        <w:docPartGallery w:val="Page Numbers (Bottom of Page)"/>
        <w:docPartUnique/>
      </w:docPartObj>
    </w:sdtPr>
    <w:sdtEndPr/>
    <w:sdtContent>
      <w:p w14:paraId="42CC2F45" w14:textId="48165180" w:rsidR="004C7A0D" w:rsidRDefault="004C7A0D" w:rsidP="0038081E">
        <w:pPr>
          <w:pStyle w:val="paragraph"/>
          <w:spacing w:before="0" w:beforeAutospacing="0" w:after="0" w:afterAutospacing="0"/>
          <w:jc w:val="center"/>
          <w:textAlignment w:val="baseline"/>
          <w:rPr>
            <w:lang w:eastAsia="es-ES_tradnl"/>
          </w:rPr>
        </w:pPr>
        <w:r>
          <w:rPr>
            <w:rStyle w:val="contentcontrolboundarysink"/>
            <w:color w:val="000000"/>
            <w:shd w:val="clear" w:color="auto" w:fill="FFFFFF"/>
          </w:rPr>
          <w:t>​​</w:t>
        </w:r>
        <w:r>
          <w:rPr>
            <w:rStyle w:val="normaltextrun"/>
            <w:rFonts w:ascii="Agency FB" w:hAnsi="Agency FB" w:cs="Segoe UI"/>
            <w:b/>
            <w:bCs/>
            <w:color w:val="E36C0A"/>
            <w:shd w:val="clear" w:color="auto" w:fill="FFFFFF"/>
            <w:lang w:val="es-ES"/>
          </w:rPr>
          <w:t>____________________________________________________________________________________________</w:t>
        </w:r>
        <w:r>
          <w:rPr>
            <w:rStyle w:val="eop"/>
            <w:rFonts w:ascii="Agency FB" w:hAnsi="Agency FB"/>
            <w:color w:val="E36C0A"/>
            <w:shd w:val="clear" w:color="auto" w:fill="FFFFFF"/>
          </w:rPr>
          <w:t> </w:t>
        </w:r>
      </w:p>
      <w:p w14:paraId="01BD2E8B" w14:textId="6C98F3C1" w:rsidR="0038081E" w:rsidRDefault="0038081E" w:rsidP="0038081E">
        <w:pPr>
          <w:pStyle w:val="paragraph"/>
          <w:spacing w:before="0" w:beforeAutospacing="0" w:after="0" w:afterAutospacing="0"/>
          <w:jc w:val="center"/>
          <w:textAlignment w:val="baseline"/>
          <w:rPr>
            <w:rFonts w:ascii="Segoe UI" w:hAnsi="Segoe UI" w:cs="Segoe UI"/>
            <w:sz w:val="18"/>
            <w:szCs w:val="18"/>
          </w:rPr>
        </w:pPr>
        <w:proofErr w:type="spellStart"/>
        <w:r w:rsidRPr="007D4152">
          <w:rPr>
            <w:rStyle w:val="normaltextrun"/>
            <w:rFonts w:ascii="Agency FB" w:hAnsi="Agency FB" w:cs="Segoe UI"/>
            <w:b/>
            <w:bCs/>
            <w:color w:val="E36C0A"/>
            <w:lang w:val="es-ES"/>
          </w:rPr>
          <w:t>Movingonline</w:t>
        </w:r>
        <w:proofErr w:type="spellEnd"/>
        <w:r w:rsidRPr="007D4152">
          <w:rPr>
            <w:rStyle w:val="normaltextrun"/>
            <w:rFonts w:ascii="Agency FB" w:hAnsi="Agency FB" w:cs="Segoe UI"/>
            <w:b/>
            <w:bCs/>
            <w:color w:val="E36C0A"/>
            <w:lang w:val="es-ES"/>
          </w:rPr>
          <w:t xml:space="preserve"> BID: lecciones para el desarrollo docente y la gestión educativa </w:t>
        </w:r>
        <w:proofErr w:type="spellStart"/>
        <w:r w:rsidRPr="007D4152">
          <w:rPr>
            <w:rStyle w:val="normaltextrun"/>
            <w:rFonts w:ascii="Agency FB" w:hAnsi="Agency FB" w:cs="Segoe UI"/>
            <w:b/>
            <w:bCs/>
            <w:color w:val="E36C0A"/>
            <w:lang w:val="es-ES"/>
          </w:rPr>
          <w:t>pospandemia</w:t>
        </w:r>
        <w:proofErr w:type="spellEnd"/>
      </w:p>
      <w:p w14:paraId="51AF2CE3" w14:textId="77777777" w:rsidR="0038081E" w:rsidRPr="00F7620B" w:rsidRDefault="0038081E" w:rsidP="0038081E">
        <w:pPr>
          <w:pStyle w:val="paragraph"/>
          <w:spacing w:before="0" w:beforeAutospacing="0" w:after="0" w:afterAutospacing="0"/>
          <w:jc w:val="center"/>
          <w:textAlignment w:val="baseline"/>
          <w:rPr>
            <w:rFonts w:ascii="Segoe UI" w:hAnsi="Segoe UI" w:cs="Segoe UI"/>
            <w:sz w:val="18"/>
            <w:szCs w:val="18"/>
          </w:rPr>
        </w:pPr>
        <w:r w:rsidRPr="00F7620B">
          <w:rPr>
            <w:rStyle w:val="contentcontrolboundarysink"/>
            <w:rFonts w:ascii="Arial" w:hAnsi="Arial" w:cs="Arial"/>
            <w:color w:val="E36C0A"/>
          </w:rPr>
          <w:t>​</w:t>
        </w:r>
        <w:r w:rsidRPr="00F7620B">
          <w:rPr>
            <w:rStyle w:val="normaltextrun"/>
            <w:rFonts w:ascii="Agency FB" w:hAnsi="Agency FB" w:cs="Segoe UI"/>
            <w:color w:val="E36C0A"/>
          </w:rPr>
          <w:t xml:space="preserve">Stella </w:t>
        </w:r>
        <w:proofErr w:type="spellStart"/>
        <w:r w:rsidRPr="00F7620B">
          <w:rPr>
            <w:rStyle w:val="normaltextrun"/>
            <w:rFonts w:ascii="Agency FB" w:hAnsi="Agency FB" w:cs="Segoe UI"/>
            <w:color w:val="E36C0A"/>
          </w:rPr>
          <w:t>Portp</w:t>
        </w:r>
        <w:proofErr w:type="spellEnd"/>
        <w:r w:rsidRPr="00F7620B">
          <w:rPr>
            <w:rStyle w:val="normaltextrun"/>
            <w:rFonts w:ascii="Agency FB" w:hAnsi="Agency FB" w:cs="Segoe UI"/>
            <w:color w:val="E36C0A"/>
          </w:rPr>
          <w:t xml:space="preserve">, Jacqueline Pinto, Andrea </w:t>
        </w:r>
        <w:proofErr w:type="spellStart"/>
        <w:r w:rsidRPr="00F7620B">
          <w:rPr>
            <w:rStyle w:val="normaltextrun"/>
            <w:rFonts w:ascii="Agency FB" w:hAnsi="Agency FB" w:cs="Segoe UI"/>
            <w:color w:val="E36C0A"/>
          </w:rPr>
          <w:t>Attis</w:t>
        </w:r>
        <w:proofErr w:type="spellEnd"/>
        <w:r w:rsidRPr="00F7620B">
          <w:rPr>
            <w:rStyle w:val="normaltextrun"/>
            <w:rFonts w:ascii="Agency FB" w:hAnsi="Agency FB" w:cs="Segoe UI"/>
            <w:color w:val="E36C0A"/>
          </w:rPr>
          <w:t xml:space="preserve">-Beltrán, </w:t>
        </w:r>
        <w:proofErr w:type="spellStart"/>
        <w:r w:rsidRPr="00F7620B">
          <w:rPr>
            <w:rStyle w:val="normaltextrun"/>
            <w:rFonts w:ascii="Agency FB" w:hAnsi="Agency FB" w:cs="Segoe UI"/>
            <w:color w:val="E36C0A"/>
          </w:rPr>
          <w:t>Yunuén</w:t>
        </w:r>
        <w:proofErr w:type="spellEnd"/>
        <w:r w:rsidRPr="00F7620B">
          <w:rPr>
            <w:rStyle w:val="normaltextrun"/>
            <w:rFonts w:ascii="Agency FB" w:hAnsi="Agency FB" w:cs="Segoe UI"/>
            <w:color w:val="E36C0A"/>
          </w:rPr>
          <w:t xml:space="preserve"> Becerra y</w:t>
        </w:r>
        <w:r>
          <w:rPr>
            <w:rStyle w:val="normaltextrun"/>
            <w:rFonts w:ascii="Agency FB" w:hAnsi="Agency FB" w:cs="Segoe UI"/>
            <w:color w:val="E36C0A"/>
          </w:rPr>
          <w:t xml:space="preserve"> María Enriqueta-Ponce</w:t>
        </w:r>
        <w:r w:rsidRPr="00F7620B">
          <w:rPr>
            <w:rStyle w:val="normaltextrun"/>
            <w:rFonts w:ascii="Agency FB" w:hAnsi="Agency FB" w:cs="Segoe UI"/>
            <w:color w:val="E36C0A"/>
          </w:rPr>
          <w:t xml:space="preserve">  </w:t>
        </w:r>
      </w:p>
      <w:p w14:paraId="4859E89E" w14:textId="77777777" w:rsidR="0038081E" w:rsidRDefault="0038081E" w:rsidP="0038081E">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Arial" w:hAnsi="Arial" w:cs="Arial"/>
            <w:color w:val="E36C0A"/>
          </w:rPr>
          <w:t>​</w:t>
        </w:r>
        <w:r>
          <w:rPr>
            <w:rStyle w:val="normaltextrun"/>
            <w:rFonts w:ascii="Agency FB" w:hAnsi="Agency FB" w:cs="Segoe UI"/>
            <w:color w:val="E36C0A"/>
          </w:rPr>
          <w:t>DOI: </w:t>
        </w:r>
        <w:hyperlink r:id="rId1" w:tgtFrame="_blank" w:history="1">
          <w:r>
            <w:rPr>
              <w:rStyle w:val="normaltextrun"/>
              <w:rFonts w:ascii="Agency FB" w:hAnsi="Agency FB" w:cs="Segoe UI"/>
              <w:color w:val="0563C1"/>
              <w:u w:val="single"/>
            </w:rPr>
            <w:t>http://dx.doi.org/10.22458/caes.v16i2.6141</w:t>
          </w:r>
        </w:hyperlink>
        <w:r>
          <w:rPr>
            <w:rStyle w:val="eop"/>
            <w:rFonts w:ascii="Agency FB" w:hAnsi="Agency FB" w:cs="Segoe UI"/>
            <w:color w:val="E36C0A"/>
          </w:rPr>
          <w:t> </w:t>
        </w:r>
      </w:p>
      <w:p w14:paraId="3C3DD24F" w14:textId="77777777" w:rsidR="0038081E" w:rsidRDefault="0038081E" w:rsidP="0038081E">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color w:val="E36C0A"/>
          </w:rPr>
          <w:t>​</w:t>
        </w:r>
        <w:r>
          <w:rPr>
            <w:rStyle w:val="normaltextrun"/>
            <w:rFonts w:ascii="Agency FB" w:hAnsi="Agency FB" w:cs="Segoe UI"/>
            <w:color w:val="E36C0A"/>
          </w:rPr>
          <w:t>                                                                                    </w:t>
        </w:r>
        <w:r>
          <w:rPr>
            <w:noProof/>
            <w:lang w:eastAsia="es-ES_tradnl"/>
          </w:rPr>
          <w:drawing>
            <wp:inline distT="0" distB="0" distL="0" distR="0" wp14:anchorId="3D264249" wp14:editId="7FC9C81A">
              <wp:extent cx="1028700" cy="371475"/>
              <wp:effectExtent l="0" t="0" r="0" b="9525"/>
              <wp:docPr id="14" name="Imagen 14" descr="C:\Users\uned\AppData\Local\Microsoft\Windows\INetCache\Content.MSO\DC9DEA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ed\AppData\Local\Microsoft\Windows\INetCache\Content.MSO\DC9DEABD.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371475"/>
                      </a:xfrm>
                      <a:prstGeom prst="rect">
                        <a:avLst/>
                      </a:prstGeom>
                      <a:noFill/>
                      <a:ln>
                        <a:noFill/>
                      </a:ln>
                    </pic:spPr>
                  </pic:pic>
                </a:graphicData>
              </a:graphic>
            </wp:inline>
          </w:drawing>
        </w:r>
        <w:r>
          <w:rPr>
            <w:rStyle w:val="normaltextrun"/>
            <w:rFonts w:ascii="Agency FB" w:hAnsi="Agency FB" w:cs="Segoe UI"/>
            <w:color w:val="E36C0A"/>
          </w:rPr>
          <w:t> </w:t>
        </w:r>
        <w:r>
          <w:rPr>
            <w:rStyle w:val="eop"/>
            <w:rFonts w:ascii="Agency FB" w:hAnsi="Agency FB" w:cs="Segoe UI"/>
            <w:color w:val="E36C0A"/>
          </w:rPr>
          <w:t> </w:t>
        </w:r>
      </w:p>
      <w:p w14:paraId="2ABA0388" w14:textId="77777777" w:rsidR="0038081E" w:rsidRDefault="0038081E" w:rsidP="0038081E">
        <w:pPr>
          <w:pStyle w:val="paragraph"/>
          <w:spacing w:before="0" w:beforeAutospacing="0" w:after="0" w:afterAutospacing="0"/>
          <w:jc w:val="right"/>
          <w:textAlignment w:val="baseline"/>
          <w:rPr>
            <w:rFonts w:ascii="Segoe UI" w:hAnsi="Segoe UI" w:cs="Segoe UI"/>
            <w:sz w:val="18"/>
            <w:szCs w:val="18"/>
          </w:rPr>
        </w:pPr>
        <w:r>
          <w:rPr>
            <w:rStyle w:val="contentcontrolboundarysink"/>
            <w:rFonts w:ascii="Arial" w:hAnsi="Arial" w:cs="Arial"/>
            <w:color w:val="E36C0A"/>
            <w:lang w:val="es-ES"/>
          </w:rPr>
          <w:t>​</w:t>
        </w:r>
        <w:r>
          <w:rPr>
            <w:rStyle w:val="normaltextrun"/>
            <w:rFonts w:ascii="Agency FB" w:hAnsi="Agency FB" w:cs="Segoe UI"/>
            <w:color w:val="E36C0A"/>
            <w:lang w:val="es-ES"/>
          </w:rPr>
          <w:t>Artículo protegido por licencia </w:t>
        </w:r>
        <w:proofErr w:type="spellStart"/>
        <w:r>
          <w:rPr>
            <w:rStyle w:val="normaltextrun"/>
            <w:rFonts w:ascii="Agency FB" w:hAnsi="Agency FB" w:cs="Segoe UI"/>
            <w:color w:val="E36C0A"/>
            <w:lang w:val="es-ES"/>
          </w:rPr>
          <w:t>Creative</w:t>
        </w:r>
        <w:proofErr w:type="spellEnd"/>
        <w:r>
          <w:rPr>
            <w:rStyle w:val="normaltextrun"/>
            <w:rFonts w:ascii="Agency FB" w:hAnsi="Agency FB" w:cs="Segoe UI"/>
            <w:color w:val="E36C0A"/>
            <w:lang w:val="es-ES"/>
          </w:rPr>
          <w:t> </w:t>
        </w:r>
        <w:proofErr w:type="spellStart"/>
        <w:r>
          <w:rPr>
            <w:rStyle w:val="normaltextrun"/>
            <w:rFonts w:ascii="Agency FB" w:hAnsi="Agency FB" w:cs="Segoe UI"/>
            <w:color w:val="E36C0A"/>
            <w:lang w:val="es-ES"/>
          </w:rPr>
          <w:t>Commons</w:t>
        </w:r>
        <w:proofErr w:type="spellEnd"/>
        <w:r>
          <w:rPr>
            <w:rStyle w:val="normaltextrun"/>
            <w:rFonts w:ascii="Agency FB" w:hAnsi="Agency FB" w:cs="Segoe UI"/>
            <w:color w:val="E36C0A"/>
            <w:lang w:val="es-ES"/>
          </w:rPr>
          <w:t xml:space="preserve">                                                </w:t>
        </w:r>
        <w:r w:rsidRPr="00B941CF">
          <w:rPr>
            <w:rStyle w:val="normaltextrun"/>
            <w:rFonts w:ascii="Agency FB" w:hAnsi="Agency FB" w:cs="Segoe UI"/>
            <w:lang w:val="es-ES"/>
          </w:rPr>
          <w:t xml:space="preserve"> </w:t>
        </w:r>
        <w:r w:rsidRPr="00B941CF">
          <w:rPr>
            <w:rStyle w:val="eop"/>
            <w:rFonts w:ascii="Agency FB" w:hAnsi="Agency FB" w:cs="Segoe UI"/>
          </w:rPr>
          <w:t> </w:t>
        </w:r>
      </w:p>
      <w:p w14:paraId="0103DDB4" w14:textId="6317F0ED" w:rsidR="0038081E" w:rsidRDefault="0038081E">
        <w:pPr>
          <w:pStyle w:val="Piedepgina"/>
          <w:jc w:val="right"/>
        </w:pPr>
        <w:r>
          <w:fldChar w:fldCharType="begin"/>
        </w:r>
        <w:r>
          <w:instrText>PAGE   \* MERGEFORMAT</w:instrText>
        </w:r>
        <w:r>
          <w:fldChar w:fldCharType="separate"/>
        </w:r>
        <w:r>
          <w:rPr>
            <w:lang w:val="es-ES"/>
          </w:rPr>
          <w:t>2</w:t>
        </w:r>
        <w:r>
          <w:fldChar w:fldCharType="end"/>
        </w:r>
      </w:p>
    </w:sdtContent>
  </w:sdt>
  <w:p w14:paraId="6EB79D78" w14:textId="77777777" w:rsidR="003D0AE0" w:rsidRDefault="003D0A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B81A" w14:textId="77777777" w:rsidR="004C688D" w:rsidRDefault="004C688D" w:rsidP="003C3F58">
      <w:r>
        <w:separator/>
      </w:r>
    </w:p>
  </w:footnote>
  <w:footnote w:type="continuationSeparator" w:id="0">
    <w:p w14:paraId="425303D8" w14:textId="77777777" w:rsidR="004C688D" w:rsidRDefault="004C688D" w:rsidP="003C3F58">
      <w:r>
        <w:continuationSeparator/>
      </w:r>
    </w:p>
  </w:footnote>
  <w:footnote w:id="1">
    <w:p w14:paraId="1107BD61" w14:textId="42C9AFA4" w:rsidR="0000240E" w:rsidRPr="00343AE8" w:rsidRDefault="0000240E" w:rsidP="00FA1400">
      <w:pPr>
        <w:pStyle w:val="Textonotapie"/>
        <w:snapToGrid w:val="0"/>
        <w:ind w:right="-714"/>
        <w:jc w:val="both"/>
        <w:rPr>
          <w:rFonts w:ascii="Arial" w:hAnsi="Arial" w:cs="Arial"/>
          <w:sz w:val="14"/>
          <w:szCs w:val="14"/>
          <w:lang w:val="es-MX"/>
        </w:rPr>
      </w:pPr>
      <w:r w:rsidRPr="00343AE8">
        <w:rPr>
          <w:rStyle w:val="Refdenotaalpie"/>
          <w:rFonts w:ascii="Arial" w:hAnsi="Arial" w:cs="Arial"/>
          <w:sz w:val="14"/>
          <w:szCs w:val="14"/>
          <w:lang w:val="es-MX"/>
        </w:rPr>
        <w:footnoteRef/>
      </w:r>
      <w:r w:rsidRPr="00343AE8">
        <w:rPr>
          <w:rFonts w:ascii="Arial" w:hAnsi="Arial" w:cs="Arial"/>
          <w:sz w:val="14"/>
          <w:szCs w:val="14"/>
          <w:lang w:val="es-MX"/>
        </w:rPr>
        <w:t xml:space="preserve"> </w:t>
      </w:r>
      <w:bookmarkStart w:id="2" w:name="_Hlk199399141"/>
      <w:r w:rsidRPr="00343AE8">
        <w:rPr>
          <w:rFonts w:ascii="Arial" w:hAnsi="Arial" w:cs="Arial"/>
          <w:sz w:val="14"/>
          <w:szCs w:val="14"/>
          <w:lang w:val="es-MX"/>
        </w:rPr>
        <w:t>Especialista sénior en Aprendizaje y Gestión del Conocimiento en el BID. Lidera el Proyecto de CredencialesBID y cursos en línea. Con experiencia académica en educación a distancia y formación en</w:t>
      </w:r>
      <w:r w:rsidR="000753C3">
        <w:rPr>
          <w:rFonts w:ascii="Arial" w:hAnsi="Arial" w:cs="Arial"/>
          <w:sz w:val="14"/>
          <w:szCs w:val="14"/>
          <w:lang w:val="es-MX"/>
        </w:rPr>
        <w:t xml:space="preserve"> </w:t>
      </w:r>
      <w:r w:rsidRPr="00343AE8">
        <w:rPr>
          <w:rFonts w:ascii="Arial" w:hAnsi="Arial" w:cs="Arial"/>
          <w:sz w:val="14"/>
          <w:szCs w:val="14"/>
          <w:lang w:val="es-MX"/>
        </w:rPr>
        <w:t>ingeniería y computación</w:t>
      </w:r>
      <w:bookmarkEnd w:id="2"/>
      <w:r w:rsidR="00CF0BF9" w:rsidRPr="00343AE8">
        <w:rPr>
          <w:rFonts w:ascii="Arial" w:hAnsi="Arial" w:cs="Arial"/>
          <w:sz w:val="14"/>
          <w:szCs w:val="14"/>
          <w:lang w:val="es-MX"/>
        </w:rPr>
        <w:t>,</w:t>
      </w:r>
      <w:r w:rsidRPr="00343AE8">
        <w:rPr>
          <w:rFonts w:ascii="Arial" w:hAnsi="Arial" w:cs="Arial"/>
          <w:sz w:val="14"/>
          <w:szCs w:val="14"/>
          <w:lang w:val="es-MX"/>
        </w:rPr>
        <w:t xml:space="preserve"> </w:t>
      </w:r>
      <w:r w:rsidR="00123EB8" w:rsidRPr="00343AE8">
        <w:rPr>
          <w:rFonts w:ascii="Arial" w:hAnsi="Arial" w:cs="Arial"/>
          <w:noProof/>
          <w:sz w:val="14"/>
          <w:szCs w:val="14"/>
          <w:lang w:eastAsia="es-CR"/>
        </w:rPr>
        <w:drawing>
          <wp:inline distT="0" distB="0" distL="0" distR="0" wp14:anchorId="47DACE12" wp14:editId="30206E71">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Pr="00642E29">
          <w:rPr>
            <w:rStyle w:val="Hipervnculo"/>
            <w:rFonts w:ascii="Arial" w:hAnsi="Arial" w:cs="Arial"/>
            <w:sz w:val="14"/>
            <w:szCs w:val="14"/>
            <w:lang w:val="es-MX"/>
          </w:rPr>
          <w:t>https://orcid.org/0000-0001-7126-3949</w:t>
        </w:r>
      </w:hyperlink>
    </w:p>
  </w:footnote>
  <w:footnote w:id="2">
    <w:p w14:paraId="70F8FBF7" w14:textId="1DC998EE" w:rsidR="0000240E" w:rsidRPr="00343AE8" w:rsidRDefault="0000240E" w:rsidP="00FA1400">
      <w:pPr>
        <w:pStyle w:val="Textonotapie"/>
        <w:snapToGrid w:val="0"/>
        <w:ind w:right="-714"/>
        <w:jc w:val="both"/>
        <w:rPr>
          <w:rFonts w:ascii="Arial" w:hAnsi="Arial" w:cs="Arial"/>
          <w:sz w:val="14"/>
          <w:szCs w:val="14"/>
          <w:lang w:val="es-MX"/>
        </w:rPr>
      </w:pPr>
      <w:r w:rsidRPr="00343AE8">
        <w:rPr>
          <w:rStyle w:val="Refdenotaalpie"/>
          <w:rFonts w:ascii="Arial" w:hAnsi="Arial" w:cs="Arial"/>
          <w:sz w:val="14"/>
          <w:szCs w:val="14"/>
        </w:rPr>
        <w:footnoteRef/>
      </w:r>
      <w:r w:rsidRPr="00343AE8">
        <w:rPr>
          <w:rFonts w:ascii="Arial" w:hAnsi="Arial" w:cs="Arial"/>
          <w:sz w:val="14"/>
          <w:szCs w:val="14"/>
        </w:rPr>
        <w:t xml:space="preserve"> </w:t>
      </w:r>
      <w:r w:rsidRPr="00343AE8">
        <w:rPr>
          <w:rFonts w:ascii="Arial" w:hAnsi="Arial" w:cs="Arial"/>
          <w:sz w:val="14"/>
          <w:szCs w:val="14"/>
          <w:lang w:val="es-MX"/>
        </w:rPr>
        <w:t>Consultora en diseño instruccional del BID, con experiencia docente en tecnología instruccional. Magíster en Educación y TIC, especialista en diseño tecno-pedagógico, desarrollo organizacional y gestión de proyectos</w:t>
      </w:r>
      <w:r w:rsidR="00CF0BF9" w:rsidRPr="00343AE8">
        <w:rPr>
          <w:rFonts w:ascii="Arial" w:hAnsi="Arial" w:cs="Arial"/>
          <w:sz w:val="14"/>
          <w:szCs w:val="14"/>
          <w:lang w:val="es-MX"/>
        </w:rPr>
        <w:t>,</w:t>
      </w:r>
      <w:r w:rsidRPr="00343AE8">
        <w:rPr>
          <w:rFonts w:ascii="Arial" w:hAnsi="Arial" w:cs="Arial"/>
          <w:sz w:val="14"/>
          <w:szCs w:val="14"/>
          <w:lang w:val="es-MX"/>
        </w:rPr>
        <w:t xml:space="preserve"> </w:t>
      </w:r>
      <w:r w:rsidR="00123EB8" w:rsidRPr="00343AE8">
        <w:rPr>
          <w:rFonts w:ascii="Arial" w:hAnsi="Arial" w:cs="Arial"/>
          <w:noProof/>
          <w:sz w:val="14"/>
          <w:szCs w:val="14"/>
          <w:lang w:eastAsia="es-CR"/>
        </w:rPr>
        <w:drawing>
          <wp:inline distT="0" distB="0" distL="0" distR="0" wp14:anchorId="2A248EDD" wp14:editId="57898894">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3" w:history="1">
        <w:r w:rsidRPr="00642E29">
          <w:rPr>
            <w:rStyle w:val="Hipervnculo"/>
            <w:rFonts w:ascii="Arial" w:hAnsi="Arial" w:cs="Arial"/>
            <w:sz w:val="14"/>
            <w:szCs w:val="14"/>
            <w:lang w:val="es-MX"/>
          </w:rPr>
          <w:t>https://orcid.org/0009-0006-2891-2396</w:t>
        </w:r>
      </w:hyperlink>
      <w:r w:rsidR="00A05A5B">
        <w:rPr>
          <w:rFonts w:ascii="Arial" w:hAnsi="Arial" w:cs="Arial"/>
          <w:sz w:val="14"/>
          <w:szCs w:val="14"/>
          <w:lang w:val="es-MX"/>
        </w:rPr>
        <w:t xml:space="preserve"> </w:t>
      </w:r>
    </w:p>
  </w:footnote>
  <w:footnote w:id="3">
    <w:p w14:paraId="1AE728BF" w14:textId="4B72EED0" w:rsidR="0000240E" w:rsidRPr="00343AE8" w:rsidRDefault="0000240E" w:rsidP="00FA1400">
      <w:pPr>
        <w:pStyle w:val="Textonotapie"/>
        <w:snapToGrid w:val="0"/>
        <w:ind w:right="-714"/>
        <w:jc w:val="both"/>
        <w:rPr>
          <w:rFonts w:ascii="Arial" w:hAnsi="Arial" w:cs="Arial"/>
          <w:sz w:val="14"/>
          <w:szCs w:val="14"/>
          <w:lang w:val="es-MX"/>
        </w:rPr>
      </w:pPr>
      <w:r w:rsidRPr="00343AE8">
        <w:rPr>
          <w:rStyle w:val="Refdenotaalpie"/>
          <w:rFonts w:ascii="Arial" w:hAnsi="Arial" w:cs="Arial"/>
          <w:sz w:val="14"/>
          <w:szCs w:val="14"/>
        </w:rPr>
        <w:footnoteRef/>
      </w:r>
      <w:r w:rsidRPr="00343AE8">
        <w:rPr>
          <w:rFonts w:ascii="Arial" w:hAnsi="Arial" w:cs="Arial"/>
          <w:sz w:val="14"/>
          <w:szCs w:val="14"/>
        </w:rPr>
        <w:t xml:space="preserve"> </w:t>
      </w:r>
      <w:r w:rsidRPr="00343AE8">
        <w:rPr>
          <w:rFonts w:ascii="Arial" w:hAnsi="Arial" w:cs="Arial"/>
          <w:sz w:val="14"/>
          <w:szCs w:val="14"/>
          <w:lang w:val="es-MX"/>
        </w:rPr>
        <w:t>Magíster en Tecnología Educativa y Accesibilidad Digital, licenciada en Sociología. Consultora en el INDES para gestionar programas virtuales accesibles y evaluar su impacto en América Latina y el Caribe</w:t>
      </w:r>
      <w:r w:rsidR="00CF0BF9" w:rsidRPr="00343AE8">
        <w:rPr>
          <w:rFonts w:ascii="Arial" w:hAnsi="Arial" w:cs="Arial"/>
          <w:sz w:val="14"/>
          <w:szCs w:val="14"/>
          <w:lang w:val="es-MX"/>
        </w:rPr>
        <w:t>,</w:t>
      </w:r>
      <w:r w:rsidRPr="00343AE8">
        <w:rPr>
          <w:rFonts w:ascii="Arial" w:hAnsi="Arial" w:cs="Arial"/>
          <w:sz w:val="14"/>
          <w:szCs w:val="14"/>
          <w:lang w:val="es-MX"/>
        </w:rPr>
        <w:t xml:space="preserve"> </w:t>
      </w:r>
      <w:r w:rsidR="00123EB8" w:rsidRPr="00343AE8">
        <w:rPr>
          <w:rFonts w:ascii="Arial" w:hAnsi="Arial" w:cs="Arial"/>
          <w:noProof/>
          <w:sz w:val="14"/>
          <w:szCs w:val="14"/>
          <w:lang w:eastAsia="es-CR"/>
        </w:rPr>
        <w:drawing>
          <wp:inline distT="0" distB="0" distL="0" distR="0" wp14:anchorId="194AABB8" wp14:editId="60AA68C4">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4" w:history="1">
        <w:r w:rsidRPr="00642E29">
          <w:rPr>
            <w:rStyle w:val="Hipervnculo"/>
            <w:rFonts w:ascii="Arial" w:hAnsi="Arial" w:cs="Arial"/>
            <w:sz w:val="14"/>
            <w:szCs w:val="14"/>
            <w:lang w:val="es-MX"/>
          </w:rPr>
          <w:t>https://orcid.org/0009-0005-9284-6779</w:t>
        </w:r>
      </w:hyperlink>
    </w:p>
  </w:footnote>
  <w:footnote w:id="4">
    <w:p w14:paraId="3112DE29" w14:textId="37619457" w:rsidR="0000240E" w:rsidRPr="00343AE8" w:rsidRDefault="0000240E" w:rsidP="00FA1400">
      <w:pPr>
        <w:pStyle w:val="Textonotapie"/>
        <w:snapToGrid w:val="0"/>
        <w:ind w:right="-714"/>
        <w:jc w:val="both"/>
        <w:rPr>
          <w:sz w:val="14"/>
          <w:szCs w:val="14"/>
          <w:lang w:val="es-MX"/>
        </w:rPr>
      </w:pPr>
      <w:r w:rsidRPr="00343AE8">
        <w:rPr>
          <w:rStyle w:val="Refdenotaalpie"/>
          <w:rFonts w:ascii="Arial" w:hAnsi="Arial" w:cs="Arial"/>
          <w:sz w:val="14"/>
          <w:szCs w:val="14"/>
        </w:rPr>
        <w:footnoteRef/>
      </w:r>
      <w:r w:rsidRPr="00343AE8">
        <w:rPr>
          <w:rFonts w:ascii="Arial" w:hAnsi="Arial" w:cs="Arial"/>
          <w:sz w:val="14"/>
          <w:szCs w:val="14"/>
        </w:rPr>
        <w:t xml:space="preserve"> </w:t>
      </w:r>
      <w:r w:rsidRPr="00343AE8">
        <w:rPr>
          <w:rFonts w:ascii="Arial" w:hAnsi="Arial" w:cs="Arial"/>
          <w:sz w:val="14"/>
          <w:szCs w:val="14"/>
          <w:lang w:val="es-MX"/>
        </w:rPr>
        <w:t xml:space="preserve">Maestra en Tecnologías para el Aprendizaje por la Universidad de Guadalajara. </w:t>
      </w:r>
      <w:r w:rsidRPr="00343AE8">
        <w:rPr>
          <w:rFonts w:ascii="Arial" w:hAnsi="Arial" w:cs="Arial"/>
          <w:sz w:val="14"/>
          <w:szCs w:val="14"/>
          <w:lang w:val="es-MX"/>
        </w:rPr>
        <w:t>Docente y diseñadora instruccional</w:t>
      </w:r>
      <w:r w:rsidR="00CF0BF9" w:rsidRPr="00343AE8">
        <w:rPr>
          <w:rFonts w:ascii="Arial" w:hAnsi="Arial" w:cs="Arial"/>
          <w:sz w:val="14"/>
          <w:szCs w:val="14"/>
          <w:lang w:val="es-MX"/>
        </w:rPr>
        <w:t>,</w:t>
      </w:r>
      <w:r w:rsidR="00FA1400">
        <w:rPr>
          <w:rFonts w:ascii="Arial" w:hAnsi="Arial" w:cs="Arial"/>
          <w:sz w:val="14"/>
          <w:szCs w:val="14"/>
          <w:lang w:val="es-MX"/>
        </w:rPr>
        <w:t xml:space="preserve"> </w:t>
      </w:r>
      <w:r w:rsidR="00A05A5B" w:rsidRPr="00343AE8">
        <w:rPr>
          <w:rFonts w:ascii="Arial" w:hAnsi="Arial" w:cs="Arial"/>
          <w:noProof/>
          <w:sz w:val="14"/>
          <w:szCs w:val="14"/>
          <w:lang w:eastAsia="es-CR"/>
        </w:rPr>
        <w:drawing>
          <wp:inline distT="0" distB="0" distL="0" distR="0" wp14:anchorId="49F51950" wp14:editId="5AD8E7A1">
            <wp:extent cx="123825" cy="123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5" w:history="1">
        <w:r w:rsidRPr="00A05A5B">
          <w:rPr>
            <w:rStyle w:val="Hipervnculo"/>
            <w:rFonts w:ascii="Arial" w:hAnsi="Arial" w:cs="Arial"/>
            <w:sz w:val="14"/>
            <w:szCs w:val="14"/>
            <w:lang w:val="es-MX"/>
          </w:rPr>
          <w:t>https://orcid.org/0009-0007-5001-0003</w:t>
        </w:r>
      </w:hyperlink>
    </w:p>
  </w:footnote>
  <w:footnote w:id="5">
    <w:p w14:paraId="3BE19C44" w14:textId="1CFB6BC8" w:rsidR="0000240E" w:rsidRPr="00AC1609" w:rsidRDefault="0000240E" w:rsidP="00FA1400">
      <w:pPr>
        <w:pStyle w:val="Textonotapie"/>
        <w:jc w:val="both"/>
        <w:rPr>
          <w:rFonts w:ascii="Arial" w:hAnsi="Arial" w:cs="Arial"/>
          <w:sz w:val="16"/>
          <w:szCs w:val="16"/>
          <w:lang w:val="es-MX"/>
        </w:rPr>
      </w:pPr>
      <w:r w:rsidRPr="00343AE8">
        <w:rPr>
          <w:rStyle w:val="Refdenotaalpie"/>
          <w:rFonts w:ascii="Arial" w:hAnsi="Arial" w:cs="Arial"/>
          <w:sz w:val="14"/>
          <w:szCs w:val="14"/>
          <w:lang w:val="es-MX"/>
        </w:rPr>
        <w:footnoteRef/>
      </w:r>
      <w:r w:rsidRPr="00343AE8">
        <w:rPr>
          <w:rFonts w:ascii="Arial" w:hAnsi="Arial" w:cs="Arial"/>
          <w:sz w:val="14"/>
          <w:szCs w:val="14"/>
          <w:lang w:val="es-MX"/>
        </w:rPr>
        <w:t xml:space="preserve"> Maestra en Tecnologías para el Aprendizaje y Doctora en Sistemas y Ambientes Educativos por la Universidad de Guadalajara. Docente y diseñadora instruccional</w:t>
      </w:r>
      <w:r w:rsidR="00CF0BF9" w:rsidRPr="00343AE8">
        <w:rPr>
          <w:rFonts w:ascii="Arial" w:hAnsi="Arial" w:cs="Arial"/>
          <w:sz w:val="14"/>
          <w:szCs w:val="14"/>
          <w:lang w:val="es-MX"/>
        </w:rPr>
        <w:t>,</w:t>
      </w:r>
      <w:r w:rsidRPr="00343AE8">
        <w:rPr>
          <w:rFonts w:ascii="Arial" w:hAnsi="Arial" w:cs="Arial"/>
          <w:sz w:val="14"/>
          <w:szCs w:val="14"/>
          <w:lang w:val="es-MX"/>
        </w:rPr>
        <w:t xml:space="preserve"> </w:t>
      </w:r>
      <w:r w:rsidR="00123EB8" w:rsidRPr="00343AE8">
        <w:rPr>
          <w:rFonts w:ascii="Arial" w:hAnsi="Arial" w:cs="Arial"/>
          <w:noProof/>
          <w:sz w:val="14"/>
          <w:szCs w:val="14"/>
          <w:lang w:eastAsia="es-CR"/>
        </w:rPr>
        <w:drawing>
          <wp:inline distT="0" distB="0" distL="0" distR="0" wp14:anchorId="6FD2CBAB" wp14:editId="04DC4D32">
            <wp:extent cx="123825" cy="1238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6" w:history="1">
        <w:r w:rsidRPr="00A05A5B">
          <w:rPr>
            <w:rStyle w:val="Hipervnculo"/>
            <w:rFonts w:ascii="Arial" w:hAnsi="Arial" w:cs="Arial"/>
            <w:sz w:val="14"/>
            <w:szCs w:val="14"/>
            <w:lang w:val="es-MX"/>
          </w:rPr>
          <w:t>https://orcid.org/0009-0006-4504-2396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1B0301D9" w:rsidR="00A82B98" w:rsidRPr="00F4765F" w:rsidRDefault="2B126BB7" w:rsidP="008A1766">
    <w:pPr>
      <w:pStyle w:val="Sinespaciado"/>
      <w:jc w:val="center"/>
      <w:rPr>
        <w:rFonts w:ascii="Agency FB" w:hAnsi="Agency FB"/>
        <w:color w:val="E36C0A"/>
        <w:sz w:val="20"/>
        <w:szCs w:val="20"/>
      </w:rPr>
    </w:pPr>
    <w:bookmarkStart w:id="1" w:name="_Hlk151106753"/>
    <w:r w:rsidRPr="2B126BB7">
      <w:rPr>
        <w:rFonts w:ascii="Agency FB" w:hAnsi="Agency FB"/>
        <w:color w:val="E36C0A"/>
        <w:sz w:val="20"/>
        <w:szCs w:val="20"/>
      </w:rPr>
      <w:t>REVISTA ELECTRÓNICA CALIDAD EN LA EDUCACIÓN SUPERIOR ISSN: 1659 - 4703, VOL. 16(ESPECIAL 3) JUNIO-NOVIEMBRE, 2025: 55-85</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193009"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35D9A07B"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w:t>
    </w:r>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BEF773B"/>
    <w:multiLevelType w:val="hybridMultilevel"/>
    <w:tmpl w:val="D35881FA"/>
    <w:lvl w:ilvl="0" w:tplc="72C800D2">
      <w:numFmt w:val="bullet"/>
      <w:lvlText w:val="-"/>
      <w:lvlJc w:val="left"/>
      <w:pPr>
        <w:ind w:left="1080" w:hanging="72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1"/>
  </w:num>
  <w:num w:numId="4">
    <w:abstractNumId w:val="25"/>
  </w:num>
  <w:num w:numId="5">
    <w:abstractNumId w:val="3"/>
  </w:num>
  <w:num w:numId="6">
    <w:abstractNumId w:val="24"/>
  </w:num>
  <w:num w:numId="7">
    <w:abstractNumId w:val="40"/>
  </w:num>
  <w:num w:numId="8">
    <w:abstractNumId w:val="15"/>
  </w:num>
  <w:num w:numId="9">
    <w:abstractNumId w:val="31"/>
  </w:num>
  <w:num w:numId="10">
    <w:abstractNumId w:val="22"/>
  </w:num>
  <w:num w:numId="11">
    <w:abstractNumId w:val="0"/>
  </w:num>
  <w:num w:numId="12">
    <w:abstractNumId w:val="39"/>
  </w:num>
  <w:num w:numId="13">
    <w:abstractNumId w:val="28"/>
  </w:num>
  <w:num w:numId="14">
    <w:abstractNumId w:val="5"/>
  </w:num>
  <w:num w:numId="15">
    <w:abstractNumId w:val="14"/>
  </w:num>
  <w:num w:numId="16">
    <w:abstractNumId w:val="8"/>
  </w:num>
  <w:num w:numId="17">
    <w:abstractNumId w:val="10"/>
  </w:num>
  <w:num w:numId="18">
    <w:abstractNumId w:val="32"/>
  </w:num>
  <w:num w:numId="19">
    <w:abstractNumId w:val="9"/>
  </w:num>
  <w:num w:numId="20">
    <w:abstractNumId w:val="30"/>
  </w:num>
  <w:num w:numId="21">
    <w:abstractNumId w:val="2"/>
  </w:num>
  <w:num w:numId="22">
    <w:abstractNumId w:val="7"/>
  </w:num>
  <w:num w:numId="23">
    <w:abstractNumId w:val="4"/>
  </w:num>
  <w:num w:numId="24">
    <w:abstractNumId w:val="13"/>
  </w:num>
  <w:num w:numId="25">
    <w:abstractNumId w:val="42"/>
  </w:num>
  <w:num w:numId="26">
    <w:abstractNumId w:val="38"/>
  </w:num>
  <w:num w:numId="27">
    <w:abstractNumId w:val="12"/>
  </w:num>
  <w:num w:numId="28">
    <w:abstractNumId w:val="17"/>
  </w:num>
  <w:num w:numId="29">
    <w:abstractNumId w:val="29"/>
  </w:num>
  <w:num w:numId="30">
    <w:abstractNumId w:val="19"/>
  </w:num>
  <w:num w:numId="31">
    <w:abstractNumId w:val="11"/>
  </w:num>
  <w:num w:numId="32">
    <w:abstractNumId w:val="41"/>
  </w:num>
  <w:num w:numId="33">
    <w:abstractNumId w:val="26"/>
  </w:num>
  <w:num w:numId="34">
    <w:abstractNumId w:val="18"/>
  </w:num>
  <w:num w:numId="35">
    <w:abstractNumId w:val="35"/>
  </w:num>
  <w:num w:numId="36">
    <w:abstractNumId w:val="23"/>
  </w:num>
  <w:num w:numId="37">
    <w:abstractNumId w:val="6"/>
  </w:num>
  <w:num w:numId="38">
    <w:abstractNumId w:val="20"/>
  </w:num>
  <w:num w:numId="39">
    <w:abstractNumId w:val="34"/>
  </w:num>
  <w:num w:numId="40">
    <w:abstractNumId w:val="27"/>
  </w:num>
  <w:num w:numId="41">
    <w:abstractNumId w:val="36"/>
  </w:num>
  <w:num w:numId="42">
    <w:abstractNumId w:val="3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40E"/>
    <w:rsid w:val="000032FD"/>
    <w:rsid w:val="00006F80"/>
    <w:rsid w:val="000079D2"/>
    <w:rsid w:val="00014278"/>
    <w:rsid w:val="00015D9E"/>
    <w:rsid w:val="00016045"/>
    <w:rsid w:val="0001748B"/>
    <w:rsid w:val="0001780B"/>
    <w:rsid w:val="00017E6D"/>
    <w:rsid w:val="0002238C"/>
    <w:rsid w:val="00024251"/>
    <w:rsid w:val="00025A7E"/>
    <w:rsid w:val="00026707"/>
    <w:rsid w:val="00031E46"/>
    <w:rsid w:val="0003520A"/>
    <w:rsid w:val="00035DB3"/>
    <w:rsid w:val="00036860"/>
    <w:rsid w:val="00041B5C"/>
    <w:rsid w:val="00041CE2"/>
    <w:rsid w:val="00041F99"/>
    <w:rsid w:val="00046D6E"/>
    <w:rsid w:val="00047528"/>
    <w:rsid w:val="00050CBC"/>
    <w:rsid w:val="00051E67"/>
    <w:rsid w:val="000534BC"/>
    <w:rsid w:val="0005594E"/>
    <w:rsid w:val="00057376"/>
    <w:rsid w:val="00057A12"/>
    <w:rsid w:val="00061C1E"/>
    <w:rsid w:val="00066781"/>
    <w:rsid w:val="0007083E"/>
    <w:rsid w:val="0007225D"/>
    <w:rsid w:val="00073695"/>
    <w:rsid w:val="000749E7"/>
    <w:rsid w:val="000753C3"/>
    <w:rsid w:val="00075680"/>
    <w:rsid w:val="00076624"/>
    <w:rsid w:val="00081189"/>
    <w:rsid w:val="00081EA1"/>
    <w:rsid w:val="00084C26"/>
    <w:rsid w:val="000864DB"/>
    <w:rsid w:val="00086839"/>
    <w:rsid w:val="00090800"/>
    <w:rsid w:val="00091331"/>
    <w:rsid w:val="00091D68"/>
    <w:rsid w:val="0009320F"/>
    <w:rsid w:val="00095A07"/>
    <w:rsid w:val="0009772F"/>
    <w:rsid w:val="00097C08"/>
    <w:rsid w:val="00097DE7"/>
    <w:rsid w:val="000A1290"/>
    <w:rsid w:val="000A1782"/>
    <w:rsid w:val="000A227F"/>
    <w:rsid w:val="000A37D8"/>
    <w:rsid w:val="000A636A"/>
    <w:rsid w:val="000A6D9A"/>
    <w:rsid w:val="000A7971"/>
    <w:rsid w:val="000A7E22"/>
    <w:rsid w:val="000B708F"/>
    <w:rsid w:val="000B7151"/>
    <w:rsid w:val="000C08B0"/>
    <w:rsid w:val="000C1371"/>
    <w:rsid w:val="000C1E27"/>
    <w:rsid w:val="000C2442"/>
    <w:rsid w:val="000C680B"/>
    <w:rsid w:val="000D1334"/>
    <w:rsid w:val="000D144D"/>
    <w:rsid w:val="000D1F91"/>
    <w:rsid w:val="000D2567"/>
    <w:rsid w:val="000D296F"/>
    <w:rsid w:val="000D2F4A"/>
    <w:rsid w:val="000D44E1"/>
    <w:rsid w:val="000D4E8B"/>
    <w:rsid w:val="000D5935"/>
    <w:rsid w:val="000D6CBD"/>
    <w:rsid w:val="000D6E20"/>
    <w:rsid w:val="000E184A"/>
    <w:rsid w:val="000E31F9"/>
    <w:rsid w:val="000E320A"/>
    <w:rsid w:val="000E4253"/>
    <w:rsid w:val="000E4F1A"/>
    <w:rsid w:val="000E619C"/>
    <w:rsid w:val="000E63B8"/>
    <w:rsid w:val="000E7A28"/>
    <w:rsid w:val="000F1259"/>
    <w:rsid w:val="000F28A9"/>
    <w:rsid w:val="000F2B5D"/>
    <w:rsid w:val="000F32B3"/>
    <w:rsid w:val="000F393F"/>
    <w:rsid w:val="000F61B7"/>
    <w:rsid w:val="00101707"/>
    <w:rsid w:val="00102586"/>
    <w:rsid w:val="00103608"/>
    <w:rsid w:val="001037A9"/>
    <w:rsid w:val="001037D5"/>
    <w:rsid w:val="00104E6F"/>
    <w:rsid w:val="00106270"/>
    <w:rsid w:val="00107071"/>
    <w:rsid w:val="00107EBF"/>
    <w:rsid w:val="00111083"/>
    <w:rsid w:val="00116616"/>
    <w:rsid w:val="00116C20"/>
    <w:rsid w:val="00120219"/>
    <w:rsid w:val="001207A6"/>
    <w:rsid w:val="001234AE"/>
    <w:rsid w:val="00123EB8"/>
    <w:rsid w:val="00125F0E"/>
    <w:rsid w:val="0012679F"/>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591C"/>
    <w:rsid w:val="001561AF"/>
    <w:rsid w:val="00156C8F"/>
    <w:rsid w:val="00160030"/>
    <w:rsid w:val="001624E8"/>
    <w:rsid w:val="00163590"/>
    <w:rsid w:val="00164518"/>
    <w:rsid w:val="001650EE"/>
    <w:rsid w:val="001655C1"/>
    <w:rsid w:val="00166BC6"/>
    <w:rsid w:val="001708A1"/>
    <w:rsid w:val="001749A5"/>
    <w:rsid w:val="00174B0E"/>
    <w:rsid w:val="0017598B"/>
    <w:rsid w:val="00175BE9"/>
    <w:rsid w:val="001760A2"/>
    <w:rsid w:val="00181457"/>
    <w:rsid w:val="001836F5"/>
    <w:rsid w:val="00183ACC"/>
    <w:rsid w:val="001850F9"/>
    <w:rsid w:val="001862C7"/>
    <w:rsid w:val="00190C62"/>
    <w:rsid w:val="00190DE8"/>
    <w:rsid w:val="001910DA"/>
    <w:rsid w:val="00191751"/>
    <w:rsid w:val="00192C9E"/>
    <w:rsid w:val="00193AFC"/>
    <w:rsid w:val="00193DA2"/>
    <w:rsid w:val="001942E8"/>
    <w:rsid w:val="001951A4"/>
    <w:rsid w:val="001A0561"/>
    <w:rsid w:val="001A2995"/>
    <w:rsid w:val="001A32E2"/>
    <w:rsid w:val="001A43CA"/>
    <w:rsid w:val="001A5BBC"/>
    <w:rsid w:val="001A5FB1"/>
    <w:rsid w:val="001A6A7E"/>
    <w:rsid w:val="001B1F0E"/>
    <w:rsid w:val="001B2F02"/>
    <w:rsid w:val="001B33FD"/>
    <w:rsid w:val="001B38E2"/>
    <w:rsid w:val="001B49A7"/>
    <w:rsid w:val="001B5195"/>
    <w:rsid w:val="001B52E9"/>
    <w:rsid w:val="001C017C"/>
    <w:rsid w:val="001C0FDB"/>
    <w:rsid w:val="001C2D10"/>
    <w:rsid w:val="001C395C"/>
    <w:rsid w:val="001C77F9"/>
    <w:rsid w:val="001C7F97"/>
    <w:rsid w:val="001D06ED"/>
    <w:rsid w:val="001D226B"/>
    <w:rsid w:val="001D2A22"/>
    <w:rsid w:val="001D437A"/>
    <w:rsid w:val="001E202F"/>
    <w:rsid w:val="001E2221"/>
    <w:rsid w:val="001E34E7"/>
    <w:rsid w:val="001E5DA2"/>
    <w:rsid w:val="001E7653"/>
    <w:rsid w:val="001F018B"/>
    <w:rsid w:val="001F1C42"/>
    <w:rsid w:val="001F2282"/>
    <w:rsid w:val="001F308D"/>
    <w:rsid w:val="001F4C2D"/>
    <w:rsid w:val="001F69CF"/>
    <w:rsid w:val="00202760"/>
    <w:rsid w:val="002031AC"/>
    <w:rsid w:val="002033B3"/>
    <w:rsid w:val="0020679D"/>
    <w:rsid w:val="00210272"/>
    <w:rsid w:val="00211B63"/>
    <w:rsid w:val="00213C93"/>
    <w:rsid w:val="002144FC"/>
    <w:rsid w:val="0021465A"/>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2A7B"/>
    <w:rsid w:val="002639FE"/>
    <w:rsid w:val="002657AB"/>
    <w:rsid w:val="00267DAE"/>
    <w:rsid w:val="00270225"/>
    <w:rsid w:val="00270F16"/>
    <w:rsid w:val="002719BB"/>
    <w:rsid w:val="00273226"/>
    <w:rsid w:val="002742B4"/>
    <w:rsid w:val="00274740"/>
    <w:rsid w:val="00274C76"/>
    <w:rsid w:val="002756C6"/>
    <w:rsid w:val="00275FC3"/>
    <w:rsid w:val="00280261"/>
    <w:rsid w:val="0028058F"/>
    <w:rsid w:val="0028134D"/>
    <w:rsid w:val="00282AEC"/>
    <w:rsid w:val="00282C90"/>
    <w:rsid w:val="00284D6F"/>
    <w:rsid w:val="00285DA3"/>
    <w:rsid w:val="002863C4"/>
    <w:rsid w:val="00291424"/>
    <w:rsid w:val="002923A7"/>
    <w:rsid w:val="002977E3"/>
    <w:rsid w:val="00297B03"/>
    <w:rsid w:val="00297B80"/>
    <w:rsid w:val="002A0231"/>
    <w:rsid w:val="002A060D"/>
    <w:rsid w:val="002A467A"/>
    <w:rsid w:val="002A4803"/>
    <w:rsid w:val="002A546A"/>
    <w:rsid w:val="002A6B01"/>
    <w:rsid w:val="002A7A61"/>
    <w:rsid w:val="002B0032"/>
    <w:rsid w:val="002B21BA"/>
    <w:rsid w:val="002B2327"/>
    <w:rsid w:val="002B24C1"/>
    <w:rsid w:val="002B26BE"/>
    <w:rsid w:val="002B3DFB"/>
    <w:rsid w:val="002B5501"/>
    <w:rsid w:val="002B6304"/>
    <w:rsid w:val="002C3F42"/>
    <w:rsid w:val="002D063B"/>
    <w:rsid w:val="002D0B75"/>
    <w:rsid w:val="002D21CD"/>
    <w:rsid w:val="002D30E6"/>
    <w:rsid w:val="002D5B9B"/>
    <w:rsid w:val="002D63B3"/>
    <w:rsid w:val="002D7B15"/>
    <w:rsid w:val="002D7BA5"/>
    <w:rsid w:val="002D7FA0"/>
    <w:rsid w:val="002E0F85"/>
    <w:rsid w:val="002E447F"/>
    <w:rsid w:val="002E52DF"/>
    <w:rsid w:val="002E7EB6"/>
    <w:rsid w:val="002F069B"/>
    <w:rsid w:val="002F4536"/>
    <w:rsid w:val="002F51CC"/>
    <w:rsid w:val="002F541D"/>
    <w:rsid w:val="00300366"/>
    <w:rsid w:val="00301975"/>
    <w:rsid w:val="00302FF9"/>
    <w:rsid w:val="00304107"/>
    <w:rsid w:val="00304CC0"/>
    <w:rsid w:val="00305A99"/>
    <w:rsid w:val="0030625A"/>
    <w:rsid w:val="003072E5"/>
    <w:rsid w:val="003111A0"/>
    <w:rsid w:val="00311AF2"/>
    <w:rsid w:val="00313595"/>
    <w:rsid w:val="0031458C"/>
    <w:rsid w:val="00315C55"/>
    <w:rsid w:val="00316745"/>
    <w:rsid w:val="003172E9"/>
    <w:rsid w:val="003172FD"/>
    <w:rsid w:val="00317744"/>
    <w:rsid w:val="00317832"/>
    <w:rsid w:val="00317EF9"/>
    <w:rsid w:val="00320AA6"/>
    <w:rsid w:val="00321379"/>
    <w:rsid w:val="00323745"/>
    <w:rsid w:val="00323EC0"/>
    <w:rsid w:val="00326D5D"/>
    <w:rsid w:val="00331067"/>
    <w:rsid w:val="00331E99"/>
    <w:rsid w:val="00333698"/>
    <w:rsid w:val="00333A27"/>
    <w:rsid w:val="0033596A"/>
    <w:rsid w:val="0033689E"/>
    <w:rsid w:val="00336BAC"/>
    <w:rsid w:val="00337BFF"/>
    <w:rsid w:val="00340ED9"/>
    <w:rsid w:val="0034191B"/>
    <w:rsid w:val="00342683"/>
    <w:rsid w:val="0034275A"/>
    <w:rsid w:val="00343AE8"/>
    <w:rsid w:val="003440B8"/>
    <w:rsid w:val="00345C30"/>
    <w:rsid w:val="00346E6A"/>
    <w:rsid w:val="00347892"/>
    <w:rsid w:val="0035096D"/>
    <w:rsid w:val="00352916"/>
    <w:rsid w:val="00352BEC"/>
    <w:rsid w:val="003534F4"/>
    <w:rsid w:val="00356311"/>
    <w:rsid w:val="003569DD"/>
    <w:rsid w:val="00356BC7"/>
    <w:rsid w:val="003570BE"/>
    <w:rsid w:val="00357FE9"/>
    <w:rsid w:val="00361751"/>
    <w:rsid w:val="0036277B"/>
    <w:rsid w:val="0036524A"/>
    <w:rsid w:val="00365ACA"/>
    <w:rsid w:val="003676E3"/>
    <w:rsid w:val="00371C42"/>
    <w:rsid w:val="0037328D"/>
    <w:rsid w:val="003740EE"/>
    <w:rsid w:val="00376A84"/>
    <w:rsid w:val="003777DF"/>
    <w:rsid w:val="003800B4"/>
    <w:rsid w:val="0038081E"/>
    <w:rsid w:val="0038147B"/>
    <w:rsid w:val="00384F2B"/>
    <w:rsid w:val="003871D4"/>
    <w:rsid w:val="00392F40"/>
    <w:rsid w:val="00393B28"/>
    <w:rsid w:val="00395CA3"/>
    <w:rsid w:val="00396255"/>
    <w:rsid w:val="00396D34"/>
    <w:rsid w:val="00397F3C"/>
    <w:rsid w:val="003A57EF"/>
    <w:rsid w:val="003A6498"/>
    <w:rsid w:val="003A67D3"/>
    <w:rsid w:val="003A6B4B"/>
    <w:rsid w:val="003A6C5E"/>
    <w:rsid w:val="003A7AAB"/>
    <w:rsid w:val="003B19CC"/>
    <w:rsid w:val="003B2B5F"/>
    <w:rsid w:val="003B4896"/>
    <w:rsid w:val="003B4B60"/>
    <w:rsid w:val="003B5EB4"/>
    <w:rsid w:val="003B6475"/>
    <w:rsid w:val="003B6BFD"/>
    <w:rsid w:val="003B7E8E"/>
    <w:rsid w:val="003C2803"/>
    <w:rsid w:val="003C3F29"/>
    <w:rsid w:val="003C3F58"/>
    <w:rsid w:val="003C566D"/>
    <w:rsid w:val="003C6426"/>
    <w:rsid w:val="003C64F3"/>
    <w:rsid w:val="003C740F"/>
    <w:rsid w:val="003D0AE0"/>
    <w:rsid w:val="003D0DC8"/>
    <w:rsid w:val="003D4A9E"/>
    <w:rsid w:val="003D4B45"/>
    <w:rsid w:val="003D4BE1"/>
    <w:rsid w:val="003D7310"/>
    <w:rsid w:val="003D7CFE"/>
    <w:rsid w:val="003E0A0B"/>
    <w:rsid w:val="003E0BC8"/>
    <w:rsid w:val="003E1C5F"/>
    <w:rsid w:val="003E4CB5"/>
    <w:rsid w:val="003E5F93"/>
    <w:rsid w:val="003E7265"/>
    <w:rsid w:val="003F0481"/>
    <w:rsid w:val="003F1E61"/>
    <w:rsid w:val="003F2E20"/>
    <w:rsid w:val="003F449B"/>
    <w:rsid w:val="003F44F5"/>
    <w:rsid w:val="003F4747"/>
    <w:rsid w:val="003F6B22"/>
    <w:rsid w:val="00400EA4"/>
    <w:rsid w:val="00402EF7"/>
    <w:rsid w:val="00403008"/>
    <w:rsid w:val="0040387B"/>
    <w:rsid w:val="00403E7A"/>
    <w:rsid w:val="0041004A"/>
    <w:rsid w:val="00410140"/>
    <w:rsid w:val="00410E1D"/>
    <w:rsid w:val="0041152C"/>
    <w:rsid w:val="004115EC"/>
    <w:rsid w:val="00413EE0"/>
    <w:rsid w:val="004168C6"/>
    <w:rsid w:val="00416F62"/>
    <w:rsid w:val="00417F4D"/>
    <w:rsid w:val="004225FB"/>
    <w:rsid w:val="00424D73"/>
    <w:rsid w:val="00425DD9"/>
    <w:rsid w:val="00433155"/>
    <w:rsid w:val="004338FF"/>
    <w:rsid w:val="00434831"/>
    <w:rsid w:val="004356F4"/>
    <w:rsid w:val="00435DD1"/>
    <w:rsid w:val="00435F9F"/>
    <w:rsid w:val="00436C08"/>
    <w:rsid w:val="00441C89"/>
    <w:rsid w:val="00443AA3"/>
    <w:rsid w:val="00446A43"/>
    <w:rsid w:val="00450ADB"/>
    <w:rsid w:val="00451552"/>
    <w:rsid w:val="004516C5"/>
    <w:rsid w:val="0045188E"/>
    <w:rsid w:val="00454AEA"/>
    <w:rsid w:val="00456B5B"/>
    <w:rsid w:val="00457E3C"/>
    <w:rsid w:val="004601DB"/>
    <w:rsid w:val="00461563"/>
    <w:rsid w:val="004626A2"/>
    <w:rsid w:val="00462700"/>
    <w:rsid w:val="00462C8D"/>
    <w:rsid w:val="00462EDE"/>
    <w:rsid w:val="00463916"/>
    <w:rsid w:val="00464BAC"/>
    <w:rsid w:val="004675E8"/>
    <w:rsid w:val="00467754"/>
    <w:rsid w:val="00472848"/>
    <w:rsid w:val="00475446"/>
    <w:rsid w:val="004770FB"/>
    <w:rsid w:val="00477B8F"/>
    <w:rsid w:val="0048057E"/>
    <w:rsid w:val="00481B00"/>
    <w:rsid w:val="00481BCA"/>
    <w:rsid w:val="004825AD"/>
    <w:rsid w:val="0048384E"/>
    <w:rsid w:val="004838B6"/>
    <w:rsid w:val="00484CA6"/>
    <w:rsid w:val="004850FB"/>
    <w:rsid w:val="00485B80"/>
    <w:rsid w:val="004860FC"/>
    <w:rsid w:val="004902EA"/>
    <w:rsid w:val="00491411"/>
    <w:rsid w:val="004928AD"/>
    <w:rsid w:val="004954AB"/>
    <w:rsid w:val="004969B8"/>
    <w:rsid w:val="00497788"/>
    <w:rsid w:val="004A5542"/>
    <w:rsid w:val="004B5ADB"/>
    <w:rsid w:val="004B7156"/>
    <w:rsid w:val="004B722B"/>
    <w:rsid w:val="004B73F9"/>
    <w:rsid w:val="004B7852"/>
    <w:rsid w:val="004B7B50"/>
    <w:rsid w:val="004B7C05"/>
    <w:rsid w:val="004C39B6"/>
    <w:rsid w:val="004C521F"/>
    <w:rsid w:val="004C688D"/>
    <w:rsid w:val="004C6D4B"/>
    <w:rsid w:val="004C7A0D"/>
    <w:rsid w:val="004D0DC5"/>
    <w:rsid w:val="004D2193"/>
    <w:rsid w:val="004D5004"/>
    <w:rsid w:val="004E18C0"/>
    <w:rsid w:val="004E2253"/>
    <w:rsid w:val="004E7499"/>
    <w:rsid w:val="004E788A"/>
    <w:rsid w:val="004F08D4"/>
    <w:rsid w:val="004F0FE0"/>
    <w:rsid w:val="004F13B1"/>
    <w:rsid w:val="004F1C1D"/>
    <w:rsid w:val="004F7551"/>
    <w:rsid w:val="00501B4A"/>
    <w:rsid w:val="00502E12"/>
    <w:rsid w:val="00502FAB"/>
    <w:rsid w:val="00503594"/>
    <w:rsid w:val="00507793"/>
    <w:rsid w:val="00510AD4"/>
    <w:rsid w:val="0051132E"/>
    <w:rsid w:val="005122DF"/>
    <w:rsid w:val="00512CDF"/>
    <w:rsid w:val="00512D0C"/>
    <w:rsid w:val="00514020"/>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1EE1"/>
    <w:rsid w:val="00552769"/>
    <w:rsid w:val="00553DF9"/>
    <w:rsid w:val="00556450"/>
    <w:rsid w:val="00557245"/>
    <w:rsid w:val="00560910"/>
    <w:rsid w:val="00561B3D"/>
    <w:rsid w:val="00562168"/>
    <w:rsid w:val="00563818"/>
    <w:rsid w:val="005646D7"/>
    <w:rsid w:val="0057111B"/>
    <w:rsid w:val="0057122B"/>
    <w:rsid w:val="005724B5"/>
    <w:rsid w:val="00572F5A"/>
    <w:rsid w:val="0057733A"/>
    <w:rsid w:val="00580CF6"/>
    <w:rsid w:val="0058405B"/>
    <w:rsid w:val="005849F5"/>
    <w:rsid w:val="00586E8C"/>
    <w:rsid w:val="00587689"/>
    <w:rsid w:val="0059013A"/>
    <w:rsid w:val="005903F7"/>
    <w:rsid w:val="005A009A"/>
    <w:rsid w:val="005A145D"/>
    <w:rsid w:val="005A7216"/>
    <w:rsid w:val="005A7337"/>
    <w:rsid w:val="005B14D6"/>
    <w:rsid w:val="005B3887"/>
    <w:rsid w:val="005B5BEA"/>
    <w:rsid w:val="005C026C"/>
    <w:rsid w:val="005C13D6"/>
    <w:rsid w:val="005C34A7"/>
    <w:rsid w:val="005C37CC"/>
    <w:rsid w:val="005C3CF2"/>
    <w:rsid w:val="005C3F8F"/>
    <w:rsid w:val="005C45C9"/>
    <w:rsid w:val="005C4B38"/>
    <w:rsid w:val="005C543F"/>
    <w:rsid w:val="005C5940"/>
    <w:rsid w:val="005C5A64"/>
    <w:rsid w:val="005C70D0"/>
    <w:rsid w:val="005D021D"/>
    <w:rsid w:val="005D0E06"/>
    <w:rsid w:val="005D5E43"/>
    <w:rsid w:val="005D685A"/>
    <w:rsid w:val="005D6952"/>
    <w:rsid w:val="005D7FD0"/>
    <w:rsid w:val="005E02B0"/>
    <w:rsid w:val="005E4587"/>
    <w:rsid w:val="005E5C9B"/>
    <w:rsid w:val="005E67D7"/>
    <w:rsid w:val="005E6E39"/>
    <w:rsid w:val="005E7617"/>
    <w:rsid w:val="005F0103"/>
    <w:rsid w:val="005F024D"/>
    <w:rsid w:val="005F04E9"/>
    <w:rsid w:val="005F0ADA"/>
    <w:rsid w:val="005F2A1A"/>
    <w:rsid w:val="005F2C40"/>
    <w:rsid w:val="005F39FA"/>
    <w:rsid w:val="005F497B"/>
    <w:rsid w:val="005F72C4"/>
    <w:rsid w:val="005F7470"/>
    <w:rsid w:val="00600E64"/>
    <w:rsid w:val="00601FE6"/>
    <w:rsid w:val="006023C8"/>
    <w:rsid w:val="00602E79"/>
    <w:rsid w:val="00603BD0"/>
    <w:rsid w:val="00603EA9"/>
    <w:rsid w:val="006063A3"/>
    <w:rsid w:val="00607B78"/>
    <w:rsid w:val="00610B37"/>
    <w:rsid w:val="006129EB"/>
    <w:rsid w:val="006133CB"/>
    <w:rsid w:val="00614ADE"/>
    <w:rsid w:val="006158E1"/>
    <w:rsid w:val="00616400"/>
    <w:rsid w:val="00617408"/>
    <w:rsid w:val="00620816"/>
    <w:rsid w:val="0062395B"/>
    <w:rsid w:val="0062566E"/>
    <w:rsid w:val="0062570F"/>
    <w:rsid w:val="006309AF"/>
    <w:rsid w:val="00633D94"/>
    <w:rsid w:val="006356C2"/>
    <w:rsid w:val="00636E5E"/>
    <w:rsid w:val="00642E29"/>
    <w:rsid w:val="00643A38"/>
    <w:rsid w:val="00645E24"/>
    <w:rsid w:val="006460F4"/>
    <w:rsid w:val="00650D03"/>
    <w:rsid w:val="006512E1"/>
    <w:rsid w:val="00652F95"/>
    <w:rsid w:val="00653068"/>
    <w:rsid w:val="006532E1"/>
    <w:rsid w:val="00656078"/>
    <w:rsid w:val="00656C84"/>
    <w:rsid w:val="00657240"/>
    <w:rsid w:val="0066002E"/>
    <w:rsid w:val="00660946"/>
    <w:rsid w:val="00662D59"/>
    <w:rsid w:val="00663C93"/>
    <w:rsid w:val="00664955"/>
    <w:rsid w:val="006654C2"/>
    <w:rsid w:val="0066591E"/>
    <w:rsid w:val="00666054"/>
    <w:rsid w:val="00666928"/>
    <w:rsid w:val="00667D08"/>
    <w:rsid w:val="00670264"/>
    <w:rsid w:val="00672C12"/>
    <w:rsid w:val="00674530"/>
    <w:rsid w:val="0067488E"/>
    <w:rsid w:val="00674942"/>
    <w:rsid w:val="006754BB"/>
    <w:rsid w:val="00676D01"/>
    <w:rsid w:val="006775AC"/>
    <w:rsid w:val="00680113"/>
    <w:rsid w:val="0068071A"/>
    <w:rsid w:val="00680985"/>
    <w:rsid w:val="00680F98"/>
    <w:rsid w:val="00682B36"/>
    <w:rsid w:val="00683F1B"/>
    <w:rsid w:val="00684FA4"/>
    <w:rsid w:val="00685A6B"/>
    <w:rsid w:val="0068657D"/>
    <w:rsid w:val="00686D9E"/>
    <w:rsid w:val="00687F30"/>
    <w:rsid w:val="00691090"/>
    <w:rsid w:val="006913C6"/>
    <w:rsid w:val="006918FA"/>
    <w:rsid w:val="00691A43"/>
    <w:rsid w:val="00692C56"/>
    <w:rsid w:val="006941DB"/>
    <w:rsid w:val="00695053"/>
    <w:rsid w:val="00696B35"/>
    <w:rsid w:val="006972C6"/>
    <w:rsid w:val="00697B90"/>
    <w:rsid w:val="00697ED7"/>
    <w:rsid w:val="006A1F41"/>
    <w:rsid w:val="006A2654"/>
    <w:rsid w:val="006A454A"/>
    <w:rsid w:val="006A6322"/>
    <w:rsid w:val="006B126A"/>
    <w:rsid w:val="006B47F4"/>
    <w:rsid w:val="006B5776"/>
    <w:rsid w:val="006C1667"/>
    <w:rsid w:val="006C170C"/>
    <w:rsid w:val="006C2D94"/>
    <w:rsid w:val="006C4E91"/>
    <w:rsid w:val="006C618F"/>
    <w:rsid w:val="006C638B"/>
    <w:rsid w:val="006D1379"/>
    <w:rsid w:val="006D1AFF"/>
    <w:rsid w:val="006D27CD"/>
    <w:rsid w:val="006D40C4"/>
    <w:rsid w:val="006D4368"/>
    <w:rsid w:val="006E2B35"/>
    <w:rsid w:val="006E472E"/>
    <w:rsid w:val="006E5984"/>
    <w:rsid w:val="006E6945"/>
    <w:rsid w:val="006E6F4E"/>
    <w:rsid w:val="006F329C"/>
    <w:rsid w:val="006F55E9"/>
    <w:rsid w:val="006F7D1A"/>
    <w:rsid w:val="007012CF"/>
    <w:rsid w:val="007013D8"/>
    <w:rsid w:val="00704F73"/>
    <w:rsid w:val="007053EE"/>
    <w:rsid w:val="007077DC"/>
    <w:rsid w:val="00711661"/>
    <w:rsid w:val="0071178D"/>
    <w:rsid w:val="007118C9"/>
    <w:rsid w:val="00713F60"/>
    <w:rsid w:val="0071551E"/>
    <w:rsid w:val="0072017E"/>
    <w:rsid w:val="0072045D"/>
    <w:rsid w:val="00720A83"/>
    <w:rsid w:val="007220F0"/>
    <w:rsid w:val="0072344A"/>
    <w:rsid w:val="00723D31"/>
    <w:rsid w:val="00723F26"/>
    <w:rsid w:val="00723FEB"/>
    <w:rsid w:val="00727AB7"/>
    <w:rsid w:val="00727ABF"/>
    <w:rsid w:val="007302EB"/>
    <w:rsid w:val="007321F5"/>
    <w:rsid w:val="00733199"/>
    <w:rsid w:val="0073326C"/>
    <w:rsid w:val="00734975"/>
    <w:rsid w:val="0073623C"/>
    <w:rsid w:val="00736305"/>
    <w:rsid w:val="0073740C"/>
    <w:rsid w:val="00741062"/>
    <w:rsid w:val="007430BA"/>
    <w:rsid w:val="00744BFD"/>
    <w:rsid w:val="00745B70"/>
    <w:rsid w:val="00746B3B"/>
    <w:rsid w:val="00751F7B"/>
    <w:rsid w:val="00753B73"/>
    <w:rsid w:val="00753D2B"/>
    <w:rsid w:val="00754B72"/>
    <w:rsid w:val="00755433"/>
    <w:rsid w:val="00755684"/>
    <w:rsid w:val="00755F1F"/>
    <w:rsid w:val="007564BC"/>
    <w:rsid w:val="0075662C"/>
    <w:rsid w:val="00756E9B"/>
    <w:rsid w:val="00757C2B"/>
    <w:rsid w:val="0076074B"/>
    <w:rsid w:val="00760793"/>
    <w:rsid w:val="00760845"/>
    <w:rsid w:val="00762450"/>
    <w:rsid w:val="007649A8"/>
    <w:rsid w:val="00766517"/>
    <w:rsid w:val="00766BBE"/>
    <w:rsid w:val="007678F8"/>
    <w:rsid w:val="00774661"/>
    <w:rsid w:val="00775FAB"/>
    <w:rsid w:val="00777310"/>
    <w:rsid w:val="007800DA"/>
    <w:rsid w:val="0078065A"/>
    <w:rsid w:val="00784A71"/>
    <w:rsid w:val="00786818"/>
    <w:rsid w:val="00791486"/>
    <w:rsid w:val="007954C7"/>
    <w:rsid w:val="00795E38"/>
    <w:rsid w:val="0079676B"/>
    <w:rsid w:val="007A1631"/>
    <w:rsid w:val="007A1D81"/>
    <w:rsid w:val="007A1D9C"/>
    <w:rsid w:val="007A60F3"/>
    <w:rsid w:val="007A6C7D"/>
    <w:rsid w:val="007B2F49"/>
    <w:rsid w:val="007B5052"/>
    <w:rsid w:val="007B5AC4"/>
    <w:rsid w:val="007B6A0C"/>
    <w:rsid w:val="007B6A7D"/>
    <w:rsid w:val="007B7D24"/>
    <w:rsid w:val="007C1A67"/>
    <w:rsid w:val="007C20E6"/>
    <w:rsid w:val="007C33A1"/>
    <w:rsid w:val="007C363C"/>
    <w:rsid w:val="007C3B20"/>
    <w:rsid w:val="007C41DE"/>
    <w:rsid w:val="007C506F"/>
    <w:rsid w:val="007C7FBC"/>
    <w:rsid w:val="007D1764"/>
    <w:rsid w:val="007D4152"/>
    <w:rsid w:val="007D5276"/>
    <w:rsid w:val="007D5A67"/>
    <w:rsid w:val="007D665F"/>
    <w:rsid w:val="007E2654"/>
    <w:rsid w:val="007E28CD"/>
    <w:rsid w:val="007E3044"/>
    <w:rsid w:val="007E3C28"/>
    <w:rsid w:val="007E3D5A"/>
    <w:rsid w:val="007E4199"/>
    <w:rsid w:val="007E7F01"/>
    <w:rsid w:val="007F0774"/>
    <w:rsid w:val="007F0D97"/>
    <w:rsid w:val="007F1913"/>
    <w:rsid w:val="007F2407"/>
    <w:rsid w:val="007F38EF"/>
    <w:rsid w:val="007F3DC0"/>
    <w:rsid w:val="007F4091"/>
    <w:rsid w:val="007F5066"/>
    <w:rsid w:val="007F7494"/>
    <w:rsid w:val="007F7714"/>
    <w:rsid w:val="008000FD"/>
    <w:rsid w:val="008007E2"/>
    <w:rsid w:val="00800898"/>
    <w:rsid w:val="00807AD4"/>
    <w:rsid w:val="00807BCD"/>
    <w:rsid w:val="008127F0"/>
    <w:rsid w:val="00814594"/>
    <w:rsid w:val="00816BE7"/>
    <w:rsid w:val="008250DA"/>
    <w:rsid w:val="008311A4"/>
    <w:rsid w:val="008325B7"/>
    <w:rsid w:val="00832BEC"/>
    <w:rsid w:val="00832D4D"/>
    <w:rsid w:val="00834D2F"/>
    <w:rsid w:val="008377E1"/>
    <w:rsid w:val="00842ADC"/>
    <w:rsid w:val="0084340D"/>
    <w:rsid w:val="00843913"/>
    <w:rsid w:val="00843D05"/>
    <w:rsid w:val="00844EC6"/>
    <w:rsid w:val="008464C6"/>
    <w:rsid w:val="00846614"/>
    <w:rsid w:val="0084777B"/>
    <w:rsid w:val="008512B9"/>
    <w:rsid w:val="008519DE"/>
    <w:rsid w:val="00851BB2"/>
    <w:rsid w:val="00852F2A"/>
    <w:rsid w:val="00853AAF"/>
    <w:rsid w:val="00854DB2"/>
    <w:rsid w:val="0085755A"/>
    <w:rsid w:val="00861150"/>
    <w:rsid w:val="00861876"/>
    <w:rsid w:val="008649AB"/>
    <w:rsid w:val="00864B6F"/>
    <w:rsid w:val="00865600"/>
    <w:rsid w:val="00870F4D"/>
    <w:rsid w:val="00873DD9"/>
    <w:rsid w:val="00874668"/>
    <w:rsid w:val="00874991"/>
    <w:rsid w:val="00875E4B"/>
    <w:rsid w:val="008765EE"/>
    <w:rsid w:val="00876939"/>
    <w:rsid w:val="00880477"/>
    <w:rsid w:val="008804CE"/>
    <w:rsid w:val="00881FD9"/>
    <w:rsid w:val="00882E05"/>
    <w:rsid w:val="00883D29"/>
    <w:rsid w:val="008853BC"/>
    <w:rsid w:val="0088562A"/>
    <w:rsid w:val="008930FA"/>
    <w:rsid w:val="00896C63"/>
    <w:rsid w:val="00896CBC"/>
    <w:rsid w:val="00897031"/>
    <w:rsid w:val="00897072"/>
    <w:rsid w:val="008972B9"/>
    <w:rsid w:val="008A09BD"/>
    <w:rsid w:val="008A1766"/>
    <w:rsid w:val="008A2B96"/>
    <w:rsid w:val="008A3B1E"/>
    <w:rsid w:val="008B0429"/>
    <w:rsid w:val="008B26CA"/>
    <w:rsid w:val="008B354C"/>
    <w:rsid w:val="008B4578"/>
    <w:rsid w:val="008C08FC"/>
    <w:rsid w:val="008C27F9"/>
    <w:rsid w:val="008C38EA"/>
    <w:rsid w:val="008C3C7A"/>
    <w:rsid w:val="008C40C9"/>
    <w:rsid w:val="008C5376"/>
    <w:rsid w:val="008C7D3B"/>
    <w:rsid w:val="008C7F3C"/>
    <w:rsid w:val="008D07BF"/>
    <w:rsid w:val="008D0A2C"/>
    <w:rsid w:val="008D0C5D"/>
    <w:rsid w:val="008D403E"/>
    <w:rsid w:val="008D6912"/>
    <w:rsid w:val="008D6BF4"/>
    <w:rsid w:val="008D792C"/>
    <w:rsid w:val="008E1E64"/>
    <w:rsid w:val="008E251D"/>
    <w:rsid w:val="008E2F57"/>
    <w:rsid w:val="008E5B01"/>
    <w:rsid w:val="008E5DEB"/>
    <w:rsid w:val="008E674A"/>
    <w:rsid w:val="008F093B"/>
    <w:rsid w:val="008F1F3A"/>
    <w:rsid w:val="008F2F8D"/>
    <w:rsid w:val="008F3EC0"/>
    <w:rsid w:val="008F463D"/>
    <w:rsid w:val="008F46F0"/>
    <w:rsid w:val="008F55BB"/>
    <w:rsid w:val="008F59E5"/>
    <w:rsid w:val="008F72A0"/>
    <w:rsid w:val="00900565"/>
    <w:rsid w:val="00900F34"/>
    <w:rsid w:val="009035EA"/>
    <w:rsid w:val="00906073"/>
    <w:rsid w:val="00906526"/>
    <w:rsid w:val="00907BAF"/>
    <w:rsid w:val="00911167"/>
    <w:rsid w:val="009140A0"/>
    <w:rsid w:val="00914B87"/>
    <w:rsid w:val="00916187"/>
    <w:rsid w:val="00917E0E"/>
    <w:rsid w:val="0092045D"/>
    <w:rsid w:val="00924499"/>
    <w:rsid w:val="0092714F"/>
    <w:rsid w:val="00930946"/>
    <w:rsid w:val="00931ED5"/>
    <w:rsid w:val="009344B8"/>
    <w:rsid w:val="00935320"/>
    <w:rsid w:val="00935C05"/>
    <w:rsid w:val="009372E8"/>
    <w:rsid w:val="00942003"/>
    <w:rsid w:val="00942C4E"/>
    <w:rsid w:val="00942D51"/>
    <w:rsid w:val="0094364A"/>
    <w:rsid w:val="00943894"/>
    <w:rsid w:val="0094448D"/>
    <w:rsid w:val="00944EAC"/>
    <w:rsid w:val="00946ACA"/>
    <w:rsid w:val="00951F9C"/>
    <w:rsid w:val="009537BC"/>
    <w:rsid w:val="00953E41"/>
    <w:rsid w:val="00954B63"/>
    <w:rsid w:val="00955AE3"/>
    <w:rsid w:val="00957B57"/>
    <w:rsid w:val="009627CC"/>
    <w:rsid w:val="009645A3"/>
    <w:rsid w:val="00966C65"/>
    <w:rsid w:val="00967CEE"/>
    <w:rsid w:val="00970866"/>
    <w:rsid w:val="0097396C"/>
    <w:rsid w:val="00974080"/>
    <w:rsid w:val="00976851"/>
    <w:rsid w:val="00981B3A"/>
    <w:rsid w:val="0098224F"/>
    <w:rsid w:val="00983099"/>
    <w:rsid w:val="00983B00"/>
    <w:rsid w:val="00986E21"/>
    <w:rsid w:val="00991097"/>
    <w:rsid w:val="00991623"/>
    <w:rsid w:val="00991776"/>
    <w:rsid w:val="0099203B"/>
    <w:rsid w:val="00992B2A"/>
    <w:rsid w:val="009947C9"/>
    <w:rsid w:val="00994CD1"/>
    <w:rsid w:val="009951F9"/>
    <w:rsid w:val="0099684D"/>
    <w:rsid w:val="009A0B29"/>
    <w:rsid w:val="009A24C0"/>
    <w:rsid w:val="009A24D0"/>
    <w:rsid w:val="009A3F86"/>
    <w:rsid w:val="009A5D77"/>
    <w:rsid w:val="009A602B"/>
    <w:rsid w:val="009A72CA"/>
    <w:rsid w:val="009A72EC"/>
    <w:rsid w:val="009B093A"/>
    <w:rsid w:val="009B0C9D"/>
    <w:rsid w:val="009B24B4"/>
    <w:rsid w:val="009B2526"/>
    <w:rsid w:val="009B32D6"/>
    <w:rsid w:val="009B3DBF"/>
    <w:rsid w:val="009B407C"/>
    <w:rsid w:val="009B5613"/>
    <w:rsid w:val="009C2A48"/>
    <w:rsid w:val="009C623F"/>
    <w:rsid w:val="009D0AF7"/>
    <w:rsid w:val="009D0F40"/>
    <w:rsid w:val="009D2091"/>
    <w:rsid w:val="009D2F64"/>
    <w:rsid w:val="009D6880"/>
    <w:rsid w:val="009D6DB3"/>
    <w:rsid w:val="009D7EB4"/>
    <w:rsid w:val="009E0339"/>
    <w:rsid w:val="009E0A47"/>
    <w:rsid w:val="009E17B4"/>
    <w:rsid w:val="009E1C9E"/>
    <w:rsid w:val="009E26F8"/>
    <w:rsid w:val="009E28AA"/>
    <w:rsid w:val="009E301E"/>
    <w:rsid w:val="009E3F02"/>
    <w:rsid w:val="009E6C6B"/>
    <w:rsid w:val="009E7EBB"/>
    <w:rsid w:val="009F01AD"/>
    <w:rsid w:val="009F0D19"/>
    <w:rsid w:val="009F0E54"/>
    <w:rsid w:val="009F10DB"/>
    <w:rsid w:val="009F20EE"/>
    <w:rsid w:val="00A02C72"/>
    <w:rsid w:val="00A033D2"/>
    <w:rsid w:val="00A05A5B"/>
    <w:rsid w:val="00A05C29"/>
    <w:rsid w:val="00A06E23"/>
    <w:rsid w:val="00A0714B"/>
    <w:rsid w:val="00A115F8"/>
    <w:rsid w:val="00A11A38"/>
    <w:rsid w:val="00A12931"/>
    <w:rsid w:val="00A158DF"/>
    <w:rsid w:val="00A20A87"/>
    <w:rsid w:val="00A23BAD"/>
    <w:rsid w:val="00A2745F"/>
    <w:rsid w:val="00A27677"/>
    <w:rsid w:val="00A332A4"/>
    <w:rsid w:val="00A35340"/>
    <w:rsid w:val="00A36366"/>
    <w:rsid w:val="00A379A4"/>
    <w:rsid w:val="00A42036"/>
    <w:rsid w:val="00A45C89"/>
    <w:rsid w:val="00A464E4"/>
    <w:rsid w:val="00A4691A"/>
    <w:rsid w:val="00A53773"/>
    <w:rsid w:val="00A53DD8"/>
    <w:rsid w:val="00A53FEC"/>
    <w:rsid w:val="00A54E27"/>
    <w:rsid w:val="00A613E1"/>
    <w:rsid w:val="00A62147"/>
    <w:rsid w:val="00A642AB"/>
    <w:rsid w:val="00A659B7"/>
    <w:rsid w:val="00A65BDD"/>
    <w:rsid w:val="00A67253"/>
    <w:rsid w:val="00A71B37"/>
    <w:rsid w:val="00A72AAA"/>
    <w:rsid w:val="00A72F88"/>
    <w:rsid w:val="00A7493E"/>
    <w:rsid w:val="00A74B1A"/>
    <w:rsid w:val="00A74CFD"/>
    <w:rsid w:val="00A753C8"/>
    <w:rsid w:val="00A75810"/>
    <w:rsid w:val="00A80D4D"/>
    <w:rsid w:val="00A816D2"/>
    <w:rsid w:val="00A82B98"/>
    <w:rsid w:val="00A831C5"/>
    <w:rsid w:val="00A849E6"/>
    <w:rsid w:val="00A87F4E"/>
    <w:rsid w:val="00A910D1"/>
    <w:rsid w:val="00A92906"/>
    <w:rsid w:val="00A93758"/>
    <w:rsid w:val="00A94B92"/>
    <w:rsid w:val="00A95E12"/>
    <w:rsid w:val="00A96900"/>
    <w:rsid w:val="00A97DA5"/>
    <w:rsid w:val="00AA06F4"/>
    <w:rsid w:val="00AA0784"/>
    <w:rsid w:val="00AA0C8B"/>
    <w:rsid w:val="00AA156F"/>
    <w:rsid w:val="00AA19BD"/>
    <w:rsid w:val="00AA3F8E"/>
    <w:rsid w:val="00AA4832"/>
    <w:rsid w:val="00AA4C1D"/>
    <w:rsid w:val="00AB18FF"/>
    <w:rsid w:val="00AB23E8"/>
    <w:rsid w:val="00AB2572"/>
    <w:rsid w:val="00AB3130"/>
    <w:rsid w:val="00AB3461"/>
    <w:rsid w:val="00AB44AA"/>
    <w:rsid w:val="00AB502B"/>
    <w:rsid w:val="00AB6043"/>
    <w:rsid w:val="00AB714D"/>
    <w:rsid w:val="00AB728D"/>
    <w:rsid w:val="00AB767F"/>
    <w:rsid w:val="00AC1609"/>
    <w:rsid w:val="00AC2C51"/>
    <w:rsid w:val="00AC5EAF"/>
    <w:rsid w:val="00AC70B9"/>
    <w:rsid w:val="00AD1492"/>
    <w:rsid w:val="00AD24A6"/>
    <w:rsid w:val="00AD2804"/>
    <w:rsid w:val="00AD2B2D"/>
    <w:rsid w:val="00AD60CF"/>
    <w:rsid w:val="00AD7BF3"/>
    <w:rsid w:val="00AE1DAF"/>
    <w:rsid w:val="00AE2A0F"/>
    <w:rsid w:val="00AE398C"/>
    <w:rsid w:val="00AE4078"/>
    <w:rsid w:val="00AE42CF"/>
    <w:rsid w:val="00AE6350"/>
    <w:rsid w:val="00AE6B8E"/>
    <w:rsid w:val="00AF29BA"/>
    <w:rsid w:val="00AF3165"/>
    <w:rsid w:val="00AF3170"/>
    <w:rsid w:val="00AF56F6"/>
    <w:rsid w:val="00AF6E60"/>
    <w:rsid w:val="00AF746C"/>
    <w:rsid w:val="00B0054E"/>
    <w:rsid w:val="00B02089"/>
    <w:rsid w:val="00B0251E"/>
    <w:rsid w:val="00B02E66"/>
    <w:rsid w:val="00B04F39"/>
    <w:rsid w:val="00B10E7C"/>
    <w:rsid w:val="00B114F7"/>
    <w:rsid w:val="00B151B6"/>
    <w:rsid w:val="00B153BB"/>
    <w:rsid w:val="00B1656A"/>
    <w:rsid w:val="00B167D7"/>
    <w:rsid w:val="00B1737D"/>
    <w:rsid w:val="00B21A3F"/>
    <w:rsid w:val="00B2388D"/>
    <w:rsid w:val="00B255EE"/>
    <w:rsid w:val="00B2590F"/>
    <w:rsid w:val="00B26013"/>
    <w:rsid w:val="00B31323"/>
    <w:rsid w:val="00B316A0"/>
    <w:rsid w:val="00B32E84"/>
    <w:rsid w:val="00B344FA"/>
    <w:rsid w:val="00B35B89"/>
    <w:rsid w:val="00B363BB"/>
    <w:rsid w:val="00B37206"/>
    <w:rsid w:val="00B40BF7"/>
    <w:rsid w:val="00B40EB5"/>
    <w:rsid w:val="00B4569C"/>
    <w:rsid w:val="00B47C76"/>
    <w:rsid w:val="00B47F65"/>
    <w:rsid w:val="00B51AF9"/>
    <w:rsid w:val="00B53056"/>
    <w:rsid w:val="00B547E6"/>
    <w:rsid w:val="00B55452"/>
    <w:rsid w:val="00B56C5F"/>
    <w:rsid w:val="00B60E8A"/>
    <w:rsid w:val="00B62C34"/>
    <w:rsid w:val="00B63791"/>
    <w:rsid w:val="00B64102"/>
    <w:rsid w:val="00B64379"/>
    <w:rsid w:val="00B7092D"/>
    <w:rsid w:val="00B7203D"/>
    <w:rsid w:val="00B72467"/>
    <w:rsid w:val="00B72ECD"/>
    <w:rsid w:val="00B73158"/>
    <w:rsid w:val="00B73886"/>
    <w:rsid w:val="00B7794A"/>
    <w:rsid w:val="00B8085C"/>
    <w:rsid w:val="00B829F7"/>
    <w:rsid w:val="00B85E0C"/>
    <w:rsid w:val="00B92AAE"/>
    <w:rsid w:val="00B93825"/>
    <w:rsid w:val="00B93855"/>
    <w:rsid w:val="00B941CF"/>
    <w:rsid w:val="00B95B67"/>
    <w:rsid w:val="00B96872"/>
    <w:rsid w:val="00B97A4D"/>
    <w:rsid w:val="00BA30F7"/>
    <w:rsid w:val="00BA59F2"/>
    <w:rsid w:val="00BA6BA5"/>
    <w:rsid w:val="00BB1F20"/>
    <w:rsid w:val="00BB24B8"/>
    <w:rsid w:val="00BB2A2E"/>
    <w:rsid w:val="00BB36EC"/>
    <w:rsid w:val="00BB44B1"/>
    <w:rsid w:val="00BB66F0"/>
    <w:rsid w:val="00BB6DB1"/>
    <w:rsid w:val="00BC0725"/>
    <w:rsid w:val="00BC0A56"/>
    <w:rsid w:val="00BC3A55"/>
    <w:rsid w:val="00BC3BCD"/>
    <w:rsid w:val="00BC4115"/>
    <w:rsid w:val="00BC4D54"/>
    <w:rsid w:val="00BC5D54"/>
    <w:rsid w:val="00BC634D"/>
    <w:rsid w:val="00BD0279"/>
    <w:rsid w:val="00BD07D3"/>
    <w:rsid w:val="00BD139C"/>
    <w:rsid w:val="00BD25E2"/>
    <w:rsid w:val="00BD2D5A"/>
    <w:rsid w:val="00BD3A6F"/>
    <w:rsid w:val="00BD4163"/>
    <w:rsid w:val="00BD6531"/>
    <w:rsid w:val="00BD65C1"/>
    <w:rsid w:val="00BE059F"/>
    <w:rsid w:val="00BE0908"/>
    <w:rsid w:val="00BE1276"/>
    <w:rsid w:val="00BE1C79"/>
    <w:rsid w:val="00BE4806"/>
    <w:rsid w:val="00BE58F6"/>
    <w:rsid w:val="00BE698A"/>
    <w:rsid w:val="00BE77DF"/>
    <w:rsid w:val="00BE7F12"/>
    <w:rsid w:val="00BF08D9"/>
    <w:rsid w:val="00BF0C07"/>
    <w:rsid w:val="00BF1831"/>
    <w:rsid w:val="00BF1ACC"/>
    <w:rsid w:val="00BF36FD"/>
    <w:rsid w:val="00C011E5"/>
    <w:rsid w:val="00C03587"/>
    <w:rsid w:val="00C04057"/>
    <w:rsid w:val="00C1393F"/>
    <w:rsid w:val="00C175C1"/>
    <w:rsid w:val="00C21312"/>
    <w:rsid w:val="00C216A9"/>
    <w:rsid w:val="00C23100"/>
    <w:rsid w:val="00C236A2"/>
    <w:rsid w:val="00C24041"/>
    <w:rsid w:val="00C24E68"/>
    <w:rsid w:val="00C25291"/>
    <w:rsid w:val="00C261B5"/>
    <w:rsid w:val="00C266BF"/>
    <w:rsid w:val="00C310F5"/>
    <w:rsid w:val="00C35E02"/>
    <w:rsid w:val="00C35E8E"/>
    <w:rsid w:val="00C40B3F"/>
    <w:rsid w:val="00C42075"/>
    <w:rsid w:val="00C42462"/>
    <w:rsid w:val="00C45017"/>
    <w:rsid w:val="00C453BE"/>
    <w:rsid w:val="00C45725"/>
    <w:rsid w:val="00C45C2A"/>
    <w:rsid w:val="00C46E6E"/>
    <w:rsid w:val="00C50506"/>
    <w:rsid w:val="00C52052"/>
    <w:rsid w:val="00C522AA"/>
    <w:rsid w:val="00C525D0"/>
    <w:rsid w:val="00C55CE7"/>
    <w:rsid w:val="00C60101"/>
    <w:rsid w:val="00C6281D"/>
    <w:rsid w:val="00C62C73"/>
    <w:rsid w:val="00C62FD0"/>
    <w:rsid w:val="00C63D25"/>
    <w:rsid w:val="00C6401D"/>
    <w:rsid w:val="00C66FA3"/>
    <w:rsid w:val="00C675F0"/>
    <w:rsid w:val="00C67FB2"/>
    <w:rsid w:val="00C74527"/>
    <w:rsid w:val="00C74F96"/>
    <w:rsid w:val="00C75E59"/>
    <w:rsid w:val="00C77132"/>
    <w:rsid w:val="00C7717E"/>
    <w:rsid w:val="00C777C5"/>
    <w:rsid w:val="00C77807"/>
    <w:rsid w:val="00C85A37"/>
    <w:rsid w:val="00C85B9D"/>
    <w:rsid w:val="00C861A3"/>
    <w:rsid w:val="00C86F4C"/>
    <w:rsid w:val="00C904C7"/>
    <w:rsid w:val="00C91386"/>
    <w:rsid w:val="00C93696"/>
    <w:rsid w:val="00C93707"/>
    <w:rsid w:val="00C93BE2"/>
    <w:rsid w:val="00C94B5F"/>
    <w:rsid w:val="00C97672"/>
    <w:rsid w:val="00C97D87"/>
    <w:rsid w:val="00CA0E77"/>
    <w:rsid w:val="00CA1E85"/>
    <w:rsid w:val="00CA4B49"/>
    <w:rsid w:val="00CA4DFD"/>
    <w:rsid w:val="00CA52A7"/>
    <w:rsid w:val="00CA5B98"/>
    <w:rsid w:val="00CA5E63"/>
    <w:rsid w:val="00CA78A3"/>
    <w:rsid w:val="00CB196B"/>
    <w:rsid w:val="00CB4007"/>
    <w:rsid w:val="00CB5853"/>
    <w:rsid w:val="00CB5C09"/>
    <w:rsid w:val="00CB76BB"/>
    <w:rsid w:val="00CC04A1"/>
    <w:rsid w:val="00CC20E9"/>
    <w:rsid w:val="00CC7AB7"/>
    <w:rsid w:val="00CD3495"/>
    <w:rsid w:val="00CD6E5A"/>
    <w:rsid w:val="00CD72E1"/>
    <w:rsid w:val="00CD740F"/>
    <w:rsid w:val="00CD7845"/>
    <w:rsid w:val="00CE118A"/>
    <w:rsid w:val="00CE7EBD"/>
    <w:rsid w:val="00CF0A7F"/>
    <w:rsid w:val="00CF0BF9"/>
    <w:rsid w:val="00CF294F"/>
    <w:rsid w:val="00CF3F10"/>
    <w:rsid w:val="00CF4E3E"/>
    <w:rsid w:val="00CF588E"/>
    <w:rsid w:val="00CF747F"/>
    <w:rsid w:val="00D00D21"/>
    <w:rsid w:val="00D02BCE"/>
    <w:rsid w:val="00D04B0E"/>
    <w:rsid w:val="00D056CE"/>
    <w:rsid w:val="00D057BF"/>
    <w:rsid w:val="00D073F9"/>
    <w:rsid w:val="00D1392A"/>
    <w:rsid w:val="00D16262"/>
    <w:rsid w:val="00D1670A"/>
    <w:rsid w:val="00D169F3"/>
    <w:rsid w:val="00D16D63"/>
    <w:rsid w:val="00D176BB"/>
    <w:rsid w:val="00D2050D"/>
    <w:rsid w:val="00D20629"/>
    <w:rsid w:val="00D264EA"/>
    <w:rsid w:val="00D27DFA"/>
    <w:rsid w:val="00D31D1A"/>
    <w:rsid w:val="00D324DE"/>
    <w:rsid w:val="00D32ADB"/>
    <w:rsid w:val="00D33152"/>
    <w:rsid w:val="00D335B8"/>
    <w:rsid w:val="00D337CB"/>
    <w:rsid w:val="00D33FAA"/>
    <w:rsid w:val="00D35A5F"/>
    <w:rsid w:val="00D35FF7"/>
    <w:rsid w:val="00D36BA2"/>
    <w:rsid w:val="00D37C84"/>
    <w:rsid w:val="00D40019"/>
    <w:rsid w:val="00D4075F"/>
    <w:rsid w:val="00D40A01"/>
    <w:rsid w:val="00D4193A"/>
    <w:rsid w:val="00D42AEC"/>
    <w:rsid w:val="00D43C57"/>
    <w:rsid w:val="00D4529A"/>
    <w:rsid w:val="00D45449"/>
    <w:rsid w:val="00D462D4"/>
    <w:rsid w:val="00D47002"/>
    <w:rsid w:val="00D47746"/>
    <w:rsid w:val="00D50426"/>
    <w:rsid w:val="00D51DD2"/>
    <w:rsid w:val="00D567FB"/>
    <w:rsid w:val="00D56BA6"/>
    <w:rsid w:val="00D57E8F"/>
    <w:rsid w:val="00D621D8"/>
    <w:rsid w:val="00D62879"/>
    <w:rsid w:val="00D64D77"/>
    <w:rsid w:val="00D659C6"/>
    <w:rsid w:val="00D6607D"/>
    <w:rsid w:val="00D6624F"/>
    <w:rsid w:val="00D664F4"/>
    <w:rsid w:val="00D71653"/>
    <w:rsid w:val="00D726F9"/>
    <w:rsid w:val="00D72F85"/>
    <w:rsid w:val="00D76148"/>
    <w:rsid w:val="00D8067E"/>
    <w:rsid w:val="00D826B8"/>
    <w:rsid w:val="00D82EF8"/>
    <w:rsid w:val="00D83A9B"/>
    <w:rsid w:val="00D8512E"/>
    <w:rsid w:val="00D85374"/>
    <w:rsid w:val="00D85507"/>
    <w:rsid w:val="00D90802"/>
    <w:rsid w:val="00D911A5"/>
    <w:rsid w:val="00D929AD"/>
    <w:rsid w:val="00D9595B"/>
    <w:rsid w:val="00D9680F"/>
    <w:rsid w:val="00DA2AD0"/>
    <w:rsid w:val="00DA585B"/>
    <w:rsid w:val="00DA6397"/>
    <w:rsid w:val="00DA7154"/>
    <w:rsid w:val="00DB1AC2"/>
    <w:rsid w:val="00DB3216"/>
    <w:rsid w:val="00DB3B84"/>
    <w:rsid w:val="00DB4549"/>
    <w:rsid w:val="00DB53EE"/>
    <w:rsid w:val="00DB7AE2"/>
    <w:rsid w:val="00DC1C7A"/>
    <w:rsid w:val="00DC2054"/>
    <w:rsid w:val="00DC3156"/>
    <w:rsid w:val="00DC355F"/>
    <w:rsid w:val="00DC3685"/>
    <w:rsid w:val="00DC3E1C"/>
    <w:rsid w:val="00DC47A1"/>
    <w:rsid w:val="00DC6B15"/>
    <w:rsid w:val="00DD01D0"/>
    <w:rsid w:val="00DD72DD"/>
    <w:rsid w:val="00DE25DF"/>
    <w:rsid w:val="00DE2B10"/>
    <w:rsid w:val="00DE43FB"/>
    <w:rsid w:val="00DE4737"/>
    <w:rsid w:val="00DE61E0"/>
    <w:rsid w:val="00DF1513"/>
    <w:rsid w:val="00DF2728"/>
    <w:rsid w:val="00DF544F"/>
    <w:rsid w:val="00E049B7"/>
    <w:rsid w:val="00E0577F"/>
    <w:rsid w:val="00E05EED"/>
    <w:rsid w:val="00E100D5"/>
    <w:rsid w:val="00E129A2"/>
    <w:rsid w:val="00E1546C"/>
    <w:rsid w:val="00E179DF"/>
    <w:rsid w:val="00E20D87"/>
    <w:rsid w:val="00E23F6F"/>
    <w:rsid w:val="00E247BE"/>
    <w:rsid w:val="00E24E58"/>
    <w:rsid w:val="00E274B1"/>
    <w:rsid w:val="00E30A88"/>
    <w:rsid w:val="00E329CC"/>
    <w:rsid w:val="00E32BF1"/>
    <w:rsid w:val="00E40710"/>
    <w:rsid w:val="00E40CC5"/>
    <w:rsid w:val="00E40F1E"/>
    <w:rsid w:val="00E41634"/>
    <w:rsid w:val="00E4260B"/>
    <w:rsid w:val="00E426AC"/>
    <w:rsid w:val="00E44732"/>
    <w:rsid w:val="00E4522A"/>
    <w:rsid w:val="00E45351"/>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4858"/>
    <w:rsid w:val="00E72268"/>
    <w:rsid w:val="00E72A92"/>
    <w:rsid w:val="00E847BA"/>
    <w:rsid w:val="00E84AFB"/>
    <w:rsid w:val="00E855EF"/>
    <w:rsid w:val="00E85898"/>
    <w:rsid w:val="00E90070"/>
    <w:rsid w:val="00E94C2D"/>
    <w:rsid w:val="00E9539B"/>
    <w:rsid w:val="00E975F8"/>
    <w:rsid w:val="00EA2D86"/>
    <w:rsid w:val="00EA3B62"/>
    <w:rsid w:val="00EA3CE3"/>
    <w:rsid w:val="00EA4C11"/>
    <w:rsid w:val="00EB14B3"/>
    <w:rsid w:val="00EB15E0"/>
    <w:rsid w:val="00EB3291"/>
    <w:rsid w:val="00EB3DF8"/>
    <w:rsid w:val="00EB4F14"/>
    <w:rsid w:val="00EB5002"/>
    <w:rsid w:val="00EB70AA"/>
    <w:rsid w:val="00EB7696"/>
    <w:rsid w:val="00EB7E4A"/>
    <w:rsid w:val="00EC0231"/>
    <w:rsid w:val="00EC2840"/>
    <w:rsid w:val="00EC2ADD"/>
    <w:rsid w:val="00EC2B56"/>
    <w:rsid w:val="00EC371D"/>
    <w:rsid w:val="00EC5562"/>
    <w:rsid w:val="00EC6B3F"/>
    <w:rsid w:val="00ED3C72"/>
    <w:rsid w:val="00ED4847"/>
    <w:rsid w:val="00EE1709"/>
    <w:rsid w:val="00EE39F5"/>
    <w:rsid w:val="00EE3DF6"/>
    <w:rsid w:val="00EE5999"/>
    <w:rsid w:val="00EE7831"/>
    <w:rsid w:val="00EF0AE0"/>
    <w:rsid w:val="00EF2A33"/>
    <w:rsid w:val="00EF2EE0"/>
    <w:rsid w:val="00EF3268"/>
    <w:rsid w:val="00EF475D"/>
    <w:rsid w:val="00EF634F"/>
    <w:rsid w:val="00EF6528"/>
    <w:rsid w:val="00EF7504"/>
    <w:rsid w:val="00F01CDD"/>
    <w:rsid w:val="00F031C2"/>
    <w:rsid w:val="00F03615"/>
    <w:rsid w:val="00F04141"/>
    <w:rsid w:val="00F05A32"/>
    <w:rsid w:val="00F05A8C"/>
    <w:rsid w:val="00F10336"/>
    <w:rsid w:val="00F13D97"/>
    <w:rsid w:val="00F156F8"/>
    <w:rsid w:val="00F20DFF"/>
    <w:rsid w:val="00F22026"/>
    <w:rsid w:val="00F258ED"/>
    <w:rsid w:val="00F260DC"/>
    <w:rsid w:val="00F270D0"/>
    <w:rsid w:val="00F279FE"/>
    <w:rsid w:val="00F33CBE"/>
    <w:rsid w:val="00F35CCD"/>
    <w:rsid w:val="00F3745C"/>
    <w:rsid w:val="00F37D47"/>
    <w:rsid w:val="00F37D74"/>
    <w:rsid w:val="00F41D31"/>
    <w:rsid w:val="00F423EC"/>
    <w:rsid w:val="00F42B1E"/>
    <w:rsid w:val="00F44BB9"/>
    <w:rsid w:val="00F45938"/>
    <w:rsid w:val="00F45B14"/>
    <w:rsid w:val="00F46A1E"/>
    <w:rsid w:val="00F4765F"/>
    <w:rsid w:val="00F50667"/>
    <w:rsid w:val="00F51894"/>
    <w:rsid w:val="00F51E45"/>
    <w:rsid w:val="00F53375"/>
    <w:rsid w:val="00F54108"/>
    <w:rsid w:val="00F5739F"/>
    <w:rsid w:val="00F6074D"/>
    <w:rsid w:val="00F6282B"/>
    <w:rsid w:val="00F64977"/>
    <w:rsid w:val="00F65B31"/>
    <w:rsid w:val="00F67211"/>
    <w:rsid w:val="00F67C00"/>
    <w:rsid w:val="00F71F9A"/>
    <w:rsid w:val="00F730FC"/>
    <w:rsid w:val="00F74A88"/>
    <w:rsid w:val="00F7620B"/>
    <w:rsid w:val="00F76E94"/>
    <w:rsid w:val="00F76EA2"/>
    <w:rsid w:val="00F77272"/>
    <w:rsid w:val="00F77A54"/>
    <w:rsid w:val="00F81DC1"/>
    <w:rsid w:val="00F82B45"/>
    <w:rsid w:val="00F8549F"/>
    <w:rsid w:val="00F86AA2"/>
    <w:rsid w:val="00F87210"/>
    <w:rsid w:val="00F87D82"/>
    <w:rsid w:val="00F92BD0"/>
    <w:rsid w:val="00F93D89"/>
    <w:rsid w:val="00F952A6"/>
    <w:rsid w:val="00F96E87"/>
    <w:rsid w:val="00F97097"/>
    <w:rsid w:val="00FA0588"/>
    <w:rsid w:val="00FA08C6"/>
    <w:rsid w:val="00FA1400"/>
    <w:rsid w:val="00FA1E43"/>
    <w:rsid w:val="00FA415A"/>
    <w:rsid w:val="00FB05B8"/>
    <w:rsid w:val="00FB3992"/>
    <w:rsid w:val="00FB39BF"/>
    <w:rsid w:val="00FB3FF8"/>
    <w:rsid w:val="00FB7255"/>
    <w:rsid w:val="00FC1EF0"/>
    <w:rsid w:val="00FC1F4B"/>
    <w:rsid w:val="00FC5670"/>
    <w:rsid w:val="00FC5B4F"/>
    <w:rsid w:val="00FC69C1"/>
    <w:rsid w:val="00FC6B0E"/>
    <w:rsid w:val="00FC7F41"/>
    <w:rsid w:val="00FC7F4E"/>
    <w:rsid w:val="00FD16F0"/>
    <w:rsid w:val="00FD6359"/>
    <w:rsid w:val="00FD7ACF"/>
    <w:rsid w:val="00FE0969"/>
    <w:rsid w:val="00FE0E24"/>
    <w:rsid w:val="00FE3251"/>
    <w:rsid w:val="00FE3841"/>
    <w:rsid w:val="00FE6557"/>
    <w:rsid w:val="00FE7AE2"/>
    <w:rsid w:val="00FF1134"/>
    <w:rsid w:val="00FF4159"/>
    <w:rsid w:val="00FF63E2"/>
    <w:rsid w:val="00FF658A"/>
    <w:rsid w:val="00FF706A"/>
    <w:rsid w:val="00FF742F"/>
    <w:rsid w:val="015B17AA"/>
    <w:rsid w:val="0198104F"/>
    <w:rsid w:val="026178B4"/>
    <w:rsid w:val="0413C06D"/>
    <w:rsid w:val="0A7EF683"/>
    <w:rsid w:val="116F7C0B"/>
    <w:rsid w:val="143B30D3"/>
    <w:rsid w:val="15C14686"/>
    <w:rsid w:val="16400891"/>
    <w:rsid w:val="177976B2"/>
    <w:rsid w:val="1780FF07"/>
    <w:rsid w:val="17FDBFF1"/>
    <w:rsid w:val="197860EE"/>
    <w:rsid w:val="1E7C3F26"/>
    <w:rsid w:val="2804DCDC"/>
    <w:rsid w:val="29AEBBE0"/>
    <w:rsid w:val="2A275DD5"/>
    <w:rsid w:val="2B126BB7"/>
    <w:rsid w:val="2BE1C215"/>
    <w:rsid w:val="361536A0"/>
    <w:rsid w:val="3B466435"/>
    <w:rsid w:val="3DE69884"/>
    <w:rsid w:val="3E5CB595"/>
    <w:rsid w:val="3E7ECDA1"/>
    <w:rsid w:val="3EFF4D1F"/>
    <w:rsid w:val="4028A1E7"/>
    <w:rsid w:val="40A9D987"/>
    <w:rsid w:val="42416E30"/>
    <w:rsid w:val="442D479F"/>
    <w:rsid w:val="4625D3FC"/>
    <w:rsid w:val="466E0BE0"/>
    <w:rsid w:val="48B78E44"/>
    <w:rsid w:val="4B12BAB7"/>
    <w:rsid w:val="4B1F4757"/>
    <w:rsid w:val="4DBF2C3F"/>
    <w:rsid w:val="515DB556"/>
    <w:rsid w:val="52AD2800"/>
    <w:rsid w:val="57A89018"/>
    <w:rsid w:val="58C23D88"/>
    <w:rsid w:val="58EB1F5B"/>
    <w:rsid w:val="5AA76CD7"/>
    <w:rsid w:val="5C499D66"/>
    <w:rsid w:val="677E96F7"/>
    <w:rsid w:val="6954F2ED"/>
    <w:rsid w:val="6E2F9DF2"/>
    <w:rsid w:val="6F7DDC0D"/>
    <w:rsid w:val="71156E91"/>
    <w:rsid w:val="7286ECD4"/>
    <w:rsid w:val="73874C6F"/>
    <w:rsid w:val="743CF6A2"/>
    <w:rsid w:val="775F7285"/>
    <w:rsid w:val="7AFA697A"/>
    <w:rsid w:val="7E1BCF35"/>
    <w:rsid w:val="7E7A4C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15:docId w15:val="{DE70E1DC-43E8-4080-93D5-B527C224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A53773"/>
    <w:pPr>
      <w:spacing w:before="100" w:beforeAutospacing="1" w:after="100" w:afterAutospacing="1"/>
    </w:pPr>
    <w:rPr>
      <w:lang w:eastAsia="es-CR"/>
    </w:rPr>
  </w:style>
  <w:style w:type="character" w:customStyle="1" w:styleId="normaltextrun">
    <w:name w:val="normaltextrun"/>
    <w:basedOn w:val="Fuentedeprrafopredeter"/>
    <w:rsid w:val="00A53773"/>
  </w:style>
  <w:style w:type="character" w:customStyle="1" w:styleId="eop">
    <w:name w:val="eop"/>
    <w:basedOn w:val="Fuentedeprrafopredeter"/>
    <w:rsid w:val="00F51E45"/>
  </w:style>
  <w:style w:type="character" w:customStyle="1" w:styleId="scxw156153293">
    <w:name w:val="scxw156153293"/>
    <w:basedOn w:val="Fuentedeprrafopredeter"/>
    <w:rsid w:val="00F51E45"/>
  </w:style>
  <w:style w:type="character" w:styleId="Nmerodepgina">
    <w:name w:val="page number"/>
    <w:basedOn w:val="Fuentedeprrafopredeter"/>
    <w:uiPriority w:val="99"/>
    <w:semiHidden/>
    <w:unhideWhenUsed/>
    <w:rsid w:val="00361751"/>
  </w:style>
  <w:style w:type="character" w:customStyle="1" w:styleId="contentcontrolboundarysink">
    <w:name w:val="contentcontrolboundarysink"/>
    <w:basedOn w:val="Fuentedeprrafopredeter"/>
    <w:rsid w:val="00103608"/>
  </w:style>
  <w:style w:type="character" w:customStyle="1" w:styleId="contentcontrol">
    <w:name w:val="contentcontrol"/>
    <w:basedOn w:val="Fuentedeprrafopredeter"/>
    <w:rsid w:val="0010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2820">
      <w:bodyDiv w:val="1"/>
      <w:marLeft w:val="0"/>
      <w:marRight w:val="0"/>
      <w:marTop w:val="0"/>
      <w:marBottom w:val="0"/>
      <w:divBdr>
        <w:top w:val="none" w:sz="0" w:space="0" w:color="auto"/>
        <w:left w:val="none" w:sz="0" w:space="0" w:color="auto"/>
        <w:bottom w:val="none" w:sz="0" w:space="0" w:color="auto"/>
        <w:right w:val="none" w:sz="0" w:space="0" w:color="auto"/>
      </w:divBdr>
      <w:divsChild>
        <w:div w:id="1086809682">
          <w:marLeft w:val="0"/>
          <w:marRight w:val="0"/>
          <w:marTop w:val="0"/>
          <w:marBottom w:val="0"/>
          <w:divBdr>
            <w:top w:val="none" w:sz="0" w:space="0" w:color="auto"/>
            <w:left w:val="none" w:sz="0" w:space="0" w:color="auto"/>
            <w:bottom w:val="none" w:sz="0" w:space="0" w:color="auto"/>
            <w:right w:val="none" w:sz="0" w:space="0" w:color="auto"/>
          </w:divBdr>
        </w:div>
        <w:div w:id="2104643302">
          <w:marLeft w:val="0"/>
          <w:marRight w:val="0"/>
          <w:marTop w:val="0"/>
          <w:marBottom w:val="0"/>
          <w:divBdr>
            <w:top w:val="none" w:sz="0" w:space="0" w:color="auto"/>
            <w:left w:val="none" w:sz="0" w:space="0" w:color="auto"/>
            <w:bottom w:val="none" w:sz="0" w:space="0" w:color="auto"/>
            <w:right w:val="none" w:sz="0" w:space="0" w:color="auto"/>
          </w:divBdr>
        </w:div>
        <w:div w:id="1678729334">
          <w:marLeft w:val="0"/>
          <w:marRight w:val="0"/>
          <w:marTop w:val="0"/>
          <w:marBottom w:val="0"/>
          <w:divBdr>
            <w:top w:val="none" w:sz="0" w:space="0" w:color="auto"/>
            <w:left w:val="none" w:sz="0" w:space="0" w:color="auto"/>
            <w:bottom w:val="none" w:sz="0" w:space="0" w:color="auto"/>
            <w:right w:val="none" w:sz="0" w:space="0" w:color="auto"/>
          </w:divBdr>
        </w:div>
        <w:div w:id="654139879">
          <w:marLeft w:val="0"/>
          <w:marRight w:val="0"/>
          <w:marTop w:val="0"/>
          <w:marBottom w:val="0"/>
          <w:divBdr>
            <w:top w:val="none" w:sz="0" w:space="0" w:color="auto"/>
            <w:left w:val="none" w:sz="0" w:space="0" w:color="auto"/>
            <w:bottom w:val="none" w:sz="0" w:space="0" w:color="auto"/>
            <w:right w:val="none" w:sz="0" w:space="0" w:color="auto"/>
          </w:divBdr>
        </w:div>
        <w:div w:id="273901925">
          <w:marLeft w:val="0"/>
          <w:marRight w:val="0"/>
          <w:marTop w:val="0"/>
          <w:marBottom w:val="0"/>
          <w:divBdr>
            <w:top w:val="none" w:sz="0" w:space="0" w:color="auto"/>
            <w:left w:val="none" w:sz="0" w:space="0" w:color="auto"/>
            <w:bottom w:val="none" w:sz="0" w:space="0" w:color="auto"/>
            <w:right w:val="none" w:sz="0" w:space="0" w:color="auto"/>
          </w:divBdr>
        </w:div>
        <w:div w:id="2096705968">
          <w:marLeft w:val="0"/>
          <w:marRight w:val="0"/>
          <w:marTop w:val="0"/>
          <w:marBottom w:val="0"/>
          <w:divBdr>
            <w:top w:val="none" w:sz="0" w:space="0" w:color="auto"/>
            <w:left w:val="none" w:sz="0" w:space="0" w:color="auto"/>
            <w:bottom w:val="none" w:sz="0" w:space="0" w:color="auto"/>
            <w:right w:val="none" w:sz="0" w:space="0" w:color="auto"/>
          </w:divBdr>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714934689">
          <w:marLeft w:val="0"/>
          <w:marRight w:val="0"/>
          <w:marTop w:val="0"/>
          <w:marBottom w:val="150"/>
          <w:divBdr>
            <w:top w:val="none" w:sz="0" w:space="0" w:color="auto"/>
            <w:left w:val="none" w:sz="0" w:space="0" w:color="auto"/>
            <w:bottom w:val="none" w:sz="0" w:space="0" w:color="auto"/>
            <w:right w:val="none" w:sz="0" w:space="0" w:color="auto"/>
          </w:divBdr>
        </w:div>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ponceponce@iadb.org" TargetMode="External"/><Relationship Id="rId26" Type="http://schemas.openxmlformats.org/officeDocument/2006/relationships/hyperlink" Target="https://publications.iadb.org/publications/spanish/document/La-educacion-en-tiempos-del-coronavirus-Los-sistemas-educativos-de-America-Latina-y-el-Caribe-ante-COVID-19.pdf"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s://blogs.iadb.org/conocimiento-abierto/es/como-las-insignias-abiertas-digitales-pueden-ayudar-destacar-competencias-profesiona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yunuenb@iadb.org" TargetMode="External"/><Relationship Id="rId25" Type="http://schemas.openxmlformats.org/officeDocument/2006/relationships/image" Target="media/image10.png"/><Relationship Id="rId33" Type="http://schemas.openxmlformats.org/officeDocument/2006/relationships/hyperlink" Target="https://siteal.iiep.unesco.org/respuestas_educativas_covid_19" TargetMode="External"/><Relationship Id="rId2" Type="http://schemas.openxmlformats.org/officeDocument/2006/relationships/customXml" Target="../customXml/item2.xml"/><Relationship Id="rId16" Type="http://schemas.openxmlformats.org/officeDocument/2006/relationships/hyperlink" Target="mailto:andreaat@iadb.org" TargetMode="External"/><Relationship Id="rId20" Type="http://schemas.openxmlformats.org/officeDocument/2006/relationships/image" Target="media/image5.png"/><Relationship Id="rId29" Type="http://schemas.openxmlformats.org/officeDocument/2006/relationships/hyperlink" Target="https://biblioteca.clacso.edu.ar/Argentina/unipe/20200820015548/Pensar-la-educac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unesdoc.unesco.org/ark:/48223/pf0000371024" TargetMode="External"/><Relationship Id="rId5" Type="http://schemas.openxmlformats.org/officeDocument/2006/relationships/numbering" Target="numbering.xml"/><Relationship Id="rId15" Type="http://schemas.openxmlformats.org/officeDocument/2006/relationships/hyperlink" Target="mailto:jacquelinep@iadb.org" TargetMode="External"/><Relationship Id="rId23" Type="http://schemas.openxmlformats.org/officeDocument/2006/relationships/image" Target="media/image8.png"/><Relationship Id="rId28" Type="http://schemas.openxmlformats.org/officeDocument/2006/relationships/hyperlink" Target="https://repositorio.cepal.org/handle/11362/4590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doi.org/10.48102/didac.2022..80_JUL-DIC.1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llap@iadb.org" TargetMode="External"/><Relationship Id="rId22" Type="http://schemas.openxmlformats.org/officeDocument/2006/relationships/image" Target="media/image7.png"/><Relationship Id="rId27" Type="http://schemas.openxmlformats.org/officeDocument/2006/relationships/hyperlink" Target="https://blogs.iadb.org/educacion/es/eduhibrida/" TargetMode="External"/><Relationship Id="rId30" Type="http://schemas.openxmlformats.org/officeDocument/2006/relationships/hyperlink" Target="http://dx.doi.org/10.18235/0003829"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6i2.614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6-2891-2396" TargetMode="External"/><Relationship Id="rId2" Type="http://schemas.openxmlformats.org/officeDocument/2006/relationships/hyperlink" Target="https://orcid.org/0000-0001-7126-3949" TargetMode="External"/><Relationship Id="rId1" Type="http://schemas.openxmlformats.org/officeDocument/2006/relationships/image" Target="media/image3.gif"/><Relationship Id="rId6" Type="http://schemas.openxmlformats.org/officeDocument/2006/relationships/hyperlink" Target="https://orcid.org/0009-0006-4504-2396" TargetMode="External"/><Relationship Id="rId5" Type="http://schemas.openxmlformats.org/officeDocument/2006/relationships/hyperlink" Target="https://orcid.org/0009-0007-5001-0003" TargetMode="External"/><Relationship Id="rId4" Type="http://schemas.openxmlformats.org/officeDocument/2006/relationships/hyperlink" Target="https://orcid.org/0009-0005-9284-677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fda7b1f8-8905-4eb0-a249-4b80b90a7ed0"/>
    <ds:schemaRef ds:uri="f444bb61-1382-4556-b9a5-dded60518bfb"/>
  </ds:schemaRefs>
</ds:datastoreItem>
</file>

<file path=customXml/itemProps3.xml><?xml version="1.0" encoding="utf-8"?>
<ds:datastoreItem xmlns:ds="http://schemas.openxmlformats.org/officeDocument/2006/customXml" ds:itemID="{79A4FDB1-A262-4BFC-B4DB-D752BF29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B81BE-F916-485C-AC34-F5DFE72A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6560</Words>
  <Characters>36081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Stella C.S.</dc:creator>
  <cp:keywords/>
  <dc:description/>
  <cp:lastModifiedBy>Alexander Cortés Campos</cp:lastModifiedBy>
  <cp:revision>8</cp:revision>
  <dcterms:created xsi:type="dcterms:W3CDTF">2025-11-20T15:12:00Z</dcterms:created>
  <dcterms:modified xsi:type="dcterms:W3CDTF">2025-11-20T15:30:00Z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0x010100720D2F3DE347844BB59850FFA140C74F</vt:lpwstr>
  </property>
  <property fmtid="{D5CDD505-2E9C-101B-9397-08002B2CF9AE}" pid="4" name="docLang">
    <vt:lpwstr>es</vt:lpwstr>
  </property>
</Properties>
</file>