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46678" w14:textId="23C74DA6" w:rsidR="00F4765F" w:rsidRDefault="00814810" w:rsidP="00164EBD">
      <w:pPr>
        <w:pStyle w:val="NormalWeb"/>
        <w:spacing w:before="0" w:beforeAutospacing="0" w:after="0" w:afterAutospacing="0"/>
        <w:jc w:val="center"/>
        <w:rPr>
          <w:rFonts w:ascii="Arial" w:hAnsi="Arial" w:cs="Arial"/>
          <w:b/>
          <w:bCs/>
          <w:color w:val="C45911" w:themeColor="accent2" w:themeShade="BF"/>
        </w:rPr>
      </w:pPr>
      <w:bookmarkStart w:id="0" w:name="_Hlk145952311"/>
      <w:bookmarkStart w:id="1" w:name="_GoBack"/>
      <w:bookmarkEnd w:id="1"/>
      <w:r w:rsidRPr="00814810">
        <w:rPr>
          <w:rFonts w:ascii="Arial" w:hAnsi="Arial" w:cs="Arial"/>
          <w:b/>
          <w:bCs/>
          <w:color w:val="C45911" w:themeColor="accent2" w:themeShade="BF"/>
        </w:rPr>
        <w:t>Impacto del trastorno por déficit de atención e hiperactividad (TDAH) sobre el rendimiento académico en estudiantes universitarios de Fisioterapia en Ecuador: un estudio transversal comparativo</w:t>
      </w:r>
    </w:p>
    <w:p w14:paraId="04C53E45" w14:textId="77777777" w:rsidR="00164EBD" w:rsidRPr="005953BF" w:rsidRDefault="00164EBD" w:rsidP="00164EBD">
      <w:pPr>
        <w:pStyle w:val="NormalWeb"/>
        <w:spacing w:before="0" w:beforeAutospacing="0" w:after="0" w:afterAutospacing="0"/>
        <w:jc w:val="center"/>
        <w:rPr>
          <w:rFonts w:ascii="Arial" w:hAnsi="Arial" w:cs="Arial"/>
          <w:b/>
          <w:bCs/>
          <w:color w:val="C45911" w:themeColor="accent2" w:themeShade="BF"/>
        </w:rPr>
      </w:pPr>
    </w:p>
    <w:bookmarkEnd w:id="0"/>
    <w:p w14:paraId="0F432A83" w14:textId="1EC299C4" w:rsidR="00814810" w:rsidRDefault="00814810" w:rsidP="00814810">
      <w:pPr>
        <w:pStyle w:val="NormalWeb"/>
        <w:spacing w:before="0" w:beforeAutospacing="0" w:after="0" w:afterAutospacing="0" w:line="276" w:lineRule="auto"/>
        <w:jc w:val="center"/>
        <w:rPr>
          <w:rFonts w:ascii="Arial" w:hAnsi="Arial" w:cs="Arial"/>
          <w:b/>
          <w:bCs/>
          <w:color w:val="C45911" w:themeColor="accent2" w:themeShade="BF"/>
          <w:lang w:val="en-US"/>
        </w:rPr>
      </w:pPr>
      <w:r w:rsidRPr="00814810">
        <w:rPr>
          <w:rFonts w:ascii="Arial" w:hAnsi="Arial" w:cs="Arial"/>
          <w:b/>
          <w:bCs/>
          <w:color w:val="C45911" w:themeColor="accent2" w:themeShade="BF"/>
          <w:lang w:val="en-US"/>
        </w:rPr>
        <w:t>Impact of attention deficit hyperactivity disorder (ADHD) on academic performance in university physiotherapy students in Ecuador: A comparative cross-sectional study</w:t>
      </w:r>
    </w:p>
    <w:p w14:paraId="3935DAC6" w14:textId="77777777" w:rsidR="003C0F36" w:rsidRDefault="003C0F36" w:rsidP="00814810">
      <w:pPr>
        <w:pStyle w:val="NormalWeb"/>
        <w:spacing w:before="0" w:beforeAutospacing="0" w:after="0" w:afterAutospacing="0" w:line="276" w:lineRule="auto"/>
        <w:jc w:val="center"/>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700A4F" w:rsidRPr="003C0F36" w14:paraId="64B169CF" w14:textId="77777777" w:rsidTr="003C0F36">
        <w:tc>
          <w:tcPr>
            <w:tcW w:w="4389" w:type="dxa"/>
          </w:tcPr>
          <w:p w14:paraId="55F30D7B" w14:textId="636CDDDC"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Karina</w:t>
            </w:r>
            <w:r w:rsidR="005F7B99">
              <w:rPr>
                <w:rFonts w:ascii="Arial" w:hAnsi="Arial" w:cs="Arial"/>
                <w:sz w:val="22"/>
                <w:szCs w:val="22"/>
              </w:rPr>
              <w:t>-</w:t>
            </w:r>
            <w:r w:rsidRPr="003C0F36">
              <w:rPr>
                <w:rFonts w:ascii="Arial" w:hAnsi="Arial" w:cs="Arial"/>
                <w:sz w:val="22"/>
                <w:szCs w:val="22"/>
              </w:rPr>
              <w:t xml:space="preserve">L. Mantilla-Vega </w:t>
            </w:r>
            <w:r w:rsidRPr="003C0F36">
              <w:rPr>
                <w:rStyle w:val="Refdenotaalpie"/>
                <w:rFonts w:ascii="Arial" w:eastAsia="Arial" w:hAnsi="Arial" w:cs="Arial"/>
                <w:sz w:val="22"/>
                <w:szCs w:val="22"/>
              </w:rPr>
              <w:footnoteReference w:id="1"/>
            </w:r>
          </w:p>
          <w:p w14:paraId="6859086A" w14:textId="2BBBCBB6"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bookmarkStart w:id="10" w:name="_Hlk229735321"/>
            <w:r w:rsidRPr="003C0F36">
              <w:rPr>
                <w:rFonts w:ascii="Arial" w:hAnsi="Arial" w:cs="Arial"/>
                <w:sz w:val="22"/>
                <w:szCs w:val="22"/>
              </w:rPr>
              <w:t xml:space="preserve">Pontificia Universidad Católica </w:t>
            </w:r>
          </w:p>
          <w:p w14:paraId="3AA4B774" w14:textId="77777777"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 xml:space="preserve">Ecuador </w:t>
            </w:r>
          </w:p>
          <w:bookmarkEnd w:id="10"/>
          <w:p w14:paraId="5C1EBB06" w14:textId="77777777" w:rsidR="00700A4F" w:rsidRPr="003C0F36" w:rsidRDefault="00700A4F" w:rsidP="008417EF">
            <w:pPr>
              <w:pStyle w:val="NormalWeb"/>
              <w:spacing w:before="0" w:beforeAutospacing="0" w:after="0" w:afterAutospacing="0" w:line="276" w:lineRule="auto"/>
              <w:jc w:val="right"/>
              <w:rPr>
                <w:rStyle w:val="Hipervnculo"/>
                <w:rFonts w:ascii="Arial" w:hAnsi="Arial" w:cs="Arial"/>
                <w:sz w:val="22"/>
                <w:szCs w:val="22"/>
                <w:lang w:val="en-US"/>
              </w:rPr>
            </w:pPr>
            <w:r w:rsidRPr="003C0F36">
              <w:rPr>
                <w:rStyle w:val="Hipervnculo"/>
                <w:rFonts w:ascii="Arial" w:hAnsi="Arial" w:cs="Arial"/>
                <w:sz w:val="22"/>
                <w:szCs w:val="22"/>
                <w:lang w:val="en-US"/>
              </w:rPr>
              <w:fldChar w:fldCharType="begin"/>
            </w:r>
            <w:r w:rsidRPr="003C0F36">
              <w:rPr>
                <w:rStyle w:val="Hipervnculo"/>
                <w:rFonts w:ascii="Arial" w:hAnsi="Arial" w:cs="Arial"/>
                <w:sz w:val="22"/>
                <w:szCs w:val="22"/>
                <w:lang w:val="en-US"/>
              </w:rPr>
              <w:instrText xml:space="preserve"> HYPERLINK "mailto:klmantilla@puce.edu.ec" \t "_blank" </w:instrText>
            </w:r>
            <w:r w:rsidRPr="003C0F36">
              <w:rPr>
                <w:rStyle w:val="Hipervnculo"/>
                <w:rFonts w:ascii="Arial" w:hAnsi="Arial" w:cs="Arial"/>
                <w:sz w:val="22"/>
                <w:szCs w:val="22"/>
                <w:lang w:val="en-US"/>
              </w:rPr>
              <w:fldChar w:fldCharType="separate"/>
            </w:r>
            <w:r w:rsidRPr="003C0F36">
              <w:rPr>
                <w:rStyle w:val="Hipervnculo"/>
                <w:rFonts w:ascii="Arial" w:hAnsi="Arial" w:cs="Arial"/>
                <w:sz w:val="22"/>
                <w:szCs w:val="22"/>
                <w:lang w:val="en-US"/>
              </w:rPr>
              <w:t>klmantilla@puce.edu.ec</w:t>
            </w:r>
            <w:r w:rsidRPr="003C0F36">
              <w:rPr>
                <w:rStyle w:val="Hipervnculo"/>
                <w:rFonts w:ascii="Arial" w:hAnsi="Arial" w:cs="Arial"/>
                <w:sz w:val="22"/>
                <w:szCs w:val="22"/>
                <w:lang w:val="en-US"/>
              </w:rPr>
              <w:fldChar w:fldCharType="end"/>
            </w:r>
            <w:r w:rsidRPr="003C0F36">
              <w:rPr>
                <w:rStyle w:val="Hipervnculo"/>
                <w:rFonts w:ascii="Arial" w:hAnsi="Arial" w:cs="Arial"/>
                <w:sz w:val="22"/>
                <w:szCs w:val="22"/>
                <w:lang w:val="en-US"/>
              </w:rPr>
              <w:t xml:space="preserve">     </w:t>
            </w:r>
          </w:p>
          <w:p w14:paraId="292A54ED" w14:textId="77777777" w:rsidR="00700A4F" w:rsidRPr="003C0F36" w:rsidRDefault="00700A4F" w:rsidP="008417EF">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c>
          <w:tcPr>
            <w:tcW w:w="4390" w:type="dxa"/>
          </w:tcPr>
          <w:p w14:paraId="40294D76" w14:textId="1C070A8A" w:rsidR="00F54222" w:rsidRPr="003C0F36" w:rsidRDefault="00F54222" w:rsidP="008417EF">
            <w:pPr>
              <w:spacing w:line="276" w:lineRule="auto"/>
              <w:jc w:val="right"/>
              <w:rPr>
                <w:rFonts w:ascii="Arial" w:eastAsia="Arial" w:hAnsi="Arial" w:cs="Arial"/>
                <w:sz w:val="22"/>
                <w:szCs w:val="22"/>
                <w:lang w:val="pt-BR"/>
              </w:rPr>
            </w:pPr>
            <w:r w:rsidRPr="003C0F36">
              <w:rPr>
                <w:rFonts w:ascii="Arial" w:eastAsia="Arial" w:hAnsi="Arial" w:cs="Arial"/>
                <w:sz w:val="22"/>
                <w:szCs w:val="22"/>
                <w:lang w:val="pt-BR"/>
              </w:rPr>
              <w:t>Belo</w:t>
            </w:r>
            <w:r w:rsidR="005F7B99">
              <w:rPr>
                <w:rFonts w:ascii="Arial" w:eastAsia="Arial" w:hAnsi="Arial" w:cs="Arial"/>
                <w:sz w:val="22"/>
                <w:szCs w:val="22"/>
                <w:lang w:val="pt-BR"/>
              </w:rPr>
              <w:t>-</w:t>
            </w:r>
            <w:r w:rsidRPr="003C0F36">
              <w:rPr>
                <w:rFonts w:ascii="Arial" w:eastAsia="Arial" w:hAnsi="Arial" w:cs="Arial"/>
                <w:sz w:val="22"/>
                <w:szCs w:val="22"/>
                <w:lang w:val="pt-BR"/>
              </w:rPr>
              <w:t xml:space="preserve">R. Tamba-Quilo </w:t>
            </w:r>
            <w:r w:rsidRPr="003C0F36">
              <w:rPr>
                <w:rStyle w:val="Refdenotaalpie"/>
                <w:rFonts w:ascii="Arial" w:eastAsia="Arial" w:hAnsi="Arial" w:cs="Arial"/>
                <w:sz w:val="22"/>
                <w:szCs w:val="22"/>
              </w:rPr>
              <w:footnoteReference w:id="2"/>
            </w:r>
          </w:p>
          <w:p w14:paraId="0B8D8D53" w14:textId="3B2FBFBB" w:rsidR="00F54222"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eastAsia="Arial" w:hAnsi="Arial" w:cs="Arial"/>
                <w:sz w:val="22"/>
                <w:szCs w:val="22"/>
                <w:lang w:val="pt-BR"/>
              </w:rPr>
              <w:tab/>
            </w:r>
            <w:r w:rsidRPr="003C0F36">
              <w:rPr>
                <w:rFonts w:ascii="Arial" w:hAnsi="Arial" w:cs="Arial"/>
                <w:sz w:val="22"/>
                <w:szCs w:val="22"/>
              </w:rPr>
              <w:t xml:space="preserve">Pontificia Universidad Católica </w:t>
            </w:r>
          </w:p>
          <w:p w14:paraId="50737162" w14:textId="77777777" w:rsidR="00F54222"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 xml:space="preserve">Ecuador </w:t>
            </w:r>
          </w:p>
          <w:p w14:paraId="77D19A55" w14:textId="77777777" w:rsidR="00F54222" w:rsidRPr="003C0F36" w:rsidRDefault="00685DBE" w:rsidP="008417EF">
            <w:pPr>
              <w:spacing w:line="276" w:lineRule="auto"/>
              <w:jc w:val="right"/>
              <w:rPr>
                <w:sz w:val="22"/>
                <w:szCs w:val="22"/>
              </w:rPr>
            </w:pPr>
            <w:hyperlink r:id="rId11" w:tgtFrame="_blank" w:history="1">
              <w:r w:rsidR="00F54222" w:rsidRPr="003C0F36">
                <w:rPr>
                  <w:rStyle w:val="normaltextrun"/>
                  <w:rFonts w:ascii="Arial" w:hAnsi="Arial" w:cs="Arial"/>
                  <w:color w:val="467886"/>
                  <w:sz w:val="22"/>
                  <w:szCs w:val="22"/>
                  <w:u w:val="single"/>
                  <w:shd w:val="clear" w:color="auto" w:fill="FFFFFF"/>
                  <w:lang w:val="es-EC"/>
                </w:rPr>
                <w:t>t</w:t>
              </w:r>
              <w:r w:rsidR="00F54222" w:rsidRPr="003C0F36">
                <w:rPr>
                  <w:rStyle w:val="Hipervnculo"/>
                  <w:rFonts w:ascii="Arial" w:hAnsi="Arial" w:cs="Arial"/>
                  <w:sz w:val="22"/>
                  <w:szCs w:val="22"/>
                  <w:lang w:val="en-US"/>
                </w:rPr>
                <w:t>belorocio@gmail.com</w:t>
              </w:r>
            </w:hyperlink>
          </w:p>
          <w:p w14:paraId="5808CD1B" w14:textId="77777777" w:rsidR="00700A4F" w:rsidRPr="003C0F36" w:rsidRDefault="00700A4F" w:rsidP="008417EF">
            <w:pPr>
              <w:pStyle w:val="NormalWeb"/>
              <w:spacing w:before="0" w:beforeAutospacing="0" w:after="0" w:afterAutospacing="0" w:line="276" w:lineRule="auto"/>
              <w:jc w:val="right"/>
              <w:rPr>
                <w:rFonts w:ascii="Arial" w:hAnsi="Arial" w:cs="Arial"/>
                <w:b/>
                <w:bCs/>
                <w:color w:val="C45911" w:themeColor="accent2" w:themeShade="BF"/>
                <w:sz w:val="22"/>
                <w:szCs w:val="22"/>
              </w:rPr>
            </w:pPr>
          </w:p>
        </w:tc>
      </w:tr>
      <w:tr w:rsidR="00700A4F" w:rsidRPr="003C0F36" w14:paraId="15D2730F" w14:textId="77777777" w:rsidTr="003C0F36">
        <w:tc>
          <w:tcPr>
            <w:tcW w:w="4389" w:type="dxa"/>
          </w:tcPr>
          <w:p w14:paraId="053524B6" w14:textId="77777777" w:rsidR="00700A4F" w:rsidRPr="003C0F36" w:rsidRDefault="00700A4F" w:rsidP="00814810">
            <w:pPr>
              <w:pStyle w:val="NormalWeb"/>
              <w:spacing w:before="0" w:beforeAutospacing="0" w:after="0" w:afterAutospacing="0" w:line="276" w:lineRule="auto"/>
              <w:jc w:val="center"/>
              <w:rPr>
                <w:rFonts w:ascii="Arial" w:hAnsi="Arial" w:cs="Arial"/>
                <w:b/>
                <w:bCs/>
                <w:color w:val="C45911" w:themeColor="accent2" w:themeShade="BF"/>
                <w:sz w:val="22"/>
                <w:szCs w:val="22"/>
              </w:rPr>
            </w:pPr>
          </w:p>
        </w:tc>
        <w:tc>
          <w:tcPr>
            <w:tcW w:w="4390" w:type="dxa"/>
          </w:tcPr>
          <w:p w14:paraId="0D9AD1CA" w14:textId="14E6A599" w:rsidR="00F54222" w:rsidRPr="003C0F36" w:rsidRDefault="00F54222" w:rsidP="008417EF">
            <w:pPr>
              <w:spacing w:line="276" w:lineRule="auto"/>
              <w:jc w:val="right"/>
              <w:rPr>
                <w:rFonts w:ascii="Arial" w:eastAsia="Arial" w:hAnsi="Arial" w:cs="Arial"/>
                <w:sz w:val="22"/>
                <w:szCs w:val="22"/>
              </w:rPr>
            </w:pPr>
            <w:r w:rsidRPr="003C0F36">
              <w:rPr>
                <w:rFonts w:ascii="Arial" w:eastAsia="Arial" w:hAnsi="Arial" w:cs="Arial"/>
                <w:sz w:val="22"/>
                <w:szCs w:val="22"/>
              </w:rPr>
              <w:t>Lucía</w:t>
            </w:r>
            <w:r w:rsidR="005F7B99">
              <w:rPr>
                <w:rFonts w:ascii="Arial" w:eastAsia="Arial" w:hAnsi="Arial" w:cs="Arial"/>
                <w:sz w:val="22"/>
                <w:szCs w:val="22"/>
              </w:rPr>
              <w:t>-</w:t>
            </w:r>
            <w:r w:rsidRPr="003C0F36">
              <w:rPr>
                <w:rFonts w:ascii="Arial" w:eastAsia="Arial" w:hAnsi="Arial" w:cs="Arial"/>
                <w:sz w:val="22"/>
                <w:szCs w:val="22"/>
              </w:rPr>
              <w:t>F. Flores-</w:t>
            </w:r>
            <w:proofErr w:type="spellStart"/>
            <w:r w:rsidRPr="003C0F36">
              <w:rPr>
                <w:rFonts w:ascii="Arial" w:eastAsia="Arial" w:hAnsi="Arial" w:cs="Arial"/>
                <w:sz w:val="22"/>
                <w:szCs w:val="22"/>
              </w:rPr>
              <w:t>Santy</w:t>
            </w:r>
            <w:proofErr w:type="spellEnd"/>
            <w:r w:rsidRPr="003C0F36">
              <w:rPr>
                <w:rStyle w:val="Refdenotaalpie"/>
                <w:rFonts w:ascii="Arial" w:eastAsia="Arial" w:hAnsi="Arial" w:cs="Arial"/>
                <w:sz w:val="22"/>
                <w:szCs w:val="22"/>
              </w:rPr>
              <w:footnoteReference w:id="3"/>
            </w:r>
          </w:p>
          <w:p w14:paraId="5C0A256C" w14:textId="77777777" w:rsidR="00700A4F"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Pontificia Universidad Católica de Ecuador</w:t>
            </w:r>
          </w:p>
          <w:p w14:paraId="62CE0CEB" w14:textId="4A2FAEF9" w:rsidR="00F54222" w:rsidRPr="003C0F36" w:rsidRDefault="00685DBE" w:rsidP="00E00C03">
            <w:pPr>
              <w:pStyle w:val="NormalWeb"/>
              <w:spacing w:before="0" w:beforeAutospacing="0" w:after="0" w:afterAutospacing="0" w:line="276" w:lineRule="auto"/>
              <w:jc w:val="right"/>
              <w:rPr>
                <w:rFonts w:ascii="Arial" w:hAnsi="Arial" w:cs="Arial"/>
                <w:color w:val="C45911" w:themeColor="accent2" w:themeShade="BF"/>
                <w:sz w:val="22"/>
                <w:szCs w:val="22"/>
                <w:lang w:val="en-US"/>
              </w:rPr>
            </w:pPr>
            <w:hyperlink r:id="rId12" w:history="1">
              <w:r w:rsidR="00901339" w:rsidRPr="003C0F36">
                <w:rPr>
                  <w:rStyle w:val="Hipervnculo"/>
                  <w:rFonts w:ascii="Arial" w:hAnsi="Arial" w:cs="Arial"/>
                  <w:sz w:val="22"/>
                  <w:szCs w:val="22"/>
                  <w:lang w:val="en-US"/>
                </w:rPr>
                <w:t>lfflores@puce.edu.ec</w:t>
              </w:r>
            </w:hyperlink>
            <w:r w:rsidR="00901339" w:rsidRPr="003C0F36">
              <w:rPr>
                <w:rFonts w:ascii="Arial" w:hAnsi="Arial" w:cs="Arial"/>
                <w:color w:val="C45911" w:themeColor="accent2" w:themeShade="BF"/>
                <w:sz w:val="22"/>
                <w:szCs w:val="22"/>
                <w:lang w:val="en-US"/>
              </w:rPr>
              <w:t xml:space="preserve"> </w:t>
            </w:r>
          </w:p>
        </w:tc>
      </w:tr>
    </w:tbl>
    <w:p w14:paraId="60E46ACB" w14:textId="07E4FDB1" w:rsidR="00A62924" w:rsidRPr="003C0F36" w:rsidRDefault="00A62924" w:rsidP="00F4765F">
      <w:pPr>
        <w:spacing w:line="276" w:lineRule="auto"/>
        <w:jc w:val="right"/>
        <w:rPr>
          <w:rFonts w:ascii="Arial" w:hAnsi="Arial" w:cs="Arial"/>
          <w:bCs/>
          <w:color w:val="2E74B5" w:themeColor="accent5" w:themeShade="BF"/>
          <w:sz w:val="22"/>
          <w:szCs w:val="22"/>
          <w:u w:val="single"/>
          <w:lang w:val="en-US"/>
        </w:rPr>
      </w:pPr>
    </w:p>
    <w:p w14:paraId="6E267DA3" w14:textId="028C8FFF" w:rsidR="00A82B98" w:rsidRPr="005F7B99" w:rsidRDefault="00A82B98" w:rsidP="00A82B98">
      <w:pPr>
        <w:tabs>
          <w:tab w:val="left" w:pos="5865"/>
        </w:tabs>
        <w:jc w:val="center"/>
        <w:rPr>
          <w:rFonts w:ascii="Arial" w:hAnsi="Arial" w:cs="Arial"/>
          <w:bCs/>
          <w:color w:val="0070C0"/>
          <w:sz w:val="22"/>
          <w:szCs w:val="22"/>
          <w:u w:val="single"/>
          <w:lang w:val="pt-BR"/>
        </w:rPr>
      </w:pPr>
      <w:r w:rsidRPr="005F7B99">
        <w:rPr>
          <w:rFonts w:ascii="Arial" w:hAnsi="Arial" w:cs="Arial"/>
          <w:bCs/>
          <w:color w:val="0070C0"/>
          <w:sz w:val="22"/>
          <w:szCs w:val="22"/>
          <w:u w:val="single"/>
          <w:lang w:val="pt-BR"/>
        </w:rPr>
        <w:t>DOI: http://dx.doi.org/10.22458/caes.v1</w:t>
      </w:r>
      <w:r w:rsidR="004E2D35" w:rsidRPr="005F7B99">
        <w:rPr>
          <w:rFonts w:ascii="Arial" w:hAnsi="Arial" w:cs="Arial"/>
          <w:bCs/>
          <w:color w:val="0070C0"/>
          <w:sz w:val="22"/>
          <w:szCs w:val="22"/>
          <w:u w:val="single"/>
          <w:lang w:val="pt-BR"/>
        </w:rPr>
        <w:t>7</w:t>
      </w:r>
      <w:r w:rsidRPr="005F7B99">
        <w:rPr>
          <w:rFonts w:ascii="Arial" w:hAnsi="Arial" w:cs="Arial"/>
          <w:bCs/>
          <w:color w:val="0070C0"/>
          <w:sz w:val="22"/>
          <w:szCs w:val="22"/>
          <w:u w:val="single"/>
          <w:lang w:val="pt-BR"/>
        </w:rPr>
        <w:t>i</w:t>
      </w:r>
      <w:r w:rsidR="004E2D35" w:rsidRPr="005F7B99">
        <w:rPr>
          <w:rFonts w:ascii="Arial" w:hAnsi="Arial" w:cs="Arial"/>
          <w:bCs/>
          <w:color w:val="0070C0"/>
          <w:sz w:val="22"/>
          <w:szCs w:val="22"/>
          <w:u w:val="single"/>
          <w:lang w:val="pt-BR"/>
        </w:rPr>
        <w:t>1</w:t>
      </w:r>
      <w:r w:rsidRPr="005F7B99">
        <w:rPr>
          <w:rFonts w:ascii="Arial" w:hAnsi="Arial" w:cs="Arial"/>
          <w:bCs/>
          <w:color w:val="0070C0"/>
          <w:sz w:val="22"/>
          <w:szCs w:val="22"/>
          <w:u w:val="single"/>
          <w:lang w:val="pt-BR"/>
        </w:rPr>
        <w:t>.</w:t>
      </w:r>
      <w:r w:rsidR="00814810" w:rsidRPr="005F7B99">
        <w:rPr>
          <w:rFonts w:ascii="Arial" w:hAnsi="Arial" w:cs="Arial"/>
          <w:bCs/>
          <w:color w:val="0070C0"/>
          <w:sz w:val="22"/>
          <w:szCs w:val="22"/>
          <w:u w:val="single"/>
          <w:lang w:val="pt-BR"/>
        </w:rPr>
        <w:t>6019</w:t>
      </w:r>
    </w:p>
    <w:p w14:paraId="55AED01F" w14:textId="77777777"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Volumen 1</w:t>
      </w:r>
      <w:r w:rsidR="004E2D35" w:rsidRPr="003C0F36">
        <w:rPr>
          <w:rFonts w:ascii="Arial" w:hAnsi="Arial" w:cs="Arial"/>
          <w:bCs/>
          <w:sz w:val="22"/>
          <w:szCs w:val="22"/>
        </w:rPr>
        <w:t>7</w:t>
      </w:r>
      <w:r w:rsidRPr="003C0F36">
        <w:rPr>
          <w:rFonts w:ascii="Arial" w:hAnsi="Arial" w:cs="Arial"/>
          <w:bCs/>
          <w:sz w:val="22"/>
          <w:szCs w:val="22"/>
        </w:rPr>
        <w:t xml:space="preserve">, Número </w:t>
      </w:r>
      <w:r w:rsidR="004E2D35" w:rsidRPr="003C0F36">
        <w:rPr>
          <w:rFonts w:ascii="Arial" w:hAnsi="Arial" w:cs="Arial"/>
          <w:bCs/>
          <w:sz w:val="22"/>
          <w:szCs w:val="22"/>
        </w:rPr>
        <w:t>1</w:t>
      </w:r>
    </w:p>
    <w:p w14:paraId="2E73237C" w14:textId="77777777"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30 de</w:t>
      </w:r>
      <w:r w:rsidR="006754BB" w:rsidRPr="003C0F36">
        <w:rPr>
          <w:rFonts w:ascii="Arial" w:hAnsi="Arial" w:cs="Arial"/>
          <w:bCs/>
          <w:sz w:val="22"/>
          <w:szCs w:val="22"/>
        </w:rPr>
        <w:t xml:space="preserve"> </w:t>
      </w:r>
      <w:r w:rsidR="004E2D35" w:rsidRPr="003C0F36">
        <w:rPr>
          <w:rFonts w:ascii="Arial" w:hAnsi="Arial" w:cs="Arial"/>
          <w:bCs/>
          <w:sz w:val="22"/>
          <w:szCs w:val="22"/>
        </w:rPr>
        <w:t>mayo</w:t>
      </w:r>
      <w:r w:rsidRPr="003C0F36">
        <w:rPr>
          <w:rFonts w:ascii="Arial" w:hAnsi="Arial" w:cs="Arial"/>
          <w:bCs/>
          <w:sz w:val="22"/>
          <w:szCs w:val="22"/>
        </w:rPr>
        <w:t xml:space="preserve"> de 202</w:t>
      </w:r>
      <w:r w:rsidR="004E2D35" w:rsidRPr="003C0F36">
        <w:rPr>
          <w:rFonts w:ascii="Arial" w:hAnsi="Arial" w:cs="Arial"/>
          <w:bCs/>
          <w:sz w:val="22"/>
          <w:szCs w:val="22"/>
        </w:rPr>
        <w:t>6</w:t>
      </w:r>
    </w:p>
    <w:p w14:paraId="122506F2" w14:textId="2C77A3BD"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 xml:space="preserve">pp. </w:t>
      </w:r>
      <w:r w:rsidR="00D07EF2">
        <w:rPr>
          <w:rFonts w:ascii="Arial" w:hAnsi="Arial" w:cs="Arial"/>
          <w:bCs/>
          <w:sz w:val="22"/>
          <w:szCs w:val="22"/>
        </w:rPr>
        <w:t>17</w:t>
      </w:r>
      <w:r w:rsidR="00D11B16">
        <w:rPr>
          <w:rFonts w:ascii="Arial" w:hAnsi="Arial" w:cs="Arial"/>
          <w:bCs/>
          <w:sz w:val="22"/>
          <w:szCs w:val="22"/>
        </w:rPr>
        <w:t>2</w:t>
      </w:r>
      <w:r w:rsidRPr="003C0F36">
        <w:rPr>
          <w:rFonts w:ascii="Arial" w:hAnsi="Arial" w:cs="Arial"/>
          <w:bCs/>
          <w:sz w:val="22"/>
          <w:szCs w:val="22"/>
        </w:rPr>
        <w:t>-</w:t>
      </w:r>
      <w:r w:rsidR="00D11B16">
        <w:rPr>
          <w:rFonts w:ascii="Arial" w:hAnsi="Arial" w:cs="Arial"/>
          <w:bCs/>
          <w:sz w:val="22"/>
          <w:szCs w:val="22"/>
        </w:rPr>
        <w:t>198</w:t>
      </w:r>
    </w:p>
    <w:p w14:paraId="31881C8D" w14:textId="77777777" w:rsidR="006E20CE" w:rsidRDefault="006E20CE" w:rsidP="0020679D">
      <w:pPr>
        <w:tabs>
          <w:tab w:val="left" w:pos="5865"/>
        </w:tabs>
        <w:spacing w:line="276" w:lineRule="auto"/>
        <w:rPr>
          <w:rFonts w:ascii="Arial" w:hAnsi="Arial" w:cs="Arial"/>
          <w:bCs/>
        </w:rPr>
      </w:pPr>
      <w:bookmarkStart w:id="11" w:name="_Hlk182838172"/>
    </w:p>
    <w:p w14:paraId="3F3D58B4" w14:textId="77777777" w:rsidR="003C0F36"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746CCC">
        <w:rPr>
          <w:rFonts w:ascii="Arial" w:hAnsi="Arial" w:cs="Arial"/>
          <w:bCs/>
        </w:rPr>
        <w:t xml:space="preserve"> </w:t>
      </w:r>
      <w:r w:rsidR="00746CCC" w:rsidRPr="00746CCC">
        <w:rPr>
          <w:rFonts w:ascii="Arial" w:hAnsi="Arial" w:cs="Arial"/>
          <w:bCs/>
        </w:rPr>
        <w:t>9</w:t>
      </w:r>
      <w:r w:rsidRPr="00746CCC">
        <w:rPr>
          <w:rFonts w:ascii="Arial" w:hAnsi="Arial" w:cs="Arial"/>
          <w:bCs/>
        </w:rPr>
        <w:t xml:space="preserve"> de </w:t>
      </w:r>
      <w:r w:rsidR="00746CCC" w:rsidRPr="00746CCC">
        <w:rPr>
          <w:rFonts w:ascii="Arial" w:hAnsi="Arial" w:cs="Arial"/>
          <w:bCs/>
        </w:rPr>
        <w:t>agosto</w:t>
      </w:r>
      <w:r w:rsidRPr="00746CCC">
        <w:rPr>
          <w:rFonts w:ascii="Arial" w:hAnsi="Arial" w:cs="Arial"/>
          <w:bCs/>
        </w:rPr>
        <w:t xml:space="preserve"> de 202</w:t>
      </w:r>
      <w:r w:rsidR="00F4765F" w:rsidRPr="00746CCC">
        <w:rPr>
          <w:rFonts w:ascii="Arial" w:hAnsi="Arial" w:cs="Arial"/>
          <w:bCs/>
        </w:rPr>
        <w:t>5</w:t>
      </w:r>
    </w:p>
    <w:p w14:paraId="274B1EA1" w14:textId="0B37ED58" w:rsidR="00A82B98" w:rsidRDefault="00A82B98" w:rsidP="0020679D">
      <w:pPr>
        <w:tabs>
          <w:tab w:val="left" w:pos="5865"/>
        </w:tabs>
        <w:spacing w:line="276" w:lineRule="auto"/>
        <w:rPr>
          <w:rFonts w:ascii="Arial" w:hAnsi="Arial" w:cs="Arial"/>
          <w:bCs/>
        </w:rPr>
      </w:pPr>
      <w:r w:rsidRPr="00746CCC">
        <w:rPr>
          <w:rFonts w:ascii="Arial" w:hAnsi="Arial" w:cs="Arial"/>
          <w:bCs/>
        </w:rPr>
        <w:t xml:space="preserve">Aprobado: </w:t>
      </w:r>
      <w:r w:rsidR="00F4765F" w:rsidRPr="00746CCC">
        <w:rPr>
          <w:rFonts w:ascii="Arial" w:hAnsi="Arial" w:cs="Arial"/>
          <w:bCs/>
        </w:rPr>
        <w:t xml:space="preserve"> </w:t>
      </w:r>
      <w:r w:rsidR="00746CCC" w:rsidRPr="00746CCC">
        <w:rPr>
          <w:rFonts w:ascii="Arial" w:hAnsi="Arial" w:cs="Arial"/>
          <w:bCs/>
        </w:rPr>
        <w:t>14</w:t>
      </w:r>
      <w:r w:rsidRPr="00746CCC">
        <w:rPr>
          <w:rFonts w:ascii="Arial" w:hAnsi="Arial" w:cs="Arial"/>
          <w:bCs/>
        </w:rPr>
        <w:t xml:space="preserve"> de </w:t>
      </w:r>
      <w:r w:rsidR="00746CCC" w:rsidRPr="00746CCC">
        <w:rPr>
          <w:rFonts w:ascii="Arial" w:hAnsi="Arial" w:cs="Arial"/>
          <w:bCs/>
        </w:rPr>
        <w:t>abril</w:t>
      </w:r>
      <w:r w:rsidR="00F4765F" w:rsidRPr="00746CCC">
        <w:rPr>
          <w:rFonts w:ascii="Arial" w:hAnsi="Arial" w:cs="Arial"/>
          <w:bCs/>
        </w:rPr>
        <w:t xml:space="preserve"> </w:t>
      </w:r>
      <w:r w:rsidRPr="00746CCC">
        <w:rPr>
          <w:rFonts w:ascii="Arial" w:hAnsi="Arial" w:cs="Arial"/>
          <w:bCs/>
        </w:rPr>
        <w:t>de 202</w:t>
      </w:r>
      <w:r w:rsidR="00746CCC" w:rsidRPr="00746CCC">
        <w:rPr>
          <w:rFonts w:ascii="Arial" w:hAnsi="Arial" w:cs="Arial"/>
          <w:bCs/>
        </w:rPr>
        <w:t>6</w:t>
      </w:r>
    </w:p>
    <w:bookmarkEnd w:id="11"/>
    <w:p w14:paraId="39BC8FA4" w14:textId="77777777" w:rsidR="005F7B99" w:rsidRDefault="005F7B99" w:rsidP="00D92815">
      <w:pPr>
        <w:jc w:val="both"/>
        <w:textAlignment w:val="baseline"/>
        <w:rPr>
          <w:rFonts w:ascii="Arial" w:hAnsi="Arial" w:cs="Arial"/>
          <w:b/>
          <w:bCs/>
          <w:lang w:val="es-EC" w:eastAsia="es-CR"/>
        </w:rPr>
      </w:pPr>
    </w:p>
    <w:p w14:paraId="3A4E7E83" w14:textId="4FBA50DA" w:rsidR="00756801" w:rsidRPr="00756801" w:rsidRDefault="00756801" w:rsidP="00D92815">
      <w:pPr>
        <w:jc w:val="both"/>
        <w:textAlignment w:val="baseline"/>
        <w:rPr>
          <w:rFonts w:ascii="Segoe UI" w:hAnsi="Segoe UI" w:cs="Segoe UI"/>
          <w:sz w:val="18"/>
          <w:szCs w:val="18"/>
          <w:lang w:eastAsia="es-CR"/>
        </w:rPr>
      </w:pPr>
      <w:r w:rsidRPr="00756801">
        <w:rPr>
          <w:rFonts w:ascii="Arial" w:hAnsi="Arial" w:cs="Arial"/>
          <w:b/>
          <w:bCs/>
          <w:lang w:val="es-EC" w:eastAsia="es-CR"/>
        </w:rPr>
        <w:lastRenderedPageBreak/>
        <w:t>Resumen</w:t>
      </w:r>
      <w:r w:rsidRPr="00756801">
        <w:rPr>
          <w:rFonts w:ascii="Arial" w:hAnsi="Arial" w:cs="Arial"/>
          <w:lang w:eastAsia="es-CR"/>
        </w:rPr>
        <w:t> </w:t>
      </w:r>
    </w:p>
    <w:p w14:paraId="70583ECE" w14:textId="4F57C25E" w:rsidR="00756801" w:rsidRDefault="00756801" w:rsidP="00D92815">
      <w:pPr>
        <w:jc w:val="both"/>
        <w:textAlignment w:val="baseline"/>
        <w:rPr>
          <w:rFonts w:ascii="Arial" w:hAnsi="Arial" w:cs="Arial"/>
          <w:lang w:eastAsia="es-CR"/>
        </w:rPr>
      </w:pPr>
      <w:r w:rsidRPr="00756801">
        <w:rPr>
          <w:rFonts w:ascii="Arial" w:hAnsi="Arial" w:cs="Arial"/>
          <w:lang w:val="es-EC" w:eastAsia="es-CR"/>
        </w:rPr>
        <w:t>El Trastorno por Déficit de Atención e Hiperactividad (TDAH), aunque comúnmente es vinculado a la infancia, persiste en la adultez y afecta el desempeño académico universitario. Este estudio transversal-comparativo analizó la relación entre el TDAH y el rendimiento académico en el estudiantado de Fisioterapia en Ecuador, una carrera con altas exigencias cognitivas, prácticas y comunicativas. Participaron 324 estudiantes de segundo a noveno niveles, mayores de 18 años, seleccionados aleatoriamente. El 11.1% (n=36) tenía diagnóstico confirmado y el 83.3% no recibía tratamiento. El estudiantado presenta promedios más bajos (p=0.004), mayor repetición de semestres (p=0.018) y dificultades de concentración y organización. Se concluyó que el TDAH es un factor de riesgo que requiere intervención institucional y clínica oportuna.</w:t>
      </w:r>
      <w:r w:rsidRPr="00756801">
        <w:rPr>
          <w:rFonts w:ascii="Arial" w:hAnsi="Arial" w:cs="Arial"/>
          <w:lang w:eastAsia="es-CR"/>
        </w:rPr>
        <w:t> </w:t>
      </w:r>
    </w:p>
    <w:p w14:paraId="74C86E8E" w14:textId="77777777" w:rsidR="00D92815" w:rsidRPr="00756801" w:rsidRDefault="00D92815" w:rsidP="00D92815">
      <w:pPr>
        <w:jc w:val="both"/>
        <w:textAlignment w:val="baseline"/>
        <w:rPr>
          <w:rFonts w:ascii="Segoe UI" w:hAnsi="Segoe UI" w:cs="Segoe UI"/>
          <w:sz w:val="18"/>
          <w:szCs w:val="18"/>
          <w:lang w:eastAsia="es-CR"/>
        </w:rPr>
      </w:pPr>
    </w:p>
    <w:p w14:paraId="046E4F2A" w14:textId="77777777" w:rsidR="00756801" w:rsidRPr="00756801" w:rsidRDefault="00756801" w:rsidP="00D92815">
      <w:pPr>
        <w:jc w:val="both"/>
        <w:textAlignment w:val="baseline"/>
        <w:rPr>
          <w:rFonts w:ascii="Segoe UI" w:hAnsi="Segoe UI" w:cs="Segoe UI"/>
          <w:sz w:val="18"/>
          <w:szCs w:val="18"/>
          <w:lang w:val="en-US" w:eastAsia="es-CR"/>
        </w:rPr>
      </w:pPr>
      <w:r w:rsidRPr="00756801">
        <w:rPr>
          <w:rFonts w:ascii="Arial" w:hAnsi="Arial" w:cs="Arial"/>
          <w:b/>
          <w:bCs/>
          <w:lang w:val="en-US" w:eastAsia="es-CR"/>
        </w:rPr>
        <w:t>Abstract</w:t>
      </w:r>
      <w:r w:rsidRPr="00756801">
        <w:rPr>
          <w:rFonts w:ascii="Arial" w:hAnsi="Arial" w:cs="Arial"/>
          <w:lang w:val="en-US" w:eastAsia="es-CR"/>
        </w:rPr>
        <w:t> </w:t>
      </w:r>
    </w:p>
    <w:p w14:paraId="16DFA825" w14:textId="484638B1" w:rsidR="00756801" w:rsidRDefault="00756801" w:rsidP="00D92815">
      <w:pPr>
        <w:jc w:val="both"/>
        <w:textAlignment w:val="baseline"/>
        <w:rPr>
          <w:rFonts w:ascii="Arial" w:hAnsi="Arial" w:cs="Arial"/>
          <w:lang w:val="en-US" w:eastAsia="es-CR"/>
        </w:rPr>
      </w:pPr>
      <w:r w:rsidRPr="00756801">
        <w:rPr>
          <w:rFonts w:ascii="Arial" w:hAnsi="Arial" w:cs="Arial"/>
          <w:lang w:val="en-US" w:eastAsia="es-CR"/>
        </w:rPr>
        <w:t>Attention Deficit Hyperactivity Disorder (ADHD), although commonly linked to childhood, persists into adulthood and affects university academic performance. This cross-sectional comparative study analyzed the relationship between ADHD and academic achievement among Physical Therapy students in Ecuador, a degree with high cognitive, practical, and communicative demands. A total of 324 students from second to ninth levels, all over 18 years old, were randomly selected. Findings revealed that 11.1% (n=36) had a confirmed diagnosis, and 83.3% of them were not receiving treatment. Students with ADHD presented lower grade point averages (p=0.004), higher rates of semester repetition (p=0.018), and difficulties in concentration and organization. It was concluded that ADHD is a risk factor that requires timely institutional and clinical intervention. </w:t>
      </w:r>
    </w:p>
    <w:p w14:paraId="48F9C8EC" w14:textId="77777777" w:rsidR="00D92815" w:rsidRPr="00756801" w:rsidRDefault="00D92815" w:rsidP="00D92815">
      <w:pPr>
        <w:jc w:val="both"/>
        <w:textAlignment w:val="baseline"/>
        <w:rPr>
          <w:rFonts w:ascii="Segoe UI" w:hAnsi="Segoe UI" w:cs="Segoe UI"/>
          <w:sz w:val="18"/>
          <w:szCs w:val="18"/>
          <w:lang w:val="en-US" w:eastAsia="es-CR"/>
        </w:rPr>
      </w:pPr>
    </w:p>
    <w:p w14:paraId="1D425B86" w14:textId="319DF1C8" w:rsidR="00756801" w:rsidRDefault="00756801" w:rsidP="00D92815">
      <w:pPr>
        <w:jc w:val="both"/>
        <w:textAlignment w:val="baseline"/>
        <w:rPr>
          <w:rFonts w:ascii="Arial" w:hAnsi="Arial" w:cs="Arial"/>
          <w:lang w:eastAsia="es-CR"/>
        </w:rPr>
      </w:pPr>
      <w:r w:rsidRPr="00756801">
        <w:rPr>
          <w:rFonts w:ascii="Arial" w:hAnsi="Arial" w:cs="Arial"/>
          <w:b/>
          <w:bCs/>
          <w:lang w:val="es-EC" w:eastAsia="es-CR"/>
        </w:rPr>
        <w:t>Palabras clave: </w:t>
      </w:r>
      <w:r w:rsidRPr="00756801">
        <w:rPr>
          <w:rFonts w:ascii="Arial" w:hAnsi="Arial" w:cs="Arial"/>
          <w:lang w:val="es-EC" w:eastAsia="es-CR"/>
        </w:rPr>
        <w:t>Trastorno por Déficit de Atención e Hiperactividad, rendimiento académico, estudiantes universitarios, Fisioterapia. </w:t>
      </w:r>
      <w:r w:rsidRPr="00756801">
        <w:rPr>
          <w:rFonts w:ascii="Arial" w:hAnsi="Arial" w:cs="Arial"/>
          <w:lang w:eastAsia="es-CR"/>
        </w:rPr>
        <w:t> </w:t>
      </w:r>
    </w:p>
    <w:p w14:paraId="13515CA7" w14:textId="77777777" w:rsidR="00D92815" w:rsidRPr="00756801" w:rsidRDefault="00D92815" w:rsidP="00D92815">
      <w:pPr>
        <w:jc w:val="both"/>
        <w:textAlignment w:val="baseline"/>
        <w:rPr>
          <w:rFonts w:ascii="Segoe UI" w:hAnsi="Segoe UI" w:cs="Segoe UI"/>
          <w:sz w:val="18"/>
          <w:szCs w:val="18"/>
          <w:lang w:eastAsia="es-CR"/>
        </w:rPr>
      </w:pPr>
    </w:p>
    <w:p w14:paraId="15BDF37B" w14:textId="77777777" w:rsidR="00756801" w:rsidRPr="00756801" w:rsidRDefault="00756801" w:rsidP="00D92815">
      <w:pPr>
        <w:jc w:val="both"/>
        <w:textAlignment w:val="baseline"/>
        <w:rPr>
          <w:rFonts w:ascii="Segoe UI" w:hAnsi="Segoe UI" w:cs="Segoe UI"/>
          <w:sz w:val="18"/>
          <w:szCs w:val="18"/>
          <w:lang w:val="en-US" w:eastAsia="es-CR"/>
        </w:rPr>
      </w:pPr>
      <w:r w:rsidRPr="00756801">
        <w:rPr>
          <w:rFonts w:ascii="Arial" w:hAnsi="Arial" w:cs="Arial"/>
          <w:b/>
          <w:bCs/>
          <w:lang w:val="en-US" w:eastAsia="es-CR"/>
        </w:rPr>
        <w:t>Keywords:</w:t>
      </w:r>
      <w:r w:rsidRPr="00756801">
        <w:rPr>
          <w:rFonts w:ascii="Arial" w:hAnsi="Arial" w:cs="Arial"/>
          <w:lang w:val="en-US" w:eastAsia="es-CR"/>
        </w:rPr>
        <w:t> Attention Deficit Hyperactivity Disorder, academic performance, university students, Physical Therapy </w:t>
      </w:r>
    </w:p>
    <w:p w14:paraId="33327A52" w14:textId="60BFD6BD" w:rsidR="00756801" w:rsidRDefault="00756801" w:rsidP="00756801">
      <w:pPr>
        <w:spacing w:line="360" w:lineRule="auto"/>
        <w:textAlignment w:val="baseline"/>
        <w:rPr>
          <w:rFonts w:ascii="Arial" w:hAnsi="Arial" w:cs="Arial"/>
          <w:lang w:val="en-US" w:eastAsia="es-CR"/>
        </w:rPr>
      </w:pPr>
      <w:r w:rsidRPr="00756801">
        <w:rPr>
          <w:rFonts w:ascii="Arial" w:hAnsi="Arial" w:cs="Arial"/>
          <w:lang w:val="en-US" w:eastAsia="es-CR"/>
        </w:rPr>
        <w:t> </w:t>
      </w:r>
    </w:p>
    <w:p w14:paraId="328B5DF4"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Introducción</w:t>
      </w:r>
      <w:r w:rsidRPr="00756801">
        <w:rPr>
          <w:rFonts w:ascii="Arial" w:hAnsi="Arial" w:cs="Arial"/>
          <w:lang w:eastAsia="es-CR"/>
        </w:rPr>
        <w:t> </w:t>
      </w:r>
    </w:p>
    <w:p w14:paraId="27A01C07"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El TDAH es una condición del neurodesarrollo caracterizada por la presencia persistente de síntomas de inatención, hiperactividad e impulsividad, los cuales interfieren significativamente en el funcionamiento cotidiano en múltiples ámbitos de la vida (Montiel-Nava et al., 2012). Aunque tradicionalmente se ha conceptualizado como un trastorno propio de la infancia, en la actualidad se reconoce que puede persistir en la adultez entre el 30% y el 60% de los casos diagnosticados durante estas edades (Faraone et al., 2021). Esta continuidad sintomática ha sido respaldada por investigaciones recientes que estiman una prevalencia mundial del 2,58% para el TDAH persistente en personas adultas, y del 6,76% para el TDAH sintomático (Song et al., 2021). </w:t>
      </w:r>
      <w:r w:rsidRPr="00756801">
        <w:rPr>
          <w:rFonts w:ascii="Arial" w:hAnsi="Arial" w:cs="Arial"/>
          <w:lang w:eastAsia="es-CR"/>
        </w:rPr>
        <w:t> </w:t>
      </w:r>
    </w:p>
    <w:p w14:paraId="4AB8283C" w14:textId="77777777" w:rsidR="00741455" w:rsidRPr="00756801" w:rsidRDefault="00741455" w:rsidP="00756801">
      <w:pPr>
        <w:spacing w:line="360" w:lineRule="auto"/>
        <w:jc w:val="both"/>
        <w:textAlignment w:val="baseline"/>
        <w:rPr>
          <w:rFonts w:ascii="Segoe UI" w:hAnsi="Segoe UI" w:cs="Segoe UI"/>
          <w:sz w:val="18"/>
          <w:szCs w:val="18"/>
          <w:lang w:eastAsia="es-CR"/>
        </w:rPr>
      </w:pPr>
    </w:p>
    <w:p w14:paraId="44600FD6"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En el estudiantado universitario, el TDAH impacta negativamente el rendimiento académico, manifestándose en calificaciones más bajas, mayores tasas de deserción y un tiempo prolongado para completar sus estudios (Sepúlveda Bernales &amp; Espina Araneda, 2021). La sintomatología de inatención es el principal predictor de este bajo rendimiento, correlacionándose con un menor promedio académico y mayor probabilidad de abandono, independientemente del género (Canu et al., 2021; DuPaul et al., 2021; Henning et al., 2021; </w:t>
      </w:r>
      <w:proofErr w:type="spellStart"/>
      <w:r w:rsidRPr="00756801">
        <w:rPr>
          <w:rFonts w:ascii="Arial" w:hAnsi="Arial" w:cs="Arial"/>
          <w:lang w:val="es-EC" w:eastAsia="es-CR"/>
        </w:rPr>
        <w:t>Murkett</w:t>
      </w:r>
      <w:proofErr w:type="spellEnd"/>
      <w:r w:rsidRPr="00756801">
        <w:rPr>
          <w:rFonts w:ascii="Arial" w:hAnsi="Arial" w:cs="Arial"/>
          <w:lang w:val="es-EC" w:eastAsia="es-CR"/>
        </w:rPr>
        <w:t xml:space="preserve"> et al., 2014). </w:t>
      </w:r>
      <w:r w:rsidRPr="00756801">
        <w:rPr>
          <w:rFonts w:ascii="Arial" w:hAnsi="Arial" w:cs="Arial"/>
          <w:lang w:eastAsia="es-CR"/>
        </w:rPr>
        <w:t> </w:t>
      </w:r>
    </w:p>
    <w:p w14:paraId="344C4FAC"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Aunque parte del estudiantado con TDAH logra un promedio académico dentro del rango esperado, la mayoría a menudo experimenta dificultades importantes en actividades ejecutivas y en el manejo del estrés o la ansiedad, afectando su </w:t>
      </w:r>
      <w:r w:rsidRPr="00756801">
        <w:rPr>
          <w:rFonts w:ascii="Arial" w:hAnsi="Arial" w:cs="Arial"/>
          <w:lang w:val="es-EC" w:eastAsia="es-CR"/>
        </w:rPr>
        <w:lastRenderedPageBreak/>
        <w:t>experiencia académica y bienestar general (Gray et al., 2016). Estos obstáculos, especialmente la inatención y desorganización, cobran una relevancia crítica en campos que demandan habilidades prácticas específicas, como la Fisioterapia.</w:t>
      </w:r>
      <w:r w:rsidRPr="00756801">
        <w:rPr>
          <w:rFonts w:ascii="Arial" w:hAnsi="Arial" w:cs="Arial"/>
          <w:lang w:eastAsia="es-CR"/>
        </w:rPr>
        <w:t> </w:t>
      </w:r>
    </w:p>
    <w:p w14:paraId="6E994589"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Las exigencias académicas de los programas universitarios de Fisioterapia se caracterizan por una alta carga cognitiva, contenidos teóricos complejos, adquisición de habilidades prácticas y evaluaciones frecuentes, lo que representa un desafío significativo para el estudiantado, incluyendo a quienes cuentan con un diagnóstico de TDAH (Duff et al., 2021; DuPaul et al., 2021). En este contexto, la formación en Fisioterapia requiere la aplicación de conocimientos anatómicos y fisiopatológicos para evaluar y tratar funcionalmente a los pacientes, adaptando las intervenciones a diversas necesidades individuales y entornos clínicos, además de desarrollar una comunicación terapéutica efectiva (Godfrey-Harris &amp; Shaw, 2023). </w:t>
      </w:r>
      <w:r w:rsidRPr="00756801">
        <w:rPr>
          <w:rFonts w:ascii="Arial" w:hAnsi="Arial" w:cs="Arial"/>
          <w:lang w:eastAsia="es-CR"/>
        </w:rPr>
        <w:t> </w:t>
      </w:r>
    </w:p>
    <w:p w14:paraId="25CABCA9" w14:textId="77777777" w:rsidR="00741455" w:rsidRDefault="00741455" w:rsidP="00756801">
      <w:pPr>
        <w:spacing w:line="360" w:lineRule="auto"/>
        <w:jc w:val="both"/>
        <w:textAlignment w:val="baseline"/>
        <w:rPr>
          <w:rFonts w:ascii="Arial" w:hAnsi="Arial" w:cs="Arial"/>
          <w:lang w:val="es-EC" w:eastAsia="es-CR"/>
        </w:rPr>
      </w:pPr>
    </w:p>
    <w:p w14:paraId="090D80A0" w14:textId="15EC5021"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Desde una perspectiva contemporánea y basada en el modelo social de la discapacidad, es importante reconocer que las dificultades en los procesos de aprendizaje no derivan exclusivamente de las características individuales asociadas a un diagnóstico, sino también de la interacción con entornos educativos que no siempre contemplan la diversidad cognitiva; en este sentido, determinadas formas de organización académica, metodologías de enseñanza o dinámicas evaluativas pueden generar barreras que limitan la participación plena del estudiantado, particularmente en actividades prácticas que implican la interacción con pacientes y equipos multidisciplinarios. Esto puede reflejar implicaciones en la </w:t>
      </w:r>
      <w:r w:rsidRPr="00756801">
        <w:rPr>
          <w:rFonts w:ascii="Arial" w:hAnsi="Arial" w:cs="Arial"/>
          <w:lang w:val="es-EC" w:eastAsia="es-CR"/>
        </w:rPr>
        <w:lastRenderedPageBreak/>
        <w:t>experiencia formativa y en el desarrollo de competencias profesionales, lo que pone de manifiesto la necesidad de entornos educativos más inclusivos y adaptativos (Duff et al., 2021; Herrman et al., 2024). </w:t>
      </w:r>
      <w:r w:rsidRPr="00756801">
        <w:rPr>
          <w:rFonts w:ascii="Arial" w:hAnsi="Arial" w:cs="Arial"/>
          <w:lang w:eastAsia="es-CR"/>
        </w:rPr>
        <w:t> </w:t>
      </w:r>
    </w:p>
    <w:p w14:paraId="3B2697D0" w14:textId="77777777" w:rsidR="00741455" w:rsidRDefault="00741455" w:rsidP="00756801">
      <w:pPr>
        <w:spacing w:line="360" w:lineRule="auto"/>
        <w:jc w:val="both"/>
        <w:textAlignment w:val="baseline"/>
        <w:rPr>
          <w:rFonts w:ascii="Arial" w:hAnsi="Arial" w:cs="Arial"/>
          <w:lang w:val="es-EC" w:eastAsia="es-CR"/>
        </w:rPr>
      </w:pPr>
    </w:p>
    <w:p w14:paraId="1888F926" w14:textId="77777777" w:rsidR="00741455" w:rsidRDefault="00756801" w:rsidP="00756801">
      <w:pPr>
        <w:spacing w:line="360" w:lineRule="auto"/>
        <w:jc w:val="both"/>
        <w:textAlignment w:val="baseline"/>
        <w:rPr>
          <w:rFonts w:ascii="Arial" w:hAnsi="Arial" w:cs="Arial"/>
          <w:lang w:val="es-EC" w:eastAsia="es-CR"/>
        </w:rPr>
      </w:pPr>
      <w:r w:rsidRPr="00756801">
        <w:rPr>
          <w:rFonts w:ascii="Arial" w:hAnsi="Arial" w:cs="Arial"/>
          <w:lang w:val="es-EC" w:eastAsia="es-CR"/>
        </w:rPr>
        <w:t xml:space="preserve">A pesar de la persistencia del TDAH en la población adulta, la atención e investigación en este grupo, especialmente en el ámbito universitario en el área de salud, siguen siendo limitadas y poco visibles. Por ello, resulta necesario profundizar en este campo para identificar posibles consecuencias que este trastorno puede tener en el contexto universitario, particularmente en el estudiantado de Fisioterapia, donde la exigencia académica es notoriamente alta. </w:t>
      </w:r>
    </w:p>
    <w:p w14:paraId="660C244F" w14:textId="529AD2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Este estudio tiene como objetivo describir el rendimiento académico del estudiantado de la carrera, considerando la presencia de TDAH, lo que permite no solo estimar la prevalencia de participantes en la muestra, sino también analizar las diferencias en el rendimiento académico entre personas con y sin este diagnóstico, aportando evidencia relevante para el diseño de futuras estrategias de apoyo.</w:t>
      </w:r>
      <w:r w:rsidRPr="00756801">
        <w:rPr>
          <w:rFonts w:ascii="Arial" w:hAnsi="Arial" w:cs="Arial"/>
          <w:lang w:eastAsia="es-CR"/>
        </w:rPr>
        <w:t> </w:t>
      </w:r>
    </w:p>
    <w:p w14:paraId="55F6CFE5" w14:textId="77777777" w:rsidR="00741455" w:rsidRDefault="00741455" w:rsidP="00756801">
      <w:pPr>
        <w:spacing w:line="360" w:lineRule="auto"/>
        <w:jc w:val="both"/>
        <w:textAlignment w:val="baseline"/>
        <w:rPr>
          <w:rFonts w:ascii="Arial" w:hAnsi="Arial" w:cs="Arial"/>
          <w:b/>
          <w:bCs/>
          <w:lang w:val="es-EC" w:eastAsia="es-CR"/>
        </w:rPr>
      </w:pPr>
    </w:p>
    <w:p w14:paraId="263EBBC4" w14:textId="4CE3E884" w:rsidR="00741455" w:rsidRDefault="00756801" w:rsidP="00756801">
      <w:pPr>
        <w:spacing w:line="360" w:lineRule="auto"/>
        <w:jc w:val="both"/>
        <w:textAlignment w:val="baseline"/>
        <w:rPr>
          <w:rFonts w:ascii="Arial" w:hAnsi="Arial" w:cs="Arial"/>
          <w:lang w:val="es-EC" w:eastAsia="es-CR"/>
        </w:rPr>
      </w:pPr>
      <w:r w:rsidRPr="00756801">
        <w:rPr>
          <w:rFonts w:ascii="Arial" w:hAnsi="Arial" w:cs="Arial"/>
          <w:b/>
          <w:bCs/>
          <w:lang w:val="es-EC" w:eastAsia="es-CR"/>
        </w:rPr>
        <w:t>Metodología</w:t>
      </w:r>
      <w:r w:rsidRPr="00756801">
        <w:rPr>
          <w:rFonts w:ascii="Arial" w:hAnsi="Arial" w:cs="Arial"/>
          <w:lang w:eastAsia="es-CR"/>
        </w:rPr>
        <w:t> </w:t>
      </w:r>
    </w:p>
    <w:p w14:paraId="10D9C259" w14:textId="7892792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realiza un estudio de tipo descriptivo, transversal y observacional del estudiantado de la carrera en Fisioterapia. La población de estudio está conformada por 556 estudiantes matriculados entre el segundo y noveno nivel de formación. La muestra final está conformada por 324 participantes, seleccionados mediante un muestreo aleatorio simple. </w:t>
      </w:r>
      <w:r w:rsidRPr="00756801">
        <w:rPr>
          <w:rFonts w:ascii="Arial" w:hAnsi="Arial" w:cs="Arial"/>
          <w:lang w:eastAsia="es-CR"/>
        </w:rPr>
        <w:t> </w:t>
      </w:r>
    </w:p>
    <w:p w14:paraId="0D01968B" w14:textId="4FB60593"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Se incluyen participantes con y sin diagnóstico previo de TDAH, mayores de 18 años, con edades comprendidas entre 18 y más de 36 años, que hubieran cursado al menos el primer nivel de la carrera y aprobado el último semestre con un promedio final registrado. No se establecieron restricciones en función del sexo o género. Se excluyen participantes de primer nivel de Fisioterapia y personas menores de 18 años. </w:t>
      </w:r>
      <w:r w:rsidRPr="00756801">
        <w:rPr>
          <w:rFonts w:ascii="Arial" w:hAnsi="Arial" w:cs="Arial"/>
          <w:lang w:eastAsia="es-CR"/>
        </w:rPr>
        <w:t> </w:t>
      </w:r>
    </w:p>
    <w:p w14:paraId="4BF57E8B" w14:textId="77777777" w:rsidR="00741455" w:rsidRDefault="00741455" w:rsidP="00756801">
      <w:pPr>
        <w:spacing w:line="360" w:lineRule="auto"/>
        <w:jc w:val="both"/>
        <w:textAlignment w:val="baseline"/>
        <w:rPr>
          <w:rFonts w:ascii="Arial" w:hAnsi="Arial" w:cs="Arial"/>
          <w:lang w:val="es-EC" w:eastAsia="es-CR"/>
        </w:rPr>
      </w:pPr>
    </w:p>
    <w:p w14:paraId="10F90D8B" w14:textId="5818D6CE"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información se obtiene a través de una encuesta en línea anónima y voluntaria utilizando la plataforma de Google </w:t>
      </w:r>
      <w:proofErr w:type="spellStart"/>
      <w:r w:rsidRPr="00756801">
        <w:rPr>
          <w:rFonts w:ascii="Arial" w:hAnsi="Arial" w:cs="Arial"/>
          <w:lang w:val="es-EC" w:eastAsia="es-CR"/>
        </w:rPr>
        <w:t>Forms</w:t>
      </w:r>
      <w:proofErr w:type="spellEnd"/>
      <w:r w:rsidRPr="00756801">
        <w:rPr>
          <w:rFonts w:ascii="Arial" w:hAnsi="Arial" w:cs="Arial"/>
          <w:lang w:val="es-EC" w:eastAsia="es-CR"/>
        </w:rPr>
        <w:t>®. Previamente, se obtuvo el consentimiento informado de quienes  participaron, respetando los principios éticos establecidos en la Declaración de Helsinki; no se recolecta información personal que permita identificar al grupo encuestado, y se garantiza la confidencialidad de los datos obtenidos (</w:t>
      </w:r>
      <w:proofErr w:type="spellStart"/>
      <w:r w:rsidRPr="00756801">
        <w:rPr>
          <w:rFonts w:ascii="Arial" w:hAnsi="Arial" w:cs="Arial"/>
          <w:lang w:val="es-EC" w:eastAsia="es-CR"/>
        </w:rPr>
        <w:t>World</w:t>
      </w:r>
      <w:proofErr w:type="spellEnd"/>
      <w:r w:rsidRPr="00756801">
        <w:rPr>
          <w:rFonts w:ascii="Arial" w:hAnsi="Arial" w:cs="Arial"/>
          <w:lang w:val="es-EC" w:eastAsia="es-CR"/>
        </w:rPr>
        <w:t xml:space="preserve"> Medical </w:t>
      </w:r>
      <w:proofErr w:type="spellStart"/>
      <w:r w:rsidRPr="00756801">
        <w:rPr>
          <w:rFonts w:ascii="Arial" w:hAnsi="Arial" w:cs="Arial"/>
          <w:lang w:val="es-EC" w:eastAsia="es-CR"/>
        </w:rPr>
        <w:t>Association</w:t>
      </w:r>
      <w:proofErr w:type="spellEnd"/>
      <w:r w:rsidRPr="00756801">
        <w:rPr>
          <w:rFonts w:ascii="Arial" w:hAnsi="Arial" w:cs="Arial"/>
          <w:lang w:val="es-EC" w:eastAsia="es-CR"/>
        </w:rPr>
        <w:t>, 2025). La encuesta incluye preguntas orientadas a identificar el desempeño académico y antecedentes de diagnóstico de TDAH. </w:t>
      </w:r>
      <w:r w:rsidRPr="00756801">
        <w:rPr>
          <w:rFonts w:ascii="Arial" w:hAnsi="Arial" w:cs="Arial"/>
          <w:lang w:eastAsia="es-CR"/>
        </w:rPr>
        <w:t> </w:t>
      </w:r>
    </w:p>
    <w:p w14:paraId="5920E239" w14:textId="77777777" w:rsidR="00741455" w:rsidRDefault="00741455" w:rsidP="00756801">
      <w:pPr>
        <w:spacing w:line="360" w:lineRule="auto"/>
        <w:jc w:val="both"/>
        <w:textAlignment w:val="baseline"/>
        <w:rPr>
          <w:rFonts w:ascii="Arial" w:hAnsi="Arial" w:cs="Arial"/>
          <w:b/>
          <w:bCs/>
          <w:lang w:val="es-EC" w:eastAsia="es-CR"/>
        </w:rPr>
      </w:pPr>
    </w:p>
    <w:p w14:paraId="3D894611" w14:textId="24046EF1"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Análisis estadístico</w:t>
      </w:r>
      <w:r w:rsidRPr="00756801">
        <w:rPr>
          <w:rFonts w:ascii="Arial" w:hAnsi="Arial" w:cs="Arial"/>
          <w:lang w:eastAsia="es-CR"/>
        </w:rPr>
        <w:t> </w:t>
      </w:r>
    </w:p>
    <w:p w14:paraId="5651D955"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Los datos recolectados mediante Google </w:t>
      </w:r>
      <w:proofErr w:type="spellStart"/>
      <w:r w:rsidRPr="00756801">
        <w:rPr>
          <w:rFonts w:ascii="Arial" w:hAnsi="Arial" w:cs="Arial"/>
          <w:lang w:val="es-EC" w:eastAsia="es-CR"/>
        </w:rPr>
        <w:t>Forms</w:t>
      </w:r>
      <w:proofErr w:type="spellEnd"/>
      <w:r w:rsidRPr="00756801">
        <w:rPr>
          <w:rFonts w:ascii="Arial" w:hAnsi="Arial" w:cs="Arial"/>
          <w:lang w:val="es-EC" w:eastAsia="es-CR"/>
        </w:rPr>
        <w:t>® son exportados a Microsoft Excel® para su organización inicial y posterior depuración; este proceso consiste en la eliminación de respuestas incompletas o inconsistentes, lo que asegura la calidad de los datos. </w:t>
      </w:r>
      <w:r w:rsidRPr="00756801">
        <w:rPr>
          <w:rFonts w:ascii="Arial" w:hAnsi="Arial" w:cs="Arial"/>
          <w:lang w:eastAsia="es-CR"/>
        </w:rPr>
        <w:t> </w:t>
      </w:r>
    </w:p>
    <w:p w14:paraId="029222AF" w14:textId="77777777" w:rsidR="00741455" w:rsidRDefault="00741455" w:rsidP="00756801">
      <w:pPr>
        <w:spacing w:line="360" w:lineRule="auto"/>
        <w:jc w:val="both"/>
        <w:textAlignment w:val="baseline"/>
        <w:rPr>
          <w:rFonts w:ascii="Arial" w:hAnsi="Arial" w:cs="Arial"/>
          <w:lang w:val="es-EC" w:eastAsia="es-CR"/>
        </w:rPr>
      </w:pPr>
    </w:p>
    <w:p w14:paraId="1D0B85F2" w14:textId="5D939A45"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Posteriormente, los datos se analizaron utilizando el software estadístico IBM SPSS </w:t>
      </w:r>
      <w:proofErr w:type="spellStart"/>
      <w:r w:rsidRPr="00756801">
        <w:rPr>
          <w:rFonts w:ascii="Arial" w:hAnsi="Arial" w:cs="Arial"/>
          <w:lang w:val="es-EC" w:eastAsia="es-CR"/>
        </w:rPr>
        <w:t>Statistics</w:t>
      </w:r>
      <w:proofErr w:type="spellEnd"/>
      <w:r w:rsidRPr="00756801">
        <w:rPr>
          <w:rFonts w:ascii="Arial" w:hAnsi="Arial" w:cs="Arial"/>
          <w:lang w:val="es-EC" w:eastAsia="es-CR"/>
        </w:rPr>
        <w:t>, versión 28.0. </w:t>
      </w:r>
      <w:r w:rsidRPr="00756801">
        <w:rPr>
          <w:rFonts w:ascii="Arial" w:hAnsi="Arial" w:cs="Arial"/>
          <w:lang w:eastAsia="es-CR"/>
        </w:rPr>
        <w:t> </w:t>
      </w:r>
    </w:p>
    <w:p w14:paraId="069BFF5D" w14:textId="77777777" w:rsidR="00741455" w:rsidRDefault="00741455" w:rsidP="00756801">
      <w:pPr>
        <w:spacing w:line="360" w:lineRule="auto"/>
        <w:jc w:val="both"/>
        <w:textAlignment w:val="baseline"/>
        <w:rPr>
          <w:rFonts w:ascii="Arial" w:hAnsi="Arial" w:cs="Arial"/>
          <w:b/>
          <w:bCs/>
          <w:lang w:val="es-EC" w:eastAsia="es-CR"/>
        </w:rPr>
      </w:pPr>
    </w:p>
    <w:p w14:paraId="5E1E5640" w14:textId="3B49505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Análisis descriptivo</w:t>
      </w:r>
      <w:r w:rsidRPr="00756801">
        <w:rPr>
          <w:rFonts w:ascii="Arial" w:hAnsi="Arial" w:cs="Arial"/>
          <w:lang w:eastAsia="es-CR"/>
        </w:rPr>
        <w:t> </w:t>
      </w:r>
    </w:p>
    <w:p w14:paraId="4CDFBE13"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realiza un análisis estadístico descriptivo para caracterizar la muestra total (N = 324). Las variables categóricas (género, semestre cursado, diagnóstico de TDAH, tipo de tratamiento y percepción de dificultades académicas) se presentaron mediante frecuencias absolutas y porcentajes. Las variables cuantitativas (edad y promedio académico reportado numéricamente) son descritas utilizando medidas de tendencia central (media y mediana) y de dispersión (desviación estándar y rango intercuartílico), seleccionadas conforme a la distribución de los datos evaluada previamente.</w:t>
      </w:r>
      <w:r w:rsidRPr="00756801">
        <w:rPr>
          <w:rFonts w:ascii="Arial" w:hAnsi="Arial" w:cs="Arial"/>
          <w:lang w:eastAsia="es-CR"/>
        </w:rPr>
        <w:t> </w:t>
      </w:r>
    </w:p>
    <w:p w14:paraId="063E184C" w14:textId="77777777" w:rsidR="00741455" w:rsidRDefault="00741455" w:rsidP="00756801">
      <w:pPr>
        <w:spacing w:line="360" w:lineRule="auto"/>
        <w:textAlignment w:val="baseline"/>
        <w:rPr>
          <w:rFonts w:ascii="Arial" w:hAnsi="Arial" w:cs="Arial"/>
          <w:b/>
          <w:bCs/>
          <w:color w:val="000000"/>
          <w:lang w:val="es-EC" w:eastAsia="es-CR"/>
        </w:rPr>
      </w:pPr>
    </w:p>
    <w:p w14:paraId="3E8BBD2A" w14:textId="29A0508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t>Evaluación de la </w:t>
      </w:r>
      <w:r w:rsidRPr="00756801">
        <w:rPr>
          <w:rFonts w:ascii="Arial" w:hAnsi="Arial" w:cs="Arial"/>
          <w:b/>
          <w:bCs/>
          <w:lang w:val="es-EC" w:eastAsia="es-CR"/>
        </w:rPr>
        <w:t>normalidad</w:t>
      </w:r>
      <w:r w:rsidRPr="00756801">
        <w:rPr>
          <w:rFonts w:ascii="Arial" w:hAnsi="Arial" w:cs="Arial"/>
          <w:lang w:eastAsia="es-CR"/>
        </w:rPr>
        <w:t> </w:t>
      </w:r>
    </w:p>
    <w:p w14:paraId="11E4BB11"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La normalidad de la distribución de las variables continuas, en particular del promedio académico, se </w:t>
      </w:r>
      <w:r w:rsidRPr="00756801">
        <w:rPr>
          <w:rFonts w:ascii="Arial" w:hAnsi="Arial" w:cs="Arial"/>
          <w:lang w:val="es-EC" w:eastAsia="es-CR"/>
        </w:rPr>
        <w:t>evalúa</w:t>
      </w:r>
      <w:r w:rsidRPr="00756801">
        <w:rPr>
          <w:rFonts w:ascii="Arial" w:hAnsi="Arial" w:cs="Arial"/>
          <w:color w:val="000000"/>
          <w:lang w:val="es-EC" w:eastAsia="es-CR"/>
        </w:rPr>
        <w:t> mediante la prueba de Shapiro-Wilk, dado el tamaño moderado de la muestra.</w:t>
      </w:r>
      <w:r w:rsidRPr="00756801">
        <w:rPr>
          <w:rFonts w:ascii="Arial" w:hAnsi="Arial" w:cs="Arial"/>
          <w:color w:val="000000"/>
          <w:lang w:eastAsia="es-CR"/>
        </w:rPr>
        <w:t> </w:t>
      </w:r>
    </w:p>
    <w:p w14:paraId="2E42DEB0" w14:textId="77777777" w:rsidR="00741455" w:rsidRDefault="00741455" w:rsidP="00756801">
      <w:pPr>
        <w:spacing w:line="360" w:lineRule="auto"/>
        <w:textAlignment w:val="baseline"/>
        <w:rPr>
          <w:rFonts w:ascii="Arial" w:hAnsi="Arial" w:cs="Arial"/>
          <w:b/>
          <w:bCs/>
          <w:color w:val="000000"/>
          <w:lang w:val="es-EC" w:eastAsia="es-CR"/>
        </w:rPr>
      </w:pPr>
    </w:p>
    <w:p w14:paraId="0EE9479B" w14:textId="5665E1F3"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t>Análisis Inferencial </w:t>
      </w:r>
      <w:r w:rsidRPr="00756801">
        <w:rPr>
          <w:rFonts w:ascii="Arial" w:hAnsi="Arial" w:cs="Arial"/>
          <w:color w:val="000000"/>
          <w:lang w:eastAsia="es-CR"/>
        </w:rPr>
        <w:t> </w:t>
      </w:r>
    </w:p>
    <w:p w14:paraId="266CC347"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El análisis principal compara</w:t>
      </w:r>
      <w:r w:rsidRPr="00756801">
        <w:rPr>
          <w:rFonts w:ascii="Arial" w:hAnsi="Arial" w:cs="Arial"/>
          <w:lang w:val="es-EC" w:eastAsia="es-CR"/>
        </w:rPr>
        <w:t> </w:t>
      </w:r>
      <w:r w:rsidRPr="00756801">
        <w:rPr>
          <w:rFonts w:ascii="Arial" w:hAnsi="Arial" w:cs="Arial"/>
          <w:color w:val="000000"/>
          <w:lang w:val="es-EC" w:eastAsia="es-CR"/>
        </w:rPr>
        <w:t>el rendimiento académico en funci</w:t>
      </w:r>
      <w:r w:rsidRPr="00756801">
        <w:rPr>
          <w:rFonts w:ascii="Arial" w:hAnsi="Arial" w:cs="Arial"/>
          <w:lang w:val="es-EC" w:eastAsia="es-CR"/>
        </w:rPr>
        <w:t>ón de la presencia de</w:t>
      </w:r>
      <w:r w:rsidRPr="00756801">
        <w:rPr>
          <w:rFonts w:ascii="Arial" w:hAnsi="Arial" w:cs="Arial"/>
          <w:color w:val="000000"/>
          <w:lang w:val="es-EC" w:eastAsia="es-CR"/>
        </w:rPr>
        <w:t> diagnóstico previo de TDAH, entre participantes con diagn</w:t>
      </w:r>
      <w:r w:rsidRPr="00756801">
        <w:rPr>
          <w:rFonts w:ascii="Arial" w:hAnsi="Arial" w:cs="Arial"/>
          <w:lang w:val="es-EC" w:eastAsia="es-CR"/>
        </w:rPr>
        <w:t>óstico</w:t>
      </w:r>
      <w:r w:rsidRPr="00756801">
        <w:rPr>
          <w:rFonts w:ascii="Arial" w:hAnsi="Arial" w:cs="Arial"/>
          <w:color w:val="000000"/>
          <w:lang w:val="es-EC" w:eastAsia="es-CR"/>
        </w:rPr>
        <w:t> </w:t>
      </w:r>
      <w:r w:rsidRPr="00756801">
        <w:rPr>
          <w:rFonts w:ascii="Arial" w:hAnsi="Arial" w:cs="Arial"/>
          <w:lang w:val="es-EC" w:eastAsia="es-CR"/>
        </w:rPr>
        <w:t>(n = 36) </w:t>
      </w:r>
      <w:r w:rsidRPr="00756801">
        <w:rPr>
          <w:rFonts w:ascii="Arial" w:hAnsi="Arial" w:cs="Arial"/>
          <w:color w:val="000000"/>
          <w:lang w:val="es-EC" w:eastAsia="es-CR"/>
        </w:rPr>
        <w:t>y sin diagnós</w:t>
      </w:r>
      <w:r w:rsidRPr="00756801">
        <w:rPr>
          <w:rFonts w:ascii="Arial" w:hAnsi="Arial" w:cs="Arial"/>
          <w:lang w:val="es-EC" w:eastAsia="es-CR"/>
        </w:rPr>
        <w:t>tico (n = 288). La</w:t>
      </w:r>
      <w:r w:rsidRPr="00756801">
        <w:rPr>
          <w:rFonts w:ascii="Arial" w:hAnsi="Arial" w:cs="Arial"/>
          <w:color w:val="000000"/>
          <w:lang w:val="es-EC" w:eastAsia="es-CR"/>
        </w:rPr>
        <w:t xml:space="preserve"> normalidad de la distribución de las variables continuas, </w:t>
      </w:r>
      <w:r w:rsidRPr="00756801">
        <w:rPr>
          <w:rFonts w:ascii="Arial" w:hAnsi="Arial" w:cs="Arial"/>
          <w:color w:val="000000"/>
          <w:lang w:val="es-EC" w:eastAsia="es-CR"/>
        </w:rPr>
        <w:lastRenderedPageBreak/>
        <w:t>específicamente del promedio académico, se evaluó mediante la prueba de Shapiro-Wilk, dado el tamaño moderado de la muestra. Para la comparación del rendimiento académico, si los datos seguían una distribución normal, se utilizó la prueba t de </w:t>
      </w:r>
      <w:r w:rsidRPr="00756801">
        <w:rPr>
          <w:rFonts w:ascii="Arial" w:hAnsi="Arial" w:cs="Arial"/>
          <w:i/>
          <w:iCs/>
          <w:color w:val="000000"/>
          <w:lang w:val="es-EC" w:eastAsia="es-CR"/>
        </w:rPr>
        <w:t>Student</w:t>
      </w:r>
      <w:r w:rsidRPr="00756801">
        <w:rPr>
          <w:rFonts w:ascii="Arial" w:hAnsi="Arial" w:cs="Arial"/>
          <w:color w:val="000000"/>
          <w:lang w:val="es-EC" w:eastAsia="es-CR"/>
        </w:rPr>
        <w:t> para muestras independientes. </w:t>
      </w:r>
      <w:r w:rsidRPr="00756801">
        <w:rPr>
          <w:rFonts w:ascii="Arial" w:hAnsi="Arial" w:cs="Arial"/>
          <w:color w:val="000000"/>
          <w:lang w:eastAsia="es-CR"/>
        </w:rPr>
        <w:t> </w:t>
      </w:r>
    </w:p>
    <w:p w14:paraId="41A8285E" w14:textId="77777777" w:rsidR="00741455" w:rsidRDefault="00741455" w:rsidP="00756801">
      <w:pPr>
        <w:spacing w:line="360" w:lineRule="auto"/>
        <w:jc w:val="both"/>
        <w:textAlignment w:val="baseline"/>
        <w:rPr>
          <w:rFonts w:ascii="Arial" w:hAnsi="Arial" w:cs="Arial"/>
          <w:color w:val="000000"/>
          <w:lang w:val="es-EC" w:eastAsia="es-CR"/>
        </w:rPr>
      </w:pPr>
    </w:p>
    <w:p w14:paraId="358C3696" w14:textId="387A29F3"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En caso de que los datos no </w:t>
      </w:r>
      <w:r w:rsidRPr="00756801">
        <w:rPr>
          <w:rFonts w:ascii="Arial" w:hAnsi="Arial" w:cs="Arial"/>
          <w:lang w:val="es-EC" w:eastAsia="es-CR"/>
        </w:rPr>
        <w:t>cumplan</w:t>
      </w:r>
      <w:r w:rsidRPr="00756801">
        <w:rPr>
          <w:rFonts w:ascii="Arial" w:hAnsi="Arial" w:cs="Arial"/>
          <w:color w:val="000000"/>
          <w:lang w:val="es-EC" w:eastAsia="es-CR"/>
        </w:rPr>
        <w:t> con el supuesto de normalidad, o cuando la variable de rendimiento académico </w:t>
      </w:r>
      <w:r w:rsidRPr="00756801">
        <w:rPr>
          <w:rFonts w:ascii="Arial" w:hAnsi="Arial" w:cs="Arial"/>
          <w:lang w:val="es-EC" w:eastAsia="es-CR"/>
        </w:rPr>
        <w:t>se</w:t>
      </w:r>
      <w:r w:rsidRPr="00756801">
        <w:rPr>
          <w:rFonts w:ascii="Arial" w:hAnsi="Arial" w:cs="Arial"/>
          <w:color w:val="000000"/>
          <w:lang w:val="es-EC" w:eastAsia="es-CR"/>
        </w:rPr>
        <w:t> </w:t>
      </w:r>
      <w:r w:rsidRPr="00756801">
        <w:rPr>
          <w:rFonts w:ascii="Arial" w:hAnsi="Arial" w:cs="Arial"/>
          <w:lang w:val="es-EC" w:eastAsia="es-CR"/>
        </w:rPr>
        <w:t>considera</w:t>
      </w:r>
      <w:r w:rsidRPr="00756801">
        <w:rPr>
          <w:rFonts w:ascii="Arial" w:hAnsi="Arial" w:cs="Arial"/>
          <w:color w:val="000000"/>
          <w:lang w:val="es-EC" w:eastAsia="es-CR"/>
        </w:rPr>
        <w:t> ordinal (por rangos de calificación: A/A+, B/B+, etc.), se emple</w:t>
      </w:r>
      <w:r w:rsidRPr="00756801">
        <w:rPr>
          <w:rFonts w:ascii="Arial" w:hAnsi="Arial" w:cs="Arial"/>
          <w:lang w:val="es-EC" w:eastAsia="es-CR"/>
        </w:rPr>
        <w:t>a</w:t>
      </w:r>
      <w:r w:rsidRPr="00756801">
        <w:rPr>
          <w:rFonts w:ascii="Arial" w:hAnsi="Arial" w:cs="Arial"/>
          <w:color w:val="000000"/>
          <w:lang w:val="es-EC" w:eastAsia="es-CR"/>
        </w:rPr>
        <w:t> la prueba no paramétrica U de Mann-Whitney. Adicionalmente, se aplic</w:t>
      </w:r>
      <w:r w:rsidRPr="00756801">
        <w:rPr>
          <w:rFonts w:ascii="Arial" w:hAnsi="Arial" w:cs="Arial"/>
          <w:lang w:val="es-EC" w:eastAsia="es-CR"/>
        </w:rPr>
        <w:t>a</w:t>
      </w:r>
      <w:r w:rsidRPr="00756801">
        <w:rPr>
          <w:rFonts w:ascii="Arial" w:hAnsi="Arial" w:cs="Arial"/>
          <w:color w:val="000000"/>
          <w:lang w:val="es-EC" w:eastAsia="es-CR"/>
        </w:rPr>
        <w:t> la prueba chi-cuadrado de Pearson para analizar la posible asociación entre el tipo de tratamiento y la percepción de dificultades académicas. El nivel de significancia estadística se estableció en p&lt;0.05. </w:t>
      </w:r>
      <w:r w:rsidRPr="00756801">
        <w:rPr>
          <w:rFonts w:ascii="Arial" w:hAnsi="Arial" w:cs="Arial"/>
          <w:color w:val="000000"/>
          <w:lang w:eastAsia="es-CR"/>
        </w:rPr>
        <w:t> </w:t>
      </w:r>
    </w:p>
    <w:p w14:paraId="7DD9D885" w14:textId="77777777" w:rsidR="00741455" w:rsidRDefault="00741455" w:rsidP="00756801">
      <w:pPr>
        <w:spacing w:line="360" w:lineRule="auto"/>
        <w:textAlignment w:val="baseline"/>
        <w:rPr>
          <w:rFonts w:ascii="Arial" w:hAnsi="Arial" w:cs="Arial"/>
          <w:b/>
          <w:bCs/>
          <w:lang w:val="es-EC" w:eastAsia="es-CR"/>
        </w:rPr>
      </w:pPr>
    </w:p>
    <w:p w14:paraId="5F16F062" w14:textId="6B2176DC"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Resultados</w:t>
      </w:r>
      <w:r w:rsidRPr="00756801">
        <w:rPr>
          <w:rFonts w:ascii="Arial" w:hAnsi="Arial" w:cs="Arial"/>
          <w:lang w:eastAsia="es-CR"/>
        </w:rPr>
        <w:t> </w:t>
      </w:r>
    </w:p>
    <w:p w14:paraId="0E10BBEB"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muestra está confirmada por 556 estudiantes matriculados entre segundo y noveno nivel de la carrera de Fisioterapia de la Pontificia Universidad Católica del Ecuador. La información se obtiene mediante una encuesta estructurada, cuyos resultados generales se presentan en la Tabla 1. </w:t>
      </w:r>
      <w:r w:rsidRPr="00756801">
        <w:rPr>
          <w:rFonts w:ascii="Arial" w:hAnsi="Arial" w:cs="Arial"/>
          <w:lang w:eastAsia="es-CR"/>
        </w:rPr>
        <w:t> </w:t>
      </w:r>
    </w:p>
    <w:p w14:paraId="23A36873" w14:textId="77777777" w:rsidR="00741455" w:rsidRDefault="00741455" w:rsidP="00756801">
      <w:pPr>
        <w:spacing w:line="360" w:lineRule="auto"/>
        <w:textAlignment w:val="baseline"/>
        <w:rPr>
          <w:rFonts w:ascii="Arial" w:hAnsi="Arial" w:cs="Arial"/>
          <w:b/>
          <w:bCs/>
          <w:lang w:val="es-EC" w:eastAsia="es-CR"/>
        </w:rPr>
      </w:pPr>
    </w:p>
    <w:p w14:paraId="3305D175" w14:textId="2954573C"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Tabla 1</w:t>
      </w:r>
      <w:r w:rsidRPr="00756801">
        <w:rPr>
          <w:rFonts w:ascii="Arial" w:hAnsi="Arial" w:cs="Arial"/>
          <w:lang w:eastAsia="es-CR"/>
        </w:rPr>
        <w:t> </w:t>
      </w:r>
    </w:p>
    <w:p w14:paraId="014139FE"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Características sociodemográficas, académicas, clínicas y dificultades reportadas por el estudiantado</w:t>
      </w:r>
      <w:r w:rsidRPr="00756801">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4200"/>
        <w:gridCol w:w="885"/>
        <w:gridCol w:w="1005"/>
      </w:tblGrid>
      <w:tr w:rsidR="00756801" w:rsidRPr="00756801" w14:paraId="1123D66A" w14:textId="77777777" w:rsidTr="00741455">
        <w:trPr>
          <w:trHeight w:val="270"/>
        </w:trPr>
        <w:tc>
          <w:tcPr>
            <w:tcW w:w="2370" w:type="dxa"/>
            <w:tcBorders>
              <w:top w:val="single" w:sz="4" w:space="0" w:color="auto"/>
              <w:left w:val="nil"/>
              <w:bottom w:val="single" w:sz="4" w:space="0" w:color="auto"/>
              <w:right w:val="nil"/>
            </w:tcBorders>
            <w:vAlign w:val="center"/>
            <w:hideMark/>
          </w:tcPr>
          <w:p w14:paraId="3E5A7980"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lastRenderedPageBreak/>
              <w:t>Variable</w:t>
            </w:r>
            <w:r w:rsidRPr="00756801">
              <w:rPr>
                <w:rFonts w:ascii="Arial" w:hAnsi="Arial" w:cs="Arial"/>
                <w:lang w:eastAsia="es-CR"/>
              </w:rPr>
              <w:t> </w:t>
            </w:r>
          </w:p>
        </w:tc>
        <w:tc>
          <w:tcPr>
            <w:tcW w:w="4200" w:type="dxa"/>
            <w:tcBorders>
              <w:top w:val="single" w:sz="4" w:space="0" w:color="auto"/>
              <w:left w:val="nil"/>
              <w:bottom w:val="single" w:sz="4" w:space="0" w:color="auto"/>
              <w:right w:val="nil"/>
            </w:tcBorders>
            <w:vAlign w:val="center"/>
            <w:hideMark/>
          </w:tcPr>
          <w:p w14:paraId="2FF3EE22"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Categoría</w:t>
            </w:r>
            <w:r w:rsidRPr="00756801">
              <w:rPr>
                <w:rFonts w:ascii="Arial" w:hAnsi="Arial" w:cs="Arial"/>
                <w:lang w:eastAsia="es-CR"/>
              </w:rPr>
              <w:t> </w:t>
            </w:r>
          </w:p>
        </w:tc>
        <w:tc>
          <w:tcPr>
            <w:tcW w:w="885" w:type="dxa"/>
            <w:tcBorders>
              <w:top w:val="single" w:sz="4" w:space="0" w:color="auto"/>
              <w:left w:val="nil"/>
              <w:bottom w:val="single" w:sz="4" w:space="0" w:color="auto"/>
              <w:right w:val="nil"/>
            </w:tcBorders>
            <w:vAlign w:val="center"/>
            <w:hideMark/>
          </w:tcPr>
          <w:p w14:paraId="3C0349FF"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w:t>
            </w:r>
            <w:r w:rsidRPr="00756801">
              <w:rPr>
                <w:rFonts w:ascii="Arial" w:hAnsi="Arial" w:cs="Arial"/>
                <w:lang w:eastAsia="es-CR"/>
              </w:rPr>
              <w:t> </w:t>
            </w:r>
          </w:p>
        </w:tc>
        <w:tc>
          <w:tcPr>
            <w:tcW w:w="1005" w:type="dxa"/>
            <w:tcBorders>
              <w:top w:val="single" w:sz="4" w:space="0" w:color="auto"/>
              <w:left w:val="nil"/>
              <w:bottom w:val="single" w:sz="4" w:space="0" w:color="auto"/>
              <w:right w:val="nil"/>
            </w:tcBorders>
            <w:vAlign w:val="center"/>
            <w:hideMark/>
          </w:tcPr>
          <w:p w14:paraId="653A8597"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w:t>
            </w:r>
            <w:r w:rsidRPr="00756801">
              <w:rPr>
                <w:rFonts w:ascii="Arial" w:hAnsi="Arial" w:cs="Arial"/>
                <w:lang w:eastAsia="es-CR"/>
              </w:rPr>
              <w:t> </w:t>
            </w:r>
          </w:p>
        </w:tc>
      </w:tr>
      <w:tr w:rsidR="00756801" w:rsidRPr="00756801" w14:paraId="1B31A06B" w14:textId="77777777" w:rsidTr="00741455">
        <w:trPr>
          <w:trHeight w:val="270"/>
        </w:trPr>
        <w:tc>
          <w:tcPr>
            <w:tcW w:w="2370" w:type="dxa"/>
            <w:vMerge w:val="restart"/>
            <w:tcBorders>
              <w:top w:val="single" w:sz="4" w:space="0" w:color="auto"/>
              <w:left w:val="nil"/>
              <w:bottom w:val="nil"/>
              <w:right w:val="nil"/>
            </w:tcBorders>
            <w:vAlign w:val="center"/>
            <w:hideMark/>
          </w:tcPr>
          <w:p w14:paraId="26E54AD8"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Edad (años)</w:t>
            </w:r>
            <w:r w:rsidRPr="00756801">
              <w:rPr>
                <w:rFonts w:ascii="Arial" w:hAnsi="Arial" w:cs="Arial"/>
                <w:lang w:eastAsia="es-CR"/>
              </w:rPr>
              <w:t> </w:t>
            </w:r>
          </w:p>
        </w:tc>
        <w:tc>
          <w:tcPr>
            <w:tcW w:w="4200" w:type="dxa"/>
            <w:tcBorders>
              <w:top w:val="single" w:sz="4" w:space="0" w:color="auto"/>
              <w:left w:val="nil"/>
              <w:bottom w:val="nil"/>
              <w:right w:val="nil"/>
            </w:tcBorders>
            <w:vAlign w:val="center"/>
            <w:hideMark/>
          </w:tcPr>
          <w:p w14:paraId="45750BF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18–20</w:t>
            </w:r>
            <w:r w:rsidRPr="00756801">
              <w:rPr>
                <w:rFonts w:ascii="Arial" w:hAnsi="Arial" w:cs="Arial"/>
                <w:lang w:eastAsia="es-CR"/>
              </w:rPr>
              <w:t> </w:t>
            </w:r>
          </w:p>
        </w:tc>
        <w:tc>
          <w:tcPr>
            <w:tcW w:w="885" w:type="dxa"/>
            <w:tcBorders>
              <w:top w:val="single" w:sz="4" w:space="0" w:color="auto"/>
              <w:left w:val="nil"/>
              <w:bottom w:val="nil"/>
              <w:right w:val="nil"/>
            </w:tcBorders>
            <w:vAlign w:val="center"/>
            <w:hideMark/>
          </w:tcPr>
          <w:p w14:paraId="365A131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single" w:sz="4" w:space="0" w:color="auto"/>
              <w:left w:val="nil"/>
              <w:bottom w:val="nil"/>
              <w:right w:val="nil"/>
            </w:tcBorders>
            <w:vAlign w:val="center"/>
            <w:hideMark/>
          </w:tcPr>
          <w:p w14:paraId="389A86C9" w14:textId="0E0393E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w:t>
            </w:r>
            <w:r w:rsidRPr="00756801">
              <w:rPr>
                <w:rFonts w:ascii="Arial" w:hAnsi="Arial" w:cs="Arial"/>
                <w:lang w:eastAsia="es-CR"/>
              </w:rPr>
              <w:t> </w:t>
            </w:r>
          </w:p>
        </w:tc>
      </w:tr>
      <w:tr w:rsidR="00756801" w:rsidRPr="00756801" w14:paraId="740A84B8" w14:textId="77777777" w:rsidTr="00741455">
        <w:trPr>
          <w:trHeight w:val="270"/>
        </w:trPr>
        <w:tc>
          <w:tcPr>
            <w:tcW w:w="0" w:type="auto"/>
            <w:vMerge/>
            <w:tcBorders>
              <w:top w:val="nil"/>
              <w:left w:val="nil"/>
              <w:bottom w:val="nil"/>
              <w:right w:val="nil"/>
            </w:tcBorders>
            <w:vAlign w:val="center"/>
            <w:hideMark/>
          </w:tcPr>
          <w:p w14:paraId="59E3E2B7"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167D690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21–25</w:t>
            </w:r>
            <w:r w:rsidRPr="00756801">
              <w:rPr>
                <w:rFonts w:ascii="Arial" w:hAnsi="Arial" w:cs="Arial"/>
                <w:lang w:eastAsia="es-CR"/>
              </w:rPr>
              <w:t> </w:t>
            </w:r>
          </w:p>
        </w:tc>
        <w:tc>
          <w:tcPr>
            <w:tcW w:w="885" w:type="dxa"/>
            <w:tcBorders>
              <w:top w:val="nil"/>
              <w:left w:val="nil"/>
              <w:bottom w:val="nil"/>
              <w:right w:val="nil"/>
            </w:tcBorders>
            <w:vAlign w:val="center"/>
            <w:hideMark/>
          </w:tcPr>
          <w:p w14:paraId="64326C7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167</w:t>
            </w:r>
            <w:r w:rsidRPr="00756801">
              <w:rPr>
                <w:rFonts w:ascii="Arial" w:hAnsi="Arial" w:cs="Arial"/>
                <w:lang w:eastAsia="es-CR"/>
              </w:rPr>
              <w:t> </w:t>
            </w:r>
          </w:p>
        </w:tc>
        <w:tc>
          <w:tcPr>
            <w:tcW w:w="1005" w:type="dxa"/>
            <w:tcBorders>
              <w:top w:val="nil"/>
              <w:left w:val="nil"/>
              <w:bottom w:val="nil"/>
              <w:right w:val="nil"/>
            </w:tcBorders>
            <w:vAlign w:val="center"/>
            <w:hideMark/>
          </w:tcPr>
          <w:p w14:paraId="7D77B292" w14:textId="3A4D0E0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51.5 </w:t>
            </w:r>
            <w:r w:rsidRPr="00756801">
              <w:rPr>
                <w:rFonts w:ascii="Arial" w:hAnsi="Arial" w:cs="Arial"/>
                <w:lang w:eastAsia="es-CR"/>
              </w:rPr>
              <w:t> </w:t>
            </w:r>
          </w:p>
        </w:tc>
      </w:tr>
      <w:tr w:rsidR="00756801" w:rsidRPr="00756801" w14:paraId="540FF8BF" w14:textId="77777777" w:rsidTr="00741455">
        <w:trPr>
          <w:trHeight w:val="270"/>
        </w:trPr>
        <w:tc>
          <w:tcPr>
            <w:tcW w:w="0" w:type="auto"/>
            <w:vMerge/>
            <w:tcBorders>
              <w:top w:val="nil"/>
              <w:left w:val="nil"/>
              <w:bottom w:val="nil"/>
              <w:right w:val="nil"/>
            </w:tcBorders>
            <w:vAlign w:val="center"/>
            <w:hideMark/>
          </w:tcPr>
          <w:p w14:paraId="52928672"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5A3CAA2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26–30</w:t>
            </w:r>
            <w:r w:rsidRPr="00756801">
              <w:rPr>
                <w:rFonts w:ascii="Arial" w:hAnsi="Arial" w:cs="Arial"/>
                <w:lang w:eastAsia="es-CR"/>
              </w:rPr>
              <w:t> </w:t>
            </w:r>
          </w:p>
        </w:tc>
        <w:tc>
          <w:tcPr>
            <w:tcW w:w="885" w:type="dxa"/>
            <w:tcBorders>
              <w:top w:val="nil"/>
              <w:left w:val="nil"/>
              <w:bottom w:val="nil"/>
              <w:right w:val="nil"/>
            </w:tcBorders>
            <w:vAlign w:val="center"/>
            <w:hideMark/>
          </w:tcPr>
          <w:p w14:paraId="6458020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87</w:t>
            </w:r>
            <w:r w:rsidRPr="00756801">
              <w:rPr>
                <w:rFonts w:ascii="Arial" w:hAnsi="Arial" w:cs="Arial"/>
                <w:lang w:eastAsia="es-CR"/>
              </w:rPr>
              <w:t> </w:t>
            </w:r>
          </w:p>
        </w:tc>
        <w:tc>
          <w:tcPr>
            <w:tcW w:w="1005" w:type="dxa"/>
            <w:tcBorders>
              <w:top w:val="nil"/>
              <w:left w:val="nil"/>
              <w:bottom w:val="nil"/>
              <w:right w:val="nil"/>
            </w:tcBorders>
            <w:vAlign w:val="center"/>
            <w:hideMark/>
          </w:tcPr>
          <w:p w14:paraId="1F53271B" w14:textId="391F3273"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26.9 </w:t>
            </w:r>
            <w:r w:rsidRPr="00756801">
              <w:rPr>
                <w:rFonts w:ascii="Arial" w:hAnsi="Arial" w:cs="Arial"/>
                <w:lang w:eastAsia="es-CR"/>
              </w:rPr>
              <w:t> </w:t>
            </w:r>
          </w:p>
        </w:tc>
      </w:tr>
      <w:tr w:rsidR="00756801" w:rsidRPr="00756801" w14:paraId="3BDEC77A" w14:textId="77777777" w:rsidTr="00741455">
        <w:trPr>
          <w:trHeight w:val="270"/>
        </w:trPr>
        <w:tc>
          <w:tcPr>
            <w:tcW w:w="0" w:type="auto"/>
            <w:vMerge/>
            <w:tcBorders>
              <w:top w:val="nil"/>
              <w:left w:val="nil"/>
              <w:bottom w:val="nil"/>
              <w:right w:val="nil"/>
            </w:tcBorders>
            <w:vAlign w:val="center"/>
            <w:hideMark/>
          </w:tcPr>
          <w:p w14:paraId="03C68B3C"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72D83A1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31–35</w:t>
            </w:r>
            <w:r w:rsidRPr="00756801">
              <w:rPr>
                <w:rFonts w:ascii="Arial" w:hAnsi="Arial" w:cs="Arial"/>
                <w:lang w:eastAsia="es-CR"/>
              </w:rPr>
              <w:t> </w:t>
            </w:r>
          </w:p>
        </w:tc>
        <w:tc>
          <w:tcPr>
            <w:tcW w:w="885" w:type="dxa"/>
            <w:tcBorders>
              <w:top w:val="nil"/>
              <w:left w:val="nil"/>
              <w:bottom w:val="nil"/>
              <w:right w:val="nil"/>
            </w:tcBorders>
            <w:vAlign w:val="center"/>
            <w:hideMark/>
          </w:tcPr>
          <w:p w14:paraId="6C394E2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30</w:t>
            </w:r>
            <w:r w:rsidRPr="00756801">
              <w:rPr>
                <w:rFonts w:ascii="Arial" w:hAnsi="Arial" w:cs="Arial"/>
                <w:lang w:eastAsia="es-CR"/>
              </w:rPr>
              <w:t> </w:t>
            </w:r>
          </w:p>
        </w:tc>
        <w:tc>
          <w:tcPr>
            <w:tcW w:w="1005" w:type="dxa"/>
            <w:tcBorders>
              <w:top w:val="nil"/>
              <w:left w:val="nil"/>
              <w:bottom w:val="nil"/>
              <w:right w:val="nil"/>
            </w:tcBorders>
            <w:vAlign w:val="center"/>
            <w:hideMark/>
          </w:tcPr>
          <w:p w14:paraId="6D785196" w14:textId="1D1F507C"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9.3 </w:t>
            </w:r>
          </w:p>
        </w:tc>
      </w:tr>
      <w:tr w:rsidR="00756801" w:rsidRPr="00756801" w14:paraId="14B7A265" w14:textId="77777777" w:rsidTr="00741455">
        <w:trPr>
          <w:trHeight w:val="270"/>
        </w:trPr>
        <w:tc>
          <w:tcPr>
            <w:tcW w:w="0" w:type="auto"/>
            <w:vMerge/>
            <w:tcBorders>
              <w:top w:val="nil"/>
              <w:left w:val="nil"/>
              <w:bottom w:val="nil"/>
              <w:right w:val="nil"/>
            </w:tcBorders>
            <w:vAlign w:val="center"/>
            <w:hideMark/>
          </w:tcPr>
          <w:p w14:paraId="6C976105"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0671E48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&gt;36</w:t>
            </w:r>
            <w:r w:rsidRPr="00756801">
              <w:rPr>
                <w:rFonts w:ascii="Arial" w:hAnsi="Arial" w:cs="Arial"/>
                <w:lang w:eastAsia="es-CR"/>
              </w:rPr>
              <w:t> </w:t>
            </w:r>
          </w:p>
        </w:tc>
        <w:tc>
          <w:tcPr>
            <w:tcW w:w="885" w:type="dxa"/>
            <w:tcBorders>
              <w:top w:val="nil"/>
              <w:left w:val="nil"/>
              <w:bottom w:val="nil"/>
              <w:right w:val="nil"/>
            </w:tcBorders>
            <w:vAlign w:val="center"/>
            <w:hideMark/>
          </w:tcPr>
          <w:p w14:paraId="5A5884C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nil"/>
              <w:left w:val="nil"/>
              <w:bottom w:val="nil"/>
              <w:right w:val="nil"/>
            </w:tcBorders>
            <w:vAlign w:val="center"/>
            <w:hideMark/>
          </w:tcPr>
          <w:p w14:paraId="10EAA48E" w14:textId="4807450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 </w:t>
            </w:r>
          </w:p>
        </w:tc>
      </w:tr>
      <w:tr w:rsidR="00756801" w:rsidRPr="00756801" w14:paraId="1C4A94AE" w14:textId="77777777" w:rsidTr="00741455">
        <w:trPr>
          <w:trHeight w:val="270"/>
        </w:trPr>
        <w:tc>
          <w:tcPr>
            <w:tcW w:w="2370" w:type="dxa"/>
            <w:vMerge w:val="restart"/>
            <w:tcBorders>
              <w:top w:val="nil"/>
              <w:left w:val="nil"/>
              <w:bottom w:val="nil"/>
              <w:right w:val="nil"/>
            </w:tcBorders>
            <w:vAlign w:val="center"/>
            <w:hideMark/>
          </w:tcPr>
          <w:p w14:paraId="63DDC91E"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Género</w:t>
            </w:r>
            <w:r w:rsidRPr="00756801">
              <w:rPr>
                <w:rFonts w:ascii="Arial" w:hAnsi="Arial" w:cs="Arial"/>
                <w:lang w:eastAsia="es-CR"/>
              </w:rPr>
              <w:t> </w:t>
            </w:r>
          </w:p>
        </w:tc>
        <w:tc>
          <w:tcPr>
            <w:tcW w:w="4200" w:type="dxa"/>
            <w:tcBorders>
              <w:top w:val="nil"/>
              <w:left w:val="nil"/>
              <w:bottom w:val="nil"/>
              <w:right w:val="nil"/>
            </w:tcBorders>
            <w:vAlign w:val="center"/>
            <w:hideMark/>
          </w:tcPr>
          <w:p w14:paraId="4E79683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Femenino</w:t>
            </w:r>
            <w:r w:rsidRPr="00756801">
              <w:rPr>
                <w:rFonts w:ascii="Arial" w:hAnsi="Arial" w:cs="Arial"/>
                <w:lang w:eastAsia="es-CR"/>
              </w:rPr>
              <w:t> </w:t>
            </w:r>
          </w:p>
        </w:tc>
        <w:tc>
          <w:tcPr>
            <w:tcW w:w="885" w:type="dxa"/>
            <w:tcBorders>
              <w:top w:val="nil"/>
              <w:left w:val="nil"/>
              <w:bottom w:val="nil"/>
              <w:right w:val="nil"/>
            </w:tcBorders>
            <w:vAlign w:val="center"/>
            <w:hideMark/>
          </w:tcPr>
          <w:p w14:paraId="22A05B3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185</w:t>
            </w:r>
            <w:r w:rsidRPr="00756801">
              <w:rPr>
                <w:rFonts w:ascii="Arial" w:hAnsi="Arial" w:cs="Arial"/>
                <w:lang w:eastAsia="es-CR"/>
              </w:rPr>
              <w:t> </w:t>
            </w:r>
          </w:p>
        </w:tc>
        <w:tc>
          <w:tcPr>
            <w:tcW w:w="1005" w:type="dxa"/>
            <w:tcBorders>
              <w:top w:val="nil"/>
              <w:left w:val="nil"/>
              <w:bottom w:val="nil"/>
              <w:right w:val="nil"/>
            </w:tcBorders>
            <w:vAlign w:val="center"/>
            <w:hideMark/>
          </w:tcPr>
          <w:p w14:paraId="7CD897F5" w14:textId="59EF0EA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57.1 </w:t>
            </w:r>
            <w:r w:rsidRPr="00756801">
              <w:rPr>
                <w:rFonts w:ascii="Arial" w:hAnsi="Arial" w:cs="Arial"/>
                <w:lang w:eastAsia="es-CR"/>
              </w:rPr>
              <w:t> </w:t>
            </w:r>
          </w:p>
        </w:tc>
      </w:tr>
      <w:tr w:rsidR="00756801" w:rsidRPr="00756801" w14:paraId="58888FA2" w14:textId="77777777" w:rsidTr="00741455">
        <w:trPr>
          <w:trHeight w:val="270"/>
        </w:trPr>
        <w:tc>
          <w:tcPr>
            <w:tcW w:w="0" w:type="auto"/>
            <w:vMerge/>
            <w:tcBorders>
              <w:top w:val="nil"/>
              <w:left w:val="nil"/>
              <w:bottom w:val="nil"/>
              <w:right w:val="nil"/>
            </w:tcBorders>
            <w:vAlign w:val="center"/>
            <w:hideMark/>
          </w:tcPr>
          <w:p w14:paraId="7436A8A8"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6FF11FE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Masculino</w:t>
            </w:r>
            <w:r w:rsidRPr="00756801">
              <w:rPr>
                <w:rFonts w:ascii="Arial" w:hAnsi="Arial" w:cs="Arial"/>
                <w:lang w:eastAsia="es-CR"/>
              </w:rPr>
              <w:t> </w:t>
            </w:r>
          </w:p>
        </w:tc>
        <w:tc>
          <w:tcPr>
            <w:tcW w:w="885" w:type="dxa"/>
            <w:tcBorders>
              <w:top w:val="nil"/>
              <w:left w:val="nil"/>
              <w:bottom w:val="nil"/>
              <w:right w:val="nil"/>
            </w:tcBorders>
            <w:vAlign w:val="center"/>
            <w:hideMark/>
          </w:tcPr>
          <w:p w14:paraId="1060D57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139</w:t>
            </w:r>
            <w:r w:rsidRPr="00756801">
              <w:rPr>
                <w:rFonts w:ascii="Arial" w:hAnsi="Arial" w:cs="Arial"/>
                <w:lang w:eastAsia="es-CR"/>
              </w:rPr>
              <w:t> </w:t>
            </w:r>
          </w:p>
        </w:tc>
        <w:tc>
          <w:tcPr>
            <w:tcW w:w="1005" w:type="dxa"/>
            <w:tcBorders>
              <w:top w:val="nil"/>
              <w:left w:val="nil"/>
              <w:bottom w:val="nil"/>
              <w:right w:val="nil"/>
            </w:tcBorders>
            <w:vAlign w:val="center"/>
            <w:hideMark/>
          </w:tcPr>
          <w:p w14:paraId="6DEA81F5" w14:textId="43120DF6"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42.9 </w:t>
            </w:r>
            <w:r w:rsidRPr="00756801">
              <w:rPr>
                <w:rFonts w:ascii="Arial" w:hAnsi="Arial" w:cs="Arial"/>
                <w:lang w:eastAsia="es-CR"/>
              </w:rPr>
              <w:t> </w:t>
            </w:r>
          </w:p>
        </w:tc>
      </w:tr>
      <w:tr w:rsidR="00756801" w:rsidRPr="00756801" w14:paraId="1E8DD385" w14:textId="77777777" w:rsidTr="00741455">
        <w:trPr>
          <w:trHeight w:val="270"/>
        </w:trPr>
        <w:tc>
          <w:tcPr>
            <w:tcW w:w="2370" w:type="dxa"/>
            <w:vMerge w:val="restart"/>
            <w:tcBorders>
              <w:top w:val="nil"/>
              <w:left w:val="nil"/>
              <w:bottom w:val="nil"/>
              <w:right w:val="nil"/>
            </w:tcBorders>
            <w:vAlign w:val="center"/>
            <w:hideMark/>
          </w:tcPr>
          <w:p w14:paraId="09FB2EF8"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Repetición de semestre</w:t>
            </w:r>
            <w:r w:rsidRPr="00756801">
              <w:rPr>
                <w:rFonts w:ascii="Arial" w:hAnsi="Arial" w:cs="Arial"/>
                <w:lang w:eastAsia="es-CR"/>
              </w:rPr>
              <w:t> </w:t>
            </w:r>
          </w:p>
        </w:tc>
        <w:tc>
          <w:tcPr>
            <w:tcW w:w="4200" w:type="dxa"/>
            <w:tcBorders>
              <w:top w:val="nil"/>
              <w:left w:val="nil"/>
              <w:bottom w:val="nil"/>
              <w:right w:val="nil"/>
            </w:tcBorders>
            <w:vAlign w:val="center"/>
            <w:hideMark/>
          </w:tcPr>
          <w:p w14:paraId="04458FE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Sí (al menos una vez)</w:t>
            </w:r>
            <w:r w:rsidRPr="00756801">
              <w:rPr>
                <w:rFonts w:ascii="Arial" w:hAnsi="Arial" w:cs="Arial"/>
                <w:lang w:eastAsia="es-CR"/>
              </w:rPr>
              <w:t> </w:t>
            </w:r>
          </w:p>
        </w:tc>
        <w:tc>
          <w:tcPr>
            <w:tcW w:w="885" w:type="dxa"/>
            <w:tcBorders>
              <w:top w:val="nil"/>
              <w:left w:val="nil"/>
              <w:bottom w:val="nil"/>
              <w:right w:val="nil"/>
            </w:tcBorders>
            <w:vAlign w:val="center"/>
            <w:hideMark/>
          </w:tcPr>
          <w:p w14:paraId="7BAE400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68</w:t>
            </w:r>
            <w:r w:rsidRPr="00756801">
              <w:rPr>
                <w:rFonts w:ascii="Arial" w:hAnsi="Arial" w:cs="Arial"/>
                <w:lang w:eastAsia="es-CR"/>
              </w:rPr>
              <w:t> </w:t>
            </w:r>
          </w:p>
        </w:tc>
        <w:tc>
          <w:tcPr>
            <w:tcW w:w="1005" w:type="dxa"/>
            <w:tcBorders>
              <w:top w:val="nil"/>
              <w:left w:val="nil"/>
              <w:bottom w:val="nil"/>
              <w:right w:val="nil"/>
            </w:tcBorders>
            <w:vAlign w:val="center"/>
            <w:hideMark/>
          </w:tcPr>
          <w:p w14:paraId="66DBEFDD" w14:textId="0B028ABA"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21.0</w:t>
            </w:r>
            <w:r w:rsidRPr="00756801">
              <w:rPr>
                <w:rFonts w:ascii="Arial" w:hAnsi="Arial" w:cs="Arial"/>
                <w:lang w:eastAsia="es-CR"/>
              </w:rPr>
              <w:t> </w:t>
            </w:r>
          </w:p>
        </w:tc>
      </w:tr>
      <w:tr w:rsidR="00756801" w:rsidRPr="00756801" w14:paraId="2449C727" w14:textId="77777777" w:rsidTr="00741455">
        <w:trPr>
          <w:trHeight w:val="270"/>
        </w:trPr>
        <w:tc>
          <w:tcPr>
            <w:tcW w:w="0" w:type="auto"/>
            <w:vMerge/>
            <w:tcBorders>
              <w:top w:val="nil"/>
              <w:left w:val="nil"/>
              <w:bottom w:val="nil"/>
              <w:right w:val="nil"/>
            </w:tcBorders>
            <w:vAlign w:val="center"/>
            <w:hideMark/>
          </w:tcPr>
          <w:p w14:paraId="41F84DD0"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6DCDFCC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No</w:t>
            </w:r>
            <w:r w:rsidRPr="00756801">
              <w:rPr>
                <w:rFonts w:ascii="Arial" w:hAnsi="Arial" w:cs="Arial"/>
                <w:lang w:eastAsia="es-CR"/>
              </w:rPr>
              <w:t> </w:t>
            </w:r>
          </w:p>
        </w:tc>
        <w:tc>
          <w:tcPr>
            <w:tcW w:w="885" w:type="dxa"/>
            <w:tcBorders>
              <w:top w:val="nil"/>
              <w:left w:val="nil"/>
              <w:bottom w:val="nil"/>
              <w:right w:val="nil"/>
            </w:tcBorders>
            <w:vAlign w:val="center"/>
            <w:hideMark/>
          </w:tcPr>
          <w:p w14:paraId="126649F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256</w:t>
            </w:r>
            <w:r w:rsidRPr="00756801">
              <w:rPr>
                <w:rFonts w:ascii="Arial" w:hAnsi="Arial" w:cs="Arial"/>
                <w:lang w:eastAsia="es-CR"/>
              </w:rPr>
              <w:t> </w:t>
            </w:r>
          </w:p>
        </w:tc>
        <w:tc>
          <w:tcPr>
            <w:tcW w:w="1005" w:type="dxa"/>
            <w:tcBorders>
              <w:top w:val="nil"/>
              <w:left w:val="nil"/>
              <w:bottom w:val="nil"/>
              <w:right w:val="nil"/>
            </w:tcBorders>
            <w:vAlign w:val="center"/>
            <w:hideMark/>
          </w:tcPr>
          <w:p w14:paraId="792F3D26" w14:textId="7B90AB9A"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79.0 </w:t>
            </w:r>
            <w:r w:rsidRPr="00756801">
              <w:rPr>
                <w:rFonts w:ascii="Arial" w:hAnsi="Arial" w:cs="Arial"/>
                <w:lang w:eastAsia="es-CR"/>
              </w:rPr>
              <w:t> </w:t>
            </w:r>
          </w:p>
        </w:tc>
      </w:tr>
      <w:tr w:rsidR="00756801" w:rsidRPr="00756801" w14:paraId="2B539A64" w14:textId="77777777" w:rsidTr="00741455">
        <w:trPr>
          <w:trHeight w:val="270"/>
        </w:trPr>
        <w:tc>
          <w:tcPr>
            <w:tcW w:w="2370" w:type="dxa"/>
            <w:vMerge w:val="restart"/>
            <w:tcBorders>
              <w:top w:val="nil"/>
              <w:left w:val="nil"/>
              <w:bottom w:val="nil"/>
              <w:right w:val="nil"/>
            </w:tcBorders>
            <w:vAlign w:val="center"/>
            <w:hideMark/>
          </w:tcPr>
          <w:p w14:paraId="3D69EFD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Promedio académico del último nivel aprobado</w:t>
            </w:r>
            <w:r w:rsidRPr="00756801">
              <w:rPr>
                <w:rFonts w:ascii="Arial" w:hAnsi="Arial" w:cs="Arial"/>
                <w:lang w:eastAsia="es-CR"/>
              </w:rPr>
              <w:t> </w:t>
            </w:r>
          </w:p>
        </w:tc>
        <w:tc>
          <w:tcPr>
            <w:tcW w:w="4200" w:type="dxa"/>
            <w:tcBorders>
              <w:top w:val="nil"/>
              <w:left w:val="nil"/>
              <w:bottom w:val="nil"/>
              <w:right w:val="nil"/>
            </w:tcBorders>
            <w:vAlign w:val="center"/>
            <w:hideMark/>
          </w:tcPr>
          <w:p w14:paraId="24221E2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 A+ (45–50 puntos)</w:t>
            </w:r>
            <w:r w:rsidRPr="00756801">
              <w:rPr>
                <w:rFonts w:ascii="Arial" w:hAnsi="Arial" w:cs="Arial"/>
                <w:lang w:eastAsia="es-CR"/>
              </w:rPr>
              <w:t> </w:t>
            </w:r>
          </w:p>
        </w:tc>
        <w:tc>
          <w:tcPr>
            <w:tcW w:w="885" w:type="dxa"/>
            <w:tcBorders>
              <w:top w:val="nil"/>
              <w:left w:val="nil"/>
              <w:bottom w:val="nil"/>
              <w:right w:val="nil"/>
            </w:tcBorders>
            <w:vAlign w:val="center"/>
            <w:hideMark/>
          </w:tcPr>
          <w:p w14:paraId="4BEBE0B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nil"/>
              <w:left w:val="nil"/>
              <w:bottom w:val="nil"/>
              <w:right w:val="nil"/>
            </w:tcBorders>
            <w:vAlign w:val="center"/>
            <w:hideMark/>
          </w:tcPr>
          <w:p w14:paraId="331798F4" w14:textId="39687113"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 </w:t>
            </w:r>
          </w:p>
        </w:tc>
      </w:tr>
      <w:tr w:rsidR="00756801" w:rsidRPr="00756801" w14:paraId="04917AFC" w14:textId="77777777" w:rsidTr="00741455">
        <w:trPr>
          <w:trHeight w:val="270"/>
        </w:trPr>
        <w:tc>
          <w:tcPr>
            <w:tcW w:w="0" w:type="auto"/>
            <w:vMerge/>
            <w:tcBorders>
              <w:top w:val="nil"/>
              <w:left w:val="nil"/>
              <w:bottom w:val="nil"/>
              <w:right w:val="nil"/>
            </w:tcBorders>
            <w:vAlign w:val="center"/>
            <w:hideMark/>
          </w:tcPr>
          <w:p w14:paraId="4156A853"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34844242"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B / B+ / B– (40–44 puntos)</w:t>
            </w:r>
            <w:r w:rsidRPr="00756801">
              <w:rPr>
                <w:rFonts w:ascii="Arial" w:hAnsi="Arial" w:cs="Arial"/>
                <w:lang w:eastAsia="es-CR"/>
              </w:rPr>
              <w:t> </w:t>
            </w:r>
          </w:p>
        </w:tc>
        <w:tc>
          <w:tcPr>
            <w:tcW w:w="885" w:type="dxa"/>
            <w:tcBorders>
              <w:top w:val="nil"/>
              <w:left w:val="nil"/>
              <w:bottom w:val="nil"/>
              <w:right w:val="nil"/>
            </w:tcBorders>
            <w:vAlign w:val="center"/>
            <w:hideMark/>
          </w:tcPr>
          <w:p w14:paraId="50EEAA1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152</w:t>
            </w:r>
            <w:r w:rsidRPr="00756801">
              <w:rPr>
                <w:rFonts w:ascii="Arial" w:hAnsi="Arial" w:cs="Arial"/>
                <w:lang w:eastAsia="es-CR"/>
              </w:rPr>
              <w:t> </w:t>
            </w:r>
          </w:p>
        </w:tc>
        <w:tc>
          <w:tcPr>
            <w:tcW w:w="1005" w:type="dxa"/>
            <w:tcBorders>
              <w:top w:val="nil"/>
              <w:left w:val="nil"/>
              <w:bottom w:val="nil"/>
              <w:right w:val="nil"/>
            </w:tcBorders>
            <w:vAlign w:val="center"/>
            <w:hideMark/>
          </w:tcPr>
          <w:p w14:paraId="6F009643" w14:textId="76C6AB5C"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46.9 </w:t>
            </w:r>
            <w:r w:rsidRPr="00756801">
              <w:rPr>
                <w:rFonts w:ascii="Arial" w:hAnsi="Arial" w:cs="Arial"/>
                <w:lang w:eastAsia="es-CR"/>
              </w:rPr>
              <w:t> </w:t>
            </w:r>
          </w:p>
        </w:tc>
      </w:tr>
      <w:tr w:rsidR="00756801" w:rsidRPr="00756801" w14:paraId="6ECEB23B" w14:textId="77777777" w:rsidTr="00741455">
        <w:trPr>
          <w:trHeight w:val="270"/>
        </w:trPr>
        <w:tc>
          <w:tcPr>
            <w:tcW w:w="0" w:type="auto"/>
            <w:vMerge/>
            <w:tcBorders>
              <w:top w:val="nil"/>
              <w:left w:val="nil"/>
              <w:bottom w:val="nil"/>
              <w:right w:val="nil"/>
            </w:tcBorders>
            <w:vAlign w:val="center"/>
            <w:hideMark/>
          </w:tcPr>
          <w:p w14:paraId="5C27C5B9"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7CD9428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C / D+ / C+ (34–39 puntos)</w:t>
            </w:r>
            <w:r w:rsidRPr="00756801">
              <w:rPr>
                <w:rFonts w:ascii="Arial" w:hAnsi="Arial" w:cs="Arial"/>
                <w:lang w:eastAsia="es-CR"/>
              </w:rPr>
              <w:t> </w:t>
            </w:r>
          </w:p>
        </w:tc>
        <w:tc>
          <w:tcPr>
            <w:tcW w:w="885" w:type="dxa"/>
            <w:tcBorders>
              <w:top w:val="nil"/>
              <w:left w:val="nil"/>
              <w:bottom w:val="nil"/>
              <w:right w:val="nil"/>
            </w:tcBorders>
            <w:vAlign w:val="center"/>
            <w:hideMark/>
          </w:tcPr>
          <w:p w14:paraId="35DA9D6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112</w:t>
            </w:r>
            <w:r w:rsidRPr="00756801">
              <w:rPr>
                <w:rFonts w:ascii="Arial" w:hAnsi="Arial" w:cs="Arial"/>
                <w:lang w:eastAsia="es-CR"/>
              </w:rPr>
              <w:t> </w:t>
            </w:r>
          </w:p>
        </w:tc>
        <w:tc>
          <w:tcPr>
            <w:tcW w:w="1005" w:type="dxa"/>
            <w:tcBorders>
              <w:top w:val="nil"/>
              <w:left w:val="nil"/>
              <w:bottom w:val="nil"/>
              <w:right w:val="nil"/>
            </w:tcBorders>
            <w:vAlign w:val="center"/>
            <w:hideMark/>
          </w:tcPr>
          <w:p w14:paraId="1ED50FDF" w14:textId="3EA8D0DF"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34.6 </w:t>
            </w:r>
            <w:r w:rsidRPr="00756801">
              <w:rPr>
                <w:rFonts w:ascii="Arial" w:hAnsi="Arial" w:cs="Arial"/>
                <w:lang w:eastAsia="es-CR"/>
              </w:rPr>
              <w:t> </w:t>
            </w:r>
          </w:p>
        </w:tc>
      </w:tr>
      <w:tr w:rsidR="00756801" w:rsidRPr="00756801" w14:paraId="5F42F80B" w14:textId="77777777" w:rsidTr="00741455">
        <w:trPr>
          <w:trHeight w:val="270"/>
        </w:trPr>
        <w:tc>
          <w:tcPr>
            <w:tcW w:w="0" w:type="auto"/>
            <w:vMerge/>
            <w:tcBorders>
              <w:top w:val="nil"/>
              <w:left w:val="nil"/>
              <w:bottom w:val="nil"/>
              <w:right w:val="nil"/>
            </w:tcBorders>
            <w:vAlign w:val="center"/>
            <w:hideMark/>
          </w:tcPr>
          <w:p w14:paraId="0A986192"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12E3D35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D / D– / F (30–33 puntos)</w:t>
            </w:r>
            <w:r w:rsidRPr="00756801">
              <w:rPr>
                <w:rFonts w:ascii="Arial" w:hAnsi="Arial" w:cs="Arial"/>
                <w:lang w:eastAsia="es-CR"/>
              </w:rPr>
              <w:t> </w:t>
            </w:r>
          </w:p>
        </w:tc>
        <w:tc>
          <w:tcPr>
            <w:tcW w:w="885" w:type="dxa"/>
            <w:tcBorders>
              <w:top w:val="nil"/>
              <w:left w:val="nil"/>
              <w:bottom w:val="nil"/>
              <w:right w:val="nil"/>
            </w:tcBorders>
            <w:vAlign w:val="center"/>
            <w:hideMark/>
          </w:tcPr>
          <w:p w14:paraId="492E838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40</w:t>
            </w:r>
            <w:r w:rsidRPr="00756801">
              <w:rPr>
                <w:rFonts w:ascii="Arial" w:hAnsi="Arial" w:cs="Arial"/>
                <w:lang w:eastAsia="es-CR"/>
              </w:rPr>
              <w:t> </w:t>
            </w:r>
          </w:p>
        </w:tc>
        <w:tc>
          <w:tcPr>
            <w:tcW w:w="1005" w:type="dxa"/>
            <w:tcBorders>
              <w:top w:val="nil"/>
              <w:left w:val="nil"/>
              <w:bottom w:val="nil"/>
              <w:right w:val="nil"/>
            </w:tcBorders>
            <w:vAlign w:val="center"/>
            <w:hideMark/>
          </w:tcPr>
          <w:p w14:paraId="18786EE5" w14:textId="6D61DCF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12.3 </w:t>
            </w:r>
            <w:r w:rsidRPr="00756801">
              <w:rPr>
                <w:rFonts w:ascii="Arial" w:hAnsi="Arial" w:cs="Arial"/>
                <w:lang w:eastAsia="es-CR"/>
              </w:rPr>
              <w:t> </w:t>
            </w:r>
          </w:p>
        </w:tc>
      </w:tr>
      <w:tr w:rsidR="00756801" w:rsidRPr="00756801" w14:paraId="23B27397" w14:textId="77777777" w:rsidTr="00741455">
        <w:trPr>
          <w:trHeight w:val="270"/>
        </w:trPr>
        <w:tc>
          <w:tcPr>
            <w:tcW w:w="2370" w:type="dxa"/>
            <w:vMerge w:val="restart"/>
            <w:tcBorders>
              <w:top w:val="nil"/>
              <w:left w:val="nil"/>
              <w:bottom w:val="nil"/>
              <w:right w:val="nil"/>
            </w:tcBorders>
            <w:vAlign w:val="center"/>
            <w:hideMark/>
          </w:tcPr>
          <w:p w14:paraId="2732A85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Diagnóstico de TDAH confirmado</w:t>
            </w:r>
            <w:r w:rsidRPr="00756801">
              <w:rPr>
                <w:rFonts w:ascii="Arial" w:hAnsi="Arial" w:cs="Arial"/>
                <w:lang w:eastAsia="es-CR"/>
              </w:rPr>
              <w:t> </w:t>
            </w:r>
          </w:p>
        </w:tc>
        <w:tc>
          <w:tcPr>
            <w:tcW w:w="4200" w:type="dxa"/>
            <w:tcBorders>
              <w:top w:val="nil"/>
              <w:left w:val="nil"/>
              <w:bottom w:val="nil"/>
              <w:right w:val="nil"/>
            </w:tcBorders>
            <w:vAlign w:val="center"/>
            <w:hideMark/>
          </w:tcPr>
          <w:p w14:paraId="5D7021F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Sí</w:t>
            </w:r>
            <w:r w:rsidRPr="00756801">
              <w:rPr>
                <w:rFonts w:ascii="Arial" w:hAnsi="Arial" w:cs="Arial"/>
                <w:lang w:eastAsia="es-CR"/>
              </w:rPr>
              <w:t> </w:t>
            </w:r>
          </w:p>
        </w:tc>
        <w:tc>
          <w:tcPr>
            <w:tcW w:w="885" w:type="dxa"/>
            <w:tcBorders>
              <w:top w:val="nil"/>
              <w:left w:val="nil"/>
              <w:bottom w:val="nil"/>
              <w:right w:val="nil"/>
            </w:tcBorders>
            <w:vAlign w:val="center"/>
            <w:hideMark/>
          </w:tcPr>
          <w:p w14:paraId="31D3C1D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36</w:t>
            </w:r>
            <w:r w:rsidRPr="00756801">
              <w:rPr>
                <w:rFonts w:ascii="Arial" w:hAnsi="Arial" w:cs="Arial"/>
                <w:lang w:eastAsia="es-CR"/>
              </w:rPr>
              <w:t> </w:t>
            </w:r>
          </w:p>
        </w:tc>
        <w:tc>
          <w:tcPr>
            <w:tcW w:w="1005" w:type="dxa"/>
            <w:tcBorders>
              <w:top w:val="nil"/>
              <w:left w:val="nil"/>
              <w:bottom w:val="nil"/>
              <w:right w:val="nil"/>
            </w:tcBorders>
            <w:vAlign w:val="center"/>
            <w:hideMark/>
          </w:tcPr>
          <w:p w14:paraId="23C04F64" w14:textId="5E65F2E6"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11.1 </w:t>
            </w:r>
            <w:r w:rsidRPr="00756801">
              <w:rPr>
                <w:rFonts w:ascii="Arial" w:hAnsi="Arial" w:cs="Arial"/>
                <w:lang w:eastAsia="es-CR"/>
              </w:rPr>
              <w:t> </w:t>
            </w:r>
          </w:p>
        </w:tc>
      </w:tr>
      <w:tr w:rsidR="00756801" w:rsidRPr="00756801" w14:paraId="398F40C2" w14:textId="77777777" w:rsidTr="00741455">
        <w:trPr>
          <w:trHeight w:val="270"/>
        </w:trPr>
        <w:tc>
          <w:tcPr>
            <w:tcW w:w="0" w:type="auto"/>
            <w:vMerge/>
            <w:tcBorders>
              <w:top w:val="nil"/>
              <w:left w:val="nil"/>
              <w:bottom w:val="nil"/>
              <w:right w:val="nil"/>
            </w:tcBorders>
            <w:vAlign w:val="center"/>
            <w:hideMark/>
          </w:tcPr>
          <w:p w14:paraId="10092D8B"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4B24DE2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No</w:t>
            </w:r>
            <w:r w:rsidRPr="00756801">
              <w:rPr>
                <w:rFonts w:ascii="Arial" w:hAnsi="Arial" w:cs="Arial"/>
                <w:lang w:eastAsia="es-CR"/>
              </w:rPr>
              <w:t> </w:t>
            </w:r>
          </w:p>
        </w:tc>
        <w:tc>
          <w:tcPr>
            <w:tcW w:w="885" w:type="dxa"/>
            <w:tcBorders>
              <w:top w:val="nil"/>
              <w:left w:val="nil"/>
              <w:bottom w:val="nil"/>
              <w:right w:val="nil"/>
            </w:tcBorders>
            <w:vAlign w:val="center"/>
            <w:hideMark/>
          </w:tcPr>
          <w:p w14:paraId="606A470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288</w:t>
            </w:r>
            <w:r w:rsidRPr="00756801">
              <w:rPr>
                <w:rFonts w:ascii="Arial" w:hAnsi="Arial" w:cs="Arial"/>
                <w:lang w:eastAsia="es-CR"/>
              </w:rPr>
              <w:t> </w:t>
            </w:r>
          </w:p>
        </w:tc>
        <w:tc>
          <w:tcPr>
            <w:tcW w:w="1005" w:type="dxa"/>
            <w:tcBorders>
              <w:top w:val="nil"/>
              <w:left w:val="nil"/>
              <w:bottom w:val="nil"/>
              <w:right w:val="nil"/>
            </w:tcBorders>
            <w:vAlign w:val="center"/>
            <w:hideMark/>
          </w:tcPr>
          <w:p w14:paraId="68344D88" w14:textId="08244A6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88.9 </w:t>
            </w:r>
            <w:r w:rsidRPr="00756801">
              <w:rPr>
                <w:rFonts w:ascii="Arial" w:hAnsi="Arial" w:cs="Arial"/>
                <w:lang w:eastAsia="es-CR"/>
              </w:rPr>
              <w:t> </w:t>
            </w:r>
          </w:p>
        </w:tc>
      </w:tr>
      <w:tr w:rsidR="00756801" w:rsidRPr="00756801" w14:paraId="0DD53CB6" w14:textId="77777777" w:rsidTr="00741455">
        <w:trPr>
          <w:trHeight w:val="270"/>
        </w:trPr>
        <w:tc>
          <w:tcPr>
            <w:tcW w:w="2370" w:type="dxa"/>
            <w:vMerge w:val="restart"/>
            <w:tcBorders>
              <w:top w:val="nil"/>
              <w:left w:val="nil"/>
              <w:bottom w:val="nil"/>
              <w:right w:val="nil"/>
            </w:tcBorders>
            <w:vAlign w:val="center"/>
            <w:hideMark/>
          </w:tcPr>
          <w:p w14:paraId="47B430F6"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Tipo de tratamiento (solo grupo con TDAH, n=36)</w:t>
            </w:r>
            <w:r w:rsidRPr="00756801">
              <w:rPr>
                <w:rFonts w:ascii="Arial" w:hAnsi="Arial" w:cs="Arial"/>
                <w:lang w:eastAsia="es-CR"/>
              </w:rPr>
              <w:t> </w:t>
            </w:r>
          </w:p>
        </w:tc>
        <w:tc>
          <w:tcPr>
            <w:tcW w:w="4200" w:type="dxa"/>
            <w:tcBorders>
              <w:top w:val="nil"/>
              <w:left w:val="nil"/>
              <w:bottom w:val="nil"/>
              <w:right w:val="nil"/>
            </w:tcBorders>
            <w:vAlign w:val="center"/>
            <w:hideMark/>
          </w:tcPr>
          <w:p w14:paraId="66C7291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Sin tratamiento</w:t>
            </w:r>
            <w:r w:rsidRPr="00756801">
              <w:rPr>
                <w:rFonts w:ascii="Arial" w:hAnsi="Arial" w:cs="Arial"/>
                <w:lang w:eastAsia="es-CR"/>
              </w:rPr>
              <w:t> </w:t>
            </w:r>
          </w:p>
        </w:tc>
        <w:tc>
          <w:tcPr>
            <w:tcW w:w="885" w:type="dxa"/>
            <w:tcBorders>
              <w:top w:val="nil"/>
              <w:left w:val="nil"/>
              <w:bottom w:val="nil"/>
              <w:right w:val="nil"/>
            </w:tcBorders>
            <w:vAlign w:val="center"/>
            <w:hideMark/>
          </w:tcPr>
          <w:p w14:paraId="017FCAB2"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30</w:t>
            </w:r>
            <w:r w:rsidRPr="00756801">
              <w:rPr>
                <w:rFonts w:ascii="Arial" w:hAnsi="Arial" w:cs="Arial"/>
                <w:lang w:eastAsia="es-CR"/>
              </w:rPr>
              <w:t> </w:t>
            </w:r>
          </w:p>
        </w:tc>
        <w:tc>
          <w:tcPr>
            <w:tcW w:w="1005" w:type="dxa"/>
            <w:tcBorders>
              <w:top w:val="nil"/>
              <w:left w:val="nil"/>
              <w:bottom w:val="nil"/>
              <w:right w:val="nil"/>
            </w:tcBorders>
            <w:vAlign w:val="center"/>
            <w:hideMark/>
          </w:tcPr>
          <w:p w14:paraId="1E8FCDC2" w14:textId="7346497F"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83.3 </w:t>
            </w:r>
            <w:r w:rsidRPr="00756801">
              <w:rPr>
                <w:rFonts w:ascii="Arial" w:hAnsi="Arial" w:cs="Arial"/>
                <w:lang w:eastAsia="es-CR"/>
              </w:rPr>
              <w:t> </w:t>
            </w:r>
          </w:p>
        </w:tc>
      </w:tr>
      <w:tr w:rsidR="00756801" w:rsidRPr="00756801" w14:paraId="3872EDCA" w14:textId="77777777" w:rsidTr="00741455">
        <w:trPr>
          <w:trHeight w:val="270"/>
        </w:trPr>
        <w:tc>
          <w:tcPr>
            <w:tcW w:w="0" w:type="auto"/>
            <w:vMerge/>
            <w:tcBorders>
              <w:top w:val="nil"/>
              <w:left w:val="nil"/>
              <w:bottom w:val="nil"/>
              <w:right w:val="nil"/>
            </w:tcBorders>
            <w:vAlign w:val="center"/>
            <w:hideMark/>
          </w:tcPr>
          <w:p w14:paraId="4886B7B2"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7341F1E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Tratamiento psicológico/farmacológico/combinado</w:t>
            </w:r>
            <w:r w:rsidRPr="00756801">
              <w:rPr>
                <w:rFonts w:ascii="Arial" w:hAnsi="Arial" w:cs="Arial"/>
                <w:lang w:eastAsia="es-CR"/>
              </w:rPr>
              <w:t> </w:t>
            </w:r>
          </w:p>
        </w:tc>
        <w:tc>
          <w:tcPr>
            <w:tcW w:w="885" w:type="dxa"/>
            <w:tcBorders>
              <w:top w:val="nil"/>
              <w:left w:val="nil"/>
              <w:bottom w:val="nil"/>
              <w:right w:val="nil"/>
            </w:tcBorders>
            <w:vAlign w:val="center"/>
            <w:hideMark/>
          </w:tcPr>
          <w:p w14:paraId="43E92E8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w:t>
            </w:r>
            <w:r w:rsidRPr="00756801">
              <w:rPr>
                <w:rFonts w:ascii="Arial" w:hAnsi="Arial" w:cs="Arial"/>
                <w:lang w:eastAsia="es-CR"/>
              </w:rPr>
              <w:t> </w:t>
            </w:r>
          </w:p>
        </w:tc>
        <w:tc>
          <w:tcPr>
            <w:tcW w:w="1005" w:type="dxa"/>
            <w:tcBorders>
              <w:top w:val="nil"/>
              <w:left w:val="nil"/>
              <w:bottom w:val="nil"/>
              <w:right w:val="nil"/>
            </w:tcBorders>
            <w:vAlign w:val="center"/>
            <w:hideMark/>
          </w:tcPr>
          <w:p w14:paraId="63AB29E4" w14:textId="6A7E7A4E"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16.7 </w:t>
            </w:r>
            <w:r w:rsidRPr="00756801">
              <w:rPr>
                <w:rFonts w:ascii="Arial" w:hAnsi="Arial" w:cs="Arial"/>
                <w:lang w:eastAsia="es-CR"/>
              </w:rPr>
              <w:t> </w:t>
            </w:r>
          </w:p>
        </w:tc>
      </w:tr>
      <w:tr w:rsidR="00756801" w:rsidRPr="00756801" w14:paraId="4E8A3C2B" w14:textId="77777777" w:rsidTr="00741455">
        <w:trPr>
          <w:trHeight w:val="270"/>
        </w:trPr>
        <w:tc>
          <w:tcPr>
            <w:tcW w:w="2370" w:type="dxa"/>
            <w:tcBorders>
              <w:top w:val="nil"/>
              <w:left w:val="nil"/>
              <w:bottom w:val="nil"/>
              <w:right w:val="nil"/>
            </w:tcBorders>
            <w:vAlign w:val="center"/>
            <w:hideMark/>
          </w:tcPr>
          <w:p w14:paraId="0C4AB507" w14:textId="77777777" w:rsidR="000042A9" w:rsidRDefault="000042A9" w:rsidP="00330D23">
            <w:pPr>
              <w:jc w:val="center"/>
              <w:textAlignment w:val="baseline"/>
              <w:rPr>
                <w:rFonts w:ascii="Arial" w:hAnsi="Arial" w:cs="Arial"/>
                <w:b/>
                <w:bCs/>
                <w:lang w:val="es-EC" w:eastAsia="es-CR"/>
              </w:rPr>
            </w:pPr>
          </w:p>
          <w:p w14:paraId="2C192FAE" w14:textId="0601C0B6" w:rsidR="00756801" w:rsidRPr="00756801" w:rsidRDefault="00756801" w:rsidP="00330D23">
            <w:pPr>
              <w:jc w:val="center"/>
              <w:textAlignment w:val="baseline"/>
              <w:rPr>
                <w:lang w:eastAsia="es-CR"/>
              </w:rPr>
            </w:pPr>
            <w:r w:rsidRPr="00756801">
              <w:rPr>
                <w:rFonts w:ascii="Arial" w:hAnsi="Arial" w:cs="Arial"/>
                <w:b/>
                <w:bCs/>
                <w:lang w:val="es-EC" w:eastAsia="es-CR"/>
              </w:rPr>
              <w:t>Dificultades de concentración</w:t>
            </w:r>
            <w:r w:rsidRPr="00756801">
              <w:rPr>
                <w:rFonts w:ascii="Arial" w:hAnsi="Arial" w:cs="Arial"/>
                <w:lang w:eastAsia="es-CR"/>
              </w:rPr>
              <w:t> </w:t>
            </w:r>
          </w:p>
        </w:tc>
        <w:tc>
          <w:tcPr>
            <w:tcW w:w="4200" w:type="dxa"/>
            <w:tcBorders>
              <w:top w:val="nil"/>
              <w:left w:val="nil"/>
              <w:bottom w:val="nil"/>
              <w:right w:val="nil"/>
            </w:tcBorders>
            <w:vAlign w:val="center"/>
            <w:hideMark/>
          </w:tcPr>
          <w:p w14:paraId="5D47031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nil"/>
              <w:right w:val="nil"/>
            </w:tcBorders>
            <w:vAlign w:val="center"/>
            <w:hideMark/>
          </w:tcPr>
          <w:p w14:paraId="084F9F1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284</w:t>
            </w:r>
            <w:r w:rsidRPr="00756801">
              <w:rPr>
                <w:rFonts w:ascii="Arial" w:hAnsi="Arial" w:cs="Arial"/>
                <w:lang w:eastAsia="es-CR"/>
              </w:rPr>
              <w:t> </w:t>
            </w:r>
          </w:p>
        </w:tc>
        <w:tc>
          <w:tcPr>
            <w:tcW w:w="1005" w:type="dxa"/>
            <w:tcBorders>
              <w:top w:val="nil"/>
              <w:left w:val="nil"/>
              <w:bottom w:val="nil"/>
              <w:right w:val="nil"/>
            </w:tcBorders>
            <w:vAlign w:val="center"/>
            <w:hideMark/>
          </w:tcPr>
          <w:p w14:paraId="71972598" w14:textId="1126F534"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87.7 </w:t>
            </w:r>
            <w:r w:rsidRPr="00756801">
              <w:rPr>
                <w:rFonts w:ascii="Arial" w:hAnsi="Arial" w:cs="Arial"/>
                <w:lang w:eastAsia="es-CR"/>
              </w:rPr>
              <w:t> </w:t>
            </w:r>
          </w:p>
        </w:tc>
      </w:tr>
      <w:tr w:rsidR="00756801" w:rsidRPr="00756801" w14:paraId="04C369D5" w14:textId="77777777" w:rsidTr="00741455">
        <w:trPr>
          <w:trHeight w:val="270"/>
        </w:trPr>
        <w:tc>
          <w:tcPr>
            <w:tcW w:w="2370" w:type="dxa"/>
            <w:tcBorders>
              <w:top w:val="nil"/>
              <w:left w:val="nil"/>
              <w:bottom w:val="nil"/>
              <w:right w:val="nil"/>
            </w:tcBorders>
            <w:vAlign w:val="center"/>
            <w:hideMark/>
          </w:tcPr>
          <w:p w14:paraId="512641E3" w14:textId="77777777" w:rsidR="000042A9" w:rsidRDefault="000042A9" w:rsidP="00330D23">
            <w:pPr>
              <w:jc w:val="center"/>
              <w:textAlignment w:val="baseline"/>
              <w:rPr>
                <w:rFonts w:ascii="Arial" w:hAnsi="Arial" w:cs="Arial"/>
                <w:b/>
                <w:bCs/>
                <w:lang w:val="es-EC" w:eastAsia="es-CR"/>
              </w:rPr>
            </w:pPr>
          </w:p>
          <w:p w14:paraId="28331284" w14:textId="290F75C8" w:rsidR="00756801" w:rsidRPr="00756801" w:rsidRDefault="00756801" w:rsidP="00330D23">
            <w:pPr>
              <w:jc w:val="center"/>
              <w:textAlignment w:val="baseline"/>
              <w:rPr>
                <w:lang w:eastAsia="es-CR"/>
              </w:rPr>
            </w:pPr>
            <w:r w:rsidRPr="00756801">
              <w:rPr>
                <w:rFonts w:ascii="Arial" w:hAnsi="Arial" w:cs="Arial"/>
                <w:b/>
                <w:bCs/>
                <w:lang w:val="es-EC" w:eastAsia="es-CR"/>
              </w:rPr>
              <w:t>Dificultades de organización académica</w:t>
            </w:r>
            <w:r w:rsidRPr="00756801">
              <w:rPr>
                <w:rFonts w:ascii="Arial" w:hAnsi="Arial" w:cs="Arial"/>
                <w:lang w:eastAsia="es-CR"/>
              </w:rPr>
              <w:t> </w:t>
            </w:r>
          </w:p>
        </w:tc>
        <w:tc>
          <w:tcPr>
            <w:tcW w:w="4200" w:type="dxa"/>
            <w:tcBorders>
              <w:top w:val="nil"/>
              <w:left w:val="nil"/>
              <w:bottom w:val="nil"/>
              <w:right w:val="nil"/>
            </w:tcBorders>
            <w:vAlign w:val="center"/>
            <w:hideMark/>
          </w:tcPr>
          <w:p w14:paraId="4A5A241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nil"/>
              <w:right w:val="nil"/>
            </w:tcBorders>
            <w:vAlign w:val="center"/>
            <w:hideMark/>
          </w:tcPr>
          <w:p w14:paraId="7F26C9B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274</w:t>
            </w:r>
            <w:r w:rsidRPr="00756801">
              <w:rPr>
                <w:rFonts w:ascii="Arial" w:hAnsi="Arial" w:cs="Arial"/>
                <w:lang w:eastAsia="es-CR"/>
              </w:rPr>
              <w:t> </w:t>
            </w:r>
          </w:p>
        </w:tc>
        <w:tc>
          <w:tcPr>
            <w:tcW w:w="1005" w:type="dxa"/>
            <w:tcBorders>
              <w:top w:val="nil"/>
              <w:left w:val="nil"/>
              <w:bottom w:val="nil"/>
              <w:right w:val="nil"/>
            </w:tcBorders>
            <w:vAlign w:val="center"/>
            <w:hideMark/>
          </w:tcPr>
          <w:p w14:paraId="0E163387" w14:textId="1E9990D4"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84.6 </w:t>
            </w:r>
            <w:r w:rsidRPr="00756801">
              <w:rPr>
                <w:rFonts w:ascii="Arial" w:hAnsi="Arial" w:cs="Arial"/>
                <w:lang w:eastAsia="es-CR"/>
              </w:rPr>
              <w:t> </w:t>
            </w:r>
          </w:p>
        </w:tc>
      </w:tr>
      <w:tr w:rsidR="00756801" w:rsidRPr="00756801" w14:paraId="57B2A7BA" w14:textId="77777777" w:rsidTr="00741455">
        <w:trPr>
          <w:trHeight w:val="270"/>
        </w:trPr>
        <w:tc>
          <w:tcPr>
            <w:tcW w:w="2370" w:type="dxa"/>
            <w:tcBorders>
              <w:top w:val="nil"/>
              <w:left w:val="nil"/>
              <w:bottom w:val="single" w:sz="4" w:space="0" w:color="auto"/>
              <w:right w:val="nil"/>
            </w:tcBorders>
            <w:vAlign w:val="center"/>
            <w:hideMark/>
          </w:tcPr>
          <w:p w14:paraId="64AEAA48" w14:textId="77777777" w:rsidR="000042A9" w:rsidRDefault="000042A9" w:rsidP="00330D23">
            <w:pPr>
              <w:jc w:val="center"/>
              <w:textAlignment w:val="baseline"/>
              <w:rPr>
                <w:rFonts w:ascii="Arial" w:hAnsi="Arial" w:cs="Arial"/>
                <w:b/>
                <w:bCs/>
                <w:lang w:val="es-EC" w:eastAsia="es-CR"/>
              </w:rPr>
            </w:pPr>
          </w:p>
          <w:p w14:paraId="57BFD529" w14:textId="43BA7F33" w:rsidR="00756801" w:rsidRPr="00756801" w:rsidRDefault="00756801" w:rsidP="00330D23">
            <w:pPr>
              <w:jc w:val="center"/>
              <w:textAlignment w:val="baseline"/>
              <w:rPr>
                <w:lang w:eastAsia="es-CR"/>
              </w:rPr>
            </w:pPr>
            <w:r w:rsidRPr="00756801">
              <w:rPr>
                <w:rFonts w:ascii="Arial" w:hAnsi="Arial" w:cs="Arial"/>
                <w:b/>
                <w:bCs/>
                <w:lang w:val="es-EC" w:eastAsia="es-CR"/>
              </w:rPr>
              <w:t>Dificultades para seguir instrucciones</w:t>
            </w:r>
            <w:r w:rsidRPr="00756801">
              <w:rPr>
                <w:rFonts w:ascii="Arial" w:hAnsi="Arial" w:cs="Arial"/>
                <w:lang w:eastAsia="es-CR"/>
              </w:rPr>
              <w:t> </w:t>
            </w:r>
          </w:p>
        </w:tc>
        <w:tc>
          <w:tcPr>
            <w:tcW w:w="4200" w:type="dxa"/>
            <w:tcBorders>
              <w:top w:val="nil"/>
              <w:left w:val="nil"/>
              <w:bottom w:val="single" w:sz="4" w:space="0" w:color="auto"/>
              <w:right w:val="nil"/>
            </w:tcBorders>
            <w:vAlign w:val="center"/>
            <w:hideMark/>
          </w:tcPr>
          <w:p w14:paraId="75617C5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single" w:sz="4" w:space="0" w:color="auto"/>
              <w:right w:val="nil"/>
            </w:tcBorders>
            <w:vAlign w:val="center"/>
            <w:hideMark/>
          </w:tcPr>
          <w:p w14:paraId="37EC8F9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264</w:t>
            </w:r>
            <w:r w:rsidRPr="00756801">
              <w:rPr>
                <w:rFonts w:ascii="Arial" w:hAnsi="Arial" w:cs="Arial"/>
                <w:lang w:eastAsia="es-CR"/>
              </w:rPr>
              <w:t> </w:t>
            </w:r>
          </w:p>
        </w:tc>
        <w:tc>
          <w:tcPr>
            <w:tcW w:w="1005" w:type="dxa"/>
            <w:tcBorders>
              <w:top w:val="nil"/>
              <w:left w:val="nil"/>
              <w:bottom w:val="single" w:sz="4" w:space="0" w:color="auto"/>
              <w:right w:val="nil"/>
            </w:tcBorders>
            <w:vAlign w:val="center"/>
            <w:hideMark/>
          </w:tcPr>
          <w:p w14:paraId="094C85B8" w14:textId="0455CCB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81.5 </w:t>
            </w:r>
            <w:r w:rsidRPr="00756801">
              <w:rPr>
                <w:rFonts w:ascii="Arial" w:hAnsi="Arial" w:cs="Arial"/>
                <w:lang w:eastAsia="es-CR"/>
              </w:rPr>
              <w:t> </w:t>
            </w:r>
          </w:p>
        </w:tc>
      </w:tr>
    </w:tbl>
    <w:p w14:paraId="4CDAB0A9" w14:textId="77777777" w:rsidR="00741455" w:rsidRDefault="00741455" w:rsidP="00756801">
      <w:pPr>
        <w:spacing w:line="360" w:lineRule="auto"/>
        <w:jc w:val="both"/>
        <w:textAlignment w:val="baseline"/>
        <w:rPr>
          <w:rFonts w:ascii="Arial" w:hAnsi="Arial" w:cs="Arial"/>
          <w:lang w:val="es-EC" w:eastAsia="es-CR"/>
        </w:rPr>
      </w:pPr>
    </w:p>
    <w:p w14:paraId="7BD97A23" w14:textId="466FDF6A"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observa que la mayoría del estudiantado se encuentra en el rango de edad entre los 21 y 25 años (n = 167; 51.5 %), con predominio del género femenino (n = 185; 57.1%).  En cuanto al rendimiento, el 46.9% de los participantes (n = 152) reporta un promedio académico en el rango B (40-44 puntos), seguido de un 34.6 % (n = 112) que se ubica en el rango C-D+ (34-39 puntos). Solo el 6,2% (n = 20) alcanzó el rango A o superior (45-50 puntos) (Figura 1).</w:t>
      </w:r>
      <w:r w:rsidRPr="00756801">
        <w:rPr>
          <w:rFonts w:ascii="Arial" w:hAnsi="Arial" w:cs="Arial"/>
          <w:lang w:eastAsia="es-CR"/>
        </w:rPr>
        <w:t> </w:t>
      </w:r>
    </w:p>
    <w:p w14:paraId="3F576C2F" w14:textId="77777777" w:rsidR="00741455" w:rsidRDefault="00741455" w:rsidP="00756801">
      <w:pPr>
        <w:spacing w:line="360" w:lineRule="auto"/>
        <w:textAlignment w:val="baseline"/>
        <w:rPr>
          <w:rFonts w:ascii="Arial" w:hAnsi="Arial" w:cs="Arial"/>
          <w:b/>
          <w:bCs/>
          <w:lang w:val="es-EC" w:eastAsia="es-CR"/>
        </w:rPr>
      </w:pPr>
    </w:p>
    <w:p w14:paraId="3E6550E8" w14:textId="77777777" w:rsidR="00741455" w:rsidRDefault="00741455" w:rsidP="00756801">
      <w:pPr>
        <w:spacing w:line="360" w:lineRule="auto"/>
        <w:textAlignment w:val="baseline"/>
        <w:rPr>
          <w:rFonts w:ascii="Arial" w:hAnsi="Arial" w:cs="Arial"/>
          <w:b/>
          <w:bCs/>
          <w:lang w:val="es-EC" w:eastAsia="es-CR"/>
        </w:rPr>
      </w:pPr>
    </w:p>
    <w:p w14:paraId="054E39DF" w14:textId="77777777" w:rsidR="00741455" w:rsidRDefault="00741455" w:rsidP="00756801">
      <w:pPr>
        <w:spacing w:line="360" w:lineRule="auto"/>
        <w:textAlignment w:val="baseline"/>
        <w:rPr>
          <w:rFonts w:ascii="Arial" w:hAnsi="Arial" w:cs="Arial"/>
          <w:b/>
          <w:bCs/>
          <w:lang w:val="es-EC" w:eastAsia="es-CR"/>
        </w:rPr>
      </w:pPr>
    </w:p>
    <w:p w14:paraId="434785EE" w14:textId="197EBA8A" w:rsidR="00741455" w:rsidRDefault="00741455" w:rsidP="00756801">
      <w:pPr>
        <w:spacing w:line="360" w:lineRule="auto"/>
        <w:textAlignment w:val="baseline"/>
        <w:rPr>
          <w:rFonts w:ascii="Arial" w:hAnsi="Arial" w:cs="Arial"/>
          <w:b/>
          <w:bCs/>
          <w:lang w:val="es-EC" w:eastAsia="es-CR"/>
        </w:rPr>
      </w:pPr>
    </w:p>
    <w:p w14:paraId="2DC6F14A" w14:textId="44235D5A" w:rsidR="003B5F55" w:rsidRDefault="003B5F55" w:rsidP="00756801">
      <w:pPr>
        <w:spacing w:line="360" w:lineRule="auto"/>
        <w:textAlignment w:val="baseline"/>
        <w:rPr>
          <w:rFonts w:ascii="Arial" w:hAnsi="Arial" w:cs="Arial"/>
          <w:b/>
          <w:bCs/>
          <w:lang w:val="es-EC" w:eastAsia="es-CR"/>
        </w:rPr>
      </w:pPr>
    </w:p>
    <w:p w14:paraId="1BC12BC0" w14:textId="5CB8275C" w:rsidR="003B5F55" w:rsidRDefault="003B5F55" w:rsidP="00756801">
      <w:pPr>
        <w:spacing w:line="360" w:lineRule="auto"/>
        <w:textAlignment w:val="baseline"/>
        <w:rPr>
          <w:rFonts w:ascii="Arial" w:hAnsi="Arial" w:cs="Arial"/>
          <w:b/>
          <w:bCs/>
          <w:lang w:val="es-EC" w:eastAsia="es-CR"/>
        </w:rPr>
      </w:pPr>
    </w:p>
    <w:p w14:paraId="1FCAE09F" w14:textId="4517F254" w:rsidR="003B5F55" w:rsidRDefault="003B5F55" w:rsidP="00756801">
      <w:pPr>
        <w:spacing w:line="360" w:lineRule="auto"/>
        <w:textAlignment w:val="baseline"/>
        <w:rPr>
          <w:rFonts w:ascii="Arial" w:hAnsi="Arial" w:cs="Arial"/>
          <w:b/>
          <w:bCs/>
          <w:lang w:val="es-EC" w:eastAsia="es-CR"/>
        </w:rPr>
      </w:pPr>
    </w:p>
    <w:p w14:paraId="42B84DB1" w14:textId="33895C96" w:rsidR="003B5F55" w:rsidRDefault="003B5F55" w:rsidP="00756801">
      <w:pPr>
        <w:spacing w:line="360" w:lineRule="auto"/>
        <w:textAlignment w:val="baseline"/>
        <w:rPr>
          <w:rFonts w:ascii="Arial" w:hAnsi="Arial" w:cs="Arial"/>
          <w:b/>
          <w:bCs/>
          <w:lang w:val="es-EC" w:eastAsia="es-CR"/>
        </w:rPr>
      </w:pPr>
    </w:p>
    <w:p w14:paraId="37B1C5CD" w14:textId="77777777" w:rsidR="003B5F55" w:rsidRDefault="003B5F55" w:rsidP="00756801">
      <w:pPr>
        <w:spacing w:line="360" w:lineRule="auto"/>
        <w:textAlignment w:val="baseline"/>
        <w:rPr>
          <w:rFonts w:ascii="Arial" w:hAnsi="Arial" w:cs="Arial"/>
          <w:b/>
          <w:bCs/>
          <w:lang w:val="es-EC" w:eastAsia="es-CR"/>
        </w:rPr>
      </w:pPr>
    </w:p>
    <w:p w14:paraId="612F7C4F" w14:textId="250EC926"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Figura 1</w:t>
      </w:r>
      <w:r w:rsidRPr="00756801">
        <w:rPr>
          <w:rFonts w:ascii="Arial" w:hAnsi="Arial" w:cs="Arial"/>
          <w:lang w:eastAsia="es-CR"/>
        </w:rPr>
        <w:t> </w:t>
      </w:r>
    </w:p>
    <w:p w14:paraId="75C0DC9B"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Promedio académico de los participantes</w:t>
      </w:r>
      <w:r w:rsidRPr="00756801">
        <w:rPr>
          <w:rFonts w:ascii="Arial" w:hAnsi="Arial" w:cs="Arial"/>
          <w:lang w:eastAsia="es-CR"/>
        </w:rPr>
        <w:t> </w:t>
      </w:r>
    </w:p>
    <w:p w14:paraId="02DC1475"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lang w:val="es-EC" w:eastAsia="es-CR"/>
        </w:rPr>
        <w:t> </w:t>
      </w:r>
      <w:r w:rsidRPr="00756801">
        <w:rPr>
          <w:rFonts w:ascii="Arial" w:hAnsi="Arial" w:cs="Arial"/>
          <w:b/>
          <w:bCs/>
          <w:noProof/>
        </w:rPr>
        <w:drawing>
          <wp:inline distT="0" distB="0" distL="0" distR="0" wp14:anchorId="54CD0D17" wp14:editId="597C1261">
            <wp:extent cx="4591050" cy="2771775"/>
            <wp:effectExtent l="0" t="0" r="0" b="9525"/>
            <wp:docPr id="3" name="Imagen 3" descr="C:\Users\micastro\AppData\Local\Microsoft\Windows\INetCache\Content.MSO\328662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328662D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771775"/>
                    </a:xfrm>
                    <a:prstGeom prst="rect">
                      <a:avLst/>
                    </a:prstGeom>
                    <a:noFill/>
                    <a:ln>
                      <a:noFill/>
                    </a:ln>
                  </pic:spPr>
                </pic:pic>
              </a:graphicData>
            </a:graphic>
          </wp:inline>
        </w:drawing>
      </w:r>
      <w:r w:rsidRPr="00756801">
        <w:rPr>
          <w:rFonts w:ascii="Arial" w:hAnsi="Arial" w:cs="Arial"/>
          <w:lang w:eastAsia="es-CR"/>
        </w:rPr>
        <w:t> </w:t>
      </w:r>
    </w:p>
    <w:p w14:paraId="50098094" w14:textId="2FE9E626"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términos cualitativos, una proporción importante del estudiantado indica experimentar dificultades para concentrarse (n = 284; 87.7%), organizarse (n = 274; 84.6%) o seguir instrucciones en actividades prácticas (n = 264; 81.5%) al menos ocasionalmente.</w:t>
      </w:r>
      <w:r w:rsidRPr="00756801">
        <w:rPr>
          <w:rFonts w:ascii="Arial" w:hAnsi="Arial" w:cs="Arial"/>
          <w:lang w:eastAsia="es-CR"/>
        </w:rPr>
        <w:t> </w:t>
      </w:r>
    </w:p>
    <w:p w14:paraId="3B2F1D2A"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179690D3"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Respecto al diagnóstico clínico, el 11.1 % de la muestra (n = 36) reporta tener un diagnóstico confirmado de TDAH. Sin embargo, únicamente el 16.7% de las personas participantes (n = 6) recibe algún tipo de tratamiento farmacológico, psicológico o combinado, mientras que el 83.3% (n = 30) no cuenta con apoyo </w:t>
      </w:r>
      <w:r w:rsidRPr="00756801">
        <w:rPr>
          <w:rFonts w:ascii="Arial" w:hAnsi="Arial" w:cs="Arial"/>
          <w:lang w:val="es-EC" w:eastAsia="es-CR"/>
        </w:rPr>
        <w:lastRenderedPageBreak/>
        <w:t>profesional. En cuanto al historial académico, el 21.0% del total de la muestra (n = 68) indica haber repetido al menos un semestre por bajo rendimiento.</w:t>
      </w:r>
      <w:r w:rsidRPr="00756801">
        <w:rPr>
          <w:rFonts w:ascii="Arial" w:hAnsi="Arial" w:cs="Arial"/>
          <w:lang w:eastAsia="es-CR"/>
        </w:rPr>
        <w:t> </w:t>
      </w:r>
    </w:p>
    <w:p w14:paraId="063EBE15" w14:textId="39FE251C"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La prueba de chi-cuadrado de Pearson</w:t>
      </w:r>
      <w:r w:rsidRPr="00756801">
        <w:rPr>
          <w:rFonts w:ascii="Arial" w:hAnsi="Arial" w:cs="Arial"/>
          <w:color w:val="FF0000"/>
          <w:lang w:val="es-EC" w:eastAsia="es-CR"/>
        </w:rPr>
        <w:t> </w:t>
      </w:r>
      <w:r w:rsidRPr="00756801">
        <w:rPr>
          <w:rFonts w:ascii="Arial" w:hAnsi="Arial" w:cs="Arial"/>
          <w:lang w:val="es-EC" w:eastAsia="es-CR"/>
        </w:rPr>
        <w:t>revela diferencias significativas entre participantes con y sin diagnóstico de TDAH. La Tabla 2 indica que el 36.1% del estudiantado con TDAH (n = 13) repite al menos un semestre, en comparación con el 19.1% (n = 55) de quienes no presentan este diagnóstico. Esta diferencia es estadísticamente significativa (χ² = 5.586; p = 0.018), lo que sugiere una asociación entre el diagnóstico de TDAH y el rezago académico.</w:t>
      </w:r>
      <w:r w:rsidRPr="00756801">
        <w:rPr>
          <w:rFonts w:ascii="Arial" w:hAnsi="Arial" w:cs="Arial"/>
          <w:lang w:eastAsia="es-CR"/>
        </w:rPr>
        <w:t> </w:t>
      </w:r>
    </w:p>
    <w:p w14:paraId="65E282A1"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2B26056B" w14:textId="77777777" w:rsidR="003B5F55" w:rsidRDefault="003B5F55" w:rsidP="00756801">
      <w:pPr>
        <w:spacing w:line="360" w:lineRule="auto"/>
        <w:textAlignment w:val="baseline"/>
        <w:rPr>
          <w:rFonts w:ascii="Arial" w:hAnsi="Arial" w:cs="Arial"/>
          <w:b/>
          <w:bCs/>
          <w:color w:val="000000"/>
          <w:lang w:val="es-EC" w:eastAsia="es-CR"/>
        </w:rPr>
      </w:pPr>
    </w:p>
    <w:p w14:paraId="6BBA3EEB" w14:textId="77777777" w:rsidR="003B5F55" w:rsidRDefault="003B5F55" w:rsidP="00756801">
      <w:pPr>
        <w:spacing w:line="360" w:lineRule="auto"/>
        <w:textAlignment w:val="baseline"/>
        <w:rPr>
          <w:rFonts w:ascii="Arial" w:hAnsi="Arial" w:cs="Arial"/>
          <w:b/>
          <w:bCs/>
          <w:color w:val="000000"/>
          <w:lang w:val="es-EC" w:eastAsia="es-CR"/>
        </w:rPr>
      </w:pPr>
    </w:p>
    <w:p w14:paraId="75A17DE5" w14:textId="77777777" w:rsidR="003B5F55" w:rsidRDefault="003B5F55" w:rsidP="00756801">
      <w:pPr>
        <w:spacing w:line="360" w:lineRule="auto"/>
        <w:textAlignment w:val="baseline"/>
        <w:rPr>
          <w:rFonts w:ascii="Arial" w:hAnsi="Arial" w:cs="Arial"/>
          <w:b/>
          <w:bCs/>
          <w:color w:val="000000"/>
          <w:lang w:val="es-EC" w:eastAsia="es-CR"/>
        </w:rPr>
      </w:pPr>
    </w:p>
    <w:p w14:paraId="583E73AF" w14:textId="77777777" w:rsidR="003B5F55" w:rsidRDefault="003B5F55" w:rsidP="00756801">
      <w:pPr>
        <w:spacing w:line="360" w:lineRule="auto"/>
        <w:textAlignment w:val="baseline"/>
        <w:rPr>
          <w:rFonts w:ascii="Arial" w:hAnsi="Arial" w:cs="Arial"/>
          <w:b/>
          <w:bCs/>
          <w:color w:val="000000"/>
          <w:lang w:val="es-EC" w:eastAsia="es-CR"/>
        </w:rPr>
      </w:pPr>
    </w:p>
    <w:p w14:paraId="765D82AF" w14:textId="77777777" w:rsidR="003B5F55" w:rsidRDefault="003B5F55" w:rsidP="00756801">
      <w:pPr>
        <w:spacing w:line="360" w:lineRule="auto"/>
        <w:textAlignment w:val="baseline"/>
        <w:rPr>
          <w:rFonts w:ascii="Arial" w:hAnsi="Arial" w:cs="Arial"/>
          <w:b/>
          <w:bCs/>
          <w:color w:val="000000"/>
          <w:lang w:val="es-EC" w:eastAsia="es-CR"/>
        </w:rPr>
      </w:pPr>
    </w:p>
    <w:p w14:paraId="41C9A517" w14:textId="77777777" w:rsidR="003B5F55" w:rsidRDefault="003B5F55" w:rsidP="00756801">
      <w:pPr>
        <w:spacing w:line="360" w:lineRule="auto"/>
        <w:textAlignment w:val="baseline"/>
        <w:rPr>
          <w:rFonts w:ascii="Arial" w:hAnsi="Arial" w:cs="Arial"/>
          <w:b/>
          <w:bCs/>
          <w:color w:val="000000"/>
          <w:lang w:val="es-EC" w:eastAsia="es-CR"/>
        </w:rPr>
      </w:pPr>
    </w:p>
    <w:p w14:paraId="7DBEA992" w14:textId="77777777" w:rsidR="003B5F55" w:rsidRDefault="003B5F55" w:rsidP="00756801">
      <w:pPr>
        <w:spacing w:line="360" w:lineRule="auto"/>
        <w:textAlignment w:val="baseline"/>
        <w:rPr>
          <w:rFonts w:ascii="Arial" w:hAnsi="Arial" w:cs="Arial"/>
          <w:b/>
          <w:bCs/>
          <w:color w:val="000000"/>
          <w:lang w:val="es-EC" w:eastAsia="es-CR"/>
        </w:rPr>
      </w:pPr>
    </w:p>
    <w:p w14:paraId="3A6B7594" w14:textId="77777777" w:rsidR="003B5F55" w:rsidRDefault="003B5F55" w:rsidP="00756801">
      <w:pPr>
        <w:spacing w:line="360" w:lineRule="auto"/>
        <w:textAlignment w:val="baseline"/>
        <w:rPr>
          <w:rFonts w:ascii="Arial" w:hAnsi="Arial" w:cs="Arial"/>
          <w:b/>
          <w:bCs/>
          <w:color w:val="000000"/>
          <w:lang w:val="es-EC" w:eastAsia="es-CR"/>
        </w:rPr>
      </w:pPr>
    </w:p>
    <w:p w14:paraId="288D9525" w14:textId="77777777" w:rsidR="003B5F55" w:rsidRDefault="003B5F55" w:rsidP="00756801">
      <w:pPr>
        <w:spacing w:line="360" w:lineRule="auto"/>
        <w:textAlignment w:val="baseline"/>
        <w:rPr>
          <w:rFonts w:ascii="Arial" w:hAnsi="Arial" w:cs="Arial"/>
          <w:b/>
          <w:bCs/>
          <w:color w:val="000000"/>
          <w:lang w:val="es-EC" w:eastAsia="es-CR"/>
        </w:rPr>
      </w:pPr>
    </w:p>
    <w:p w14:paraId="34AD2CCE" w14:textId="77777777" w:rsidR="003B5F55" w:rsidRDefault="003B5F55" w:rsidP="00756801">
      <w:pPr>
        <w:spacing w:line="360" w:lineRule="auto"/>
        <w:textAlignment w:val="baseline"/>
        <w:rPr>
          <w:rFonts w:ascii="Arial" w:hAnsi="Arial" w:cs="Arial"/>
          <w:b/>
          <w:bCs/>
          <w:color w:val="000000"/>
          <w:lang w:val="es-EC" w:eastAsia="es-CR"/>
        </w:rPr>
      </w:pPr>
    </w:p>
    <w:p w14:paraId="7DAFE657" w14:textId="77777777" w:rsidR="003B5F55" w:rsidRDefault="003B5F55" w:rsidP="00756801">
      <w:pPr>
        <w:spacing w:line="360" w:lineRule="auto"/>
        <w:textAlignment w:val="baseline"/>
        <w:rPr>
          <w:rFonts w:ascii="Arial" w:hAnsi="Arial" w:cs="Arial"/>
          <w:b/>
          <w:bCs/>
          <w:color w:val="000000"/>
          <w:lang w:val="es-EC" w:eastAsia="es-CR"/>
        </w:rPr>
      </w:pPr>
    </w:p>
    <w:p w14:paraId="756B02C1" w14:textId="77777777" w:rsidR="003B5F55" w:rsidRDefault="003B5F55" w:rsidP="00756801">
      <w:pPr>
        <w:spacing w:line="360" w:lineRule="auto"/>
        <w:textAlignment w:val="baseline"/>
        <w:rPr>
          <w:rFonts w:ascii="Arial" w:hAnsi="Arial" w:cs="Arial"/>
          <w:b/>
          <w:bCs/>
          <w:color w:val="000000"/>
          <w:lang w:val="es-EC" w:eastAsia="es-CR"/>
        </w:rPr>
      </w:pPr>
    </w:p>
    <w:p w14:paraId="62A09A2C" w14:textId="77777777" w:rsidR="003B5F55" w:rsidRDefault="003B5F55" w:rsidP="00756801">
      <w:pPr>
        <w:spacing w:line="360" w:lineRule="auto"/>
        <w:textAlignment w:val="baseline"/>
        <w:rPr>
          <w:rFonts w:ascii="Arial" w:hAnsi="Arial" w:cs="Arial"/>
          <w:b/>
          <w:bCs/>
          <w:color w:val="000000"/>
          <w:lang w:val="es-EC" w:eastAsia="es-CR"/>
        </w:rPr>
      </w:pPr>
    </w:p>
    <w:p w14:paraId="300ECD6C" w14:textId="2555AB7D"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lastRenderedPageBreak/>
        <w:t>Tabla 2</w:t>
      </w:r>
      <w:r w:rsidRPr="00756801">
        <w:rPr>
          <w:rFonts w:ascii="Arial" w:hAnsi="Arial" w:cs="Arial"/>
          <w:color w:val="000000"/>
          <w:lang w:eastAsia="es-CR"/>
        </w:rPr>
        <w:t> </w:t>
      </w:r>
    </w:p>
    <w:p w14:paraId="42EB7F00" w14:textId="595AA6E6"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color w:val="000000"/>
          <w:lang w:val="es-EC" w:eastAsia="es-CR"/>
        </w:rPr>
        <w:t xml:space="preserve">Relación entre diagnóstico de TDAH </w:t>
      </w:r>
      <w:r w:rsidR="00CC184C" w:rsidRPr="00CC184C">
        <w:rPr>
          <w:rFonts w:ascii="Arial" w:hAnsi="Arial" w:cs="Arial"/>
          <w:i/>
          <w:iCs/>
          <w:lang w:val="es-EC" w:eastAsia="es-CR"/>
        </w:rPr>
        <w:t>confirmado por un profesional de salud</w:t>
      </w:r>
      <w:r w:rsidR="00CC184C" w:rsidRPr="00756801">
        <w:rPr>
          <w:rFonts w:ascii="Arial" w:hAnsi="Arial" w:cs="Arial"/>
          <w:lang w:eastAsia="es-CR"/>
        </w:rPr>
        <w:t> </w:t>
      </w:r>
      <w:r w:rsidR="00CC184C" w:rsidRPr="00756801">
        <w:rPr>
          <w:rFonts w:ascii="Arial" w:hAnsi="Arial" w:cs="Arial"/>
          <w:i/>
          <w:iCs/>
          <w:color w:val="000000"/>
          <w:lang w:val="es-EC" w:eastAsia="es-CR"/>
        </w:rPr>
        <w:t xml:space="preserve"> </w:t>
      </w:r>
      <w:r w:rsidRPr="00756801">
        <w:rPr>
          <w:rFonts w:ascii="Arial" w:hAnsi="Arial" w:cs="Arial"/>
          <w:i/>
          <w:iCs/>
          <w:color w:val="000000"/>
          <w:lang w:val="es-EC" w:eastAsia="es-CR"/>
        </w:rPr>
        <w:t>y repetición de semestre por bajo rendimiento académico</w:t>
      </w:r>
      <w:r w:rsidRPr="00756801">
        <w:rPr>
          <w:rFonts w:ascii="Arial" w:hAnsi="Arial" w:cs="Arial"/>
          <w:color w:val="000000"/>
          <w:lang w:eastAsia="es-CR"/>
        </w:rPr>
        <w:t> </w:t>
      </w:r>
    </w:p>
    <w:tbl>
      <w:tblPr>
        <w:tblW w:w="0" w:type="dxa"/>
        <w:tblCellMar>
          <w:left w:w="0" w:type="dxa"/>
          <w:right w:w="0" w:type="dxa"/>
        </w:tblCellMar>
        <w:tblLook w:val="04A0" w:firstRow="1" w:lastRow="0" w:firstColumn="1" w:lastColumn="0" w:noHBand="0" w:noVBand="1"/>
      </w:tblPr>
      <w:tblGrid>
        <w:gridCol w:w="2197"/>
        <w:gridCol w:w="981"/>
        <w:gridCol w:w="405"/>
        <w:gridCol w:w="76"/>
        <w:gridCol w:w="1734"/>
        <w:gridCol w:w="24"/>
        <w:gridCol w:w="1776"/>
        <w:gridCol w:w="1596"/>
      </w:tblGrid>
      <w:tr w:rsidR="00756801" w:rsidRPr="00756801" w14:paraId="080CA716" w14:textId="77777777" w:rsidTr="00741455">
        <w:trPr>
          <w:trHeight w:val="285"/>
        </w:trPr>
        <w:tc>
          <w:tcPr>
            <w:tcW w:w="4305" w:type="dxa"/>
            <w:gridSpan w:val="3"/>
            <w:vMerge w:val="restart"/>
            <w:tcBorders>
              <w:top w:val="single" w:sz="4" w:space="0" w:color="auto"/>
              <w:bottom w:val="single" w:sz="4" w:space="0" w:color="auto"/>
            </w:tcBorders>
            <w:vAlign w:val="center"/>
            <w:hideMark/>
          </w:tcPr>
          <w:p w14:paraId="5F7409E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3990" w:type="dxa"/>
            <w:gridSpan w:val="4"/>
            <w:tcBorders>
              <w:top w:val="single" w:sz="4" w:space="0" w:color="auto"/>
              <w:bottom w:val="single" w:sz="4" w:space="0" w:color="auto"/>
            </w:tcBorders>
            <w:vAlign w:val="center"/>
            <w:hideMark/>
          </w:tcPr>
          <w:p w14:paraId="01ABBF47" w14:textId="77777777" w:rsidR="00756801" w:rsidRPr="00756801" w:rsidRDefault="00756801" w:rsidP="003F29F4">
            <w:pPr>
              <w:jc w:val="center"/>
              <w:textAlignment w:val="baseline"/>
              <w:rPr>
                <w:lang w:eastAsia="es-CR"/>
              </w:rPr>
            </w:pPr>
            <w:r w:rsidRPr="00756801">
              <w:rPr>
                <w:rFonts w:ascii="Arial" w:hAnsi="Arial" w:cs="Arial"/>
                <w:b/>
                <w:bCs/>
                <w:lang w:val="es-EC" w:eastAsia="es-CR"/>
              </w:rPr>
              <w:t>Repite algún semestre por bajo rendimiento académico</w:t>
            </w:r>
            <w:r w:rsidRPr="00756801">
              <w:rPr>
                <w:rFonts w:ascii="Arial" w:hAnsi="Arial" w:cs="Arial"/>
                <w:lang w:eastAsia="es-CR"/>
              </w:rPr>
              <w:t> </w:t>
            </w:r>
          </w:p>
        </w:tc>
        <w:tc>
          <w:tcPr>
            <w:tcW w:w="1650" w:type="dxa"/>
            <w:vMerge w:val="restart"/>
            <w:tcBorders>
              <w:top w:val="single" w:sz="4" w:space="0" w:color="auto"/>
              <w:bottom w:val="single" w:sz="4" w:space="0" w:color="auto"/>
            </w:tcBorders>
            <w:vAlign w:val="center"/>
            <w:hideMark/>
          </w:tcPr>
          <w:p w14:paraId="34D5C5A9" w14:textId="77777777" w:rsidR="00756801" w:rsidRPr="00756801" w:rsidRDefault="00756801" w:rsidP="003F29F4">
            <w:pPr>
              <w:jc w:val="center"/>
              <w:textAlignment w:val="baseline"/>
              <w:rPr>
                <w:lang w:eastAsia="es-CR"/>
              </w:rPr>
            </w:pPr>
            <w:r w:rsidRPr="00756801">
              <w:rPr>
                <w:rFonts w:ascii="Arial" w:hAnsi="Arial" w:cs="Arial"/>
                <w:b/>
                <w:bCs/>
                <w:lang w:val="es-EC" w:eastAsia="es-CR"/>
              </w:rPr>
              <w:t>Total</w:t>
            </w:r>
            <w:r w:rsidRPr="00756801">
              <w:rPr>
                <w:rFonts w:ascii="Arial" w:hAnsi="Arial" w:cs="Arial"/>
                <w:lang w:eastAsia="es-CR"/>
              </w:rPr>
              <w:t> </w:t>
            </w:r>
          </w:p>
        </w:tc>
      </w:tr>
      <w:tr w:rsidR="00756801" w:rsidRPr="00756801" w14:paraId="4517A6BE" w14:textId="77777777" w:rsidTr="00741455">
        <w:trPr>
          <w:trHeight w:val="285"/>
        </w:trPr>
        <w:tc>
          <w:tcPr>
            <w:tcW w:w="0" w:type="auto"/>
            <w:gridSpan w:val="3"/>
            <w:vMerge/>
            <w:tcBorders>
              <w:top w:val="single" w:sz="4" w:space="0" w:color="auto"/>
            </w:tcBorders>
            <w:vAlign w:val="center"/>
            <w:hideMark/>
          </w:tcPr>
          <w:p w14:paraId="6872B46E" w14:textId="77777777" w:rsidR="00756801" w:rsidRPr="00756801" w:rsidRDefault="00756801" w:rsidP="00756801">
            <w:pPr>
              <w:spacing w:line="360" w:lineRule="auto"/>
              <w:rPr>
                <w:lang w:eastAsia="es-CR"/>
              </w:rPr>
            </w:pPr>
          </w:p>
        </w:tc>
        <w:tc>
          <w:tcPr>
            <w:tcW w:w="1995" w:type="dxa"/>
            <w:gridSpan w:val="2"/>
            <w:tcBorders>
              <w:top w:val="single" w:sz="4" w:space="0" w:color="auto"/>
            </w:tcBorders>
            <w:vAlign w:val="center"/>
            <w:hideMark/>
          </w:tcPr>
          <w:p w14:paraId="1380DE11"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Sí</w:t>
            </w:r>
            <w:r w:rsidRPr="00756801">
              <w:rPr>
                <w:rFonts w:ascii="Arial" w:hAnsi="Arial" w:cs="Arial"/>
                <w:lang w:eastAsia="es-CR"/>
              </w:rPr>
              <w:t> </w:t>
            </w:r>
          </w:p>
        </w:tc>
        <w:tc>
          <w:tcPr>
            <w:tcW w:w="1995" w:type="dxa"/>
            <w:gridSpan w:val="2"/>
            <w:tcBorders>
              <w:top w:val="single" w:sz="4" w:space="0" w:color="auto"/>
            </w:tcBorders>
            <w:vAlign w:val="center"/>
            <w:hideMark/>
          </w:tcPr>
          <w:p w14:paraId="51D4008D"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No</w:t>
            </w:r>
            <w:r w:rsidRPr="00756801">
              <w:rPr>
                <w:rFonts w:ascii="Arial" w:hAnsi="Arial" w:cs="Arial"/>
                <w:lang w:eastAsia="es-CR"/>
              </w:rPr>
              <w:t> </w:t>
            </w:r>
          </w:p>
        </w:tc>
        <w:tc>
          <w:tcPr>
            <w:tcW w:w="0" w:type="auto"/>
            <w:vMerge/>
            <w:tcBorders>
              <w:top w:val="single" w:sz="4" w:space="0" w:color="auto"/>
            </w:tcBorders>
            <w:vAlign w:val="center"/>
            <w:hideMark/>
          </w:tcPr>
          <w:p w14:paraId="4D25FAE9" w14:textId="77777777" w:rsidR="00756801" w:rsidRPr="00756801" w:rsidRDefault="00756801" w:rsidP="00756801">
            <w:pPr>
              <w:spacing w:line="360" w:lineRule="auto"/>
              <w:rPr>
                <w:lang w:eastAsia="es-CR"/>
              </w:rPr>
            </w:pPr>
          </w:p>
        </w:tc>
      </w:tr>
      <w:tr w:rsidR="00756801" w:rsidRPr="00756801" w14:paraId="68685BDF" w14:textId="77777777" w:rsidTr="00741455">
        <w:trPr>
          <w:trHeight w:val="285"/>
        </w:trPr>
        <w:tc>
          <w:tcPr>
            <w:tcW w:w="2625" w:type="dxa"/>
            <w:vMerge w:val="restart"/>
            <w:vAlign w:val="center"/>
            <w:hideMark/>
          </w:tcPr>
          <w:p w14:paraId="3764A8A8" w14:textId="7AFBDFE3" w:rsidR="00756801" w:rsidRPr="00756801" w:rsidRDefault="00756801" w:rsidP="003F29F4">
            <w:pPr>
              <w:jc w:val="center"/>
              <w:textAlignment w:val="baseline"/>
              <w:rPr>
                <w:lang w:eastAsia="es-CR"/>
              </w:rPr>
            </w:pPr>
            <w:r w:rsidRPr="00756801">
              <w:rPr>
                <w:rFonts w:ascii="Arial" w:hAnsi="Arial" w:cs="Arial"/>
                <w:b/>
                <w:bCs/>
                <w:lang w:val="es-EC" w:eastAsia="es-CR"/>
              </w:rPr>
              <w:t xml:space="preserve">Presenta un diagnóstico previo de TDAH </w:t>
            </w:r>
          </w:p>
        </w:tc>
        <w:tc>
          <w:tcPr>
            <w:tcW w:w="1680" w:type="dxa"/>
            <w:gridSpan w:val="2"/>
            <w:vAlign w:val="center"/>
            <w:hideMark/>
          </w:tcPr>
          <w:p w14:paraId="2BA70282"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Sí</w:t>
            </w:r>
            <w:r w:rsidRPr="00756801">
              <w:rPr>
                <w:rFonts w:ascii="Arial" w:hAnsi="Arial" w:cs="Arial"/>
                <w:lang w:eastAsia="es-CR"/>
              </w:rPr>
              <w:t> </w:t>
            </w:r>
          </w:p>
        </w:tc>
        <w:tc>
          <w:tcPr>
            <w:tcW w:w="1995" w:type="dxa"/>
            <w:gridSpan w:val="2"/>
            <w:vAlign w:val="center"/>
            <w:hideMark/>
          </w:tcPr>
          <w:p w14:paraId="4118080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13</w:t>
            </w:r>
            <w:r w:rsidRPr="00756801">
              <w:rPr>
                <w:rFonts w:ascii="Arial" w:hAnsi="Arial" w:cs="Arial"/>
                <w:lang w:eastAsia="es-CR"/>
              </w:rPr>
              <w:t> </w:t>
            </w:r>
          </w:p>
        </w:tc>
        <w:tc>
          <w:tcPr>
            <w:tcW w:w="1995" w:type="dxa"/>
            <w:gridSpan w:val="2"/>
            <w:vAlign w:val="center"/>
            <w:hideMark/>
          </w:tcPr>
          <w:p w14:paraId="51F89D0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23</w:t>
            </w:r>
            <w:r w:rsidRPr="00756801">
              <w:rPr>
                <w:rFonts w:ascii="Arial" w:hAnsi="Arial" w:cs="Arial"/>
                <w:lang w:eastAsia="es-CR"/>
              </w:rPr>
              <w:t> </w:t>
            </w:r>
          </w:p>
        </w:tc>
        <w:tc>
          <w:tcPr>
            <w:tcW w:w="1650" w:type="dxa"/>
            <w:vAlign w:val="center"/>
            <w:hideMark/>
          </w:tcPr>
          <w:p w14:paraId="49AC0C8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36</w:t>
            </w:r>
            <w:r w:rsidRPr="00756801">
              <w:rPr>
                <w:rFonts w:ascii="Arial" w:hAnsi="Arial" w:cs="Arial"/>
                <w:lang w:eastAsia="es-CR"/>
              </w:rPr>
              <w:t> </w:t>
            </w:r>
          </w:p>
        </w:tc>
      </w:tr>
      <w:tr w:rsidR="00756801" w:rsidRPr="00756801" w14:paraId="5095B34A" w14:textId="77777777" w:rsidTr="00741455">
        <w:trPr>
          <w:trHeight w:val="285"/>
        </w:trPr>
        <w:tc>
          <w:tcPr>
            <w:tcW w:w="0" w:type="auto"/>
            <w:vMerge/>
            <w:vAlign w:val="center"/>
            <w:hideMark/>
          </w:tcPr>
          <w:p w14:paraId="06995DE5" w14:textId="77777777" w:rsidR="00756801" w:rsidRPr="00756801" w:rsidRDefault="00756801" w:rsidP="00756801">
            <w:pPr>
              <w:spacing w:line="360" w:lineRule="auto"/>
              <w:rPr>
                <w:lang w:eastAsia="es-CR"/>
              </w:rPr>
            </w:pPr>
          </w:p>
        </w:tc>
        <w:tc>
          <w:tcPr>
            <w:tcW w:w="1680" w:type="dxa"/>
            <w:gridSpan w:val="2"/>
            <w:vAlign w:val="center"/>
            <w:hideMark/>
          </w:tcPr>
          <w:p w14:paraId="44B3D28A"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No</w:t>
            </w:r>
            <w:r w:rsidRPr="00756801">
              <w:rPr>
                <w:rFonts w:ascii="Arial" w:hAnsi="Arial" w:cs="Arial"/>
                <w:lang w:eastAsia="es-CR"/>
              </w:rPr>
              <w:t> </w:t>
            </w:r>
          </w:p>
        </w:tc>
        <w:tc>
          <w:tcPr>
            <w:tcW w:w="1995" w:type="dxa"/>
            <w:gridSpan w:val="2"/>
            <w:vAlign w:val="center"/>
            <w:hideMark/>
          </w:tcPr>
          <w:p w14:paraId="41A0C26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55</w:t>
            </w:r>
            <w:r w:rsidRPr="00756801">
              <w:rPr>
                <w:rFonts w:ascii="Arial" w:hAnsi="Arial" w:cs="Arial"/>
                <w:lang w:eastAsia="es-CR"/>
              </w:rPr>
              <w:t> </w:t>
            </w:r>
          </w:p>
        </w:tc>
        <w:tc>
          <w:tcPr>
            <w:tcW w:w="1995" w:type="dxa"/>
            <w:gridSpan w:val="2"/>
            <w:vAlign w:val="center"/>
            <w:hideMark/>
          </w:tcPr>
          <w:p w14:paraId="4F4E2A0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233</w:t>
            </w:r>
            <w:r w:rsidRPr="00756801">
              <w:rPr>
                <w:rFonts w:ascii="Arial" w:hAnsi="Arial" w:cs="Arial"/>
                <w:lang w:eastAsia="es-CR"/>
              </w:rPr>
              <w:t> </w:t>
            </w:r>
          </w:p>
        </w:tc>
        <w:tc>
          <w:tcPr>
            <w:tcW w:w="1650" w:type="dxa"/>
            <w:vAlign w:val="center"/>
            <w:hideMark/>
          </w:tcPr>
          <w:p w14:paraId="04AF352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288</w:t>
            </w:r>
            <w:r w:rsidRPr="00756801">
              <w:rPr>
                <w:rFonts w:ascii="Arial" w:hAnsi="Arial" w:cs="Arial"/>
                <w:lang w:eastAsia="es-CR"/>
              </w:rPr>
              <w:t> </w:t>
            </w:r>
          </w:p>
        </w:tc>
      </w:tr>
      <w:tr w:rsidR="00756801" w:rsidRPr="00756801" w14:paraId="406F3413" w14:textId="77777777" w:rsidTr="00741455">
        <w:trPr>
          <w:trHeight w:val="285"/>
        </w:trPr>
        <w:tc>
          <w:tcPr>
            <w:tcW w:w="4305" w:type="dxa"/>
            <w:gridSpan w:val="3"/>
            <w:vAlign w:val="center"/>
            <w:hideMark/>
          </w:tcPr>
          <w:p w14:paraId="1A0BED3C"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95" w:type="dxa"/>
            <w:gridSpan w:val="2"/>
            <w:vAlign w:val="center"/>
            <w:hideMark/>
          </w:tcPr>
          <w:p w14:paraId="5698D7F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68</w:t>
            </w:r>
            <w:r w:rsidRPr="00756801">
              <w:rPr>
                <w:rFonts w:ascii="Arial" w:hAnsi="Arial" w:cs="Arial"/>
                <w:lang w:eastAsia="es-CR"/>
              </w:rPr>
              <w:t> </w:t>
            </w:r>
          </w:p>
        </w:tc>
        <w:tc>
          <w:tcPr>
            <w:tcW w:w="1995" w:type="dxa"/>
            <w:gridSpan w:val="2"/>
            <w:vAlign w:val="center"/>
            <w:hideMark/>
          </w:tcPr>
          <w:p w14:paraId="40A2B96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256</w:t>
            </w:r>
            <w:r w:rsidRPr="00756801">
              <w:rPr>
                <w:rFonts w:ascii="Arial" w:hAnsi="Arial" w:cs="Arial"/>
                <w:lang w:eastAsia="es-CR"/>
              </w:rPr>
              <w:t> </w:t>
            </w:r>
          </w:p>
        </w:tc>
        <w:tc>
          <w:tcPr>
            <w:tcW w:w="1650" w:type="dxa"/>
            <w:vAlign w:val="center"/>
            <w:hideMark/>
          </w:tcPr>
          <w:p w14:paraId="3DB0BDD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324</w:t>
            </w:r>
            <w:r w:rsidRPr="00756801">
              <w:rPr>
                <w:rFonts w:ascii="Arial" w:hAnsi="Arial" w:cs="Arial"/>
                <w:lang w:eastAsia="es-CR"/>
              </w:rPr>
              <w:t> </w:t>
            </w:r>
          </w:p>
        </w:tc>
      </w:tr>
      <w:tr w:rsidR="00756801" w:rsidRPr="00756801" w14:paraId="400873B0" w14:textId="77777777" w:rsidTr="00741455">
        <w:trPr>
          <w:trHeight w:val="405"/>
        </w:trPr>
        <w:tc>
          <w:tcPr>
            <w:tcW w:w="9960" w:type="dxa"/>
            <w:gridSpan w:val="8"/>
            <w:vAlign w:val="center"/>
            <w:hideMark/>
          </w:tcPr>
          <w:p w14:paraId="052D9060" w14:textId="1012679D"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Chi-cuadrado de Pearson</w:t>
            </w:r>
            <w:r w:rsidRPr="00756801">
              <w:rPr>
                <w:rFonts w:ascii="Arial" w:hAnsi="Arial" w:cs="Arial"/>
                <w:lang w:eastAsia="es-CR"/>
              </w:rPr>
              <w:t> </w:t>
            </w:r>
          </w:p>
        </w:tc>
      </w:tr>
      <w:tr w:rsidR="00756801" w:rsidRPr="00756801" w14:paraId="7A1C9519" w14:textId="77777777" w:rsidTr="00741455">
        <w:trPr>
          <w:trHeight w:val="960"/>
        </w:trPr>
        <w:tc>
          <w:tcPr>
            <w:tcW w:w="2625" w:type="dxa"/>
            <w:vAlign w:val="center"/>
            <w:hideMark/>
          </w:tcPr>
          <w:p w14:paraId="1F4B0559"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Corrección de continuidad</w:t>
            </w:r>
            <w:r w:rsidRPr="00756801">
              <w:rPr>
                <w:rFonts w:ascii="Arial" w:hAnsi="Arial" w:cs="Arial"/>
                <w:lang w:eastAsia="es-CR"/>
              </w:rPr>
              <w:t> </w:t>
            </w:r>
          </w:p>
        </w:tc>
        <w:tc>
          <w:tcPr>
            <w:tcW w:w="1155" w:type="dxa"/>
            <w:vAlign w:val="center"/>
            <w:hideMark/>
          </w:tcPr>
          <w:p w14:paraId="1C18FC14"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Valor</w:t>
            </w:r>
            <w:r w:rsidRPr="00756801">
              <w:rPr>
                <w:rFonts w:ascii="Arial" w:hAnsi="Arial" w:cs="Arial"/>
                <w:lang w:eastAsia="es-CR"/>
              </w:rPr>
              <w:t> </w:t>
            </w:r>
          </w:p>
        </w:tc>
        <w:tc>
          <w:tcPr>
            <w:tcW w:w="615" w:type="dxa"/>
            <w:gridSpan w:val="2"/>
            <w:vAlign w:val="center"/>
            <w:hideMark/>
          </w:tcPr>
          <w:p w14:paraId="058B4F74" w14:textId="77777777" w:rsidR="00756801" w:rsidRPr="00756801" w:rsidRDefault="00756801" w:rsidP="008953AD">
            <w:pPr>
              <w:jc w:val="center"/>
              <w:textAlignment w:val="baseline"/>
              <w:rPr>
                <w:lang w:eastAsia="es-CR"/>
              </w:rPr>
            </w:pPr>
            <w:proofErr w:type="spellStart"/>
            <w:r w:rsidRPr="00756801">
              <w:rPr>
                <w:rFonts w:ascii="Arial" w:hAnsi="Arial" w:cs="Arial"/>
                <w:b/>
                <w:bCs/>
                <w:lang w:val="es-EC" w:eastAsia="es-CR"/>
              </w:rPr>
              <w:t>gl</w:t>
            </w:r>
            <w:proofErr w:type="spellEnd"/>
            <w:r w:rsidRPr="00756801">
              <w:rPr>
                <w:rFonts w:ascii="Arial" w:hAnsi="Arial" w:cs="Arial"/>
                <w:lang w:eastAsia="es-CR"/>
              </w:rPr>
              <w:t> </w:t>
            </w:r>
          </w:p>
        </w:tc>
        <w:tc>
          <w:tcPr>
            <w:tcW w:w="1935" w:type="dxa"/>
            <w:gridSpan w:val="2"/>
            <w:vAlign w:val="center"/>
            <w:hideMark/>
          </w:tcPr>
          <w:p w14:paraId="4C73D3DB"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asintótica (bilateral)</w:t>
            </w:r>
            <w:r w:rsidRPr="00756801">
              <w:rPr>
                <w:rFonts w:ascii="Arial" w:hAnsi="Arial" w:cs="Arial"/>
                <w:lang w:eastAsia="es-CR"/>
              </w:rPr>
              <w:t> </w:t>
            </w:r>
          </w:p>
        </w:tc>
        <w:tc>
          <w:tcPr>
            <w:tcW w:w="1965" w:type="dxa"/>
            <w:vAlign w:val="center"/>
            <w:hideMark/>
          </w:tcPr>
          <w:p w14:paraId="129353AD"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exacta (bilateral)</w:t>
            </w:r>
            <w:r w:rsidRPr="00756801">
              <w:rPr>
                <w:rFonts w:ascii="Arial" w:hAnsi="Arial" w:cs="Arial"/>
                <w:lang w:eastAsia="es-CR"/>
              </w:rPr>
              <w:t> </w:t>
            </w:r>
          </w:p>
        </w:tc>
        <w:tc>
          <w:tcPr>
            <w:tcW w:w="1650" w:type="dxa"/>
            <w:vAlign w:val="center"/>
            <w:hideMark/>
          </w:tcPr>
          <w:p w14:paraId="38FDC287"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exacta (unilateral)</w:t>
            </w:r>
            <w:r w:rsidRPr="00756801">
              <w:rPr>
                <w:rFonts w:ascii="Arial" w:hAnsi="Arial" w:cs="Arial"/>
                <w:lang w:eastAsia="es-CR"/>
              </w:rPr>
              <w:t> </w:t>
            </w:r>
          </w:p>
        </w:tc>
      </w:tr>
      <w:tr w:rsidR="00756801" w:rsidRPr="00756801" w14:paraId="5E21615C" w14:textId="77777777" w:rsidTr="00741455">
        <w:trPr>
          <w:trHeight w:val="660"/>
        </w:trPr>
        <w:tc>
          <w:tcPr>
            <w:tcW w:w="2625" w:type="dxa"/>
            <w:vAlign w:val="center"/>
            <w:hideMark/>
          </w:tcPr>
          <w:p w14:paraId="3590DB0A"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Razón de verosimilitud</w:t>
            </w:r>
            <w:r w:rsidRPr="00756801">
              <w:rPr>
                <w:rFonts w:ascii="Arial" w:hAnsi="Arial" w:cs="Arial"/>
                <w:lang w:eastAsia="es-CR"/>
              </w:rPr>
              <w:t> </w:t>
            </w:r>
          </w:p>
        </w:tc>
        <w:tc>
          <w:tcPr>
            <w:tcW w:w="1155" w:type="dxa"/>
            <w:vAlign w:val="center"/>
            <w:hideMark/>
          </w:tcPr>
          <w:p w14:paraId="112FEB53" w14:textId="77777777" w:rsidR="00756801" w:rsidRPr="00756801" w:rsidRDefault="00756801" w:rsidP="00756801">
            <w:pPr>
              <w:spacing w:line="360" w:lineRule="auto"/>
              <w:jc w:val="center"/>
              <w:textAlignment w:val="baseline"/>
              <w:rPr>
                <w:lang w:eastAsia="es-CR"/>
              </w:rPr>
            </w:pPr>
            <w:proofErr w:type="gramStart"/>
            <w:r w:rsidRPr="00756801">
              <w:rPr>
                <w:rFonts w:ascii="Arial" w:hAnsi="Arial" w:cs="Arial"/>
                <w:lang w:val="es-EC" w:eastAsia="es-CR"/>
              </w:rPr>
              <w:t>5,586</w:t>
            </w:r>
            <w:r w:rsidRPr="00756801">
              <w:rPr>
                <w:rFonts w:ascii="Arial" w:hAnsi="Arial" w:cs="Arial"/>
                <w:sz w:val="19"/>
                <w:szCs w:val="19"/>
                <w:vertAlign w:val="superscript"/>
                <w:lang w:val="es-EC" w:eastAsia="es-CR"/>
              </w:rPr>
              <w:t>a</w:t>
            </w:r>
            <w:proofErr w:type="gramEnd"/>
            <w:r w:rsidRPr="00756801">
              <w:rPr>
                <w:rFonts w:ascii="Arial" w:hAnsi="Arial" w:cs="Arial"/>
                <w:sz w:val="19"/>
                <w:szCs w:val="19"/>
                <w:lang w:eastAsia="es-CR"/>
              </w:rPr>
              <w:t> </w:t>
            </w:r>
          </w:p>
        </w:tc>
        <w:tc>
          <w:tcPr>
            <w:tcW w:w="615" w:type="dxa"/>
            <w:gridSpan w:val="2"/>
            <w:vAlign w:val="center"/>
            <w:hideMark/>
          </w:tcPr>
          <w:p w14:paraId="766376B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60CE20B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,018</w:t>
            </w:r>
            <w:r w:rsidRPr="00756801">
              <w:rPr>
                <w:rFonts w:ascii="Arial" w:hAnsi="Arial" w:cs="Arial"/>
                <w:lang w:eastAsia="es-CR"/>
              </w:rPr>
              <w:t> </w:t>
            </w:r>
          </w:p>
        </w:tc>
        <w:tc>
          <w:tcPr>
            <w:tcW w:w="1965" w:type="dxa"/>
            <w:vAlign w:val="center"/>
            <w:hideMark/>
          </w:tcPr>
          <w:p w14:paraId="5ECA35B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0E7CA061"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369522A7" w14:textId="77777777" w:rsidTr="00741455">
        <w:trPr>
          <w:trHeight w:val="675"/>
        </w:trPr>
        <w:tc>
          <w:tcPr>
            <w:tcW w:w="2625" w:type="dxa"/>
            <w:vAlign w:val="center"/>
            <w:hideMark/>
          </w:tcPr>
          <w:p w14:paraId="41A0E22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Prueba exacta de Fisher</w:t>
            </w:r>
            <w:r w:rsidRPr="00756801">
              <w:rPr>
                <w:rFonts w:ascii="Arial" w:hAnsi="Arial" w:cs="Arial"/>
                <w:lang w:eastAsia="es-CR"/>
              </w:rPr>
              <w:t> </w:t>
            </w:r>
          </w:p>
        </w:tc>
        <w:tc>
          <w:tcPr>
            <w:tcW w:w="1155" w:type="dxa"/>
            <w:vAlign w:val="center"/>
            <w:hideMark/>
          </w:tcPr>
          <w:p w14:paraId="541018C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4,607</w:t>
            </w:r>
            <w:r w:rsidRPr="00756801">
              <w:rPr>
                <w:rFonts w:ascii="Arial" w:hAnsi="Arial" w:cs="Arial"/>
                <w:lang w:eastAsia="es-CR"/>
              </w:rPr>
              <w:t> </w:t>
            </w:r>
          </w:p>
        </w:tc>
        <w:tc>
          <w:tcPr>
            <w:tcW w:w="615" w:type="dxa"/>
            <w:gridSpan w:val="2"/>
            <w:vAlign w:val="center"/>
            <w:hideMark/>
          </w:tcPr>
          <w:p w14:paraId="08936FC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1B32C9F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,032</w:t>
            </w:r>
            <w:r w:rsidRPr="00756801">
              <w:rPr>
                <w:rFonts w:ascii="Arial" w:hAnsi="Arial" w:cs="Arial"/>
                <w:lang w:eastAsia="es-CR"/>
              </w:rPr>
              <w:t> </w:t>
            </w:r>
          </w:p>
        </w:tc>
        <w:tc>
          <w:tcPr>
            <w:tcW w:w="1965" w:type="dxa"/>
            <w:vAlign w:val="center"/>
            <w:hideMark/>
          </w:tcPr>
          <w:p w14:paraId="067B62A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46834FB1"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394C8239" w14:textId="77777777" w:rsidTr="00741455">
        <w:trPr>
          <w:trHeight w:val="480"/>
        </w:trPr>
        <w:tc>
          <w:tcPr>
            <w:tcW w:w="2625" w:type="dxa"/>
            <w:vAlign w:val="center"/>
            <w:hideMark/>
          </w:tcPr>
          <w:p w14:paraId="125F22FC"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Asociación lineal por lineal</w:t>
            </w:r>
            <w:r w:rsidRPr="00756801">
              <w:rPr>
                <w:rFonts w:ascii="Arial" w:hAnsi="Arial" w:cs="Arial"/>
                <w:lang w:eastAsia="es-CR"/>
              </w:rPr>
              <w:t> </w:t>
            </w:r>
          </w:p>
        </w:tc>
        <w:tc>
          <w:tcPr>
            <w:tcW w:w="1155" w:type="dxa"/>
            <w:vAlign w:val="center"/>
            <w:hideMark/>
          </w:tcPr>
          <w:p w14:paraId="66CDC78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4,971</w:t>
            </w:r>
            <w:r w:rsidRPr="00756801">
              <w:rPr>
                <w:rFonts w:ascii="Arial" w:hAnsi="Arial" w:cs="Arial"/>
                <w:lang w:eastAsia="es-CR"/>
              </w:rPr>
              <w:t> </w:t>
            </w:r>
          </w:p>
        </w:tc>
        <w:tc>
          <w:tcPr>
            <w:tcW w:w="615" w:type="dxa"/>
            <w:gridSpan w:val="2"/>
            <w:vAlign w:val="center"/>
            <w:hideMark/>
          </w:tcPr>
          <w:p w14:paraId="7F6B954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5D4A907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,026</w:t>
            </w:r>
            <w:r w:rsidRPr="00756801">
              <w:rPr>
                <w:rFonts w:ascii="Arial" w:hAnsi="Arial" w:cs="Arial"/>
                <w:lang w:eastAsia="es-CR"/>
              </w:rPr>
              <w:t> </w:t>
            </w:r>
          </w:p>
        </w:tc>
        <w:tc>
          <w:tcPr>
            <w:tcW w:w="1965" w:type="dxa"/>
            <w:vAlign w:val="center"/>
            <w:hideMark/>
          </w:tcPr>
          <w:p w14:paraId="1095371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4770467A"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49D10426" w14:textId="77777777" w:rsidTr="008953AD">
        <w:trPr>
          <w:trHeight w:val="110"/>
        </w:trPr>
        <w:tc>
          <w:tcPr>
            <w:tcW w:w="2625" w:type="dxa"/>
            <w:vAlign w:val="center"/>
            <w:hideMark/>
          </w:tcPr>
          <w:p w14:paraId="472C9E9F"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N</w:t>
            </w:r>
            <w:r w:rsidRPr="00756801">
              <w:rPr>
                <w:rFonts w:ascii="Arial" w:hAnsi="Arial" w:cs="Arial"/>
                <w:b/>
                <w:bCs/>
                <w:sz w:val="19"/>
                <w:szCs w:val="19"/>
                <w:vertAlign w:val="superscript"/>
                <w:lang w:val="es-EC" w:eastAsia="es-CR"/>
              </w:rPr>
              <w:t>o</w:t>
            </w:r>
            <w:r w:rsidRPr="00756801">
              <w:rPr>
                <w:rFonts w:ascii="Arial" w:hAnsi="Arial" w:cs="Arial"/>
                <w:b/>
                <w:bCs/>
                <w:lang w:val="es-EC" w:eastAsia="es-CR"/>
              </w:rPr>
              <w:t> de casos válidos</w:t>
            </w:r>
            <w:r w:rsidRPr="00756801">
              <w:rPr>
                <w:rFonts w:ascii="Arial" w:hAnsi="Arial" w:cs="Arial"/>
                <w:lang w:eastAsia="es-CR"/>
              </w:rPr>
              <w:t> </w:t>
            </w:r>
          </w:p>
        </w:tc>
        <w:tc>
          <w:tcPr>
            <w:tcW w:w="1155" w:type="dxa"/>
            <w:vAlign w:val="center"/>
            <w:hideMark/>
          </w:tcPr>
          <w:p w14:paraId="15CE1268"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615" w:type="dxa"/>
            <w:gridSpan w:val="2"/>
            <w:vAlign w:val="center"/>
            <w:hideMark/>
          </w:tcPr>
          <w:p w14:paraId="1DA4CEB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35" w:type="dxa"/>
            <w:gridSpan w:val="2"/>
            <w:vAlign w:val="center"/>
            <w:hideMark/>
          </w:tcPr>
          <w:p w14:paraId="569A0489"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65" w:type="dxa"/>
            <w:vAlign w:val="center"/>
            <w:hideMark/>
          </w:tcPr>
          <w:p w14:paraId="6DACEA5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,028</w:t>
            </w:r>
            <w:r w:rsidRPr="00756801">
              <w:rPr>
                <w:rFonts w:ascii="Arial" w:hAnsi="Arial" w:cs="Arial"/>
                <w:lang w:eastAsia="es-CR"/>
              </w:rPr>
              <w:t> </w:t>
            </w:r>
          </w:p>
        </w:tc>
        <w:tc>
          <w:tcPr>
            <w:tcW w:w="1650" w:type="dxa"/>
            <w:vAlign w:val="center"/>
            <w:hideMark/>
          </w:tcPr>
          <w:p w14:paraId="1DA7CF8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,020</w:t>
            </w:r>
            <w:r w:rsidRPr="00756801">
              <w:rPr>
                <w:rFonts w:ascii="Arial" w:hAnsi="Arial" w:cs="Arial"/>
                <w:lang w:eastAsia="es-CR"/>
              </w:rPr>
              <w:t> </w:t>
            </w:r>
          </w:p>
        </w:tc>
      </w:tr>
      <w:tr w:rsidR="00756801" w:rsidRPr="00756801" w14:paraId="0922BFED" w14:textId="77777777" w:rsidTr="008953AD">
        <w:trPr>
          <w:trHeight w:val="660"/>
        </w:trPr>
        <w:tc>
          <w:tcPr>
            <w:tcW w:w="2625" w:type="dxa"/>
            <w:tcBorders>
              <w:bottom w:val="single" w:sz="4" w:space="0" w:color="auto"/>
            </w:tcBorders>
            <w:vAlign w:val="center"/>
            <w:hideMark/>
          </w:tcPr>
          <w:p w14:paraId="7298EFA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155" w:type="dxa"/>
            <w:tcBorders>
              <w:bottom w:val="single" w:sz="4" w:space="0" w:color="auto"/>
            </w:tcBorders>
            <w:vAlign w:val="center"/>
            <w:hideMark/>
          </w:tcPr>
          <w:p w14:paraId="702FEA28"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615" w:type="dxa"/>
            <w:gridSpan w:val="2"/>
            <w:tcBorders>
              <w:bottom w:val="single" w:sz="4" w:space="0" w:color="auto"/>
            </w:tcBorders>
            <w:vAlign w:val="center"/>
            <w:hideMark/>
          </w:tcPr>
          <w:p w14:paraId="7936FBC9"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35" w:type="dxa"/>
            <w:gridSpan w:val="2"/>
            <w:tcBorders>
              <w:bottom w:val="single" w:sz="4" w:space="0" w:color="auto"/>
            </w:tcBorders>
            <w:vAlign w:val="center"/>
            <w:hideMark/>
          </w:tcPr>
          <w:p w14:paraId="4D66469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,018</w:t>
            </w:r>
            <w:r w:rsidRPr="00756801">
              <w:rPr>
                <w:rFonts w:ascii="Arial" w:hAnsi="Arial" w:cs="Arial"/>
                <w:lang w:eastAsia="es-CR"/>
              </w:rPr>
              <w:t> </w:t>
            </w:r>
          </w:p>
        </w:tc>
        <w:tc>
          <w:tcPr>
            <w:tcW w:w="1965" w:type="dxa"/>
            <w:tcBorders>
              <w:bottom w:val="single" w:sz="4" w:space="0" w:color="auto"/>
            </w:tcBorders>
            <w:vAlign w:val="center"/>
            <w:hideMark/>
          </w:tcPr>
          <w:p w14:paraId="67AE7FA5"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tcBorders>
              <w:bottom w:val="single" w:sz="4" w:space="0" w:color="auto"/>
            </w:tcBorders>
            <w:vAlign w:val="center"/>
            <w:hideMark/>
          </w:tcPr>
          <w:p w14:paraId="2C63BBA7"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r>
    </w:tbl>
    <w:p w14:paraId="43C73BDC" w14:textId="77777777" w:rsidR="003B5F55" w:rsidRDefault="003B5F55" w:rsidP="00756801">
      <w:pPr>
        <w:spacing w:line="360" w:lineRule="auto"/>
        <w:jc w:val="both"/>
        <w:textAlignment w:val="baseline"/>
        <w:rPr>
          <w:rFonts w:ascii="Arial" w:hAnsi="Arial" w:cs="Arial"/>
          <w:lang w:val="es-EC" w:eastAsia="es-CR"/>
        </w:rPr>
      </w:pPr>
    </w:p>
    <w:p w14:paraId="15299ACD" w14:textId="4409B73B"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En la prueba de Medias y Desviación Estándar de la edad y promedio académico de la Tabla 3, el estudiantado con TDAH muestra un promedio académico </w:t>
      </w:r>
      <w:r w:rsidRPr="00756801">
        <w:rPr>
          <w:rFonts w:ascii="Arial" w:hAnsi="Arial" w:cs="Arial"/>
          <w:lang w:val="es-EC" w:eastAsia="es-CR"/>
        </w:rPr>
        <w:lastRenderedPageBreak/>
        <w:t>codificado de 2.56 (DE = 0.809), calificaciones entre 34 y 39 puntos (C-, C, C+, D+), mientras que el estudiantado sin TDAH obtuvo una media de 2.18 (DE = 0.723), calificaciones entre 40 y 44 puntos (B-, B, B+). </w:t>
      </w:r>
      <w:r w:rsidRPr="00756801">
        <w:rPr>
          <w:rFonts w:ascii="Arial" w:hAnsi="Arial" w:cs="Arial"/>
          <w:lang w:eastAsia="es-CR"/>
        </w:rPr>
        <w:t> </w:t>
      </w:r>
    </w:p>
    <w:p w14:paraId="7FD10C0A" w14:textId="4D503034" w:rsidR="00D13FF0" w:rsidRDefault="00D13FF0" w:rsidP="00756801">
      <w:pPr>
        <w:spacing w:line="360" w:lineRule="auto"/>
        <w:textAlignment w:val="baseline"/>
        <w:rPr>
          <w:rFonts w:ascii="Arial" w:hAnsi="Arial" w:cs="Arial"/>
          <w:b/>
          <w:bCs/>
          <w:lang w:val="es-EC" w:eastAsia="es-CR"/>
        </w:rPr>
      </w:pPr>
    </w:p>
    <w:p w14:paraId="78246AAF" w14:textId="15573229"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Tabla 3</w:t>
      </w:r>
      <w:r w:rsidRPr="00756801">
        <w:rPr>
          <w:rFonts w:ascii="Arial" w:hAnsi="Arial" w:cs="Arial"/>
          <w:lang w:eastAsia="es-CR"/>
        </w:rPr>
        <w:t> </w:t>
      </w:r>
    </w:p>
    <w:p w14:paraId="281DAEF7" w14:textId="49654200"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Relación entre diagnóstico de TDAH, edad y promedio académico</w:t>
      </w:r>
      <w:r w:rsidRPr="00756801">
        <w:rPr>
          <w:rFonts w:ascii="Arial" w:hAnsi="Arial" w:cs="Arial"/>
          <w:lang w:eastAsia="es-CR"/>
        </w:rPr>
        <w:t> </w:t>
      </w:r>
      <w:r w:rsidR="00EF70C7" w:rsidRPr="00EF70C7">
        <w:rPr>
          <w:rFonts w:ascii="Arial" w:hAnsi="Arial" w:cs="Arial"/>
          <w:i/>
          <w:iCs/>
          <w:color w:val="000000"/>
          <w:lang w:val="es-EC" w:eastAsia="es-CR"/>
        </w:rPr>
        <w:t>confirmado por un profesional de </w:t>
      </w:r>
      <w:r w:rsidR="00EF70C7" w:rsidRPr="00EF70C7">
        <w:rPr>
          <w:rFonts w:ascii="Arial" w:hAnsi="Arial" w:cs="Arial"/>
          <w:i/>
          <w:iCs/>
          <w:lang w:val="es-EC" w:eastAsia="es-CR"/>
        </w:rPr>
        <w:t>la </w:t>
      </w:r>
      <w:r w:rsidR="00EF70C7" w:rsidRPr="00EF70C7">
        <w:rPr>
          <w:rFonts w:ascii="Arial" w:hAnsi="Arial" w:cs="Arial"/>
          <w:i/>
          <w:iCs/>
          <w:color w:val="000000"/>
          <w:lang w:val="es-EC" w:eastAsia="es-CR"/>
        </w:rPr>
        <w:t>salud</w:t>
      </w:r>
      <w:r w:rsidR="00EF70C7" w:rsidRPr="00EF70C7">
        <w:rPr>
          <w:rFonts w:ascii="Arial" w:hAnsi="Arial" w:cs="Arial"/>
          <w:i/>
          <w:iCs/>
          <w:color w:val="000000"/>
          <w:lang w:eastAsia="es-CR"/>
        </w:rPr>
        <w:t> </w:t>
      </w:r>
    </w:p>
    <w:tbl>
      <w:tblPr>
        <w:tblW w:w="0" w:type="dxa"/>
        <w:tblCellMar>
          <w:left w:w="0" w:type="dxa"/>
          <w:right w:w="0" w:type="dxa"/>
        </w:tblCellMar>
        <w:tblLook w:val="04A0" w:firstRow="1" w:lastRow="0" w:firstColumn="1" w:lastColumn="0" w:noHBand="0" w:noVBand="1"/>
      </w:tblPr>
      <w:tblGrid>
        <w:gridCol w:w="2430"/>
        <w:gridCol w:w="645"/>
        <w:gridCol w:w="2445"/>
        <w:gridCol w:w="705"/>
        <w:gridCol w:w="990"/>
        <w:gridCol w:w="1275"/>
      </w:tblGrid>
      <w:tr w:rsidR="00756801" w:rsidRPr="00756801" w14:paraId="2AD2B458" w14:textId="77777777" w:rsidTr="008953AD">
        <w:trPr>
          <w:trHeight w:val="285"/>
        </w:trPr>
        <w:tc>
          <w:tcPr>
            <w:tcW w:w="2430" w:type="dxa"/>
            <w:tcBorders>
              <w:top w:val="single" w:sz="4" w:space="0" w:color="auto"/>
              <w:bottom w:val="single" w:sz="4" w:space="0" w:color="auto"/>
            </w:tcBorders>
            <w:vAlign w:val="center"/>
            <w:hideMark/>
          </w:tcPr>
          <w:p w14:paraId="15CE0915"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c>
          <w:tcPr>
            <w:tcW w:w="3090" w:type="dxa"/>
            <w:gridSpan w:val="2"/>
            <w:tcBorders>
              <w:top w:val="single" w:sz="4" w:space="0" w:color="auto"/>
              <w:bottom w:val="single" w:sz="4" w:space="0" w:color="auto"/>
            </w:tcBorders>
            <w:vAlign w:val="center"/>
            <w:hideMark/>
          </w:tcPr>
          <w:p w14:paraId="1C3F2BD2" w14:textId="499DE4F4" w:rsidR="00756801" w:rsidRPr="00756801" w:rsidRDefault="00756801" w:rsidP="00D13FF0">
            <w:pPr>
              <w:jc w:val="center"/>
              <w:textAlignment w:val="baseline"/>
              <w:rPr>
                <w:lang w:eastAsia="es-CR"/>
              </w:rPr>
            </w:pPr>
            <w:r w:rsidRPr="00756801">
              <w:rPr>
                <w:rFonts w:ascii="Arial" w:hAnsi="Arial" w:cs="Arial"/>
                <w:b/>
                <w:bCs/>
                <w:lang w:val="es-EC" w:eastAsia="es-CR"/>
              </w:rPr>
              <w:t>Presenta un diagnóstico previo de TDAH</w:t>
            </w:r>
            <w:r w:rsidRPr="00756801">
              <w:rPr>
                <w:rFonts w:ascii="Arial" w:hAnsi="Arial" w:cs="Arial"/>
                <w:b/>
                <w:bCs/>
                <w:color w:val="000000"/>
                <w:lang w:val="es-EC" w:eastAsia="es-CR"/>
              </w:rPr>
              <w:t> </w:t>
            </w:r>
          </w:p>
        </w:tc>
        <w:tc>
          <w:tcPr>
            <w:tcW w:w="705" w:type="dxa"/>
            <w:tcBorders>
              <w:top w:val="single" w:sz="4" w:space="0" w:color="auto"/>
              <w:bottom w:val="single" w:sz="4" w:space="0" w:color="auto"/>
            </w:tcBorders>
            <w:vAlign w:val="center"/>
            <w:hideMark/>
          </w:tcPr>
          <w:p w14:paraId="3E80CBD0" w14:textId="77777777" w:rsidR="00756801" w:rsidRPr="00756801" w:rsidRDefault="00756801" w:rsidP="00D13FF0">
            <w:pPr>
              <w:jc w:val="center"/>
              <w:textAlignment w:val="baseline"/>
              <w:rPr>
                <w:lang w:eastAsia="es-CR"/>
              </w:rPr>
            </w:pPr>
            <w:r w:rsidRPr="00756801">
              <w:rPr>
                <w:rFonts w:ascii="Arial" w:hAnsi="Arial" w:cs="Arial"/>
                <w:b/>
                <w:bCs/>
                <w:color w:val="000000"/>
                <w:lang w:val="es-EC" w:eastAsia="es-CR"/>
              </w:rPr>
              <w:t>N</w:t>
            </w:r>
            <w:r w:rsidRPr="00756801">
              <w:rPr>
                <w:rFonts w:ascii="Arial" w:hAnsi="Arial" w:cs="Arial"/>
                <w:color w:val="000000"/>
                <w:lang w:eastAsia="es-CR"/>
              </w:rPr>
              <w:t> </w:t>
            </w:r>
          </w:p>
        </w:tc>
        <w:tc>
          <w:tcPr>
            <w:tcW w:w="990" w:type="dxa"/>
            <w:tcBorders>
              <w:top w:val="single" w:sz="4" w:space="0" w:color="auto"/>
              <w:bottom w:val="single" w:sz="4" w:space="0" w:color="auto"/>
            </w:tcBorders>
            <w:vAlign w:val="center"/>
            <w:hideMark/>
          </w:tcPr>
          <w:p w14:paraId="6E17D110" w14:textId="77777777" w:rsidR="00756801" w:rsidRPr="00756801" w:rsidRDefault="00756801" w:rsidP="00D13FF0">
            <w:pPr>
              <w:jc w:val="center"/>
              <w:textAlignment w:val="baseline"/>
              <w:rPr>
                <w:lang w:eastAsia="es-CR"/>
              </w:rPr>
            </w:pPr>
            <w:r w:rsidRPr="00756801">
              <w:rPr>
                <w:rFonts w:ascii="Arial" w:hAnsi="Arial" w:cs="Arial"/>
                <w:b/>
                <w:bCs/>
                <w:color w:val="000000"/>
                <w:lang w:val="es-EC" w:eastAsia="es-CR"/>
              </w:rPr>
              <w:t>Media</w:t>
            </w:r>
            <w:r w:rsidRPr="00756801">
              <w:rPr>
                <w:rFonts w:ascii="Arial" w:hAnsi="Arial" w:cs="Arial"/>
                <w:color w:val="000000"/>
                <w:lang w:eastAsia="es-CR"/>
              </w:rPr>
              <w:t> </w:t>
            </w:r>
          </w:p>
        </w:tc>
        <w:tc>
          <w:tcPr>
            <w:tcW w:w="1275" w:type="dxa"/>
            <w:tcBorders>
              <w:top w:val="single" w:sz="4" w:space="0" w:color="auto"/>
              <w:bottom w:val="single" w:sz="4" w:space="0" w:color="auto"/>
            </w:tcBorders>
            <w:vAlign w:val="center"/>
            <w:hideMark/>
          </w:tcPr>
          <w:p w14:paraId="22BC3F3C" w14:textId="77777777" w:rsidR="00756801" w:rsidRPr="00756801" w:rsidRDefault="00756801" w:rsidP="00D13FF0">
            <w:pPr>
              <w:jc w:val="center"/>
              <w:textAlignment w:val="baseline"/>
              <w:rPr>
                <w:lang w:eastAsia="es-CR"/>
              </w:rPr>
            </w:pPr>
            <w:proofErr w:type="spellStart"/>
            <w:r w:rsidRPr="00756801">
              <w:rPr>
                <w:rFonts w:ascii="Arial" w:hAnsi="Arial" w:cs="Arial"/>
                <w:b/>
                <w:bCs/>
                <w:color w:val="000000"/>
                <w:lang w:val="es-EC" w:eastAsia="es-CR"/>
              </w:rPr>
              <w:t>Desv</w:t>
            </w:r>
            <w:proofErr w:type="spellEnd"/>
            <w:r w:rsidRPr="00756801">
              <w:rPr>
                <w:rFonts w:ascii="Arial" w:hAnsi="Arial" w:cs="Arial"/>
                <w:b/>
                <w:bCs/>
                <w:color w:val="000000"/>
                <w:lang w:val="es-EC" w:eastAsia="es-CR"/>
              </w:rPr>
              <w:t>. estándar</w:t>
            </w:r>
            <w:r w:rsidRPr="00756801">
              <w:rPr>
                <w:rFonts w:ascii="Arial" w:hAnsi="Arial" w:cs="Arial"/>
                <w:color w:val="000000"/>
                <w:lang w:eastAsia="es-CR"/>
              </w:rPr>
              <w:t> </w:t>
            </w:r>
          </w:p>
        </w:tc>
      </w:tr>
      <w:tr w:rsidR="00756801" w:rsidRPr="00756801" w14:paraId="0D37F565" w14:textId="77777777" w:rsidTr="008953AD">
        <w:trPr>
          <w:trHeight w:val="285"/>
        </w:trPr>
        <w:tc>
          <w:tcPr>
            <w:tcW w:w="2430" w:type="dxa"/>
            <w:vMerge w:val="restart"/>
            <w:tcBorders>
              <w:top w:val="single" w:sz="4" w:space="0" w:color="auto"/>
            </w:tcBorders>
            <w:vAlign w:val="center"/>
            <w:hideMark/>
          </w:tcPr>
          <w:p w14:paraId="705D5BBF"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Edad </w:t>
            </w:r>
            <w:r w:rsidRPr="00756801">
              <w:rPr>
                <w:rFonts w:ascii="Arial" w:hAnsi="Arial" w:cs="Arial"/>
                <w:b/>
                <w:bCs/>
                <w:lang w:val="es-EC" w:eastAsia="es-CR"/>
              </w:rPr>
              <w:t>(codificada)</w:t>
            </w:r>
            <w:r w:rsidRPr="00756801">
              <w:rPr>
                <w:rFonts w:ascii="Arial" w:hAnsi="Arial" w:cs="Arial"/>
                <w:lang w:eastAsia="es-CR"/>
              </w:rPr>
              <w:t> </w:t>
            </w:r>
          </w:p>
        </w:tc>
        <w:tc>
          <w:tcPr>
            <w:tcW w:w="3090" w:type="dxa"/>
            <w:gridSpan w:val="2"/>
            <w:tcBorders>
              <w:top w:val="single" w:sz="4" w:space="0" w:color="auto"/>
            </w:tcBorders>
            <w:vAlign w:val="center"/>
            <w:hideMark/>
          </w:tcPr>
          <w:p w14:paraId="4895AF0A"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705" w:type="dxa"/>
            <w:tcBorders>
              <w:top w:val="single" w:sz="4" w:space="0" w:color="auto"/>
            </w:tcBorders>
            <w:vAlign w:val="center"/>
            <w:hideMark/>
          </w:tcPr>
          <w:p w14:paraId="3168E7D4"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36</w:t>
            </w:r>
            <w:r w:rsidRPr="00756801">
              <w:rPr>
                <w:rFonts w:ascii="Arial" w:hAnsi="Arial" w:cs="Arial"/>
                <w:color w:val="000000"/>
                <w:lang w:eastAsia="es-CR"/>
              </w:rPr>
              <w:t> </w:t>
            </w:r>
          </w:p>
        </w:tc>
        <w:tc>
          <w:tcPr>
            <w:tcW w:w="990" w:type="dxa"/>
            <w:tcBorders>
              <w:top w:val="single" w:sz="4" w:space="0" w:color="auto"/>
            </w:tcBorders>
            <w:vAlign w:val="center"/>
            <w:hideMark/>
          </w:tcPr>
          <w:p w14:paraId="209277A6"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1,89</w:t>
            </w:r>
            <w:r w:rsidRPr="00756801">
              <w:rPr>
                <w:rFonts w:ascii="Arial" w:hAnsi="Arial" w:cs="Arial"/>
                <w:color w:val="000000"/>
                <w:lang w:eastAsia="es-CR"/>
              </w:rPr>
              <w:t> </w:t>
            </w:r>
          </w:p>
        </w:tc>
        <w:tc>
          <w:tcPr>
            <w:tcW w:w="1275" w:type="dxa"/>
            <w:tcBorders>
              <w:top w:val="single" w:sz="4" w:space="0" w:color="auto"/>
            </w:tcBorders>
            <w:vAlign w:val="center"/>
            <w:hideMark/>
          </w:tcPr>
          <w:p w14:paraId="2E04E7A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,785</w:t>
            </w:r>
            <w:r w:rsidRPr="00756801">
              <w:rPr>
                <w:rFonts w:ascii="Arial" w:hAnsi="Arial" w:cs="Arial"/>
                <w:color w:val="000000"/>
                <w:lang w:eastAsia="es-CR"/>
              </w:rPr>
              <w:t> </w:t>
            </w:r>
          </w:p>
        </w:tc>
      </w:tr>
      <w:tr w:rsidR="00756801" w:rsidRPr="00756801" w14:paraId="60791E48" w14:textId="77777777" w:rsidTr="008953AD">
        <w:trPr>
          <w:trHeight w:val="285"/>
        </w:trPr>
        <w:tc>
          <w:tcPr>
            <w:tcW w:w="0" w:type="auto"/>
            <w:vMerge/>
            <w:vAlign w:val="center"/>
            <w:hideMark/>
          </w:tcPr>
          <w:p w14:paraId="36CDE39B" w14:textId="77777777" w:rsidR="00756801" w:rsidRPr="00756801" w:rsidRDefault="00756801" w:rsidP="00756801">
            <w:pPr>
              <w:spacing w:line="360" w:lineRule="auto"/>
              <w:rPr>
                <w:lang w:eastAsia="es-CR"/>
              </w:rPr>
            </w:pPr>
          </w:p>
        </w:tc>
        <w:tc>
          <w:tcPr>
            <w:tcW w:w="3090" w:type="dxa"/>
            <w:gridSpan w:val="2"/>
            <w:vAlign w:val="center"/>
            <w:hideMark/>
          </w:tcPr>
          <w:p w14:paraId="13A188D4"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705" w:type="dxa"/>
            <w:vAlign w:val="center"/>
            <w:hideMark/>
          </w:tcPr>
          <w:p w14:paraId="370AE67D"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288</w:t>
            </w:r>
            <w:r w:rsidRPr="00756801">
              <w:rPr>
                <w:rFonts w:ascii="Arial" w:hAnsi="Arial" w:cs="Arial"/>
                <w:color w:val="000000"/>
                <w:lang w:eastAsia="es-CR"/>
              </w:rPr>
              <w:t> </w:t>
            </w:r>
          </w:p>
        </w:tc>
        <w:tc>
          <w:tcPr>
            <w:tcW w:w="990" w:type="dxa"/>
            <w:vAlign w:val="center"/>
            <w:hideMark/>
          </w:tcPr>
          <w:p w14:paraId="3839091A"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1,66</w:t>
            </w:r>
            <w:r w:rsidRPr="00756801">
              <w:rPr>
                <w:rFonts w:ascii="Arial" w:hAnsi="Arial" w:cs="Arial"/>
                <w:color w:val="000000"/>
                <w:lang w:eastAsia="es-CR"/>
              </w:rPr>
              <w:t> </w:t>
            </w:r>
          </w:p>
        </w:tc>
        <w:tc>
          <w:tcPr>
            <w:tcW w:w="1275" w:type="dxa"/>
            <w:vAlign w:val="center"/>
            <w:hideMark/>
          </w:tcPr>
          <w:p w14:paraId="7F1EED0E"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,690</w:t>
            </w:r>
            <w:r w:rsidRPr="00756801">
              <w:rPr>
                <w:rFonts w:ascii="Arial" w:hAnsi="Arial" w:cs="Arial"/>
                <w:color w:val="000000"/>
                <w:lang w:eastAsia="es-CR"/>
              </w:rPr>
              <w:t> </w:t>
            </w:r>
          </w:p>
        </w:tc>
      </w:tr>
      <w:tr w:rsidR="00756801" w:rsidRPr="00756801" w14:paraId="4DC52087" w14:textId="77777777" w:rsidTr="008953AD">
        <w:trPr>
          <w:trHeight w:val="285"/>
        </w:trPr>
        <w:tc>
          <w:tcPr>
            <w:tcW w:w="2430" w:type="dxa"/>
            <w:vMerge w:val="restart"/>
            <w:vAlign w:val="center"/>
            <w:hideMark/>
          </w:tcPr>
          <w:p w14:paraId="218B9516" w14:textId="77777777" w:rsidR="00756801" w:rsidRPr="00756801" w:rsidRDefault="00756801" w:rsidP="00330D23">
            <w:pPr>
              <w:jc w:val="center"/>
              <w:textAlignment w:val="baseline"/>
              <w:rPr>
                <w:lang w:eastAsia="es-CR"/>
              </w:rPr>
            </w:pPr>
            <w:r w:rsidRPr="00756801">
              <w:rPr>
                <w:rFonts w:ascii="Arial" w:hAnsi="Arial" w:cs="Arial"/>
                <w:b/>
                <w:bCs/>
                <w:color w:val="000000"/>
                <w:lang w:val="es-EC" w:eastAsia="es-CR"/>
              </w:rPr>
              <w:t>Promedio académico del último nivel aprobado en la carrera</w:t>
            </w:r>
            <w:r w:rsidRPr="00756801">
              <w:rPr>
                <w:rFonts w:ascii="Arial" w:hAnsi="Arial" w:cs="Arial"/>
                <w:color w:val="000000"/>
                <w:lang w:eastAsia="es-CR"/>
              </w:rPr>
              <w:t> </w:t>
            </w:r>
          </w:p>
        </w:tc>
        <w:tc>
          <w:tcPr>
            <w:tcW w:w="3090" w:type="dxa"/>
            <w:gridSpan w:val="2"/>
            <w:vAlign w:val="center"/>
            <w:hideMark/>
          </w:tcPr>
          <w:p w14:paraId="02E33A2C"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705" w:type="dxa"/>
            <w:vAlign w:val="center"/>
            <w:hideMark/>
          </w:tcPr>
          <w:p w14:paraId="623B60E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36</w:t>
            </w:r>
            <w:r w:rsidRPr="00756801">
              <w:rPr>
                <w:rFonts w:ascii="Arial" w:hAnsi="Arial" w:cs="Arial"/>
                <w:color w:val="000000"/>
                <w:lang w:eastAsia="es-CR"/>
              </w:rPr>
              <w:t> </w:t>
            </w:r>
          </w:p>
        </w:tc>
        <w:tc>
          <w:tcPr>
            <w:tcW w:w="990" w:type="dxa"/>
            <w:vAlign w:val="center"/>
            <w:hideMark/>
          </w:tcPr>
          <w:p w14:paraId="1B01839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2,56</w:t>
            </w:r>
            <w:r w:rsidRPr="00756801">
              <w:rPr>
                <w:rFonts w:ascii="Arial" w:hAnsi="Arial" w:cs="Arial"/>
                <w:color w:val="000000"/>
                <w:lang w:eastAsia="es-CR"/>
              </w:rPr>
              <w:t> </w:t>
            </w:r>
          </w:p>
        </w:tc>
        <w:tc>
          <w:tcPr>
            <w:tcW w:w="1275" w:type="dxa"/>
            <w:vAlign w:val="center"/>
            <w:hideMark/>
          </w:tcPr>
          <w:p w14:paraId="24222A7F"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,809</w:t>
            </w:r>
            <w:r w:rsidRPr="00756801">
              <w:rPr>
                <w:rFonts w:ascii="Arial" w:hAnsi="Arial" w:cs="Arial"/>
                <w:color w:val="000000"/>
                <w:lang w:eastAsia="es-CR"/>
              </w:rPr>
              <w:t> </w:t>
            </w:r>
          </w:p>
        </w:tc>
      </w:tr>
      <w:tr w:rsidR="00756801" w:rsidRPr="00756801" w14:paraId="3C76248E" w14:textId="77777777" w:rsidTr="008953AD">
        <w:trPr>
          <w:trHeight w:val="285"/>
        </w:trPr>
        <w:tc>
          <w:tcPr>
            <w:tcW w:w="0" w:type="auto"/>
            <w:vMerge/>
            <w:vAlign w:val="center"/>
            <w:hideMark/>
          </w:tcPr>
          <w:p w14:paraId="1E7DC572" w14:textId="77777777" w:rsidR="00756801" w:rsidRPr="00756801" w:rsidRDefault="00756801" w:rsidP="00756801">
            <w:pPr>
              <w:spacing w:line="360" w:lineRule="auto"/>
              <w:rPr>
                <w:lang w:eastAsia="es-CR"/>
              </w:rPr>
            </w:pPr>
          </w:p>
        </w:tc>
        <w:tc>
          <w:tcPr>
            <w:tcW w:w="3090" w:type="dxa"/>
            <w:gridSpan w:val="2"/>
            <w:vAlign w:val="center"/>
            <w:hideMark/>
          </w:tcPr>
          <w:p w14:paraId="5A0C5731"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705" w:type="dxa"/>
            <w:vAlign w:val="center"/>
            <w:hideMark/>
          </w:tcPr>
          <w:p w14:paraId="2679D62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288</w:t>
            </w:r>
            <w:r w:rsidRPr="00756801">
              <w:rPr>
                <w:rFonts w:ascii="Arial" w:hAnsi="Arial" w:cs="Arial"/>
                <w:color w:val="000000"/>
                <w:lang w:eastAsia="es-CR"/>
              </w:rPr>
              <w:t> </w:t>
            </w:r>
          </w:p>
        </w:tc>
        <w:tc>
          <w:tcPr>
            <w:tcW w:w="990" w:type="dxa"/>
            <w:vAlign w:val="center"/>
            <w:hideMark/>
          </w:tcPr>
          <w:p w14:paraId="2B1990D4"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2,18</w:t>
            </w:r>
            <w:r w:rsidRPr="00756801">
              <w:rPr>
                <w:rFonts w:ascii="Arial" w:hAnsi="Arial" w:cs="Arial"/>
                <w:color w:val="000000"/>
                <w:lang w:eastAsia="es-CR"/>
              </w:rPr>
              <w:t> </w:t>
            </w:r>
          </w:p>
        </w:tc>
        <w:tc>
          <w:tcPr>
            <w:tcW w:w="1275" w:type="dxa"/>
            <w:vAlign w:val="center"/>
            <w:hideMark/>
          </w:tcPr>
          <w:p w14:paraId="0ED5D5C2"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,723</w:t>
            </w:r>
            <w:r w:rsidRPr="00756801">
              <w:rPr>
                <w:rFonts w:ascii="Arial" w:hAnsi="Arial" w:cs="Arial"/>
                <w:color w:val="000000"/>
                <w:lang w:eastAsia="es-CR"/>
              </w:rPr>
              <w:t> </w:t>
            </w:r>
          </w:p>
        </w:tc>
      </w:tr>
      <w:tr w:rsidR="00756801" w:rsidRPr="00756801" w14:paraId="149A09F4" w14:textId="77777777" w:rsidTr="008953AD">
        <w:trPr>
          <w:trHeight w:val="285"/>
        </w:trPr>
        <w:tc>
          <w:tcPr>
            <w:tcW w:w="8490" w:type="dxa"/>
            <w:gridSpan w:val="6"/>
            <w:vAlign w:val="center"/>
            <w:hideMark/>
          </w:tcPr>
          <w:p w14:paraId="1B653474" w14:textId="77777777" w:rsidR="00756801" w:rsidRPr="00756801" w:rsidRDefault="00756801" w:rsidP="00756801">
            <w:pPr>
              <w:spacing w:line="360" w:lineRule="auto"/>
              <w:textAlignment w:val="baseline"/>
              <w:rPr>
                <w:lang w:eastAsia="es-CR"/>
              </w:rPr>
            </w:pPr>
            <w:r w:rsidRPr="00756801">
              <w:rPr>
                <w:rFonts w:ascii="Arial" w:hAnsi="Arial" w:cs="Arial"/>
                <w:lang w:eastAsia="es-CR"/>
              </w:rPr>
              <w:t> </w:t>
            </w:r>
          </w:p>
        </w:tc>
      </w:tr>
      <w:tr w:rsidR="00756801" w:rsidRPr="00756801" w14:paraId="5D31F113" w14:textId="77777777" w:rsidTr="008953AD">
        <w:trPr>
          <w:trHeight w:val="285"/>
        </w:trPr>
        <w:tc>
          <w:tcPr>
            <w:tcW w:w="3075" w:type="dxa"/>
            <w:gridSpan w:val="2"/>
            <w:vAlign w:val="center"/>
            <w:hideMark/>
          </w:tcPr>
          <w:p w14:paraId="747C97E0"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c>
          <w:tcPr>
            <w:tcW w:w="2430" w:type="dxa"/>
            <w:vAlign w:val="center"/>
            <w:hideMark/>
          </w:tcPr>
          <w:p w14:paraId="6ADB5C17" w14:textId="4CA1E047" w:rsidR="00756801" w:rsidRPr="00756801" w:rsidRDefault="00756801" w:rsidP="00D13FF0">
            <w:pPr>
              <w:jc w:val="center"/>
              <w:textAlignment w:val="baseline"/>
              <w:rPr>
                <w:lang w:eastAsia="es-CR"/>
              </w:rPr>
            </w:pPr>
            <w:r w:rsidRPr="00756801">
              <w:rPr>
                <w:rFonts w:ascii="Arial" w:hAnsi="Arial" w:cs="Arial"/>
                <w:b/>
                <w:bCs/>
                <w:lang w:val="es-EC" w:eastAsia="es-CR"/>
              </w:rPr>
              <w:t>Presenta un diagnóstico previo de TDAH</w:t>
            </w:r>
            <w:r w:rsidRPr="00756801">
              <w:rPr>
                <w:rFonts w:ascii="Arial" w:hAnsi="Arial" w:cs="Arial"/>
                <w:b/>
                <w:bCs/>
                <w:color w:val="000000"/>
                <w:lang w:val="es-EC" w:eastAsia="es-CR"/>
              </w:rPr>
              <w:t> </w:t>
            </w:r>
          </w:p>
        </w:tc>
        <w:tc>
          <w:tcPr>
            <w:tcW w:w="2970" w:type="dxa"/>
            <w:gridSpan w:val="3"/>
            <w:vAlign w:val="center"/>
            <w:hideMark/>
          </w:tcPr>
          <w:p w14:paraId="7C68D7F6"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Media de error estándar</w:t>
            </w:r>
            <w:r w:rsidRPr="00756801">
              <w:rPr>
                <w:rFonts w:ascii="Arial" w:hAnsi="Arial" w:cs="Arial"/>
                <w:color w:val="000000"/>
                <w:lang w:eastAsia="es-CR"/>
              </w:rPr>
              <w:t> </w:t>
            </w:r>
          </w:p>
        </w:tc>
      </w:tr>
      <w:tr w:rsidR="00756801" w:rsidRPr="00756801" w14:paraId="48DB2B32" w14:textId="77777777" w:rsidTr="008953AD">
        <w:trPr>
          <w:trHeight w:val="285"/>
        </w:trPr>
        <w:tc>
          <w:tcPr>
            <w:tcW w:w="3075" w:type="dxa"/>
            <w:gridSpan w:val="2"/>
            <w:vMerge w:val="restart"/>
            <w:vAlign w:val="center"/>
            <w:hideMark/>
          </w:tcPr>
          <w:p w14:paraId="5FFA57B7"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Edad </w:t>
            </w:r>
            <w:r w:rsidRPr="00756801">
              <w:rPr>
                <w:rFonts w:ascii="Arial" w:hAnsi="Arial" w:cs="Arial"/>
                <w:b/>
                <w:bCs/>
                <w:lang w:val="es-EC" w:eastAsia="es-CR"/>
              </w:rPr>
              <w:t>(codificada)</w:t>
            </w:r>
            <w:r w:rsidRPr="00756801">
              <w:rPr>
                <w:rFonts w:ascii="Arial" w:hAnsi="Arial" w:cs="Arial"/>
                <w:lang w:eastAsia="es-CR"/>
              </w:rPr>
              <w:t> </w:t>
            </w:r>
          </w:p>
        </w:tc>
        <w:tc>
          <w:tcPr>
            <w:tcW w:w="2430" w:type="dxa"/>
            <w:vAlign w:val="center"/>
            <w:hideMark/>
          </w:tcPr>
          <w:p w14:paraId="22040450"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2970" w:type="dxa"/>
            <w:gridSpan w:val="3"/>
            <w:vAlign w:val="center"/>
            <w:hideMark/>
          </w:tcPr>
          <w:p w14:paraId="0F263C12"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,131</w:t>
            </w:r>
            <w:r w:rsidRPr="00756801">
              <w:rPr>
                <w:rFonts w:ascii="Arial" w:hAnsi="Arial" w:cs="Arial"/>
                <w:color w:val="000000"/>
                <w:lang w:eastAsia="es-CR"/>
              </w:rPr>
              <w:t> </w:t>
            </w:r>
          </w:p>
        </w:tc>
      </w:tr>
      <w:tr w:rsidR="00756801" w:rsidRPr="00756801" w14:paraId="13BB3163" w14:textId="77777777" w:rsidTr="00D13FF0">
        <w:trPr>
          <w:trHeight w:val="285"/>
        </w:trPr>
        <w:tc>
          <w:tcPr>
            <w:tcW w:w="0" w:type="auto"/>
            <w:gridSpan w:val="2"/>
            <w:vMerge/>
            <w:vAlign w:val="center"/>
            <w:hideMark/>
          </w:tcPr>
          <w:p w14:paraId="1B1500E5" w14:textId="77777777" w:rsidR="00756801" w:rsidRPr="00756801" w:rsidRDefault="00756801" w:rsidP="00756801">
            <w:pPr>
              <w:spacing w:line="360" w:lineRule="auto"/>
              <w:rPr>
                <w:lang w:eastAsia="es-CR"/>
              </w:rPr>
            </w:pPr>
          </w:p>
        </w:tc>
        <w:tc>
          <w:tcPr>
            <w:tcW w:w="2430" w:type="dxa"/>
            <w:vAlign w:val="center"/>
            <w:hideMark/>
          </w:tcPr>
          <w:p w14:paraId="0FD021F8"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2970" w:type="dxa"/>
            <w:gridSpan w:val="3"/>
            <w:vAlign w:val="center"/>
            <w:hideMark/>
          </w:tcPr>
          <w:p w14:paraId="3EB3D33A"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,041</w:t>
            </w:r>
            <w:r w:rsidRPr="00756801">
              <w:rPr>
                <w:rFonts w:ascii="Arial" w:hAnsi="Arial" w:cs="Arial"/>
                <w:color w:val="000000"/>
                <w:lang w:eastAsia="es-CR"/>
              </w:rPr>
              <w:t> </w:t>
            </w:r>
          </w:p>
        </w:tc>
      </w:tr>
      <w:tr w:rsidR="00756801" w:rsidRPr="00756801" w14:paraId="6876E956" w14:textId="77777777" w:rsidTr="008953AD">
        <w:trPr>
          <w:trHeight w:val="285"/>
        </w:trPr>
        <w:tc>
          <w:tcPr>
            <w:tcW w:w="3075" w:type="dxa"/>
            <w:gridSpan w:val="2"/>
            <w:vMerge w:val="restart"/>
            <w:vAlign w:val="center"/>
            <w:hideMark/>
          </w:tcPr>
          <w:p w14:paraId="0F626A3A" w14:textId="77777777" w:rsidR="00756801" w:rsidRPr="00756801" w:rsidRDefault="00756801" w:rsidP="00330D23">
            <w:pPr>
              <w:jc w:val="center"/>
              <w:textAlignment w:val="baseline"/>
              <w:rPr>
                <w:lang w:eastAsia="es-CR"/>
              </w:rPr>
            </w:pPr>
            <w:r w:rsidRPr="00756801">
              <w:rPr>
                <w:rFonts w:ascii="Arial" w:hAnsi="Arial" w:cs="Arial"/>
                <w:b/>
                <w:bCs/>
                <w:color w:val="000000"/>
                <w:lang w:val="es-EC" w:eastAsia="es-CR"/>
              </w:rPr>
              <w:t>Promedio académico del último nivel aprobado en la carrera</w:t>
            </w:r>
            <w:r w:rsidRPr="00756801">
              <w:rPr>
                <w:rFonts w:ascii="Arial" w:hAnsi="Arial" w:cs="Arial"/>
                <w:color w:val="000000"/>
                <w:lang w:eastAsia="es-CR"/>
              </w:rPr>
              <w:t> </w:t>
            </w:r>
          </w:p>
        </w:tc>
        <w:tc>
          <w:tcPr>
            <w:tcW w:w="2430" w:type="dxa"/>
            <w:vAlign w:val="center"/>
            <w:hideMark/>
          </w:tcPr>
          <w:p w14:paraId="4D91DC95"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2970" w:type="dxa"/>
            <w:gridSpan w:val="3"/>
            <w:vAlign w:val="center"/>
            <w:hideMark/>
          </w:tcPr>
          <w:p w14:paraId="6FC80BBB"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,135</w:t>
            </w:r>
            <w:r w:rsidRPr="00756801">
              <w:rPr>
                <w:rFonts w:ascii="Arial" w:hAnsi="Arial" w:cs="Arial"/>
                <w:color w:val="000000"/>
                <w:lang w:eastAsia="es-CR"/>
              </w:rPr>
              <w:t> </w:t>
            </w:r>
          </w:p>
        </w:tc>
      </w:tr>
      <w:tr w:rsidR="00756801" w:rsidRPr="00756801" w14:paraId="2F587773" w14:textId="77777777" w:rsidTr="00D13FF0">
        <w:trPr>
          <w:trHeight w:val="285"/>
        </w:trPr>
        <w:tc>
          <w:tcPr>
            <w:tcW w:w="0" w:type="auto"/>
            <w:gridSpan w:val="2"/>
            <w:vMerge/>
            <w:tcBorders>
              <w:bottom w:val="single" w:sz="4" w:space="0" w:color="auto"/>
            </w:tcBorders>
            <w:vAlign w:val="center"/>
            <w:hideMark/>
          </w:tcPr>
          <w:p w14:paraId="34E2715E" w14:textId="77777777" w:rsidR="00756801" w:rsidRPr="00756801" w:rsidRDefault="00756801" w:rsidP="00756801">
            <w:pPr>
              <w:spacing w:line="360" w:lineRule="auto"/>
              <w:rPr>
                <w:lang w:eastAsia="es-CR"/>
              </w:rPr>
            </w:pPr>
          </w:p>
        </w:tc>
        <w:tc>
          <w:tcPr>
            <w:tcW w:w="2430" w:type="dxa"/>
            <w:tcBorders>
              <w:bottom w:val="single" w:sz="4" w:space="0" w:color="auto"/>
            </w:tcBorders>
            <w:vAlign w:val="center"/>
            <w:hideMark/>
          </w:tcPr>
          <w:p w14:paraId="6E23F6EA"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2970" w:type="dxa"/>
            <w:gridSpan w:val="3"/>
            <w:tcBorders>
              <w:bottom w:val="single" w:sz="4" w:space="0" w:color="auto"/>
            </w:tcBorders>
            <w:vAlign w:val="center"/>
            <w:hideMark/>
          </w:tcPr>
          <w:p w14:paraId="74C4720E"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,043</w:t>
            </w:r>
            <w:r w:rsidRPr="00756801">
              <w:rPr>
                <w:rFonts w:ascii="Arial" w:hAnsi="Arial" w:cs="Arial"/>
                <w:color w:val="000000"/>
                <w:lang w:eastAsia="es-CR"/>
              </w:rPr>
              <w:t> </w:t>
            </w:r>
          </w:p>
        </w:tc>
      </w:tr>
    </w:tbl>
    <w:p w14:paraId="38C6DC2C" w14:textId="77777777" w:rsidR="00330D23" w:rsidRDefault="00756801" w:rsidP="00756801">
      <w:pPr>
        <w:spacing w:line="360" w:lineRule="auto"/>
        <w:jc w:val="both"/>
        <w:textAlignment w:val="baseline"/>
        <w:rPr>
          <w:rFonts w:ascii="Arial" w:hAnsi="Arial" w:cs="Arial"/>
          <w:lang w:val="es-EC" w:eastAsia="es-CR"/>
        </w:rPr>
      </w:pPr>
      <w:r w:rsidRPr="00756801">
        <w:rPr>
          <w:rFonts w:ascii="Arial" w:hAnsi="Arial" w:cs="Arial"/>
          <w:i/>
          <w:iCs/>
          <w:lang w:val="es-EC" w:eastAsia="es-CR"/>
        </w:rPr>
        <w:t>Nota</w:t>
      </w:r>
      <w:r w:rsidRPr="00756801">
        <w:rPr>
          <w:rFonts w:ascii="Arial" w:hAnsi="Arial" w:cs="Arial"/>
          <w:lang w:val="es-EC" w:eastAsia="es-CR"/>
        </w:rPr>
        <w:t xml:space="preserve">. La variable edad es codificada como ordinal para el análisis estadístico (1 = 18-20 años; 2 = 21-25 años; 3 = 26-30 años; 4 = 31-35 años; 5 = &gt;36 años). </w:t>
      </w:r>
    </w:p>
    <w:p w14:paraId="6FEB540F" w14:textId="3FF96398"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Asimismo, el promedio académico es recodificado como variable ordinal (1 = A/A+ [45–50 puntos]; 2 = B [40-44 puntos]; 3 = C [34-39 puntos]; 4 = D/F [30–33 puntos]). En consecuencia, las medias reportadas representan promedios de categorías ordinales, y su interpretación se realiza considerando esta codificación.</w:t>
      </w:r>
      <w:r w:rsidRPr="00756801">
        <w:rPr>
          <w:rFonts w:ascii="Arial" w:hAnsi="Arial" w:cs="Arial"/>
          <w:lang w:eastAsia="es-CR"/>
        </w:rPr>
        <w:t> </w:t>
      </w:r>
    </w:p>
    <w:p w14:paraId="3204C91F"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La prueba t de </w:t>
      </w:r>
      <w:r w:rsidRPr="00756801">
        <w:rPr>
          <w:rFonts w:ascii="Arial" w:hAnsi="Arial" w:cs="Arial"/>
          <w:i/>
          <w:iCs/>
          <w:lang w:val="es-EC" w:eastAsia="es-CR"/>
        </w:rPr>
        <w:t>Student</w:t>
      </w:r>
      <w:r w:rsidRPr="00756801">
        <w:rPr>
          <w:rFonts w:ascii="Arial" w:hAnsi="Arial" w:cs="Arial"/>
          <w:lang w:val="es-EC" w:eastAsia="es-CR"/>
        </w:rPr>
        <w:t> para muestras independientes indica diferencias estadísticas significativas en el rendimiento académico (t = 2.922; p = 0.004), como se presenta en la Tabla 4. No se observan diferencias significativas en la edad ni en el avance académico; sin embargo, el rendimiento es menor en participantes con diagnóstico de TDAH.</w:t>
      </w:r>
      <w:r w:rsidRPr="00756801">
        <w:rPr>
          <w:rFonts w:ascii="Arial" w:hAnsi="Arial" w:cs="Arial"/>
          <w:lang w:eastAsia="es-CR"/>
        </w:rPr>
        <w:t> </w:t>
      </w:r>
    </w:p>
    <w:p w14:paraId="1D250C54" w14:textId="5617DF00" w:rsidR="004B13BC" w:rsidRDefault="004B13BC" w:rsidP="00756801">
      <w:pPr>
        <w:spacing w:line="360" w:lineRule="auto"/>
        <w:jc w:val="both"/>
        <w:textAlignment w:val="baseline"/>
        <w:rPr>
          <w:rFonts w:ascii="Segoe UI" w:hAnsi="Segoe UI" w:cs="Segoe UI"/>
          <w:sz w:val="18"/>
          <w:szCs w:val="18"/>
          <w:lang w:eastAsia="es-CR"/>
        </w:rPr>
      </w:pPr>
    </w:p>
    <w:p w14:paraId="6CD2DB1D" w14:textId="702CD8C0" w:rsidR="003B5F55" w:rsidRDefault="003B5F55" w:rsidP="00756801">
      <w:pPr>
        <w:spacing w:line="360" w:lineRule="auto"/>
        <w:jc w:val="both"/>
        <w:textAlignment w:val="baseline"/>
        <w:rPr>
          <w:rFonts w:ascii="Segoe UI" w:hAnsi="Segoe UI" w:cs="Segoe UI"/>
          <w:sz w:val="18"/>
          <w:szCs w:val="18"/>
          <w:lang w:eastAsia="es-CR"/>
        </w:rPr>
      </w:pPr>
    </w:p>
    <w:p w14:paraId="03842947" w14:textId="00302F16" w:rsidR="003B5F55" w:rsidRDefault="003B5F55" w:rsidP="00756801">
      <w:pPr>
        <w:spacing w:line="360" w:lineRule="auto"/>
        <w:jc w:val="both"/>
        <w:textAlignment w:val="baseline"/>
        <w:rPr>
          <w:rFonts w:ascii="Segoe UI" w:hAnsi="Segoe UI" w:cs="Segoe UI"/>
          <w:sz w:val="18"/>
          <w:szCs w:val="18"/>
          <w:lang w:eastAsia="es-CR"/>
        </w:rPr>
      </w:pPr>
    </w:p>
    <w:p w14:paraId="538B0B80" w14:textId="1845034C" w:rsidR="003B5F55" w:rsidRDefault="003B5F55" w:rsidP="00756801">
      <w:pPr>
        <w:spacing w:line="360" w:lineRule="auto"/>
        <w:jc w:val="both"/>
        <w:textAlignment w:val="baseline"/>
        <w:rPr>
          <w:rFonts w:ascii="Segoe UI" w:hAnsi="Segoe UI" w:cs="Segoe UI"/>
          <w:sz w:val="18"/>
          <w:szCs w:val="18"/>
          <w:lang w:eastAsia="es-CR"/>
        </w:rPr>
      </w:pPr>
    </w:p>
    <w:p w14:paraId="2A9C3BA6" w14:textId="46A91C42" w:rsidR="003B5F55" w:rsidRDefault="003B5F55" w:rsidP="00756801">
      <w:pPr>
        <w:spacing w:line="360" w:lineRule="auto"/>
        <w:jc w:val="both"/>
        <w:textAlignment w:val="baseline"/>
        <w:rPr>
          <w:rFonts w:ascii="Segoe UI" w:hAnsi="Segoe UI" w:cs="Segoe UI"/>
          <w:sz w:val="18"/>
          <w:szCs w:val="18"/>
          <w:lang w:eastAsia="es-CR"/>
        </w:rPr>
      </w:pPr>
    </w:p>
    <w:p w14:paraId="60ADD85B" w14:textId="085206BC" w:rsidR="003B5F55" w:rsidRDefault="003B5F55" w:rsidP="00756801">
      <w:pPr>
        <w:spacing w:line="360" w:lineRule="auto"/>
        <w:jc w:val="both"/>
        <w:textAlignment w:val="baseline"/>
        <w:rPr>
          <w:rFonts w:ascii="Segoe UI" w:hAnsi="Segoe UI" w:cs="Segoe UI"/>
          <w:sz w:val="18"/>
          <w:szCs w:val="18"/>
          <w:lang w:eastAsia="es-CR"/>
        </w:rPr>
      </w:pPr>
    </w:p>
    <w:p w14:paraId="4DD90E72" w14:textId="1B0C1571" w:rsidR="003B5F55" w:rsidRDefault="003B5F55" w:rsidP="00756801">
      <w:pPr>
        <w:spacing w:line="360" w:lineRule="auto"/>
        <w:jc w:val="both"/>
        <w:textAlignment w:val="baseline"/>
        <w:rPr>
          <w:rFonts w:ascii="Segoe UI" w:hAnsi="Segoe UI" w:cs="Segoe UI"/>
          <w:sz w:val="18"/>
          <w:szCs w:val="18"/>
          <w:lang w:eastAsia="es-CR"/>
        </w:rPr>
      </w:pPr>
    </w:p>
    <w:p w14:paraId="399F445A" w14:textId="2E0E024B" w:rsidR="003B5F55" w:rsidRDefault="003B5F55" w:rsidP="00756801">
      <w:pPr>
        <w:spacing w:line="360" w:lineRule="auto"/>
        <w:jc w:val="both"/>
        <w:textAlignment w:val="baseline"/>
        <w:rPr>
          <w:rFonts w:ascii="Segoe UI" w:hAnsi="Segoe UI" w:cs="Segoe UI"/>
          <w:sz w:val="18"/>
          <w:szCs w:val="18"/>
          <w:lang w:eastAsia="es-CR"/>
        </w:rPr>
      </w:pPr>
    </w:p>
    <w:p w14:paraId="6A7AC9AA" w14:textId="03977779" w:rsidR="003B5F55" w:rsidRDefault="003B5F55" w:rsidP="00756801">
      <w:pPr>
        <w:spacing w:line="360" w:lineRule="auto"/>
        <w:jc w:val="both"/>
        <w:textAlignment w:val="baseline"/>
        <w:rPr>
          <w:rFonts w:ascii="Segoe UI" w:hAnsi="Segoe UI" w:cs="Segoe UI"/>
          <w:sz w:val="18"/>
          <w:szCs w:val="18"/>
          <w:lang w:eastAsia="es-CR"/>
        </w:rPr>
      </w:pPr>
    </w:p>
    <w:p w14:paraId="64CF01F8" w14:textId="748B7CF4" w:rsidR="003B5F55" w:rsidRDefault="003B5F55" w:rsidP="00756801">
      <w:pPr>
        <w:spacing w:line="360" w:lineRule="auto"/>
        <w:jc w:val="both"/>
        <w:textAlignment w:val="baseline"/>
        <w:rPr>
          <w:rFonts w:ascii="Segoe UI" w:hAnsi="Segoe UI" w:cs="Segoe UI"/>
          <w:sz w:val="18"/>
          <w:szCs w:val="18"/>
          <w:lang w:eastAsia="es-CR"/>
        </w:rPr>
      </w:pPr>
    </w:p>
    <w:p w14:paraId="26459221" w14:textId="5603CEA2" w:rsidR="003B5F55" w:rsidRDefault="003B5F55" w:rsidP="00756801">
      <w:pPr>
        <w:spacing w:line="360" w:lineRule="auto"/>
        <w:jc w:val="both"/>
        <w:textAlignment w:val="baseline"/>
        <w:rPr>
          <w:rFonts w:ascii="Segoe UI" w:hAnsi="Segoe UI" w:cs="Segoe UI"/>
          <w:sz w:val="18"/>
          <w:szCs w:val="18"/>
          <w:lang w:eastAsia="es-CR"/>
        </w:rPr>
      </w:pPr>
    </w:p>
    <w:p w14:paraId="6B1B041A" w14:textId="06793ED4" w:rsidR="003B5F55" w:rsidRDefault="003B5F55" w:rsidP="00756801">
      <w:pPr>
        <w:spacing w:line="360" w:lineRule="auto"/>
        <w:jc w:val="both"/>
        <w:textAlignment w:val="baseline"/>
        <w:rPr>
          <w:rFonts w:ascii="Segoe UI" w:hAnsi="Segoe UI" w:cs="Segoe UI"/>
          <w:sz w:val="18"/>
          <w:szCs w:val="18"/>
          <w:lang w:eastAsia="es-CR"/>
        </w:rPr>
      </w:pPr>
    </w:p>
    <w:p w14:paraId="746BF559" w14:textId="6CB04938" w:rsidR="003B5F55" w:rsidRDefault="003B5F55" w:rsidP="00756801">
      <w:pPr>
        <w:spacing w:line="360" w:lineRule="auto"/>
        <w:jc w:val="both"/>
        <w:textAlignment w:val="baseline"/>
        <w:rPr>
          <w:rFonts w:ascii="Segoe UI" w:hAnsi="Segoe UI" w:cs="Segoe UI"/>
          <w:sz w:val="18"/>
          <w:szCs w:val="18"/>
          <w:lang w:eastAsia="es-CR"/>
        </w:rPr>
      </w:pPr>
    </w:p>
    <w:p w14:paraId="41F5ED25" w14:textId="12976B67" w:rsidR="003B5F55" w:rsidRDefault="003B5F55" w:rsidP="00756801">
      <w:pPr>
        <w:spacing w:line="360" w:lineRule="auto"/>
        <w:jc w:val="both"/>
        <w:textAlignment w:val="baseline"/>
        <w:rPr>
          <w:rFonts w:ascii="Segoe UI" w:hAnsi="Segoe UI" w:cs="Segoe UI"/>
          <w:sz w:val="18"/>
          <w:szCs w:val="18"/>
          <w:lang w:eastAsia="es-CR"/>
        </w:rPr>
      </w:pPr>
    </w:p>
    <w:p w14:paraId="5600026B"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7CA485E5" w14:textId="757ED81F"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Tabla 4</w:t>
      </w:r>
      <w:r w:rsidRPr="00756801">
        <w:rPr>
          <w:rFonts w:ascii="Arial" w:hAnsi="Arial" w:cs="Arial"/>
          <w:lang w:eastAsia="es-CR"/>
        </w:rPr>
        <w:t> </w:t>
      </w:r>
    </w:p>
    <w:p w14:paraId="633C2248" w14:textId="191099CE" w:rsidR="00E02896"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Resultados de la Prueba de Levene y Prueba t para la Comparación de Medias de Edad y Promedio Académico según Diagnóstico de TDAH</w:t>
      </w:r>
      <w:r w:rsidRPr="00756801">
        <w:rPr>
          <w:rFonts w:ascii="Arial" w:hAnsi="Arial" w:cs="Arial"/>
          <w:lang w:eastAsia="es-CR"/>
        </w:rPr>
        <w:t> </w:t>
      </w:r>
    </w:p>
    <w:tbl>
      <w:tblPr>
        <w:tblW w:w="8789" w:type="dxa"/>
        <w:tblCellMar>
          <w:left w:w="0" w:type="dxa"/>
          <w:right w:w="0" w:type="dxa"/>
        </w:tblCellMar>
        <w:tblLook w:val="04A0" w:firstRow="1" w:lastRow="0" w:firstColumn="1" w:lastColumn="0" w:noHBand="0" w:noVBand="1"/>
      </w:tblPr>
      <w:tblGrid>
        <w:gridCol w:w="1287"/>
        <w:gridCol w:w="1143"/>
        <w:gridCol w:w="721"/>
        <w:gridCol w:w="721"/>
        <w:gridCol w:w="1037"/>
        <w:gridCol w:w="707"/>
        <w:gridCol w:w="1143"/>
        <w:gridCol w:w="721"/>
        <w:gridCol w:w="588"/>
        <w:gridCol w:w="721"/>
      </w:tblGrid>
      <w:tr w:rsidR="00756801" w:rsidRPr="00756801" w14:paraId="46883F3C" w14:textId="77777777" w:rsidTr="004B13BC">
        <w:trPr>
          <w:gridAfter w:val="5"/>
          <w:wAfter w:w="3880" w:type="dxa"/>
          <w:trHeight w:val="960"/>
        </w:trPr>
        <w:tc>
          <w:tcPr>
            <w:tcW w:w="2430" w:type="dxa"/>
            <w:gridSpan w:val="2"/>
            <w:vMerge w:val="restart"/>
            <w:tcBorders>
              <w:top w:val="single" w:sz="4" w:space="0" w:color="auto"/>
            </w:tcBorders>
            <w:vAlign w:val="center"/>
            <w:hideMark/>
          </w:tcPr>
          <w:p w14:paraId="108764D1" w14:textId="77777777" w:rsidR="00756801" w:rsidRPr="00756801" w:rsidRDefault="00756801" w:rsidP="00E02896">
            <w:pPr>
              <w:ind w:left="30" w:right="30"/>
              <w:jc w:val="center"/>
              <w:textAlignment w:val="baseline"/>
              <w:rPr>
                <w:lang w:eastAsia="es-CR"/>
              </w:rPr>
            </w:pPr>
            <w:r w:rsidRPr="00756801">
              <w:rPr>
                <w:rFonts w:ascii="Arial" w:hAnsi="Arial" w:cs="Arial"/>
                <w:lang w:eastAsia="es-CR"/>
              </w:rPr>
              <w:t> </w:t>
            </w:r>
          </w:p>
        </w:tc>
        <w:tc>
          <w:tcPr>
            <w:tcW w:w="1442" w:type="dxa"/>
            <w:gridSpan w:val="2"/>
            <w:tcBorders>
              <w:top w:val="single" w:sz="4" w:space="0" w:color="auto"/>
            </w:tcBorders>
            <w:vAlign w:val="center"/>
            <w:hideMark/>
          </w:tcPr>
          <w:p w14:paraId="353364B7"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Prueba de Levene de igualdad de varianzas</w:t>
            </w:r>
            <w:r w:rsidRPr="00756801">
              <w:rPr>
                <w:rFonts w:ascii="Arial" w:hAnsi="Arial" w:cs="Arial"/>
                <w:lang w:eastAsia="es-CR"/>
              </w:rPr>
              <w:t> </w:t>
            </w:r>
          </w:p>
        </w:tc>
        <w:tc>
          <w:tcPr>
            <w:tcW w:w="1037" w:type="dxa"/>
            <w:tcBorders>
              <w:top w:val="single" w:sz="4" w:space="0" w:color="auto"/>
            </w:tcBorders>
            <w:vAlign w:val="center"/>
            <w:hideMark/>
          </w:tcPr>
          <w:p w14:paraId="0FABA291" w14:textId="6A244C11" w:rsidR="00756801" w:rsidRPr="00756801" w:rsidRDefault="004B13BC" w:rsidP="00E02896">
            <w:pPr>
              <w:ind w:left="30" w:right="30"/>
              <w:jc w:val="center"/>
              <w:textAlignment w:val="baseline"/>
              <w:rPr>
                <w:lang w:eastAsia="es-CR"/>
              </w:rPr>
            </w:pPr>
            <w:r>
              <w:rPr>
                <w:rFonts w:ascii="Arial" w:hAnsi="Arial" w:cs="Arial"/>
                <w:b/>
                <w:bCs/>
                <w:noProof/>
                <w:lang w:val="es-EC" w:eastAsia="es-CR"/>
              </w:rPr>
              <mc:AlternateContent>
                <mc:Choice Requires="wps">
                  <w:drawing>
                    <wp:anchor distT="0" distB="0" distL="114300" distR="114300" simplePos="0" relativeHeight="251659264" behindDoc="0" locked="0" layoutInCell="1" allowOverlap="1" wp14:anchorId="0D871400" wp14:editId="2BA80509">
                      <wp:simplePos x="0" y="0"/>
                      <wp:positionH relativeFrom="column">
                        <wp:posOffset>575945</wp:posOffset>
                      </wp:positionH>
                      <wp:positionV relativeFrom="paragraph">
                        <wp:posOffset>6985</wp:posOffset>
                      </wp:positionV>
                      <wp:extent cx="2542540" cy="0"/>
                      <wp:effectExtent l="0" t="0" r="0" b="0"/>
                      <wp:wrapNone/>
                      <wp:docPr id="1907415971" name="Conector recto 1"/>
                      <wp:cNvGraphicFramePr/>
                      <a:graphic xmlns:a="http://schemas.openxmlformats.org/drawingml/2006/main">
                        <a:graphicData uri="http://schemas.microsoft.com/office/word/2010/wordprocessingShape">
                          <wps:wsp>
                            <wps:cNvCnPr/>
                            <wps:spPr>
                              <a:xfrm>
                                <a:off x="0" y="0"/>
                                <a:ext cx="254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6BA07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55pt" to="24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4WsQEAANQDAAAOAAAAZHJzL2Uyb0RvYy54bWysU9tu2zAMfR/QfxD03sgJumEw4vShRfsy&#10;bMUuH6DKVCxAEgVJjZ2/H6UkdtENGDYMMG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" strokecolor="black [3213]" strokeweight=".5pt">
                      <v:stroke joinstyle="miter"/>
                    </v:line>
                  </w:pict>
                </mc:Fallback>
              </mc:AlternateContent>
            </w:r>
            <w:r w:rsidR="00756801" w:rsidRPr="00756801">
              <w:rPr>
                <w:rFonts w:ascii="Arial" w:hAnsi="Arial" w:cs="Arial"/>
                <w:b/>
                <w:bCs/>
                <w:lang w:val="es-EC" w:eastAsia="es-CR"/>
              </w:rPr>
              <w:t>Prueba t para la igualdad de medias</w:t>
            </w:r>
            <w:r w:rsidR="00756801" w:rsidRPr="00756801">
              <w:rPr>
                <w:rFonts w:ascii="Arial" w:hAnsi="Arial" w:cs="Arial"/>
                <w:lang w:eastAsia="es-CR"/>
              </w:rPr>
              <w:t> </w:t>
            </w:r>
          </w:p>
        </w:tc>
      </w:tr>
      <w:tr w:rsidR="00756801" w:rsidRPr="00756801" w14:paraId="65091F2C" w14:textId="77777777" w:rsidTr="004B13BC">
        <w:trPr>
          <w:gridAfter w:val="5"/>
          <w:wAfter w:w="3880" w:type="dxa"/>
          <w:trHeight w:val="540"/>
        </w:trPr>
        <w:tc>
          <w:tcPr>
            <w:tcW w:w="0" w:type="auto"/>
            <w:gridSpan w:val="2"/>
            <w:vMerge/>
            <w:vAlign w:val="center"/>
            <w:hideMark/>
          </w:tcPr>
          <w:p w14:paraId="73EEC13A" w14:textId="77777777" w:rsidR="00756801" w:rsidRPr="00756801" w:rsidRDefault="00756801" w:rsidP="00E02896">
            <w:pPr>
              <w:rPr>
                <w:lang w:eastAsia="es-CR"/>
              </w:rPr>
            </w:pPr>
          </w:p>
        </w:tc>
        <w:tc>
          <w:tcPr>
            <w:tcW w:w="721" w:type="dxa"/>
            <w:vMerge w:val="restart"/>
            <w:vAlign w:val="center"/>
            <w:hideMark/>
          </w:tcPr>
          <w:p w14:paraId="2977C582"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F</w:t>
            </w:r>
            <w:r w:rsidRPr="00756801">
              <w:rPr>
                <w:rFonts w:ascii="Arial" w:hAnsi="Arial" w:cs="Arial"/>
                <w:lang w:eastAsia="es-CR"/>
              </w:rPr>
              <w:t> </w:t>
            </w:r>
          </w:p>
        </w:tc>
        <w:tc>
          <w:tcPr>
            <w:tcW w:w="721" w:type="dxa"/>
            <w:vMerge w:val="restart"/>
            <w:vAlign w:val="center"/>
            <w:hideMark/>
          </w:tcPr>
          <w:p w14:paraId="72E0D46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Sig.</w:t>
            </w:r>
            <w:r w:rsidRPr="00756801">
              <w:rPr>
                <w:rFonts w:ascii="Arial" w:hAnsi="Arial" w:cs="Arial"/>
                <w:lang w:eastAsia="es-CR"/>
              </w:rPr>
              <w:t> </w:t>
            </w:r>
          </w:p>
        </w:tc>
        <w:tc>
          <w:tcPr>
            <w:tcW w:w="1037" w:type="dxa"/>
            <w:vMerge w:val="restart"/>
            <w:vAlign w:val="center"/>
            <w:hideMark/>
          </w:tcPr>
          <w:p w14:paraId="36408A5F"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t</w:t>
            </w:r>
            <w:r w:rsidRPr="00756801">
              <w:rPr>
                <w:rFonts w:ascii="Arial" w:hAnsi="Arial" w:cs="Arial"/>
                <w:lang w:eastAsia="es-CR"/>
              </w:rPr>
              <w:t> </w:t>
            </w:r>
          </w:p>
        </w:tc>
      </w:tr>
      <w:tr w:rsidR="00E02896" w:rsidRPr="00756801" w14:paraId="7E61D9E3" w14:textId="77777777" w:rsidTr="004B13BC">
        <w:trPr>
          <w:trHeight w:val="135"/>
        </w:trPr>
        <w:tc>
          <w:tcPr>
            <w:tcW w:w="0" w:type="auto"/>
            <w:gridSpan w:val="2"/>
            <w:vMerge/>
            <w:vAlign w:val="center"/>
          </w:tcPr>
          <w:p w14:paraId="06651031" w14:textId="77777777" w:rsidR="00E02896" w:rsidRPr="00756801" w:rsidRDefault="00E02896" w:rsidP="00E02896">
            <w:pPr>
              <w:rPr>
                <w:lang w:eastAsia="es-CR"/>
              </w:rPr>
            </w:pPr>
          </w:p>
        </w:tc>
        <w:tc>
          <w:tcPr>
            <w:tcW w:w="0" w:type="auto"/>
            <w:vMerge/>
            <w:vAlign w:val="center"/>
          </w:tcPr>
          <w:p w14:paraId="6E2ADAE6" w14:textId="77777777" w:rsidR="00E02896" w:rsidRPr="00756801" w:rsidRDefault="00E02896" w:rsidP="00E02896">
            <w:pPr>
              <w:rPr>
                <w:lang w:eastAsia="es-CR"/>
              </w:rPr>
            </w:pPr>
          </w:p>
        </w:tc>
        <w:tc>
          <w:tcPr>
            <w:tcW w:w="0" w:type="auto"/>
            <w:vMerge/>
            <w:vAlign w:val="center"/>
          </w:tcPr>
          <w:p w14:paraId="7D1CA51C" w14:textId="77777777" w:rsidR="00E02896" w:rsidRPr="00756801" w:rsidRDefault="00E02896" w:rsidP="00E02896">
            <w:pPr>
              <w:rPr>
                <w:lang w:eastAsia="es-CR"/>
              </w:rPr>
            </w:pPr>
          </w:p>
        </w:tc>
        <w:tc>
          <w:tcPr>
            <w:tcW w:w="0" w:type="auto"/>
            <w:vMerge/>
            <w:vAlign w:val="center"/>
          </w:tcPr>
          <w:p w14:paraId="4EF7113E" w14:textId="77777777" w:rsidR="00E02896" w:rsidRPr="00756801" w:rsidRDefault="00E02896" w:rsidP="00E02896">
            <w:pPr>
              <w:rPr>
                <w:lang w:eastAsia="es-CR"/>
              </w:rPr>
            </w:pPr>
          </w:p>
        </w:tc>
        <w:tc>
          <w:tcPr>
            <w:tcW w:w="707" w:type="dxa"/>
            <w:vAlign w:val="center"/>
          </w:tcPr>
          <w:p w14:paraId="775D4AEA" w14:textId="77777777" w:rsidR="00E02896" w:rsidRPr="00756801" w:rsidRDefault="00E02896" w:rsidP="00E02896">
            <w:pPr>
              <w:ind w:left="30" w:right="30"/>
              <w:jc w:val="center"/>
              <w:textAlignment w:val="baseline"/>
              <w:rPr>
                <w:rFonts w:ascii="Arial" w:hAnsi="Arial" w:cs="Arial"/>
                <w:b/>
                <w:bCs/>
                <w:lang w:val="es-EC" w:eastAsia="es-CR"/>
              </w:rPr>
            </w:pPr>
          </w:p>
        </w:tc>
        <w:tc>
          <w:tcPr>
            <w:tcW w:w="1143" w:type="dxa"/>
            <w:vAlign w:val="center"/>
          </w:tcPr>
          <w:p w14:paraId="510FF994" w14:textId="77777777" w:rsidR="00E02896" w:rsidRPr="00756801" w:rsidRDefault="00E02896" w:rsidP="00E02896">
            <w:pPr>
              <w:ind w:left="30" w:right="30"/>
              <w:jc w:val="center"/>
              <w:textAlignment w:val="baseline"/>
              <w:rPr>
                <w:rFonts w:ascii="Arial" w:hAnsi="Arial" w:cs="Arial"/>
                <w:b/>
                <w:bCs/>
                <w:lang w:val="es-EC" w:eastAsia="es-CR"/>
              </w:rPr>
            </w:pPr>
          </w:p>
        </w:tc>
        <w:tc>
          <w:tcPr>
            <w:tcW w:w="721" w:type="dxa"/>
            <w:vAlign w:val="center"/>
          </w:tcPr>
          <w:p w14:paraId="6CE6854B" w14:textId="77777777" w:rsidR="00E02896" w:rsidRPr="00756801" w:rsidRDefault="00E02896" w:rsidP="00E02896">
            <w:pPr>
              <w:ind w:left="30" w:right="30"/>
              <w:jc w:val="center"/>
              <w:textAlignment w:val="baseline"/>
              <w:rPr>
                <w:rFonts w:ascii="Arial" w:hAnsi="Arial" w:cs="Arial"/>
                <w:lang w:val="es-EC" w:eastAsia="es-CR"/>
              </w:rPr>
            </w:pPr>
          </w:p>
        </w:tc>
        <w:tc>
          <w:tcPr>
            <w:tcW w:w="588" w:type="dxa"/>
            <w:vAlign w:val="center"/>
          </w:tcPr>
          <w:p w14:paraId="629488FA" w14:textId="77777777" w:rsidR="00E02896" w:rsidRPr="00756801" w:rsidRDefault="00E02896" w:rsidP="00E02896">
            <w:pPr>
              <w:ind w:left="30" w:right="30"/>
              <w:jc w:val="center"/>
              <w:textAlignment w:val="baseline"/>
              <w:rPr>
                <w:rFonts w:ascii="Arial" w:hAnsi="Arial" w:cs="Arial"/>
                <w:lang w:val="es-EC" w:eastAsia="es-CR"/>
              </w:rPr>
            </w:pPr>
          </w:p>
        </w:tc>
        <w:tc>
          <w:tcPr>
            <w:tcW w:w="721" w:type="dxa"/>
            <w:vAlign w:val="center"/>
          </w:tcPr>
          <w:p w14:paraId="7757CD09" w14:textId="77777777" w:rsidR="00E02896" w:rsidRPr="00756801" w:rsidRDefault="00E02896" w:rsidP="00E02896">
            <w:pPr>
              <w:ind w:left="30" w:right="30"/>
              <w:jc w:val="center"/>
              <w:textAlignment w:val="baseline"/>
              <w:rPr>
                <w:rFonts w:ascii="Arial" w:hAnsi="Arial" w:cs="Arial"/>
                <w:lang w:val="es-EC" w:eastAsia="es-CR"/>
              </w:rPr>
            </w:pPr>
          </w:p>
        </w:tc>
      </w:tr>
      <w:tr w:rsidR="00756801" w:rsidRPr="00756801" w14:paraId="65F403AF" w14:textId="77777777" w:rsidTr="004B13BC">
        <w:trPr>
          <w:trHeight w:val="135"/>
        </w:trPr>
        <w:tc>
          <w:tcPr>
            <w:tcW w:w="0" w:type="auto"/>
            <w:gridSpan w:val="2"/>
            <w:vMerge/>
            <w:vAlign w:val="center"/>
            <w:hideMark/>
          </w:tcPr>
          <w:p w14:paraId="29FDD1D3" w14:textId="77777777" w:rsidR="00756801" w:rsidRPr="00756801" w:rsidRDefault="00756801" w:rsidP="00E02896">
            <w:pPr>
              <w:rPr>
                <w:lang w:eastAsia="es-CR"/>
              </w:rPr>
            </w:pPr>
          </w:p>
        </w:tc>
        <w:tc>
          <w:tcPr>
            <w:tcW w:w="0" w:type="auto"/>
            <w:vMerge/>
            <w:vAlign w:val="center"/>
            <w:hideMark/>
          </w:tcPr>
          <w:p w14:paraId="09674247" w14:textId="77777777" w:rsidR="00756801" w:rsidRPr="00756801" w:rsidRDefault="00756801" w:rsidP="00E02896">
            <w:pPr>
              <w:rPr>
                <w:lang w:eastAsia="es-CR"/>
              </w:rPr>
            </w:pPr>
          </w:p>
        </w:tc>
        <w:tc>
          <w:tcPr>
            <w:tcW w:w="0" w:type="auto"/>
            <w:vMerge/>
            <w:vAlign w:val="center"/>
            <w:hideMark/>
          </w:tcPr>
          <w:p w14:paraId="5966613A" w14:textId="77777777" w:rsidR="00756801" w:rsidRPr="00756801" w:rsidRDefault="00756801" w:rsidP="00E02896">
            <w:pPr>
              <w:rPr>
                <w:lang w:eastAsia="es-CR"/>
              </w:rPr>
            </w:pPr>
          </w:p>
        </w:tc>
        <w:tc>
          <w:tcPr>
            <w:tcW w:w="0" w:type="auto"/>
            <w:vMerge/>
            <w:vAlign w:val="center"/>
            <w:hideMark/>
          </w:tcPr>
          <w:p w14:paraId="47ACDA31" w14:textId="77777777" w:rsidR="00756801" w:rsidRPr="00756801" w:rsidRDefault="00756801" w:rsidP="00E02896">
            <w:pPr>
              <w:rPr>
                <w:lang w:eastAsia="es-CR"/>
              </w:rPr>
            </w:pPr>
          </w:p>
        </w:tc>
        <w:tc>
          <w:tcPr>
            <w:tcW w:w="707" w:type="dxa"/>
            <w:vMerge w:val="restart"/>
            <w:vAlign w:val="center"/>
            <w:hideMark/>
          </w:tcPr>
          <w:p w14:paraId="4D3B67C3"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Edad</w:t>
            </w:r>
            <w:r w:rsidRPr="00756801">
              <w:rPr>
                <w:rFonts w:ascii="Arial" w:hAnsi="Arial" w:cs="Arial"/>
                <w:lang w:eastAsia="es-CR"/>
              </w:rPr>
              <w:t> </w:t>
            </w:r>
          </w:p>
        </w:tc>
        <w:tc>
          <w:tcPr>
            <w:tcW w:w="1143" w:type="dxa"/>
            <w:vAlign w:val="center"/>
            <w:hideMark/>
          </w:tcPr>
          <w:p w14:paraId="7B087522"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Se asumen varianzas iguales</w:t>
            </w:r>
            <w:r w:rsidRPr="00756801">
              <w:rPr>
                <w:rFonts w:ascii="Arial" w:hAnsi="Arial" w:cs="Arial"/>
                <w:lang w:eastAsia="es-CR"/>
              </w:rPr>
              <w:t> </w:t>
            </w:r>
          </w:p>
        </w:tc>
        <w:tc>
          <w:tcPr>
            <w:tcW w:w="721" w:type="dxa"/>
            <w:vAlign w:val="center"/>
            <w:hideMark/>
          </w:tcPr>
          <w:p w14:paraId="0E829CA1"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1,006</w:t>
            </w:r>
            <w:r w:rsidRPr="00756801">
              <w:rPr>
                <w:rFonts w:ascii="Arial" w:hAnsi="Arial" w:cs="Arial"/>
                <w:lang w:eastAsia="es-CR"/>
              </w:rPr>
              <w:t> </w:t>
            </w:r>
          </w:p>
        </w:tc>
        <w:tc>
          <w:tcPr>
            <w:tcW w:w="588" w:type="dxa"/>
            <w:vAlign w:val="center"/>
            <w:hideMark/>
          </w:tcPr>
          <w:p w14:paraId="43BF88F5"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,317</w:t>
            </w:r>
            <w:r w:rsidRPr="00756801">
              <w:rPr>
                <w:rFonts w:ascii="Arial" w:hAnsi="Arial" w:cs="Arial"/>
                <w:lang w:eastAsia="es-CR"/>
              </w:rPr>
              <w:t> </w:t>
            </w:r>
          </w:p>
        </w:tc>
        <w:tc>
          <w:tcPr>
            <w:tcW w:w="721" w:type="dxa"/>
            <w:vAlign w:val="center"/>
            <w:hideMark/>
          </w:tcPr>
          <w:p w14:paraId="25F5E8E3"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1,849</w:t>
            </w:r>
            <w:r w:rsidRPr="00756801">
              <w:rPr>
                <w:rFonts w:ascii="Arial" w:hAnsi="Arial" w:cs="Arial"/>
                <w:lang w:eastAsia="es-CR"/>
              </w:rPr>
              <w:t> </w:t>
            </w:r>
          </w:p>
        </w:tc>
      </w:tr>
      <w:tr w:rsidR="00756801" w:rsidRPr="00756801" w14:paraId="3D2FA687" w14:textId="77777777" w:rsidTr="004B13BC">
        <w:trPr>
          <w:trHeight w:val="135"/>
        </w:trPr>
        <w:tc>
          <w:tcPr>
            <w:tcW w:w="1287" w:type="dxa"/>
            <w:vAlign w:val="center"/>
            <w:hideMark/>
          </w:tcPr>
          <w:p w14:paraId="5D3E4BC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No se asumen varianzas iguales</w:t>
            </w:r>
            <w:r w:rsidRPr="00756801">
              <w:rPr>
                <w:rFonts w:ascii="Arial" w:hAnsi="Arial" w:cs="Arial"/>
                <w:lang w:eastAsia="es-CR"/>
              </w:rPr>
              <w:t> </w:t>
            </w:r>
          </w:p>
        </w:tc>
        <w:tc>
          <w:tcPr>
            <w:tcW w:w="1143" w:type="dxa"/>
            <w:vAlign w:val="center"/>
            <w:hideMark/>
          </w:tcPr>
          <w:p w14:paraId="39ED1CA1"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vAlign w:val="center"/>
            <w:hideMark/>
          </w:tcPr>
          <w:p w14:paraId="58702D72"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vAlign w:val="center"/>
            <w:hideMark/>
          </w:tcPr>
          <w:p w14:paraId="628C49E6"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1,673</w:t>
            </w:r>
            <w:r w:rsidRPr="00756801">
              <w:rPr>
                <w:rFonts w:ascii="Arial" w:hAnsi="Arial" w:cs="Arial"/>
                <w:lang w:eastAsia="es-CR"/>
              </w:rPr>
              <w:t> </w:t>
            </w:r>
          </w:p>
        </w:tc>
        <w:tc>
          <w:tcPr>
            <w:tcW w:w="0" w:type="auto"/>
            <w:vAlign w:val="center"/>
            <w:hideMark/>
          </w:tcPr>
          <w:p w14:paraId="3AFBF471" w14:textId="77777777" w:rsidR="00756801" w:rsidRPr="00756801" w:rsidRDefault="00756801" w:rsidP="00E02896">
            <w:pPr>
              <w:rPr>
                <w:sz w:val="20"/>
                <w:szCs w:val="20"/>
                <w:lang w:eastAsia="es-CR"/>
              </w:rPr>
            </w:pPr>
          </w:p>
        </w:tc>
        <w:tc>
          <w:tcPr>
            <w:tcW w:w="0" w:type="auto"/>
            <w:vMerge/>
            <w:vAlign w:val="center"/>
            <w:hideMark/>
          </w:tcPr>
          <w:p w14:paraId="6EDD5E80" w14:textId="77777777" w:rsidR="00756801" w:rsidRPr="00756801" w:rsidRDefault="00756801" w:rsidP="00E02896">
            <w:pPr>
              <w:rPr>
                <w:lang w:eastAsia="es-CR"/>
              </w:rPr>
            </w:pPr>
          </w:p>
        </w:tc>
        <w:tc>
          <w:tcPr>
            <w:tcW w:w="0" w:type="auto"/>
            <w:vAlign w:val="center"/>
            <w:hideMark/>
          </w:tcPr>
          <w:p w14:paraId="3D7F5155" w14:textId="77777777" w:rsidR="00756801" w:rsidRPr="00756801" w:rsidRDefault="00756801" w:rsidP="00E02896">
            <w:pPr>
              <w:rPr>
                <w:sz w:val="20"/>
                <w:szCs w:val="20"/>
                <w:lang w:eastAsia="es-CR"/>
              </w:rPr>
            </w:pPr>
          </w:p>
        </w:tc>
        <w:tc>
          <w:tcPr>
            <w:tcW w:w="0" w:type="auto"/>
            <w:vAlign w:val="center"/>
            <w:hideMark/>
          </w:tcPr>
          <w:p w14:paraId="585FF508" w14:textId="77777777" w:rsidR="00756801" w:rsidRPr="00756801" w:rsidRDefault="00756801" w:rsidP="00E02896">
            <w:pPr>
              <w:rPr>
                <w:sz w:val="20"/>
                <w:szCs w:val="20"/>
                <w:lang w:eastAsia="es-CR"/>
              </w:rPr>
            </w:pPr>
          </w:p>
        </w:tc>
        <w:tc>
          <w:tcPr>
            <w:tcW w:w="0" w:type="auto"/>
            <w:vAlign w:val="center"/>
            <w:hideMark/>
          </w:tcPr>
          <w:p w14:paraId="744814DC" w14:textId="77777777" w:rsidR="00756801" w:rsidRPr="00756801" w:rsidRDefault="00756801" w:rsidP="00E02896">
            <w:pPr>
              <w:rPr>
                <w:sz w:val="20"/>
                <w:szCs w:val="20"/>
                <w:lang w:eastAsia="es-CR"/>
              </w:rPr>
            </w:pPr>
          </w:p>
        </w:tc>
        <w:tc>
          <w:tcPr>
            <w:tcW w:w="0" w:type="auto"/>
            <w:vAlign w:val="center"/>
            <w:hideMark/>
          </w:tcPr>
          <w:p w14:paraId="0C553DC7" w14:textId="77777777" w:rsidR="00756801" w:rsidRPr="00756801" w:rsidRDefault="00756801" w:rsidP="00E02896">
            <w:pPr>
              <w:rPr>
                <w:sz w:val="20"/>
                <w:szCs w:val="20"/>
                <w:lang w:eastAsia="es-CR"/>
              </w:rPr>
            </w:pPr>
          </w:p>
        </w:tc>
      </w:tr>
      <w:tr w:rsidR="00756801" w:rsidRPr="00756801" w14:paraId="18504DD9" w14:textId="77777777" w:rsidTr="004B13BC">
        <w:trPr>
          <w:trHeight w:val="135"/>
        </w:trPr>
        <w:tc>
          <w:tcPr>
            <w:tcW w:w="1287" w:type="dxa"/>
            <w:vMerge w:val="restart"/>
            <w:vAlign w:val="center"/>
            <w:hideMark/>
          </w:tcPr>
          <w:p w14:paraId="68145B76"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Promedio académico del último nivel aprobado en la carrera</w:t>
            </w:r>
            <w:r w:rsidRPr="00756801">
              <w:rPr>
                <w:rFonts w:ascii="Arial" w:hAnsi="Arial" w:cs="Arial"/>
                <w:lang w:eastAsia="es-CR"/>
              </w:rPr>
              <w:t> </w:t>
            </w:r>
          </w:p>
        </w:tc>
        <w:tc>
          <w:tcPr>
            <w:tcW w:w="1143" w:type="dxa"/>
            <w:vAlign w:val="center"/>
            <w:hideMark/>
          </w:tcPr>
          <w:p w14:paraId="7005B693"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Se asumen varianzas iguales</w:t>
            </w:r>
            <w:r w:rsidRPr="00756801">
              <w:rPr>
                <w:rFonts w:ascii="Arial" w:hAnsi="Arial" w:cs="Arial"/>
                <w:lang w:eastAsia="es-CR"/>
              </w:rPr>
              <w:t> </w:t>
            </w:r>
          </w:p>
        </w:tc>
        <w:tc>
          <w:tcPr>
            <w:tcW w:w="721" w:type="dxa"/>
            <w:vAlign w:val="center"/>
            <w:hideMark/>
          </w:tcPr>
          <w:p w14:paraId="263A1725"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2,000</w:t>
            </w:r>
            <w:r w:rsidRPr="00756801">
              <w:rPr>
                <w:rFonts w:ascii="Arial" w:hAnsi="Arial" w:cs="Arial"/>
                <w:lang w:eastAsia="es-CR"/>
              </w:rPr>
              <w:t> </w:t>
            </w:r>
          </w:p>
        </w:tc>
        <w:tc>
          <w:tcPr>
            <w:tcW w:w="721" w:type="dxa"/>
            <w:vAlign w:val="center"/>
            <w:hideMark/>
          </w:tcPr>
          <w:p w14:paraId="1D96B618"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,158</w:t>
            </w:r>
            <w:r w:rsidRPr="00756801">
              <w:rPr>
                <w:rFonts w:ascii="Arial" w:hAnsi="Arial" w:cs="Arial"/>
                <w:lang w:eastAsia="es-CR"/>
              </w:rPr>
              <w:t> </w:t>
            </w:r>
          </w:p>
        </w:tc>
        <w:tc>
          <w:tcPr>
            <w:tcW w:w="1037" w:type="dxa"/>
            <w:vAlign w:val="center"/>
            <w:hideMark/>
          </w:tcPr>
          <w:p w14:paraId="39D46D6B"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2,922</w:t>
            </w:r>
            <w:r w:rsidRPr="00756801">
              <w:rPr>
                <w:rFonts w:ascii="Arial" w:hAnsi="Arial" w:cs="Arial"/>
                <w:lang w:eastAsia="es-CR"/>
              </w:rPr>
              <w:t> </w:t>
            </w:r>
          </w:p>
        </w:tc>
        <w:tc>
          <w:tcPr>
            <w:tcW w:w="0" w:type="auto"/>
            <w:vAlign w:val="center"/>
            <w:hideMark/>
          </w:tcPr>
          <w:p w14:paraId="25766C47" w14:textId="77777777" w:rsidR="00756801" w:rsidRPr="00756801" w:rsidRDefault="00756801" w:rsidP="00E02896">
            <w:pPr>
              <w:rPr>
                <w:sz w:val="20"/>
                <w:szCs w:val="20"/>
                <w:lang w:eastAsia="es-CR"/>
              </w:rPr>
            </w:pPr>
          </w:p>
        </w:tc>
        <w:tc>
          <w:tcPr>
            <w:tcW w:w="0" w:type="auto"/>
            <w:vAlign w:val="center"/>
            <w:hideMark/>
          </w:tcPr>
          <w:p w14:paraId="4B24A16E" w14:textId="77777777" w:rsidR="00756801" w:rsidRPr="00756801" w:rsidRDefault="00756801" w:rsidP="00E02896">
            <w:pPr>
              <w:rPr>
                <w:sz w:val="20"/>
                <w:szCs w:val="20"/>
                <w:lang w:eastAsia="es-CR"/>
              </w:rPr>
            </w:pPr>
          </w:p>
        </w:tc>
        <w:tc>
          <w:tcPr>
            <w:tcW w:w="0" w:type="auto"/>
            <w:vAlign w:val="center"/>
            <w:hideMark/>
          </w:tcPr>
          <w:p w14:paraId="5751D74B" w14:textId="77777777" w:rsidR="00756801" w:rsidRPr="00756801" w:rsidRDefault="00756801" w:rsidP="00E02896">
            <w:pPr>
              <w:rPr>
                <w:sz w:val="20"/>
                <w:szCs w:val="20"/>
                <w:lang w:eastAsia="es-CR"/>
              </w:rPr>
            </w:pPr>
          </w:p>
        </w:tc>
        <w:tc>
          <w:tcPr>
            <w:tcW w:w="0" w:type="auto"/>
            <w:vAlign w:val="center"/>
            <w:hideMark/>
          </w:tcPr>
          <w:p w14:paraId="79BD4C62" w14:textId="77777777" w:rsidR="00756801" w:rsidRPr="00756801" w:rsidRDefault="00756801" w:rsidP="00E02896">
            <w:pPr>
              <w:rPr>
                <w:sz w:val="20"/>
                <w:szCs w:val="20"/>
                <w:lang w:eastAsia="es-CR"/>
              </w:rPr>
            </w:pPr>
          </w:p>
        </w:tc>
        <w:tc>
          <w:tcPr>
            <w:tcW w:w="0" w:type="auto"/>
            <w:vAlign w:val="center"/>
            <w:hideMark/>
          </w:tcPr>
          <w:p w14:paraId="6E283A45" w14:textId="77777777" w:rsidR="00756801" w:rsidRPr="00756801" w:rsidRDefault="00756801" w:rsidP="00E02896">
            <w:pPr>
              <w:rPr>
                <w:sz w:val="20"/>
                <w:szCs w:val="20"/>
                <w:lang w:eastAsia="es-CR"/>
              </w:rPr>
            </w:pPr>
          </w:p>
        </w:tc>
      </w:tr>
      <w:tr w:rsidR="00756801" w:rsidRPr="00756801" w14:paraId="0A2FE896" w14:textId="77777777" w:rsidTr="004B13BC">
        <w:trPr>
          <w:trHeight w:val="135"/>
        </w:trPr>
        <w:tc>
          <w:tcPr>
            <w:tcW w:w="0" w:type="auto"/>
            <w:vMerge/>
            <w:tcBorders>
              <w:bottom w:val="single" w:sz="4" w:space="0" w:color="auto"/>
            </w:tcBorders>
            <w:vAlign w:val="center"/>
            <w:hideMark/>
          </w:tcPr>
          <w:p w14:paraId="5BC73D25" w14:textId="77777777" w:rsidR="00756801" w:rsidRPr="00756801" w:rsidRDefault="00756801" w:rsidP="00E02896">
            <w:pPr>
              <w:rPr>
                <w:lang w:eastAsia="es-CR"/>
              </w:rPr>
            </w:pPr>
          </w:p>
        </w:tc>
        <w:tc>
          <w:tcPr>
            <w:tcW w:w="1143" w:type="dxa"/>
            <w:tcBorders>
              <w:bottom w:val="single" w:sz="4" w:space="0" w:color="auto"/>
            </w:tcBorders>
            <w:vAlign w:val="center"/>
            <w:hideMark/>
          </w:tcPr>
          <w:p w14:paraId="0581A0F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No se asumen varianzas iguales</w:t>
            </w:r>
            <w:r w:rsidRPr="00756801">
              <w:rPr>
                <w:rFonts w:ascii="Arial" w:hAnsi="Arial" w:cs="Arial"/>
                <w:lang w:eastAsia="es-CR"/>
              </w:rPr>
              <w:t> </w:t>
            </w:r>
          </w:p>
        </w:tc>
        <w:tc>
          <w:tcPr>
            <w:tcW w:w="721" w:type="dxa"/>
            <w:tcBorders>
              <w:bottom w:val="single" w:sz="4" w:space="0" w:color="auto"/>
            </w:tcBorders>
            <w:vAlign w:val="center"/>
            <w:hideMark/>
          </w:tcPr>
          <w:p w14:paraId="5907F1A0"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tcBorders>
              <w:bottom w:val="single" w:sz="4" w:space="0" w:color="auto"/>
            </w:tcBorders>
            <w:vAlign w:val="center"/>
            <w:hideMark/>
          </w:tcPr>
          <w:p w14:paraId="20CD6A2F"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1037" w:type="dxa"/>
            <w:tcBorders>
              <w:bottom w:val="single" w:sz="4" w:space="0" w:color="auto"/>
            </w:tcBorders>
            <w:vAlign w:val="center"/>
            <w:hideMark/>
          </w:tcPr>
          <w:p w14:paraId="036F4580"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2,678</w:t>
            </w:r>
            <w:r w:rsidRPr="00756801">
              <w:rPr>
                <w:rFonts w:ascii="Arial" w:hAnsi="Arial" w:cs="Arial"/>
                <w:lang w:eastAsia="es-CR"/>
              </w:rPr>
              <w:t> </w:t>
            </w:r>
          </w:p>
        </w:tc>
        <w:tc>
          <w:tcPr>
            <w:tcW w:w="0" w:type="auto"/>
            <w:tcBorders>
              <w:bottom w:val="single" w:sz="4" w:space="0" w:color="auto"/>
            </w:tcBorders>
            <w:vAlign w:val="center"/>
            <w:hideMark/>
          </w:tcPr>
          <w:p w14:paraId="5EC9EA5C"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0330A15E"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7BAB53BC"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76B8432A"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15F59A5F" w14:textId="77777777" w:rsidR="00756801" w:rsidRPr="00756801" w:rsidRDefault="00756801" w:rsidP="00E02896">
            <w:pPr>
              <w:rPr>
                <w:sz w:val="20"/>
                <w:szCs w:val="20"/>
                <w:lang w:eastAsia="es-CR"/>
              </w:rPr>
            </w:pPr>
          </w:p>
        </w:tc>
      </w:tr>
    </w:tbl>
    <w:p w14:paraId="64A94D41" w14:textId="77777777" w:rsidR="004B13BC" w:rsidRDefault="004B13BC" w:rsidP="00756801">
      <w:pPr>
        <w:spacing w:line="360" w:lineRule="auto"/>
        <w:jc w:val="both"/>
        <w:textAlignment w:val="baseline"/>
        <w:rPr>
          <w:rFonts w:ascii="Arial" w:hAnsi="Arial" w:cs="Arial"/>
          <w:lang w:val="es-EC" w:eastAsia="es-CR"/>
        </w:rPr>
      </w:pPr>
    </w:p>
    <w:p w14:paraId="6AFA6D33" w14:textId="3156A94A"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El análisis también aborda la percepción de dificultades atencionales. La Figura 2 muestra que el estudiantado con TDAH reporta con mayor frecuencia problemas para concentrarse en clases y en actividades académicas. </w:t>
      </w:r>
      <w:r w:rsidRPr="00756801">
        <w:rPr>
          <w:rFonts w:ascii="Arial" w:hAnsi="Arial" w:cs="Arial"/>
          <w:lang w:eastAsia="es-CR"/>
        </w:rPr>
        <w:t> </w:t>
      </w:r>
    </w:p>
    <w:p w14:paraId="29204586" w14:textId="77777777" w:rsidR="003B5F55" w:rsidRDefault="003B5F55" w:rsidP="00756801">
      <w:pPr>
        <w:spacing w:line="360" w:lineRule="auto"/>
        <w:textAlignment w:val="baseline"/>
        <w:rPr>
          <w:rFonts w:ascii="Arial" w:hAnsi="Arial" w:cs="Arial"/>
          <w:b/>
          <w:bCs/>
          <w:lang w:val="es-EC" w:eastAsia="es-CR"/>
        </w:rPr>
      </w:pPr>
    </w:p>
    <w:p w14:paraId="243C2BE6" w14:textId="4B66202F"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Figura 2</w:t>
      </w:r>
      <w:r w:rsidRPr="00756801">
        <w:rPr>
          <w:rFonts w:ascii="Arial" w:hAnsi="Arial" w:cs="Arial"/>
          <w:lang w:eastAsia="es-CR"/>
        </w:rPr>
        <w:t> </w:t>
      </w:r>
    </w:p>
    <w:p w14:paraId="336CDF76"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Frecuencia de dificultades de concentración en clases o actividades académicas según diagnóstico de TDAH</w:t>
      </w:r>
      <w:r w:rsidRPr="00756801">
        <w:rPr>
          <w:rFonts w:ascii="Arial" w:hAnsi="Arial" w:cs="Arial"/>
          <w:lang w:eastAsia="es-CR"/>
        </w:rPr>
        <w:t> </w:t>
      </w:r>
    </w:p>
    <w:p w14:paraId="72C58197"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noProof/>
        </w:rPr>
        <w:drawing>
          <wp:inline distT="0" distB="0" distL="0" distR="0" wp14:anchorId="07DA0A14" wp14:editId="65D2DEF5">
            <wp:extent cx="3219450" cy="2980972"/>
            <wp:effectExtent l="0" t="0" r="0" b="0"/>
            <wp:docPr id="4" name="Imagen 4" descr="C:\Users\micastro\AppData\Local\Microsoft\Windows\INetCache\Content.MSO\21B015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21B015F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6757" cy="2987738"/>
                    </a:xfrm>
                    <a:prstGeom prst="rect">
                      <a:avLst/>
                    </a:prstGeom>
                    <a:noFill/>
                    <a:ln>
                      <a:noFill/>
                    </a:ln>
                  </pic:spPr>
                </pic:pic>
              </a:graphicData>
            </a:graphic>
          </wp:inline>
        </w:drawing>
      </w:r>
      <w:r w:rsidRPr="00756801">
        <w:rPr>
          <w:lang w:eastAsia="es-CR"/>
        </w:rPr>
        <w:t> </w:t>
      </w:r>
      <w:r w:rsidRPr="00756801">
        <w:rPr>
          <w:lang w:eastAsia="es-CR"/>
        </w:rPr>
        <w:br/>
      </w:r>
      <w:r w:rsidRPr="00756801">
        <w:rPr>
          <w:rFonts w:ascii="Arial" w:hAnsi="Arial" w:cs="Arial"/>
          <w:lang w:eastAsia="es-CR"/>
        </w:rPr>
        <w:t> </w:t>
      </w:r>
    </w:p>
    <w:p w14:paraId="1E0961E3" w14:textId="6BEC6F74"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Esta diferencia es confirmada estadísticamente mediante la prueba U de Mann-Whitney, con un valor de U = 6438.00 y una significancia bilateral de p = 0.014. En </w:t>
      </w:r>
      <w:r w:rsidRPr="00756801">
        <w:rPr>
          <w:rFonts w:ascii="Arial" w:hAnsi="Arial" w:cs="Arial"/>
          <w:lang w:val="es-EC" w:eastAsia="es-CR"/>
        </w:rPr>
        <w:lastRenderedPageBreak/>
        <w:t>conjunto, estos resultados sugieren que el estudiantado con TDAH presenta, en promedio, mayores desafíos en el rendimiento académico en comparación con quienes no lo presentan, así como dificultades en aspectos como la organización, la atención sostenida y el avance regular en la carrera.</w:t>
      </w:r>
      <w:r w:rsidRPr="00756801">
        <w:rPr>
          <w:rFonts w:ascii="Arial" w:hAnsi="Arial" w:cs="Arial"/>
          <w:lang w:eastAsia="es-CR"/>
        </w:rPr>
        <w:t> </w:t>
      </w:r>
    </w:p>
    <w:p w14:paraId="687CA8AE"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68FD07D2"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Discusión </w:t>
      </w:r>
      <w:r w:rsidRPr="00756801">
        <w:rPr>
          <w:rFonts w:ascii="Arial" w:hAnsi="Arial" w:cs="Arial"/>
          <w:lang w:eastAsia="es-CR"/>
        </w:rPr>
        <w:t> </w:t>
      </w:r>
    </w:p>
    <w:p w14:paraId="4E21F2A2"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Los hallazgos de este estudio evidencian una asociación entre el diagnóstico de TDAH y el rendimiento académico en el estudiantado de la carrera de Fisioterapia. De las muestras analizadas (n = 324), el 11,1% (n = 36) reporta un diagnóstico clínico confirmado de TDAH. De este grupo, el 16,7% (n = 6) indicó recibir algún tipo de tratamiento (farmacológico, psicológico o combinado), mientras que el 83,3% (n = 30) no contaba con apoyo profesional. Esta proporción es consistente con lo reportado en la literatura, donde se señala que solo entre el 10% y el 25% de personas adultas con TDAH accede a un diagnóstico y tratamiento adecuados (Ayano et al., 2023). </w:t>
      </w:r>
      <w:r w:rsidRPr="00756801">
        <w:rPr>
          <w:rFonts w:ascii="Arial" w:hAnsi="Arial" w:cs="Arial"/>
          <w:lang w:eastAsia="es-CR"/>
        </w:rPr>
        <w:t> </w:t>
      </w:r>
    </w:p>
    <w:p w14:paraId="0C081EFA"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0766078C"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Desde el punto de vista cuantitativo, el estudiantado con diagnóstico de TDAH presentará un promedio académico menor (media = 2.56; DE = 0.809) que sus pares sin diagnóstico (media = 2.18; DE = 0.723), diferencia que es confirmada por la prueba t de </w:t>
      </w:r>
      <w:r w:rsidRPr="00756801">
        <w:rPr>
          <w:rFonts w:ascii="Arial" w:hAnsi="Arial" w:cs="Arial"/>
          <w:i/>
          <w:iCs/>
          <w:lang w:val="es-EC" w:eastAsia="es-CR"/>
        </w:rPr>
        <w:t>Student</w:t>
      </w:r>
      <w:r w:rsidRPr="00756801">
        <w:rPr>
          <w:rFonts w:ascii="Arial" w:hAnsi="Arial" w:cs="Arial"/>
          <w:lang w:val="es-EC" w:eastAsia="es-CR"/>
        </w:rPr>
        <w:t xml:space="preserve">, estadísticamente significativa (t = 2.922; p = 0.004). Asimismo, una mayor proporción del estudiantado con TDAH reporta haber repetido al menos un semestre 36.1% (n = 13), en comparación con el 19.1 % (n = 55) sin </w:t>
      </w:r>
      <w:r w:rsidRPr="00756801">
        <w:rPr>
          <w:rFonts w:ascii="Arial" w:hAnsi="Arial" w:cs="Arial"/>
          <w:lang w:val="es-EC" w:eastAsia="es-CR"/>
        </w:rPr>
        <w:lastRenderedPageBreak/>
        <w:t>diagnóstico (χ² = 5.586; p = 0.018). Estos resultados sugieren la presencia de mayores desafíos académicos en este grupo; sin embargo, es importante destacar que el estudiantado con TDAH continúa avanzando en su trayectoria formativa, lo que evidencia que el diagnóstico no determina de manera absoluta el desempeño académico ni el logro profesional.</w:t>
      </w:r>
      <w:r w:rsidRPr="00756801">
        <w:rPr>
          <w:rFonts w:ascii="Arial" w:hAnsi="Arial" w:cs="Arial"/>
          <w:lang w:eastAsia="es-CR"/>
        </w:rPr>
        <w:t> </w:t>
      </w:r>
    </w:p>
    <w:p w14:paraId="42D650FA"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703C3F67"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este sentido, el impacto no se limita a las calificaciones, sino que también puede manifestarse en trayectorias académicas más irregulares, mayor necesidad de repetición de asignaturas y desafíos en la organización del estudio, particularmente en entornos académicos que no contemplan la diversidad de necesidades de aprendizaje. No obstante, estos resultados deben interpretarse considerando múltiples factores, tanto individuales como contextuales, incluyendo el desempeño académico.</w:t>
      </w:r>
      <w:r w:rsidRPr="00756801">
        <w:rPr>
          <w:rFonts w:ascii="Arial" w:hAnsi="Arial" w:cs="Arial"/>
          <w:lang w:eastAsia="es-CR"/>
        </w:rPr>
        <w:t> </w:t>
      </w:r>
    </w:p>
    <w:p w14:paraId="58571CEB"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2593F70"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relación con las dificultades reportadas por el estudiantado (concentración, organización y seguimiento de instrucciones), es importante señalar que estas son frecuentes en la muestra total, y no exclusivamente en quienes presentan diagnóstico de TDAH; por lo tanto, no es posible atribuir dichas dificultades únicamente a esta condición, más bien estos hallazgos sugieren que dichas experiencias forman parte de desafíos comunes en el contexto universitario, particularmente en carreras con alta exigencia académica como Fisioterapia.</w:t>
      </w:r>
      <w:r w:rsidRPr="00756801">
        <w:rPr>
          <w:rFonts w:ascii="Arial" w:hAnsi="Arial" w:cs="Arial"/>
          <w:lang w:eastAsia="es-CR"/>
        </w:rPr>
        <w:t> </w:t>
      </w:r>
    </w:p>
    <w:p w14:paraId="2F66E3AD"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44E3909E"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lastRenderedPageBreak/>
        <w:t>Asimismo, los resultados cuantitativos muestran que el estudiantado con TDAH reporta con mayor frecuencia dificultades de concentración en comparación con sus pares, lo cual coincide con lo descrito en la literatura </w:t>
      </w:r>
      <w:r w:rsidRPr="00756801">
        <w:rPr>
          <w:rFonts w:ascii="Arial" w:hAnsi="Arial" w:cs="Arial"/>
          <w:color w:val="000000"/>
          <w:lang w:val="es-EC" w:eastAsia="es-CR"/>
        </w:rPr>
        <w:t>(Henning et al., 2021). </w:t>
      </w:r>
      <w:r w:rsidRPr="00756801">
        <w:rPr>
          <w:rFonts w:ascii="Arial" w:hAnsi="Arial" w:cs="Arial"/>
          <w:lang w:val="es-EC" w:eastAsia="es-CR"/>
        </w:rPr>
        <w:t>Sin embargo, es importante evitar generalizaciones que asocien de manera directa estas dificultades con el diagnóstico, reconociendo la heterogeneidad en las experiencias y capacidades del estudiantado.</w:t>
      </w:r>
      <w:r w:rsidRPr="00756801">
        <w:rPr>
          <w:rFonts w:ascii="Arial" w:hAnsi="Arial" w:cs="Arial"/>
          <w:lang w:eastAsia="es-CR"/>
        </w:rPr>
        <w:t> </w:t>
      </w:r>
    </w:p>
    <w:p w14:paraId="43230491"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692FCA93"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la formación en Fisioterapia, las exigencias académicas y prácticas requieren la aplicación de conocimientos teóricos en entornos clínicos, lo que puede representar un reto para el estudiantado, particularmente en contextos educativos que no contemplan la diversidad de formas de aprendizaje ni garantizan apoyos académicos adecuados. En este sentido, más que atribuir esas dificultades a características individuales, resulta relevante considerar el papel del entorno educativo, las metodologías de enseñanza y la disponibilidad de apoyos institucionales. Estudios previos destacan que la falta de ajustes razonables, el estigma y las barreras estructurales pueden influir en la experiencia académica </w:t>
      </w:r>
      <w:r w:rsidRPr="00756801">
        <w:rPr>
          <w:rFonts w:ascii="Arial" w:hAnsi="Arial" w:cs="Arial"/>
          <w:color w:val="000000"/>
          <w:lang w:val="es-EC" w:eastAsia="es-CR"/>
        </w:rPr>
        <w:t>(Godfrey-Harris &amp; Shaw, 2023</w:t>
      </w:r>
      <w:r w:rsidRPr="00756801">
        <w:rPr>
          <w:rFonts w:ascii="Arial" w:hAnsi="Arial" w:cs="Arial"/>
          <w:lang w:val="es-EC" w:eastAsia="es-CR"/>
        </w:rPr>
        <w:t>; </w:t>
      </w:r>
      <w:proofErr w:type="spellStart"/>
      <w:r w:rsidRPr="00756801">
        <w:rPr>
          <w:rFonts w:ascii="Arial" w:hAnsi="Arial" w:cs="Arial"/>
          <w:lang w:val="es-EC" w:eastAsia="es-CR"/>
        </w:rPr>
        <w:t>Dalwood</w:t>
      </w:r>
      <w:proofErr w:type="spellEnd"/>
      <w:r w:rsidRPr="00756801">
        <w:rPr>
          <w:rFonts w:ascii="Arial" w:hAnsi="Arial" w:cs="Arial"/>
          <w:lang w:val="es-EC" w:eastAsia="es-CR"/>
        </w:rPr>
        <w:t> et al., 2018</w:t>
      </w:r>
      <w:r w:rsidRPr="00756801">
        <w:rPr>
          <w:rFonts w:ascii="Arial" w:hAnsi="Arial" w:cs="Arial"/>
          <w:color w:val="000000"/>
          <w:lang w:val="es-EC" w:eastAsia="es-CR"/>
        </w:rPr>
        <w:t>)</w:t>
      </w:r>
      <w:r w:rsidRPr="00756801">
        <w:rPr>
          <w:rFonts w:ascii="Arial" w:hAnsi="Arial" w:cs="Arial"/>
          <w:lang w:val="es-EC" w:eastAsia="es-CR"/>
        </w:rPr>
        <w:t>.</w:t>
      </w:r>
      <w:r w:rsidRPr="00756801">
        <w:rPr>
          <w:rFonts w:ascii="Arial" w:hAnsi="Arial" w:cs="Arial"/>
          <w:lang w:eastAsia="es-CR"/>
        </w:rPr>
        <w:t> </w:t>
      </w:r>
    </w:p>
    <w:p w14:paraId="2698D06D"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697B46B0"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Además, la baja proporción del estudiantado que recibe apoyo profesional evidencia posibles barreras en el acceso a servicios de salud y acompañamiento académico. En la muestra analizada, de las 36 personas participantes con diagnóstico confirmado de TDAH, solo una minoría reporta recibir algún tipo de </w:t>
      </w:r>
      <w:r w:rsidRPr="00756801">
        <w:rPr>
          <w:rFonts w:ascii="Arial" w:hAnsi="Arial" w:cs="Arial"/>
          <w:lang w:val="es-EC" w:eastAsia="es-CR"/>
        </w:rPr>
        <w:lastRenderedPageBreak/>
        <w:t>apoyo: el 2,8% tratamiento combinado (psicológico y farmacológico), el 5,6% tratamiento exclusivamente farmacológico y el 8,3% apoyo psicológico, mientras que el 83,3% restante no cuenta con ningún tipo de apoyo profesional. Estos hallazgos sugieren la existencia de limitaciones en el acceso o en la continuidad de los servicios, lo que podría influir en la experiencia académica de este grupo.</w:t>
      </w:r>
      <w:r w:rsidRPr="00756801">
        <w:rPr>
          <w:rFonts w:ascii="Arial" w:hAnsi="Arial" w:cs="Arial"/>
          <w:lang w:eastAsia="es-CR"/>
        </w:rPr>
        <w:t> </w:t>
      </w:r>
    </w:p>
    <w:p w14:paraId="17853126"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3953AD3F"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este contexto, cuando se hace referencia a “deterioro funcional”, se alude a dificultades en el desempeño de actividades académicas cotidianas, como la gestión del tiempo, la organización de tareas o el manejo del estrés, más que a una limitación permanente o generalizada. Esto resalta la importancia de promover estrategias de apoyo oportunas que favorecen el bienestar y el desempeño académico del estudiantado </w:t>
      </w:r>
      <w:r w:rsidRPr="00756801">
        <w:rPr>
          <w:rFonts w:ascii="Arial" w:hAnsi="Arial" w:cs="Arial"/>
          <w:color w:val="000000"/>
          <w:lang w:val="es-EC" w:eastAsia="es-CR"/>
        </w:rPr>
        <w:t>(Gray et al., 2016)</w:t>
      </w:r>
      <w:r w:rsidRPr="00756801">
        <w:rPr>
          <w:rFonts w:ascii="Arial" w:hAnsi="Arial" w:cs="Arial"/>
          <w:lang w:val="es-EC" w:eastAsia="es-CR"/>
        </w:rPr>
        <w:t>; se toma en consideración que implementar tempranamente estos apoyos, desde las etapas iniciales de educación formal, puede contribuir a reducir las dificultades observadas en niveles educativos posteriores.</w:t>
      </w:r>
      <w:r w:rsidRPr="00756801">
        <w:rPr>
          <w:rFonts w:ascii="Arial" w:hAnsi="Arial" w:cs="Arial"/>
          <w:lang w:eastAsia="es-CR"/>
        </w:rPr>
        <w:t> </w:t>
      </w:r>
    </w:p>
    <w:p w14:paraId="09F489C5"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A2A2586"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Implicaciones clínicas y limitaciones</w:t>
      </w:r>
      <w:r w:rsidRPr="00756801">
        <w:rPr>
          <w:rFonts w:ascii="Arial" w:hAnsi="Arial" w:cs="Arial"/>
          <w:lang w:eastAsia="es-CR"/>
        </w:rPr>
        <w:t> </w:t>
      </w:r>
    </w:p>
    <w:p w14:paraId="1DEE6524"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Los hallazgos evidencian la necesidad de implementar intervenciones en los niveles institucional, clínico y pedagógico. Es prioritario establecer tamizajes sistemáticos en los primeros niveles académicos universitarios para detectar casos de TDAH no diagnosticados y facilitar su derivación a una evaluación profesional. Más del 80% del estudiantado diagnosticado no recibe tratamiento, lo que revela una brecha </w:t>
      </w:r>
      <w:r w:rsidRPr="00756801">
        <w:rPr>
          <w:rFonts w:ascii="Arial" w:hAnsi="Arial" w:cs="Arial"/>
          <w:lang w:val="es-EC" w:eastAsia="es-CR"/>
        </w:rPr>
        <w:lastRenderedPageBreak/>
        <w:t>crítica en el acceso a la atención psicológica y farmacológica. Por ello, las universidades tienen la responsabilidad de establecer y mantener servicios clínicos efectivos y accesibles de manera permanente.</w:t>
      </w:r>
      <w:r w:rsidRPr="00756801">
        <w:rPr>
          <w:rFonts w:ascii="Arial" w:hAnsi="Arial" w:cs="Arial"/>
          <w:lang w:eastAsia="es-CR"/>
        </w:rPr>
        <w:t> </w:t>
      </w:r>
    </w:p>
    <w:p w14:paraId="4D2852E0"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DAAD94A"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lo pedagógico, se requieren ajustes estructurados en los métodos de enseñanza y evaluación. Esto incluye la provisión de materiales organizados, la concesión de tiempos extendidos para exámenes y tareas, la creación de ambientes con menos distractores y el fraccionamiento de las tareas complejas. La implementación exitosa de estas medidas demanda un fuerte respaldo institucional para asegurar su sostenibilidad.  Por lo tanto, resulta clave reducir el estigma asociado al TDAH para facilitar un mayor acceso a los apoyos disponibles y, consecuentemente, mejorar la retención académica del estudiantado con este trastorno. </w:t>
      </w:r>
      <w:r w:rsidRPr="00756801">
        <w:rPr>
          <w:rFonts w:ascii="Arial" w:hAnsi="Arial" w:cs="Arial"/>
          <w:lang w:eastAsia="es-CR"/>
        </w:rPr>
        <w:t> </w:t>
      </w:r>
    </w:p>
    <w:p w14:paraId="6981688F"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7E5EC319" w14:textId="7C067676"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No obstante, es importante reconocer las limitaciones del presente estudio para una adecuada interpretación de los resultados, puesto que se basa en autoinformes, lo que introduce sesgos, especialmente la subestimación de síntomas. El diagnóstico de TDAH es </w:t>
      </w:r>
      <w:proofErr w:type="spellStart"/>
      <w:r w:rsidRPr="00756801">
        <w:rPr>
          <w:rFonts w:ascii="Arial" w:hAnsi="Arial" w:cs="Arial"/>
          <w:lang w:val="es-EC" w:eastAsia="es-CR"/>
        </w:rPr>
        <w:t>auto-reportado</w:t>
      </w:r>
      <w:proofErr w:type="spellEnd"/>
      <w:r w:rsidRPr="00756801">
        <w:rPr>
          <w:rFonts w:ascii="Arial" w:hAnsi="Arial" w:cs="Arial"/>
          <w:lang w:val="es-EC" w:eastAsia="es-CR"/>
        </w:rPr>
        <w:t> como confirmado, pero no se verifica clínicamente, lo que puede generar errores de clasificación, incluyendo la participación de personas con síntomas sin diagnóstico formal o, por el contrario, que no cumplen criterios clínicos actuales. El rendimiento académico también es </w:t>
      </w:r>
      <w:proofErr w:type="spellStart"/>
      <w:r w:rsidRPr="00756801">
        <w:rPr>
          <w:rFonts w:ascii="Arial" w:hAnsi="Arial" w:cs="Arial"/>
          <w:lang w:val="es-EC" w:eastAsia="es-CR"/>
        </w:rPr>
        <w:t>auto-reportado</w:t>
      </w:r>
      <w:proofErr w:type="spellEnd"/>
      <w:r w:rsidRPr="00756801">
        <w:rPr>
          <w:rFonts w:ascii="Arial" w:hAnsi="Arial" w:cs="Arial"/>
          <w:lang w:val="es-EC" w:eastAsia="es-CR"/>
        </w:rPr>
        <w:t xml:space="preserve">, sin respaldo de registros institucionales, lo que limita la precisión de los datos. Además, no se controlaron variables relevantes como hábitos de estudio, apoyo familiar, </w:t>
      </w:r>
      <w:r w:rsidRPr="00756801">
        <w:rPr>
          <w:rFonts w:ascii="Arial" w:hAnsi="Arial" w:cs="Arial"/>
          <w:lang w:val="es-EC" w:eastAsia="es-CR"/>
        </w:rPr>
        <w:lastRenderedPageBreak/>
        <w:t>carga extracurricular o capacidad cognitiva, lo que puede afectar la validez interna del análisis.</w:t>
      </w:r>
      <w:r w:rsidRPr="00756801">
        <w:rPr>
          <w:rFonts w:ascii="Arial" w:hAnsi="Arial" w:cs="Arial"/>
          <w:lang w:eastAsia="es-CR"/>
        </w:rPr>
        <w:t> </w:t>
      </w:r>
    </w:p>
    <w:p w14:paraId="1EFB8B46" w14:textId="331ACBEE" w:rsidR="00D92815" w:rsidRDefault="00D92815" w:rsidP="00756801">
      <w:pPr>
        <w:spacing w:line="360" w:lineRule="auto"/>
        <w:jc w:val="both"/>
        <w:textAlignment w:val="baseline"/>
        <w:rPr>
          <w:rFonts w:ascii="Segoe UI" w:hAnsi="Segoe UI" w:cs="Segoe UI"/>
          <w:sz w:val="18"/>
          <w:szCs w:val="18"/>
          <w:lang w:eastAsia="es-CR"/>
        </w:rPr>
      </w:pPr>
    </w:p>
    <w:p w14:paraId="146F8069"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color w:val="000000"/>
          <w:lang w:val="es-EC" w:eastAsia="es-CR"/>
        </w:rPr>
        <w:t>Conclusiones</w:t>
      </w:r>
      <w:r w:rsidRPr="00756801">
        <w:rPr>
          <w:rFonts w:ascii="Arial" w:hAnsi="Arial" w:cs="Arial"/>
          <w:color w:val="000000"/>
          <w:lang w:eastAsia="es-CR"/>
        </w:rPr>
        <w:t> </w:t>
      </w:r>
    </w:p>
    <w:p w14:paraId="149DE608"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Los resultados evidencian una asociación entre el diagnóstico de TDAH y mayores desafíos en el rendimiento académico en el estudiantado de Fisioterapia, reflejados en promedios más bajos y mayor repetición de semestres. No obstante, estos hallazgos no implican una relación causal en el desempeño, ya que el estudiantado con TDAH continúa avanzando en su trayectoria formativa, lo que sugiere la influencia de múltiples factores en el proceso académico.</w:t>
      </w:r>
      <w:r w:rsidRPr="00756801">
        <w:rPr>
          <w:rFonts w:ascii="Arial" w:hAnsi="Arial" w:cs="Arial"/>
          <w:lang w:eastAsia="es-CR"/>
        </w:rPr>
        <w:t> </w:t>
      </w:r>
    </w:p>
    <w:p w14:paraId="088E88FE"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baja proporción de quienes reciben apoyos profesionales evidencia posibles barreras en el acceso a servicios de salud y acompañamiento académico. En este sentido, las dificultades observadas deben interpretarse en relación con las condiciones del entorno educativo, y no exclusivamente con el diagnóstico.</w:t>
      </w:r>
      <w:r w:rsidRPr="00756801">
        <w:rPr>
          <w:rFonts w:ascii="Arial" w:hAnsi="Arial" w:cs="Arial"/>
          <w:lang w:eastAsia="es-CR"/>
        </w:rPr>
        <w:t> </w:t>
      </w:r>
    </w:p>
    <w:p w14:paraId="5F2A21B5" w14:textId="69FC72F3"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Estos hallazgos refuerzan la necesidad de implementar estrategias de apoyo accesibles, ajustes razonables y prácticas pedagógicas inclusivas, promovidas de manera temprana desde las etapas iniciales de la educación formal. Esto permitiría reducir barreras para el aprendizaje y favorecer trayectorias académicas más equitativas para el estudiantado con diversidad cognitiva.</w:t>
      </w:r>
      <w:r w:rsidRPr="00756801">
        <w:rPr>
          <w:rFonts w:ascii="Arial" w:hAnsi="Arial" w:cs="Arial"/>
          <w:lang w:eastAsia="es-CR"/>
        </w:rPr>
        <w:t> </w:t>
      </w:r>
    </w:p>
    <w:p w14:paraId="2D26B0F1" w14:textId="77777777" w:rsidR="00330D23" w:rsidRDefault="00330D23" w:rsidP="00756801">
      <w:pPr>
        <w:spacing w:line="360" w:lineRule="auto"/>
        <w:jc w:val="both"/>
        <w:textAlignment w:val="baseline"/>
        <w:rPr>
          <w:rFonts w:ascii="Arial" w:hAnsi="Arial" w:cs="Arial"/>
          <w:lang w:eastAsia="es-CR"/>
        </w:rPr>
      </w:pPr>
    </w:p>
    <w:p w14:paraId="58853696" w14:textId="77777777" w:rsidR="003B5F55" w:rsidRDefault="003B5F55" w:rsidP="00756801">
      <w:pPr>
        <w:spacing w:line="360" w:lineRule="auto"/>
        <w:jc w:val="both"/>
        <w:textAlignment w:val="baseline"/>
        <w:rPr>
          <w:rFonts w:ascii="Arial" w:hAnsi="Arial" w:cs="Arial"/>
          <w:b/>
          <w:bCs/>
          <w:lang w:val="es-EC" w:eastAsia="es-CR"/>
        </w:rPr>
      </w:pPr>
    </w:p>
    <w:p w14:paraId="5A29E98C" w14:textId="77777777" w:rsidR="003B5F55" w:rsidRDefault="003B5F55" w:rsidP="00756801">
      <w:pPr>
        <w:spacing w:line="360" w:lineRule="auto"/>
        <w:jc w:val="both"/>
        <w:textAlignment w:val="baseline"/>
        <w:rPr>
          <w:rFonts w:ascii="Arial" w:hAnsi="Arial" w:cs="Arial"/>
          <w:b/>
          <w:bCs/>
          <w:lang w:val="es-EC" w:eastAsia="es-CR"/>
        </w:rPr>
      </w:pPr>
    </w:p>
    <w:p w14:paraId="6E5C07C0" w14:textId="098BFB07" w:rsidR="00756801" w:rsidRPr="00756801" w:rsidRDefault="004B13BC" w:rsidP="00756801">
      <w:pPr>
        <w:spacing w:line="360" w:lineRule="auto"/>
        <w:jc w:val="both"/>
        <w:textAlignment w:val="baseline"/>
        <w:rPr>
          <w:rFonts w:ascii="Segoe UI" w:hAnsi="Segoe UI" w:cs="Segoe UI"/>
          <w:sz w:val="18"/>
          <w:szCs w:val="18"/>
          <w:lang w:eastAsia="es-CR"/>
        </w:rPr>
      </w:pPr>
      <w:r>
        <w:rPr>
          <w:rFonts w:ascii="Arial" w:hAnsi="Arial" w:cs="Arial"/>
          <w:b/>
          <w:bCs/>
          <w:lang w:val="es-EC" w:eastAsia="es-CR"/>
        </w:rPr>
        <w:lastRenderedPageBreak/>
        <w:t>Referencias</w:t>
      </w:r>
    </w:p>
    <w:p w14:paraId="5BA23946"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s-EC" w:eastAsia="es-CR"/>
        </w:rPr>
        <w:t>Ayano, G., Tsegay, L., Gizachew, Y., Necho, M., Yohannes, K., Abraha, M., </w:t>
      </w:r>
      <w:proofErr w:type="spellStart"/>
      <w:r w:rsidRPr="003B5F55">
        <w:rPr>
          <w:rFonts w:ascii="Arial" w:hAnsi="Arial" w:cs="Arial"/>
          <w:lang w:val="es-EC" w:eastAsia="es-CR"/>
        </w:rPr>
        <w:t>Demelash</w:t>
      </w:r>
      <w:proofErr w:type="spellEnd"/>
      <w:r w:rsidRPr="003B5F55">
        <w:rPr>
          <w:rFonts w:ascii="Arial" w:hAnsi="Arial" w:cs="Arial"/>
          <w:lang w:val="es-EC" w:eastAsia="es-CR"/>
        </w:rPr>
        <w:t>, S., </w:t>
      </w:r>
      <w:proofErr w:type="spellStart"/>
      <w:r w:rsidRPr="003B5F55">
        <w:rPr>
          <w:rFonts w:ascii="Arial" w:hAnsi="Arial" w:cs="Arial"/>
          <w:lang w:val="es-EC" w:eastAsia="es-CR"/>
        </w:rPr>
        <w:t>Anbesaw</w:t>
      </w:r>
      <w:proofErr w:type="spellEnd"/>
      <w:r w:rsidRPr="003B5F55">
        <w:rPr>
          <w:rFonts w:ascii="Arial" w:hAnsi="Arial" w:cs="Arial"/>
          <w:lang w:val="es-EC" w:eastAsia="es-CR"/>
        </w:rPr>
        <w:t>, T. &amp; Alati, R. (2023). </w:t>
      </w:r>
      <w:r w:rsidRPr="003B5F55">
        <w:rPr>
          <w:rFonts w:ascii="Arial" w:hAnsi="Arial" w:cs="Arial"/>
          <w:lang w:val="en-US" w:eastAsia="es-CR"/>
        </w:rPr>
        <w:t>Prevalence of attention deficit hyperactivity disorder in adults: Umbrella review of evidence generated across the globe. </w:t>
      </w:r>
      <w:r w:rsidRPr="003B5F55">
        <w:rPr>
          <w:rFonts w:ascii="Arial" w:hAnsi="Arial" w:cs="Arial"/>
          <w:i/>
          <w:iCs/>
          <w:lang w:val="en-US" w:eastAsia="es-CR"/>
        </w:rPr>
        <w:t>Psychiatry Research, 328</w:t>
      </w:r>
      <w:r w:rsidRPr="003B5F55">
        <w:rPr>
          <w:rFonts w:ascii="Arial" w:hAnsi="Arial" w:cs="Arial"/>
          <w:lang w:val="en-US" w:eastAsia="es-CR"/>
        </w:rPr>
        <w:t>. </w:t>
      </w:r>
      <w:r w:rsidR="00685DBE">
        <w:fldChar w:fldCharType="begin"/>
      </w:r>
      <w:r w:rsidR="00685DBE" w:rsidRPr="00685DBE">
        <w:rPr>
          <w:lang w:val="en-US"/>
        </w:rPr>
        <w:instrText xml:space="preserve"> HYPERLINK "https://doi.org/10.1016/j.psychres.2023.115</w:instrText>
      </w:r>
      <w:r w:rsidR="00685DBE" w:rsidRPr="00685DBE">
        <w:rPr>
          <w:lang w:val="en-US"/>
        </w:rPr>
        <w:instrText xml:space="preserve">449" \t "_blank" </w:instrText>
      </w:r>
      <w:r w:rsidR="00685DBE">
        <w:fldChar w:fldCharType="separate"/>
      </w:r>
      <w:r w:rsidRPr="003B5F55">
        <w:rPr>
          <w:rFonts w:ascii="Arial" w:hAnsi="Arial" w:cs="Arial"/>
          <w:lang w:val="en-US" w:eastAsia="es-CR"/>
        </w:rPr>
        <w:t>https://doi.org/10.1016/j.psychres.2023.115449</w:t>
      </w:r>
      <w:r w:rsidR="00685DBE">
        <w:rPr>
          <w:rFonts w:ascii="Arial" w:hAnsi="Arial" w:cs="Arial"/>
          <w:lang w:val="en-US" w:eastAsia="es-CR"/>
        </w:rPr>
        <w:fldChar w:fldCharType="end"/>
      </w:r>
      <w:r w:rsidRPr="003B5F55">
        <w:rPr>
          <w:rFonts w:ascii="Arial" w:hAnsi="Arial" w:cs="Arial"/>
          <w:lang w:val="en-US" w:eastAsia="es-CR"/>
        </w:rPr>
        <w:t>  </w:t>
      </w:r>
    </w:p>
    <w:p w14:paraId="797C1B40"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Canu, W. H., Stevens, A. E., Ranson, L., Lefler, E. K., LaCount, P., Serrano, J. W., Willcutt, E. &amp; Hartung, C. M. (2021). College Readiness: Differences Between First-Year Undergraduates with and Without ADHD. </w:t>
      </w:r>
      <w:r w:rsidRPr="003B5F55">
        <w:rPr>
          <w:rFonts w:ascii="Arial" w:hAnsi="Arial" w:cs="Arial"/>
          <w:i/>
          <w:iCs/>
          <w:lang w:val="en-US" w:eastAsia="es-CR"/>
        </w:rPr>
        <w:t>Journal of Learning Disabilities, 54</w:t>
      </w:r>
      <w:r w:rsidRPr="003B5F55">
        <w:rPr>
          <w:rFonts w:ascii="Arial" w:hAnsi="Arial" w:cs="Arial"/>
          <w:lang w:val="en-US" w:eastAsia="es-CR"/>
        </w:rPr>
        <w:t>(6), 403-411. </w:t>
      </w:r>
      <w:r w:rsidR="00685DBE">
        <w:fldChar w:fldCharType="begin"/>
      </w:r>
      <w:r w:rsidR="00685DBE" w:rsidRPr="00685DBE">
        <w:rPr>
          <w:lang w:val="en-US"/>
        </w:rPr>
        <w:instrText xml:space="preserve"> HYPERLINK "https://doi.org/10.1177/0022219420972693" \t "_blank" </w:instrText>
      </w:r>
      <w:r w:rsidR="00685DBE">
        <w:fldChar w:fldCharType="separate"/>
      </w:r>
      <w:r w:rsidRPr="003B5F55">
        <w:rPr>
          <w:rFonts w:ascii="Arial" w:hAnsi="Arial" w:cs="Arial"/>
          <w:lang w:val="en-US" w:eastAsia="es-CR"/>
        </w:rPr>
        <w:t>https://doi.org/10.1177/0022219420972693</w:t>
      </w:r>
      <w:r w:rsidR="00685DBE">
        <w:rPr>
          <w:rFonts w:ascii="Arial" w:hAnsi="Arial" w:cs="Arial"/>
          <w:lang w:val="en-US" w:eastAsia="es-CR"/>
        </w:rPr>
        <w:fldChar w:fldCharType="end"/>
      </w:r>
      <w:r w:rsidRPr="003B5F55">
        <w:rPr>
          <w:rFonts w:ascii="Arial" w:hAnsi="Arial" w:cs="Arial"/>
          <w:lang w:val="en-US" w:eastAsia="es-CR"/>
        </w:rPr>
        <w:t>   </w:t>
      </w:r>
    </w:p>
    <w:p w14:paraId="292E6AE0"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Dalwood, N., Maloney, S., Cox, N. &amp; Morgan, P. (2018). Preparing Physiotherapy Students for Clinical Placement: Student Perceptions of Low-Cost Peer Simulation</w:t>
      </w:r>
      <w:r w:rsidRPr="003B5F55">
        <w:rPr>
          <w:rFonts w:ascii="Arial" w:hAnsi="Arial" w:cs="Arial"/>
          <w:i/>
          <w:iCs/>
          <w:lang w:val="en-US" w:eastAsia="es-CR"/>
        </w:rPr>
        <w:t>. </w:t>
      </w:r>
      <w:r w:rsidRPr="003B5F55">
        <w:rPr>
          <w:rFonts w:ascii="Arial" w:hAnsi="Arial" w:cs="Arial"/>
          <w:lang w:val="en-US" w:eastAsia="es-CR"/>
        </w:rPr>
        <w:t>A Mixed-Methods Study.</w:t>
      </w:r>
      <w:r w:rsidRPr="003B5F55">
        <w:rPr>
          <w:rFonts w:ascii="Arial" w:hAnsi="Arial" w:cs="Arial"/>
          <w:i/>
          <w:iCs/>
          <w:lang w:val="en-US" w:eastAsia="es-CR"/>
        </w:rPr>
        <w:t> Simulation in Healthcare, 13</w:t>
      </w:r>
      <w:r w:rsidRPr="003B5F55">
        <w:rPr>
          <w:rFonts w:ascii="Arial" w:hAnsi="Arial" w:cs="Arial"/>
          <w:lang w:val="en-US" w:eastAsia="es-CR"/>
        </w:rPr>
        <w:t>(3), 181-187. </w:t>
      </w:r>
      <w:r w:rsidR="00685DBE">
        <w:fldChar w:fldCharType="begin"/>
      </w:r>
      <w:r w:rsidR="00685DBE" w:rsidRPr="00685DBE">
        <w:rPr>
          <w:lang w:val="en-US"/>
        </w:rPr>
        <w:instrText xml:space="preserve"> HYPERLINK "https://doi.org/10.1097/SIH.0000000000000276" \t "_blank" </w:instrText>
      </w:r>
      <w:r w:rsidR="00685DBE">
        <w:fldChar w:fldCharType="separate"/>
      </w:r>
      <w:r w:rsidRPr="003B5F55">
        <w:rPr>
          <w:rFonts w:ascii="Arial" w:hAnsi="Arial" w:cs="Arial"/>
          <w:lang w:val="en-US" w:eastAsia="es-CR"/>
        </w:rPr>
        <w:t>https://doi.org/10.1097/SIH.0000000000000276</w:t>
      </w:r>
      <w:r w:rsidR="00685DBE">
        <w:rPr>
          <w:rFonts w:ascii="Arial" w:hAnsi="Arial" w:cs="Arial"/>
          <w:lang w:val="en-US" w:eastAsia="es-CR"/>
        </w:rPr>
        <w:fldChar w:fldCharType="end"/>
      </w:r>
      <w:r w:rsidRPr="003B5F55">
        <w:rPr>
          <w:rFonts w:ascii="Arial" w:hAnsi="Arial" w:cs="Arial"/>
          <w:lang w:val="en-US" w:eastAsia="es-CR"/>
        </w:rPr>
        <w:t>  </w:t>
      </w:r>
    </w:p>
    <w:p w14:paraId="74C6DA54"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Duff, C. J., Kolehmainen, N. &amp; McAnuff, J. (2021). Specifying current physical therapy practice for pediatric trials: A survey of UK physical therapists. </w:t>
      </w:r>
      <w:r w:rsidRPr="003B5F55">
        <w:rPr>
          <w:rFonts w:ascii="Arial" w:hAnsi="Arial" w:cs="Arial"/>
          <w:i/>
          <w:iCs/>
          <w:lang w:val="en-US" w:eastAsia="es-CR"/>
        </w:rPr>
        <w:t>Child: Care, Health and Development, 47</w:t>
      </w:r>
      <w:r w:rsidRPr="003B5F55">
        <w:rPr>
          <w:rFonts w:ascii="Arial" w:hAnsi="Arial" w:cs="Arial"/>
          <w:lang w:val="en-US" w:eastAsia="es-CR"/>
        </w:rPr>
        <w:t>(6), 794-804. </w:t>
      </w:r>
      <w:r w:rsidR="00685DBE">
        <w:fldChar w:fldCharType="begin"/>
      </w:r>
      <w:r w:rsidR="00685DBE" w:rsidRPr="00685DBE">
        <w:rPr>
          <w:lang w:val="en-US"/>
        </w:rPr>
        <w:instrText xml:space="preserve"> HYPERLINK "https://doi.org/</w:instrText>
      </w:r>
      <w:r w:rsidR="00685DBE" w:rsidRPr="00685DBE">
        <w:rPr>
          <w:lang w:val="en-US"/>
        </w:rPr>
        <w:instrText xml:space="preserve">10.1111/CCH.12886" \t "_blank" </w:instrText>
      </w:r>
      <w:r w:rsidR="00685DBE">
        <w:fldChar w:fldCharType="separate"/>
      </w:r>
      <w:r w:rsidRPr="003B5F55">
        <w:rPr>
          <w:rFonts w:ascii="Arial" w:hAnsi="Arial" w:cs="Arial"/>
          <w:lang w:val="en-US" w:eastAsia="es-CR"/>
        </w:rPr>
        <w:t>https://doi.org/10.1111/CCH.12886</w:t>
      </w:r>
      <w:r w:rsidR="00685DBE">
        <w:rPr>
          <w:rFonts w:ascii="Arial" w:hAnsi="Arial" w:cs="Arial"/>
          <w:lang w:val="en-US" w:eastAsia="es-CR"/>
        </w:rPr>
        <w:fldChar w:fldCharType="end"/>
      </w:r>
      <w:r w:rsidRPr="003B5F55">
        <w:rPr>
          <w:rFonts w:ascii="Arial" w:hAnsi="Arial" w:cs="Arial"/>
          <w:lang w:val="en-US" w:eastAsia="es-CR"/>
        </w:rPr>
        <w:t>   </w:t>
      </w:r>
    </w:p>
    <w:p w14:paraId="0BB2C93F"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 xml:space="preserve">DuPaul, G. J., Gormley, M. J., Anastopoulos, A. D., Weyandt, L. L., Labban, J., Sass, A. J., Busch, C. Z., Franklin, M. K. &amp; Postler, K. B. (2021). Academic </w:t>
      </w:r>
      <w:r w:rsidRPr="003B5F55">
        <w:rPr>
          <w:rFonts w:ascii="Arial" w:hAnsi="Arial" w:cs="Arial"/>
          <w:lang w:val="en-US" w:eastAsia="es-CR"/>
        </w:rPr>
        <w:lastRenderedPageBreak/>
        <w:t>Trajectories of College Students with and without ADHD: Predictors of Four-Year Outcomes. </w:t>
      </w:r>
      <w:r w:rsidRPr="003B5F55">
        <w:rPr>
          <w:rFonts w:ascii="Arial" w:hAnsi="Arial" w:cs="Arial"/>
          <w:i/>
          <w:iCs/>
          <w:lang w:val="en-US" w:eastAsia="es-CR"/>
        </w:rPr>
        <w:t>Journal of Clinical Child and Adolescent</w:t>
      </w:r>
      <w:r w:rsidRPr="003B5F55">
        <w:rPr>
          <w:rFonts w:ascii="Arial" w:hAnsi="Arial" w:cs="Arial"/>
          <w:lang w:val="en-US" w:eastAsia="es-CR"/>
        </w:rPr>
        <w:t> </w:t>
      </w:r>
      <w:r w:rsidRPr="003B5F55">
        <w:rPr>
          <w:rFonts w:ascii="Arial" w:hAnsi="Arial" w:cs="Arial"/>
          <w:i/>
          <w:iCs/>
          <w:lang w:val="en-US" w:eastAsia="es-CR"/>
        </w:rPr>
        <w:t>Psychology, 50</w:t>
      </w:r>
      <w:r w:rsidRPr="003B5F55">
        <w:rPr>
          <w:rFonts w:ascii="Arial" w:hAnsi="Arial" w:cs="Arial"/>
          <w:lang w:val="en-US" w:eastAsia="es-CR"/>
        </w:rPr>
        <w:t>(6), 828-843. </w:t>
      </w:r>
      <w:r w:rsidR="00685DBE">
        <w:fldChar w:fldCharType="begin"/>
      </w:r>
      <w:r w:rsidR="00685DBE" w:rsidRPr="00685DBE">
        <w:rPr>
          <w:lang w:val="en-US"/>
        </w:rPr>
        <w:instrText xml:space="preserve"> HYPERLINK "https://doi.org/10.1080/15374416.2020.1867990" \t "_blank" </w:instrText>
      </w:r>
      <w:r w:rsidR="00685DBE">
        <w:fldChar w:fldCharType="separate"/>
      </w:r>
      <w:r w:rsidRPr="003B5F55">
        <w:rPr>
          <w:rFonts w:ascii="Arial" w:hAnsi="Arial" w:cs="Arial"/>
          <w:lang w:val="en-US" w:eastAsia="es-CR"/>
        </w:rPr>
        <w:t>https://doi.org/10.1080/15374416.2020.1867990</w:t>
      </w:r>
      <w:r w:rsidR="00685DBE">
        <w:rPr>
          <w:rFonts w:ascii="Arial" w:hAnsi="Arial" w:cs="Arial"/>
          <w:lang w:val="en-US" w:eastAsia="es-CR"/>
        </w:rPr>
        <w:fldChar w:fldCharType="end"/>
      </w:r>
      <w:r w:rsidRPr="003B5F55">
        <w:rPr>
          <w:rFonts w:ascii="Arial" w:hAnsi="Arial" w:cs="Arial"/>
          <w:lang w:val="en-US" w:eastAsia="es-CR"/>
        </w:rPr>
        <w:t>   </w:t>
      </w:r>
    </w:p>
    <w:p w14:paraId="64DF2BC2"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Faraone, S. V., Banaschewski, T., Coghill, D., Zheng, Y., Biederman, J., </w:t>
      </w:r>
      <w:proofErr w:type="spellStart"/>
      <w:r w:rsidRPr="003B5F55">
        <w:rPr>
          <w:rFonts w:ascii="Arial" w:hAnsi="Arial" w:cs="Arial"/>
          <w:lang w:val="en-US" w:eastAsia="es-CR"/>
        </w:rPr>
        <w:t>Bellgrove</w:t>
      </w:r>
      <w:proofErr w:type="spellEnd"/>
      <w:r w:rsidRPr="003B5F55">
        <w:rPr>
          <w:rFonts w:ascii="Arial" w:hAnsi="Arial" w:cs="Arial"/>
          <w:lang w:val="en-US" w:eastAsia="es-CR"/>
        </w:rPr>
        <w:t>, M. A., </w:t>
      </w:r>
      <w:proofErr w:type="spellStart"/>
      <w:r w:rsidRPr="003B5F55">
        <w:rPr>
          <w:rFonts w:ascii="Arial" w:hAnsi="Arial" w:cs="Arial"/>
          <w:lang w:val="en-US" w:eastAsia="es-CR"/>
        </w:rPr>
        <w:t>Newcorn</w:t>
      </w:r>
      <w:proofErr w:type="spellEnd"/>
      <w:r w:rsidRPr="003B5F55">
        <w:rPr>
          <w:rFonts w:ascii="Arial" w:hAnsi="Arial" w:cs="Arial"/>
          <w:lang w:val="en-US" w:eastAsia="es-CR"/>
        </w:rPr>
        <w:t>, J. H., Gignac, M., Al Saud, N. M., Manor, I., Rohde, L. A., Yang, L., Cortese, S., Almagor, D., Stein, M. A., </w:t>
      </w:r>
      <w:proofErr w:type="spellStart"/>
      <w:r w:rsidRPr="003B5F55">
        <w:rPr>
          <w:rFonts w:ascii="Arial" w:hAnsi="Arial" w:cs="Arial"/>
          <w:lang w:val="en-US" w:eastAsia="es-CR"/>
        </w:rPr>
        <w:t>Albatti</w:t>
      </w:r>
      <w:proofErr w:type="spellEnd"/>
      <w:r w:rsidRPr="003B5F55">
        <w:rPr>
          <w:rFonts w:ascii="Arial" w:hAnsi="Arial" w:cs="Arial"/>
          <w:lang w:val="en-US" w:eastAsia="es-CR"/>
        </w:rPr>
        <w:t>, T. H., </w:t>
      </w:r>
      <w:proofErr w:type="spellStart"/>
      <w:r w:rsidRPr="003B5F55">
        <w:rPr>
          <w:rFonts w:ascii="Arial" w:hAnsi="Arial" w:cs="Arial"/>
          <w:lang w:val="en-US" w:eastAsia="es-CR"/>
        </w:rPr>
        <w:t>Aljoudi</w:t>
      </w:r>
      <w:proofErr w:type="spellEnd"/>
      <w:r w:rsidRPr="003B5F55">
        <w:rPr>
          <w:rFonts w:ascii="Arial" w:hAnsi="Arial" w:cs="Arial"/>
          <w:lang w:val="en-US" w:eastAsia="es-CR"/>
        </w:rPr>
        <w:t>, H. F., Alqahtani, M. M. J., Asherson, P., … Wang, Y. (2021). The World Federation of ADHD International Consensus Statement: 208 Evidence-based Conclusions about the Disorder. </w:t>
      </w:r>
      <w:r w:rsidRPr="003B5F55">
        <w:rPr>
          <w:rFonts w:ascii="Arial" w:hAnsi="Arial" w:cs="Arial"/>
          <w:i/>
          <w:iCs/>
          <w:lang w:val="en-US" w:eastAsia="es-CR"/>
        </w:rPr>
        <w:t>Neuroscience and Biobehavioral Reviews, 128</w:t>
      </w:r>
      <w:r w:rsidRPr="003B5F55">
        <w:rPr>
          <w:rFonts w:ascii="Arial" w:hAnsi="Arial" w:cs="Arial"/>
          <w:lang w:val="en-US" w:eastAsia="es-CR"/>
        </w:rPr>
        <w:t>, 789. </w:t>
      </w:r>
      <w:r w:rsidR="00685DBE">
        <w:fldChar w:fldCharType="begin"/>
      </w:r>
      <w:r w:rsidR="00685DBE" w:rsidRPr="00685DBE">
        <w:rPr>
          <w:lang w:val="en-US"/>
        </w:rPr>
        <w:instrText xml:space="preserve"> HYPERLINK "https://doi.org/10.1016/J.NEUBIOREV.2021.</w:instrText>
      </w:r>
      <w:r w:rsidR="00685DBE" w:rsidRPr="00685DBE">
        <w:rPr>
          <w:lang w:val="en-US"/>
        </w:rPr>
        <w:instrText xml:space="preserve">01.022" \t "_blank" </w:instrText>
      </w:r>
      <w:r w:rsidR="00685DBE">
        <w:fldChar w:fldCharType="separate"/>
      </w:r>
      <w:r w:rsidRPr="003B5F55">
        <w:rPr>
          <w:rFonts w:ascii="Arial" w:hAnsi="Arial" w:cs="Arial"/>
          <w:lang w:val="en-US" w:eastAsia="es-CR"/>
        </w:rPr>
        <w:t>https://doi.org/10.1016/J.NEUBIOREV.2021.01.022</w:t>
      </w:r>
      <w:r w:rsidR="00685DBE">
        <w:rPr>
          <w:rFonts w:ascii="Arial" w:hAnsi="Arial" w:cs="Arial"/>
          <w:lang w:val="en-US" w:eastAsia="es-CR"/>
        </w:rPr>
        <w:fldChar w:fldCharType="end"/>
      </w:r>
      <w:r w:rsidRPr="003B5F55">
        <w:rPr>
          <w:rFonts w:ascii="Arial" w:hAnsi="Arial" w:cs="Arial"/>
          <w:lang w:val="en-US" w:eastAsia="es-CR"/>
        </w:rPr>
        <w:t>  </w:t>
      </w:r>
    </w:p>
    <w:p w14:paraId="609EA251"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Godfrey-Harris, M. &amp; Shaw, S. C. K. (2023). The experiences of medical students with ADHD: A phenomenological study. </w:t>
      </w:r>
      <w:proofErr w:type="spellStart"/>
      <w:r w:rsidRPr="003B5F55">
        <w:rPr>
          <w:rFonts w:ascii="Arial" w:hAnsi="Arial" w:cs="Arial"/>
          <w:i/>
          <w:iCs/>
          <w:lang w:val="en-US" w:eastAsia="es-CR"/>
        </w:rPr>
        <w:t>PLoS</w:t>
      </w:r>
      <w:proofErr w:type="spellEnd"/>
      <w:r w:rsidRPr="003B5F55">
        <w:rPr>
          <w:rFonts w:ascii="Arial" w:hAnsi="Arial" w:cs="Arial"/>
          <w:i/>
          <w:iCs/>
          <w:lang w:val="en-US" w:eastAsia="es-CR"/>
        </w:rPr>
        <w:t> ONE, 18</w:t>
      </w:r>
      <w:r w:rsidRPr="003B5F55">
        <w:rPr>
          <w:rFonts w:ascii="Arial" w:hAnsi="Arial" w:cs="Arial"/>
          <w:lang w:val="en-US" w:eastAsia="es-CR"/>
        </w:rPr>
        <w:t>(8). </w:t>
      </w:r>
      <w:r w:rsidR="00685DBE">
        <w:fldChar w:fldCharType="begin"/>
      </w:r>
      <w:r w:rsidR="00685DBE" w:rsidRPr="00685DBE">
        <w:rPr>
          <w:lang w:val="en-US"/>
        </w:rPr>
        <w:instrText xml:space="preserve"> HYPERLINK "https://doi.org/10.1371/JOURNAL.PONE.</w:instrText>
      </w:r>
      <w:r w:rsidR="00685DBE" w:rsidRPr="00685DBE">
        <w:rPr>
          <w:lang w:val="en-US"/>
        </w:rPr>
        <w:instrText xml:space="preserve">0290513" \t "_blank" </w:instrText>
      </w:r>
      <w:r w:rsidR="00685DBE">
        <w:fldChar w:fldCharType="separate"/>
      </w:r>
      <w:r w:rsidRPr="003B5F55">
        <w:rPr>
          <w:rFonts w:ascii="Arial" w:hAnsi="Arial" w:cs="Arial"/>
          <w:lang w:val="en-US" w:eastAsia="es-CR"/>
        </w:rPr>
        <w:t>https://doi.org/10.1371/JOURNAL.PONE.0290513</w:t>
      </w:r>
      <w:r w:rsidR="00685DBE">
        <w:rPr>
          <w:rFonts w:ascii="Arial" w:hAnsi="Arial" w:cs="Arial"/>
          <w:lang w:val="en-US" w:eastAsia="es-CR"/>
        </w:rPr>
        <w:fldChar w:fldCharType="end"/>
      </w:r>
      <w:r w:rsidRPr="003B5F55">
        <w:rPr>
          <w:rFonts w:ascii="Arial" w:hAnsi="Arial" w:cs="Arial"/>
          <w:lang w:val="en-US" w:eastAsia="es-CR"/>
        </w:rPr>
        <w:t>  </w:t>
      </w:r>
    </w:p>
    <w:p w14:paraId="40C5EC65"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Gray, S. A., Fettes, P., Woltering, S., </w:t>
      </w:r>
      <w:proofErr w:type="spellStart"/>
      <w:r w:rsidRPr="003B5F55">
        <w:rPr>
          <w:rFonts w:ascii="Arial" w:hAnsi="Arial" w:cs="Arial"/>
          <w:lang w:val="en-US" w:eastAsia="es-CR"/>
        </w:rPr>
        <w:t>Mawjee</w:t>
      </w:r>
      <w:proofErr w:type="spellEnd"/>
      <w:r w:rsidRPr="003B5F55">
        <w:rPr>
          <w:rFonts w:ascii="Arial" w:hAnsi="Arial" w:cs="Arial"/>
          <w:lang w:val="en-US" w:eastAsia="es-CR"/>
        </w:rPr>
        <w:t>, K. &amp; Tannock, R. (2016). Symptom Manifestation and Impairments in College Students With ADHD. </w:t>
      </w:r>
      <w:r w:rsidRPr="003B5F55">
        <w:rPr>
          <w:rFonts w:ascii="Arial" w:hAnsi="Arial" w:cs="Arial"/>
          <w:i/>
          <w:iCs/>
          <w:lang w:val="en-US" w:eastAsia="es-CR"/>
        </w:rPr>
        <w:t>Journal of Learning Disabilities, 49</w:t>
      </w:r>
      <w:r w:rsidRPr="003B5F55">
        <w:rPr>
          <w:rFonts w:ascii="Arial" w:hAnsi="Arial" w:cs="Arial"/>
          <w:lang w:val="en-US" w:eastAsia="es-CR"/>
        </w:rPr>
        <w:t>(6), 616-630. </w:t>
      </w:r>
      <w:r w:rsidR="00685DBE">
        <w:fldChar w:fldCharType="begin"/>
      </w:r>
      <w:r w:rsidR="00685DBE" w:rsidRPr="00685DBE">
        <w:rPr>
          <w:lang w:val="en-US"/>
        </w:rPr>
        <w:instrText xml:space="preserve"> HYPERLINK "https://doi.org/10.1177/0022219415576523" \t "_blank" </w:instrText>
      </w:r>
      <w:r w:rsidR="00685DBE">
        <w:fldChar w:fldCharType="separate"/>
      </w:r>
      <w:r w:rsidRPr="003B5F55">
        <w:rPr>
          <w:rFonts w:ascii="Arial" w:hAnsi="Arial" w:cs="Arial"/>
          <w:lang w:val="en-US" w:eastAsia="es-CR"/>
        </w:rPr>
        <w:t>https://doi.org/10.1177/0022219415576523</w:t>
      </w:r>
      <w:r w:rsidR="00685DBE">
        <w:rPr>
          <w:rFonts w:ascii="Arial" w:hAnsi="Arial" w:cs="Arial"/>
          <w:lang w:val="en-US" w:eastAsia="es-CR"/>
        </w:rPr>
        <w:fldChar w:fldCharType="end"/>
      </w:r>
      <w:r w:rsidRPr="003B5F55">
        <w:rPr>
          <w:rFonts w:ascii="Arial" w:hAnsi="Arial" w:cs="Arial"/>
          <w:lang w:val="en-US" w:eastAsia="es-CR"/>
        </w:rPr>
        <w:t>  </w:t>
      </w:r>
    </w:p>
    <w:p w14:paraId="040AB8E9"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Henning, C., Summerfeldt, L. J. &amp; Parker, J. D. A. (2021). ADHD and Academic Success in University Students: The Important Role of Impaired Attention. </w:t>
      </w:r>
      <w:r w:rsidRPr="003B5F55">
        <w:rPr>
          <w:rFonts w:ascii="Arial" w:hAnsi="Arial" w:cs="Arial"/>
          <w:i/>
          <w:iCs/>
          <w:lang w:val="en-US" w:eastAsia="es-CR"/>
        </w:rPr>
        <w:t>Journal of Attention Disorders, 26</w:t>
      </w:r>
      <w:r w:rsidRPr="003B5F55">
        <w:rPr>
          <w:rFonts w:ascii="Arial" w:hAnsi="Arial" w:cs="Arial"/>
          <w:lang w:val="en-US" w:eastAsia="es-CR"/>
        </w:rPr>
        <w:t>(6), 901. </w:t>
      </w:r>
      <w:r w:rsidR="00685DBE">
        <w:fldChar w:fldCharType="begin"/>
      </w:r>
      <w:r w:rsidR="00685DBE" w:rsidRPr="00685DBE">
        <w:rPr>
          <w:lang w:val="en-US"/>
        </w:rPr>
        <w:instrText xml:space="preserve"> HYPERLINK "https://doi.org/10.1177/10870547211036758" \t "_blank" </w:instrText>
      </w:r>
      <w:r w:rsidR="00685DBE">
        <w:fldChar w:fldCharType="separate"/>
      </w:r>
      <w:r w:rsidRPr="003B5F55">
        <w:rPr>
          <w:rFonts w:ascii="Arial" w:hAnsi="Arial" w:cs="Arial"/>
          <w:lang w:val="en-US" w:eastAsia="es-CR"/>
        </w:rPr>
        <w:t>https://doi.org/10.1177/10870547211036758</w:t>
      </w:r>
      <w:r w:rsidR="00685DBE">
        <w:rPr>
          <w:rFonts w:ascii="Arial" w:hAnsi="Arial" w:cs="Arial"/>
          <w:lang w:val="en-US" w:eastAsia="es-CR"/>
        </w:rPr>
        <w:fldChar w:fldCharType="end"/>
      </w:r>
      <w:r w:rsidRPr="003B5F55">
        <w:rPr>
          <w:rFonts w:ascii="Arial" w:hAnsi="Arial" w:cs="Arial"/>
          <w:lang w:val="en-US" w:eastAsia="es-CR"/>
        </w:rPr>
        <w:t>  </w:t>
      </w:r>
    </w:p>
    <w:p w14:paraId="2A646A6F" w14:textId="77777777"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val="en-US" w:eastAsia="es-CR"/>
        </w:rPr>
        <w:lastRenderedPageBreak/>
        <w:t>Herrman, D., Chambers, E. &amp; Sharp, A. (2024). Working in the Margins: The Untapped Potential of Disability Inclusion. </w:t>
      </w:r>
      <w:proofErr w:type="spellStart"/>
      <w:r w:rsidRPr="003B5F55">
        <w:rPr>
          <w:rFonts w:ascii="Arial" w:hAnsi="Arial" w:cs="Arial"/>
          <w:i/>
          <w:iCs/>
          <w:lang w:val="es-EC" w:eastAsia="es-CR"/>
        </w:rPr>
        <w:t>Physical</w:t>
      </w:r>
      <w:proofErr w:type="spellEnd"/>
      <w:r w:rsidRPr="003B5F55">
        <w:rPr>
          <w:rFonts w:ascii="Arial" w:hAnsi="Arial" w:cs="Arial"/>
          <w:i/>
          <w:iCs/>
          <w:lang w:val="es-EC" w:eastAsia="es-CR"/>
        </w:rPr>
        <w:t> </w:t>
      </w:r>
      <w:proofErr w:type="spellStart"/>
      <w:r w:rsidRPr="003B5F55">
        <w:rPr>
          <w:rFonts w:ascii="Arial" w:hAnsi="Arial" w:cs="Arial"/>
          <w:i/>
          <w:iCs/>
          <w:lang w:val="es-EC" w:eastAsia="es-CR"/>
        </w:rPr>
        <w:t>Therapy</w:t>
      </w:r>
      <w:proofErr w:type="spellEnd"/>
      <w:r w:rsidRPr="003B5F55">
        <w:rPr>
          <w:rFonts w:ascii="Arial" w:hAnsi="Arial" w:cs="Arial"/>
          <w:i/>
          <w:iCs/>
          <w:lang w:val="es-EC" w:eastAsia="es-CR"/>
        </w:rPr>
        <w:t>, 104</w:t>
      </w:r>
      <w:r w:rsidRPr="003B5F55">
        <w:rPr>
          <w:rFonts w:ascii="Arial" w:hAnsi="Arial" w:cs="Arial"/>
          <w:lang w:val="es-EC" w:eastAsia="es-CR"/>
        </w:rPr>
        <w:t>(9). </w:t>
      </w:r>
      <w:hyperlink r:id="rId15" w:tgtFrame="_blank" w:history="1">
        <w:r w:rsidRPr="003B5F55">
          <w:rPr>
            <w:rFonts w:ascii="Arial" w:hAnsi="Arial" w:cs="Arial"/>
            <w:lang w:val="es-EC" w:eastAsia="es-CR"/>
          </w:rPr>
          <w:t>https://doi.org/10.1093/PTJ/PZAE108</w:t>
        </w:r>
      </w:hyperlink>
      <w:r w:rsidRPr="003B5F55">
        <w:rPr>
          <w:rFonts w:ascii="Arial" w:hAnsi="Arial" w:cs="Arial"/>
          <w:lang w:val="es-EC" w:eastAsia="es-CR"/>
        </w:rPr>
        <w:t> </w:t>
      </w:r>
      <w:r w:rsidRPr="003B5F55">
        <w:rPr>
          <w:rFonts w:ascii="Arial" w:hAnsi="Arial" w:cs="Arial"/>
          <w:lang w:eastAsia="es-CR"/>
        </w:rPr>
        <w:t> </w:t>
      </w:r>
    </w:p>
    <w:p w14:paraId="6953E91B" w14:textId="77777777"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val="es-EC" w:eastAsia="es-CR"/>
        </w:rPr>
        <w:t>Montiel-Nava, C., Ortiz León, S., </w:t>
      </w:r>
      <w:proofErr w:type="spellStart"/>
      <w:r w:rsidRPr="003B5F55">
        <w:rPr>
          <w:rFonts w:ascii="Arial" w:hAnsi="Arial" w:cs="Arial"/>
          <w:lang w:val="es-EC" w:eastAsia="es-CR"/>
        </w:rPr>
        <w:t>Jaimes</w:t>
      </w:r>
      <w:proofErr w:type="spellEnd"/>
      <w:r w:rsidRPr="003B5F55">
        <w:rPr>
          <w:rFonts w:ascii="Arial" w:hAnsi="Arial" w:cs="Arial"/>
          <w:lang w:val="es-EC" w:eastAsia="es-CR"/>
        </w:rPr>
        <w:t> Medrano, A. &amp; González-Ávila, Z. (2012). Prevalencia del trastorno por déficit de atención-hiperactividad en estudiantes universitarios venezolanos. Reporte preliminar. </w:t>
      </w:r>
      <w:r w:rsidRPr="003B5F55">
        <w:rPr>
          <w:rFonts w:ascii="Arial" w:hAnsi="Arial" w:cs="Arial"/>
          <w:i/>
          <w:iCs/>
          <w:lang w:val="es-EC" w:eastAsia="es-CR"/>
        </w:rPr>
        <w:t>Investigación Clínica, 53</w:t>
      </w:r>
      <w:r w:rsidRPr="003B5F55">
        <w:rPr>
          <w:rFonts w:ascii="Arial" w:hAnsi="Arial" w:cs="Arial"/>
          <w:lang w:val="es-EC" w:eastAsia="es-CR"/>
        </w:rPr>
        <w:t>(4), 353-6364. </w:t>
      </w:r>
      <w:hyperlink r:id="rId16" w:tgtFrame="_blank" w:history="1">
        <w:r w:rsidRPr="003B5F55">
          <w:rPr>
            <w:rFonts w:ascii="Arial" w:hAnsi="Arial" w:cs="Arial"/>
            <w:lang w:val="es-EC" w:eastAsia="es-CR"/>
          </w:rPr>
          <w:t>http://ve.scielo.org/scielo.php?script=sci_arttext&amp;pid=S0535-51332012000400004&amp;lng=es&amp;nrm=iso&amp;tlng=es</w:t>
        </w:r>
      </w:hyperlink>
      <w:r w:rsidRPr="003B5F55">
        <w:rPr>
          <w:rFonts w:ascii="Arial" w:hAnsi="Arial" w:cs="Arial"/>
          <w:lang w:val="es-EC" w:eastAsia="es-CR"/>
        </w:rPr>
        <w:t> </w:t>
      </w:r>
      <w:r w:rsidRPr="003B5F55">
        <w:rPr>
          <w:rFonts w:ascii="Arial" w:hAnsi="Arial" w:cs="Arial"/>
          <w:lang w:eastAsia="es-CR"/>
        </w:rPr>
        <w:t> </w:t>
      </w:r>
    </w:p>
    <w:p w14:paraId="5322A745"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Murkett, K., Smart, W. &amp; Nugent, K. (2014). Attention-deficit/hyperactivity disorder in postsecondary students. </w:t>
      </w:r>
      <w:r w:rsidRPr="003B5F55">
        <w:rPr>
          <w:rFonts w:ascii="Arial" w:hAnsi="Arial" w:cs="Arial"/>
          <w:i/>
          <w:iCs/>
          <w:lang w:val="en-US" w:eastAsia="es-CR"/>
        </w:rPr>
        <w:t>Neuropsychiatric Disease and Treatment, 26</w:t>
      </w:r>
      <w:r w:rsidRPr="003B5F55">
        <w:rPr>
          <w:rFonts w:ascii="Arial" w:hAnsi="Arial" w:cs="Arial"/>
          <w:lang w:val="en-US" w:eastAsia="es-CR"/>
        </w:rPr>
        <w:t>(10), 1791. </w:t>
      </w:r>
      <w:r w:rsidR="00685DBE">
        <w:fldChar w:fldCharType="begin"/>
      </w:r>
      <w:r w:rsidR="00685DBE" w:rsidRPr="00685DBE">
        <w:rPr>
          <w:lang w:val="en-US"/>
        </w:rPr>
        <w:instrText xml:space="preserve"> HYPERLINK "https://doi.org/10.2147/NDT.S64136" \t "_blank" </w:instrText>
      </w:r>
      <w:r w:rsidR="00685DBE">
        <w:fldChar w:fldCharType="separate"/>
      </w:r>
      <w:r w:rsidRPr="003B5F55">
        <w:rPr>
          <w:rFonts w:ascii="Arial" w:hAnsi="Arial" w:cs="Arial"/>
          <w:lang w:val="en-US" w:eastAsia="es-CR"/>
        </w:rPr>
        <w:t>https://doi.org/10.2147/NDT.S64136</w:t>
      </w:r>
      <w:r w:rsidR="00685DBE">
        <w:rPr>
          <w:rFonts w:ascii="Arial" w:hAnsi="Arial" w:cs="Arial"/>
          <w:lang w:val="en-US" w:eastAsia="es-CR"/>
        </w:rPr>
        <w:fldChar w:fldCharType="end"/>
      </w:r>
      <w:r w:rsidRPr="003B5F55">
        <w:rPr>
          <w:rFonts w:ascii="Arial" w:hAnsi="Arial" w:cs="Arial"/>
          <w:lang w:val="en-US" w:eastAsia="es-CR"/>
        </w:rPr>
        <w:t>  </w:t>
      </w:r>
    </w:p>
    <w:p w14:paraId="7377E292"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Sepúlveda Bernales, V. J. &amp; Espina Araneda, V. F. (2021). </w:t>
      </w:r>
      <w:r w:rsidRPr="003B5F55">
        <w:rPr>
          <w:rFonts w:ascii="Arial" w:hAnsi="Arial" w:cs="Arial"/>
          <w:lang w:val="es-EC" w:eastAsia="es-CR"/>
        </w:rPr>
        <w:t>Desempeño académico en estudiantes de educación superior con Trastorno por Déficit de Atención. </w:t>
      </w:r>
      <w:proofErr w:type="spellStart"/>
      <w:r w:rsidRPr="003B5F55">
        <w:rPr>
          <w:rFonts w:ascii="Arial" w:hAnsi="Arial" w:cs="Arial"/>
          <w:i/>
          <w:iCs/>
          <w:lang w:val="en-US" w:eastAsia="es-CR"/>
        </w:rPr>
        <w:t>Estudios</w:t>
      </w:r>
      <w:proofErr w:type="spellEnd"/>
      <w:r w:rsidRPr="003B5F55">
        <w:rPr>
          <w:rFonts w:ascii="Arial" w:hAnsi="Arial" w:cs="Arial"/>
          <w:i/>
          <w:iCs/>
          <w:lang w:val="en-US" w:eastAsia="es-CR"/>
        </w:rPr>
        <w:t xml:space="preserve"> </w:t>
      </w:r>
      <w:proofErr w:type="spellStart"/>
      <w:r w:rsidRPr="003B5F55">
        <w:rPr>
          <w:rFonts w:ascii="Arial" w:hAnsi="Arial" w:cs="Arial"/>
          <w:i/>
          <w:iCs/>
          <w:lang w:val="en-US" w:eastAsia="es-CR"/>
        </w:rPr>
        <w:t>Pedagógicos</w:t>
      </w:r>
      <w:proofErr w:type="spellEnd"/>
      <w:r w:rsidRPr="003B5F55">
        <w:rPr>
          <w:rFonts w:ascii="Arial" w:hAnsi="Arial" w:cs="Arial"/>
          <w:i/>
          <w:iCs/>
          <w:lang w:val="en-US" w:eastAsia="es-CR"/>
        </w:rPr>
        <w:t xml:space="preserve"> (Valdivia), 47</w:t>
      </w:r>
      <w:r w:rsidRPr="003B5F55">
        <w:rPr>
          <w:rFonts w:ascii="Arial" w:hAnsi="Arial" w:cs="Arial"/>
          <w:lang w:val="en-US" w:eastAsia="es-CR"/>
        </w:rPr>
        <w:t>(1), 91-108. </w:t>
      </w:r>
      <w:r w:rsidR="00685DBE">
        <w:fldChar w:fldCharType="begin"/>
      </w:r>
      <w:r w:rsidR="00685DBE" w:rsidRPr="00685DBE">
        <w:rPr>
          <w:lang w:val="en-US"/>
        </w:rPr>
        <w:instrText xml:space="preserve"> HYPERLINK "https://doi.org/10.4067/S0718-07052021000100091" \t "_blank" </w:instrText>
      </w:r>
      <w:r w:rsidR="00685DBE">
        <w:fldChar w:fldCharType="separate"/>
      </w:r>
      <w:r w:rsidRPr="003B5F55">
        <w:rPr>
          <w:rFonts w:ascii="Arial" w:hAnsi="Arial" w:cs="Arial"/>
          <w:lang w:val="en-US" w:eastAsia="es-CR"/>
        </w:rPr>
        <w:t>https://doi.org/10.4067/S0718-07052021000100091</w:t>
      </w:r>
      <w:r w:rsidR="00685DBE">
        <w:rPr>
          <w:rFonts w:ascii="Arial" w:hAnsi="Arial" w:cs="Arial"/>
          <w:lang w:val="en-US" w:eastAsia="es-CR"/>
        </w:rPr>
        <w:fldChar w:fldCharType="end"/>
      </w:r>
      <w:r w:rsidRPr="003B5F55">
        <w:rPr>
          <w:rFonts w:ascii="Arial" w:hAnsi="Arial" w:cs="Arial"/>
          <w:lang w:val="en-US" w:eastAsia="es-CR"/>
        </w:rPr>
        <w:t>  </w:t>
      </w:r>
    </w:p>
    <w:p w14:paraId="593BF971"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 xml:space="preserve">Song, P., </w:t>
      </w:r>
      <w:proofErr w:type="spellStart"/>
      <w:r w:rsidRPr="003B5F55">
        <w:rPr>
          <w:rFonts w:ascii="Arial" w:hAnsi="Arial" w:cs="Arial"/>
          <w:lang w:val="en-US" w:eastAsia="es-CR"/>
        </w:rPr>
        <w:t>Zha</w:t>
      </w:r>
      <w:proofErr w:type="spellEnd"/>
      <w:r w:rsidRPr="003B5F55">
        <w:rPr>
          <w:rFonts w:ascii="Arial" w:hAnsi="Arial" w:cs="Arial"/>
          <w:lang w:val="en-US" w:eastAsia="es-CR"/>
        </w:rPr>
        <w:t xml:space="preserve">, M., Yang, Q., Zhang, Y., Li, X. &amp; </w:t>
      </w:r>
      <w:proofErr w:type="spellStart"/>
      <w:r w:rsidRPr="003B5F55">
        <w:rPr>
          <w:rFonts w:ascii="Arial" w:hAnsi="Arial" w:cs="Arial"/>
          <w:lang w:val="en-US" w:eastAsia="es-CR"/>
        </w:rPr>
        <w:t>Rudan</w:t>
      </w:r>
      <w:proofErr w:type="spellEnd"/>
      <w:r w:rsidRPr="003B5F55">
        <w:rPr>
          <w:rFonts w:ascii="Arial" w:hAnsi="Arial" w:cs="Arial"/>
          <w:lang w:val="en-US" w:eastAsia="es-CR"/>
        </w:rPr>
        <w:t>, I. (2021). The prevalence of adult attention-deficit hyperactivity disorder: A global systematic review and meta-analysis. </w:t>
      </w:r>
      <w:r w:rsidRPr="003B5F55">
        <w:rPr>
          <w:rFonts w:ascii="Arial" w:hAnsi="Arial" w:cs="Arial"/>
          <w:i/>
          <w:iCs/>
          <w:lang w:val="en-US" w:eastAsia="es-CR"/>
        </w:rPr>
        <w:t>Journal of Global Health, 11</w:t>
      </w:r>
      <w:r w:rsidRPr="003B5F55">
        <w:rPr>
          <w:rFonts w:ascii="Arial" w:hAnsi="Arial" w:cs="Arial"/>
          <w:lang w:val="en-US" w:eastAsia="es-CR"/>
        </w:rPr>
        <w:t>, 4009. </w:t>
      </w:r>
      <w:hyperlink r:id="rId17" w:tgtFrame="_blank" w:history="1">
        <w:r w:rsidRPr="003B5F55">
          <w:rPr>
            <w:rFonts w:ascii="Arial" w:hAnsi="Arial" w:cs="Arial"/>
            <w:lang w:val="en-US" w:eastAsia="es-CR"/>
          </w:rPr>
          <w:t>https://doi.org/10.7189/jogh.11.04009</w:t>
        </w:r>
      </w:hyperlink>
      <w:r w:rsidRPr="003B5F55">
        <w:rPr>
          <w:rFonts w:ascii="Arial" w:hAnsi="Arial" w:cs="Arial"/>
          <w:lang w:val="en-US" w:eastAsia="es-CR"/>
        </w:rPr>
        <w:t>  </w:t>
      </w:r>
    </w:p>
    <w:p w14:paraId="760BB170" w14:textId="77777777" w:rsidR="003B5F55" w:rsidRDefault="00756801" w:rsidP="003B5F55">
      <w:pPr>
        <w:spacing w:line="360" w:lineRule="auto"/>
        <w:ind w:left="720" w:hanging="720"/>
        <w:textAlignment w:val="baseline"/>
        <w:rPr>
          <w:rFonts w:ascii="Arial" w:hAnsi="Arial" w:cs="Arial"/>
          <w:lang w:val="es-EC" w:eastAsia="es-CR"/>
        </w:rPr>
      </w:pPr>
      <w:r w:rsidRPr="003B5F55">
        <w:rPr>
          <w:rFonts w:ascii="Arial" w:hAnsi="Arial" w:cs="Arial"/>
          <w:lang w:val="en-US" w:eastAsia="es-CR"/>
        </w:rPr>
        <w:t xml:space="preserve">World Medical Association. (2025). World Medical Association Declaration of Helsinki: Ethical Principles for Medical Research Involving Human </w:t>
      </w:r>
      <w:r w:rsidRPr="003B5F55">
        <w:rPr>
          <w:rFonts w:ascii="Arial" w:hAnsi="Arial" w:cs="Arial"/>
          <w:lang w:val="en-US" w:eastAsia="es-CR"/>
        </w:rPr>
        <w:lastRenderedPageBreak/>
        <w:t>Participants. </w:t>
      </w:r>
      <w:r w:rsidRPr="003B5F55">
        <w:rPr>
          <w:rFonts w:ascii="Arial" w:hAnsi="Arial" w:cs="Arial"/>
          <w:i/>
          <w:iCs/>
          <w:lang w:val="es-EC" w:eastAsia="es-CR"/>
        </w:rPr>
        <w:t>JAMA, 333</w:t>
      </w:r>
      <w:r w:rsidRPr="003B5F55">
        <w:rPr>
          <w:rFonts w:ascii="Arial" w:hAnsi="Arial" w:cs="Arial"/>
          <w:lang w:val="es-EC" w:eastAsia="es-CR"/>
        </w:rPr>
        <w:t>(1), 71-74. </w:t>
      </w:r>
      <w:hyperlink r:id="rId18" w:tgtFrame="_blank" w:history="1">
        <w:r w:rsidRPr="003B5F55">
          <w:rPr>
            <w:rFonts w:ascii="Arial" w:hAnsi="Arial" w:cs="Arial"/>
            <w:lang w:val="es-EC" w:eastAsia="es-CR"/>
          </w:rPr>
          <w:t>https://doi.org/10.1001/JAMA.2024.21972</w:t>
        </w:r>
      </w:hyperlink>
      <w:r w:rsidRPr="003B5F55">
        <w:rPr>
          <w:rFonts w:ascii="Arial" w:hAnsi="Arial" w:cs="Arial"/>
          <w:lang w:val="es-EC" w:eastAsia="es-CR"/>
        </w:rPr>
        <w:t> </w:t>
      </w:r>
    </w:p>
    <w:p w14:paraId="6CDD4E5F" w14:textId="06CCB36B"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eastAsia="es-CR"/>
        </w:rPr>
        <w:t> </w:t>
      </w:r>
    </w:p>
    <w:p w14:paraId="0114890D" w14:textId="36F2D477" w:rsidR="00756801" w:rsidRDefault="00756801" w:rsidP="00756801">
      <w:pPr>
        <w:spacing w:line="360" w:lineRule="auto"/>
        <w:jc w:val="both"/>
        <w:textAlignment w:val="baseline"/>
        <w:rPr>
          <w:rFonts w:ascii="Arial" w:hAnsi="Arial" w:cs="Arial"/>
          <w:lang w:eastAsia="es-CR"/>
        </w:rPr>
      </w:pPr>
      <w:r w:rsidRPr="00756801">
        <w:rPr>
          <w:rFonts w:ascii="Arial" w:hAnsi="Arial" w:cs="Arial"/>
          <w:b/>
          <w:bCs/>
          <w:lang w:val="es-EC" w:eastAsia="es-CR"/>
        </w:rPr>
        <w:t>Agradecimientos o financiamiento</w:t>
      </w:r>
      <w:r w:rsidRPr="00756801">
        <w:rPr>
          <w:rFonts w:ascii="Arial" w:hAnsi="Arial" w:cs="Arial"/>
          <w:lang w:eastAsia="es-CR"/>
        </w:rPr>
        <w:t> </w:t>
      </w:r>
    </w:p>
    <w:p w14:paraId="0BDA78FD" w14:textId="39A2FDEA"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Agradecemos al estudiantado de la carrera de Fisioterapia que participó voluntariamente en este estudio, y a la Pontificia Universidad Católica del Ecuador por facilitar su desarrollo; a su vez, esta investigación no recibió financiamiento externo. </w:t>
      </w:r>
      <w:r w:rsidRPr="00756801">
        <w:rPr>
          <w:rFonts w:ascii="Arial" w:hAnsi="Arial" w:cs="Arial"/>
          <w:lang w:eastAsia="es-CR"/>
        </w:rPr>
        <w:t> </w:t>
      </w:r>
    </w:p>
    <w:p w14:paraId="3CF3C6F6"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57603D67"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Declaración de contribución</w:t>
      </w:r>
      <w:r w:rsidRPr="00756801">
        <w:rPr>
          <w:rFonts w:ascii="Arial" w:hAnsi="Arial" w:cs="Arial"/>
          <w:lang w:eastAsia="es-CR"/>
        </w:rPr>
        <w:t> </w:t>
      </w:r>
    </w:p>
    <w:p w14:paraId="2220864D"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El autor 1 participó en la conceptualización (lideró), la investigación, la revisión y edición, la curación de datos y la redacción del manuscrito. El autor 2 participó en la conceptualización (de apoyo), el análisis de información, la gestión del proyecto y la redacción. El autor 3 participó en la validación, edición del manuscrito final y la supervisión. Todas las personas autoras participaron en la elaboración de este artículo y aprobaron su versión final.</w:t>
      </w:r>
    </w:p>
    <w:p w14:paraId="72C0B7C1" w14:textId="77777777" w:rsidR="00190DE8" w:rsidRPr="00B55452" w:rsidRDefault="00190DE8" w:rsidP="00756801">
      <w:pPr>
        <w:spacing w:line="360" w:lineRule="auto"/>
        <w:rPr>
          <w:rFonts w:ascii="Arial" w:hAnsi="Arial" w:cs="Arial"/>
        </w:rPr>
      </w:pPr>
    </w:p>
    <w:sectPr w:rsidR="00190DE8" w:rsidRPr="00B55452" w:rsidSect="003213AD">
      <w:headerReference w:type="default" r:id="rId19"/>
      <w:footerReference w:type="default" r:id="rId20"/>
      <w:type w:val="continuous"/>
      <w:pgSz w:w="12240" w:h="15840"/>
      <w:pgMar w:top="1417" w:right="1750" w:bottom="1411" w:left="1701" w:header="708" w:footer="708" w:gutter="0"/>
      <w:pgNumType w:start="1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9B92" w14:textId="77777777" w:rsidR="000841D9" w:rsidRDefault="000841D9" w:rsidP="003C3F58">
      <w:r>
        <w:separator/>
      </w:r>
    </w:p>
  </w:endnote>
  <w:endnote w:type="continuationSeparator" w:id="0">
    <w:p w14:paraId="48708AFE" w14:textId="77777777" w:rsidR="000841D9" w:rsidRDefault="000841D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2B2026FB"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D3B2867" w14:textId="49A1DABA" w:rsidR="00756801" w:rsidRDefault="00E30343" w:rsidP="0020679D">
        <w:pPr>
          <w:pStyle w:val="Sinespaciado"/>
          <w:jc w:val="center"/>
          <w:rPr>
            <w:rFonts w:ascii="Agency FB" w:hAnsi="Agency FB"/>
            <w:b/>
            <w:color w:val="E36C0A"/>
          </w:rPr>
        </w:pPr>
        <w:r>
          <w:rPr>
            <w:rFonts w:ascii="Agency FB" w:hAnsi="Agency FB"/>
            <w:b/>
            <w:color w:val="E36C0A"/>
          </w:rPr>
          <w:t>I</w:t>
        </w:r>
        <w:r w:rsidR="00756801" w:rsidRPr="00756801">
          <w:rPr>
            <w:rFonts w:ascii="Agency FB" w:hAnsi="Agency FB"/>
            <w:b/>
            <w:color w:val="E36C0A"/>
          </w:rPr>
          <w:t>mpacto del trastorno por déficit de atención e hiperactividad (TDAH) sobre el rendimiento académico en estudiantes universitarios de Fisioterapia en Ecuador: un estudio transversal comparativo</w:t>
        </w:r>
      </w:p>
      <w:p w14:paraId="699B6868" w14:textId="701FF360" w:rsidR="0020679D" w:rsidRPr="00BC0D99" w:rsidRDefault="00756801" w:rsidP="0020679D">
        <w:pPr>
          <w:pStyle w:val="Sinespaciado"/>
          <w:jc w:val="center"/>
          <w:rPr>
            <w:rFonts w:ascii="Agency FB" w:hAnsi="Agency FB"/>
            <w:color w:val="E36C0A"/>
            <w:lang w:val="es-CR"/>
          </w:rPr>
        </w:pPr>
        <w:r w:rsidRPr="00756801">
          <w:rPr>
            <w:rFonts w:ascii="Agency FB" w:hAnsi="Agency FB"/>
            <w:color w:val="E36C0A"/>
            <w:lang w:val="es-CR"/>
          </w:rPr>
          <w:t>Karina</w:t>
        </w:r>
        <w:r w:rsidR="005F7B99">
          <w:rPr>
            <w:rFonts w:ascii="Agency FB" w:hAnsi="Agency FB"/>
            <w:color w:val="E36C0A"/>
            <w:lang w:val="es-CR"/>
          </w:rPr>
          <w:t>-</w:t>
        </w:r>
        <w:r w:rsidRPr="00756801">
          <w:rPr>
            <w:rFonts w:ascii="Agency FB" w:hAnsi="Agency FB"/>
            <w:color w:val="E36C0A"/>
            <w:lang w:val="es-CR"/>
          </w:rPr>
          <w:t>L. Mantilla</w:t>
        </w:r>
        <w:r w:rsidR="00D92815">
          <w:rPr>
            <w:rFonts w:ascii="Agency FB" w:hAnsi="Agency FB"/>
            <w:color w:val="E36C0A"/>
            <w:lang w:val="es-CR"/>
          </w:rPr>
          <w:t>-</w:t>
        </w:r>
        <w:r w:rsidRPr="00756801">
          <w:rPr>
            <w:rFonts w:ascii="Agency FB" w:hAnsi="Agency FB"/>
            <w:color w:val="E36C0A"/>
            <w:lang w:val="es-CR"/>
          </w:rPr>
          <w:t>Vega</w:t>
        </w:r>
        <w:r>
          <w:rPr>
            <w:rFonts w:ascii="Agency FB" w:hAnsi="Agency FB"/>
            <w:color w:val="E36C0A"/>
            <w:lang w:val="es-CR"/>
          </w:rPr>
          <w:t xml:space="preserve">, </w:t>
        </w:r>
        <w:r w:rsidRPr="00756801">
          <w:rPr>
            <w:rFonts w:ascii="Agency FB" w:hAnsi="Agency FB"/>
            <w:color w:val="E36C0A"/>
            <w:lang w:val="es-CR"/>
          </w:rPr>
          <w:t>Belo</w:t>
        </w:r>
        <w:r w:rsidR="005F7B99">
          <w:rPr>
            <w:rFonts w:ascii="Agency FB" w:hAnsi="Agency FB"/>
            <w:color w:val="E36C0A"/>
            <w:lang w:val="es-CR"/>
          </w:rPr>
          <w:t>-</w:t>
        </w:r>
        <w:r w:rsidRPr="00756801">
          <w:rPr>
            <w:rFonts w:ascii="Agency FB" w:hAnsi="Agency FB"/>
            <w:color w:val="E36C0A"/>
            <w:lang w:val="es-CR"/>
          </w:rPr>
          <w:t>R. Tamba</w:t>
        </w:r>
        <w:r w:rsidR="00D92815">
          <w:rPr>
            <w:rFonts w:ascii="Agency FB" w:hAnsi="Agency FB"/>
            <w:color w:val="E36C0A"/>
            <w:lang w:val="es-CR"/>
          </w:rPr>
          <w:t>-</w:t>
        </w:r>
        <w:r w:rsidRPr="00756801">
          <w:rPr>
            <w:rFonts w:ascii="Agency FB" w:hAnsi="Agency FB"/>
            <w:color w:val="E36C0A"/>
            <w:lang w:val="es-CR"/>
          </w:rPr>
          <w:t xml:space="preserve">Quilo </w:t>
        </w:r>
        <w:r w:rsidR="0020679D" w:rsidRPr="00756801">
          <w:rPr>
            <w:rFonts w:ascii="Agency FB" w:hAnsi="Agency FB"/>
            <w:color w:val="E36C0A"/>
            <w:lang w:val="es-CR"/>
          </w:rPr>
          <w:t xml:space="preserve">y </w:t>
        </w:r>
        <w:r w:rsidRPr="00756801">
          <w:rPr>
            <w:rFonts w:ascii="Agency FB" w:hAnsi="Agency FB"/>
            <w:color w:val="E36C0A"/>
            <w:lang w:val="es-CR"/>
          </w:rPr>
          <w:t>Lucía</w:t>
        </w:r>
        <w:r w:rsidR="005F7B99">
          <w:rPr>
            <w:rFonts w:ascii="Agency FB" w:hAnsi="Agency FB"/>
            <w:color w:val="E36C0A"/>
            <w:lang w:val="es-CR"/>
          </w:rPr>
          <w:t>-</w:t>
        </w:r>
        <w:r w:rsidRPr="00756801">
          <w:rPr>
            <w:rFonts w:ascii="Agency FB" w:hAnsi="Agency FB"/>
            <w:color w:val="E36C0A"/>
            <w:lang w:val="es-CR"/>
          </w:rPr>
          <w:t>F. Flores</w:t>
        </w:r>
        <w:r w:rsidR="00D92815">
          <w:rPr>
            <w:rFonts w:ascii="Agency FB" w:hAnsi="Agency FB"/>
            <w:color w:val="E36C0A"/>
            <w:lang w:val="es-CR"/>
          </w:rPr>
          <w:t>-</w:t>
        </w:r>
        <w:proofErr w:type="spellStart"/>
        <w:r w:rsidRPr="00756801">
          <w:rPr>
            <w:rFonts w:ascii="Agency FB" w:hAnsi="Agency FB"/>
            <w:color w:val="E36C0A"/>
            <w:lang w:val="es-CR"/>
          </w:rPr>
          <w:t>Santy</w:t>
        </w:r>
        <w:proofErr w:type="spellEnd"/>
      </w:p>
      <w:p w14:paraId="0A013F44" w14:textId="712A3432" w:rsidR="0020679D" w:rsidRPr="00814810" w:rsidRDefault="0020679D" w:rsidP="0020679D">
        <w:pPr>
          <w:pStyle w:val="Sinespaciado"/>
          <w:jc w:val="center"/>
          <w:rPr>
            <w:rFonts w:ascii="Agency FB" w:hAnsi="Agency FB"/>
            <w:color w:val="E36C0A"/>
            <w:lang w:val="pt-BR"/>
          </w:rPr>
        </w:pPr>
        <w:r w:rsidRPr="00814810">
          <w:rPr>
            <w:rFonts w:ascii="Agency FB" w:hAnsi="Agency FB"/>
            <w:color w:val="E36C0A"/>
            <w:lang w:val="pt-BR"/>
          </w:rPr>
          <w:t xml:space="preserve">DOI: </w:t>
        </w:r>
        <w:hyperlink r:id="rId1" w:history="1">
          <w:r w:rsidR="004E2D35" w:rsidRPr="00814810">
            <w:rPr>
              <w:rStyle w:val="Hipervnculo"/>
              <w:rFonts w:ascii="Agency FB" w:hAnsi="Agency FB"/>
              <w:lang w:val="pt-BR"/>
            </w:rPr>
            <w:t>http://dx.doi.org/10.22458/caes.v17i1.</w:t>
          </w:r>
        </w:hyperlink>
        <w:r w:rsidR="00814810">
          <w:rPr>
            <w:rStyle w:val="Hipervnculo"/>
            <w:rFonts w:ascii="Agency FB" w:hAnsi="Agency FB"/>
            <w:lang w:val="en-US"/>
          </w:rPr>
          <w:t>6019</w:t>
        </w:r>
      </w:p>
      <w:p w14:paraId="6CE4D33D" w14:textId="77777777" w:rsidR="0020679D" w:rsidRPr="0066186F" w:rsidRDefault="0020679D" w:rsidP="0020679D">
        <w:pPr>
          <w:pStyle w:val="Sinespaciado"/>
          <w:tabs>
            <w:tab w:val="center" w:pos="4929"/>
            <w:tab w:val="left" w:pos="8661"/>
          </w:tabs>
          <w:rPr>
            <w:rFonts w:ascii="Agency FB" w:hAnsi="Agency FB"/>
            <w:color w:val="E36C0A"/>
          </w:rPr>
        </w:pPr>
        <w:r w:rsidRPr="00814810">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188CC90"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181C7E77"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182C6004"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E916" w14:textId="77777777" w:rsidR="000841D9" w:rsidRDefault="000841D9" w:rsidP="003C3F58">
      <w:r>
        <w:separator/>
      </w:r>
    </w:p>
  </w:footnote>
  <w:footnote w:type="continuationSeparator" w:id="0">
    <w:p w14:paraId="7849A0B6" w14:textId="77777777" w:rsidR="000841D9" w:rsidRDefault="000841D9" w:rsidP="003C3F58">
      <w:r>
        <w:continuationSeparator/>
      </w:r>
    </w:p>
  </w:footnote>
  <w:footnote w:id="1">
    <w:p w14:paraId="21F9C5E0" w14:textId="77777777" w:rsidR="00700A4F" w:rsidRPr="00F568E6" w:rsidRDefault="00700A4F" w:rsidP="00700A4F">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745050">
        <w:rPr>
          <w:rFonts w:ascii="Arial" w:hAnsi="Arial" w:cs="Arial"/>
          <w:color w:val="000000" w:themeColor="text1"/>
          <w:sz w:val="18"/>
          <w:szCs w:val="18"/>
        </w:rPr>
        <w:t>Fisioterapeuta graduada de la Pontificia Universidad Católica del Ecuador</w:t>
      </w:r>
      <w:r w:rsidRPr="00A0245B">
        <w:rPr>
          <w:rFonts w:ascii="Arial" w:hAnsi="Arial" w:cs="Arial"/>
          <w:noProof/>
          <w:lang w:eastAsia="es-CR"/>
        </w:rPr>
        <w:drawing>
          <wp:inline distT="0" distB="0" distL="0" distR="0" wp14:anchorId="0628DD0C" wp14:editId="68B4D173">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A62924">
        <w:t xml:space="preserve"> </w:t>
      </w:r>
      <w:hyperlink r:id="rId2" w:history="1">
        <w:r w:rsidRPr="00963206">
          <w:rPr>
            <w:rStyle w:val="Hipervnculo"/>
            <w:rFonts w:ascii="Arial" w:hAnsi="Arial" w:cs="Arial"/>
            <w:sz w:val="20"/>
            <w:szCs w:val="20"/>
            <w:lang w:eastAsia="es-CR"/>
          </w:rPr>
          <w:t>https://orcid.org/0009-0000-9057-9658</w:t>
        </w:r>
      </w:hyperlink>
      <w:r>
        <w:rPr>
          <w:rFonts w:ascii="Arial" w:hAnsi="Arial" w:cs="Arial"/>
          <w:sz w:val="20"/>
          <w:szCs w:val="20"/>
          <w:lang w:eastAsia="es-CR"/>
        </w:rPr>
        <w:t xml:space="preserve"> </w:t>
      </w:r>
    </w:p>
  </w:footnote>
  <w:footnote w:id="2">
    <w:p w14:paraId="7F119B0F" w14:textId="77930CE4" w:rsidR="00F54222" w:rsidRPr="003C3F58" w:rsidRDefault="00F54222" w:rsidP="00F54222">
      <w:pPr>
        <w:rPr>
          <w:lang w:val="es-ES"/>
        </w:rPr>
      </w:pPr>
      <w:r>
        <w:rPr>
          <w:rStyle w:val="Refdenotaalpie"/>
          <w:rFonts w:eastAsia="Arial"/>
        </w:rPr>
        <w:footnoteRef/>
      </w:r>
      <w:r>
        <w:t xml:space="preserve"> </w:t>
      </w:r>
      <w:r w:rsidRPr="00745050">
        <w:rPr>
          <w:rFonts w:ascii="Arial" w:hAnsi="Arial" w:cs="Arial"/>
          <w:color w:val="000000" w:themeColor="text1"/>
          <w:sz w:val="18"/>
          <w:szCs w:val="18"/>
        </w:rPr>
        <w:t>Licenciada en Fisioterapia</w:t>
      </w:r>
      <w:r w:rsidRPr="00A0245B">
        <w:rPr>
          <w:rFonts w:ascii="Arial" w:hAnsi="Arial" w:cs="Arial"/>
          <w:noProof/>
          <w:lang w:eastAsia="es-CR"/>
        </w:rPr>
        <w:drawing>
          <wp:inline distT="0" distB="0" distL="0" distR="0" wp14:anchorId="61767E17" wp14:editId="19D02B13">
            <wp:extent cx="123825" cy="123825"/>
            <wp:effectExtent l="0" t="0" r="9525" b="9525"/>
            <wp:docPr id="1489038942" name="Imagen 148903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2924">
        <w:t xml:space="preserve"> </w:t>
      </w:r>
      <w:hyperlink r:id="rId3" w:history="1">
        <w:r w:rsidRPr="00963206">
          <w:rPr>
            <w:rStyle w:val="Hipervnculo"/>
            <w:rFonts w:ascii="Arial" w:hAnsi="Arial" w:cs="Arial"/>
            <w:sz w:val="20"/>
            <w:szCs w:val="20"/>
            <w:lang w:eastAsia="es-CR"/>
          </w:rPr>
          <w:t>https://orcid.org/0009-0001-0881-6173</w:t>
        </w:r>
      </w:hyperlink>
    </w:p>
  </w:footnote>
  <w:footnote w:id="3">
    <w:p w14:paraId="076EEC3B" w14:textId="77777777" w:rsidR="00F54222" w:rsidRPr="003C3F58" w:rsidRDefault="00F54222" w:rsidP="00F54222">
      <w:pPr>
        <w:rPr>
          <w:lang w:val="es-ES"/>
        </w:rPr>
      </w:pPr>
      <w:r>
        <w:rPr>
          <w:rStyle w:val="Refdenotaalpie"/>
          <w:rFonts w:eastAsia="Arial"/>
        </w:rPr>
        <w:footnoteRef/>
      </w:r>
      <w:r>
        <w:t xml:space="preserve"> </w:t>
      </w:r>
      <w:r w:rsidRPr="00745050">
        <w:rPr>
          <w:rFonts w:ascii="Arial" w:hAnsi="Arial" w:cs="Arial"/>
          <w:color w:val="000000" w:themeColor="text1"/>
          <w:sz w:val="18"/>
          <w:szCs w:val="18"/>
        </w:rPr>
        <w:t>Fisioterapeuta especialista en neurorrehabilitación y docente de educación.</w:t>
      </w:r>
      <w:r w:rsidRPr="00A0245B">
        <w:rPr>
          <w:rFonts w:ascii="Arial" w:hAnsi="Arial" w:cs="Arial"/>
          <w:noProof/>
          <w:lang w:eastAsia="es-CR"/>
        </w:rPr>
        <w:drawing>
          <wp:inline distT="0" distB="0" distL="0" distR="0" wp14:anchorId="45694F9A" wp14:editId="741F9B50">
            <wp:extent cx="123825" cy="123825"/>
            <wp:effectExtent l="0" t="0" r="9525" b="9525"/>
            <wp:docPr id="1631781202" name="Imagen 163178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2924">
        <w:t xml:space="preserve"> </w:t>
      </w:r>
      <w:hyperlink r:id="rId4" w:history="1">
        <w:r w:rsidRPr="00963206">
          <w:rPr>
            <w:rStyle w:val="Hipervnculo"/>
            <w:rFonts w:ascii="Arial" w:hAnsi="Arial" w:cs="Arial"/>
            <w:sz w:val="20"/>
            <w:szCs w:val="20"/>
            <w:lang w:eastAsia="es-CR"/>
          </w:rPr>
          <w:t>https://orcid.org/0000-0003-1574-8268</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2201" w14:textId="094914E7" w:rsidR="00A82B98" w:rsidRPr="00F4765F" w:rsidRDefault="00A82B9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D07EF2" w:rsidRPr="00D07EF2">
      <w:rPr>
        <w:rFonts w:ascii="Agency FB" w:hAnsi="Agency FB"/>
        <w:color w:val="E36C0A"/>
        <w:sz w:val="20"/>
        <w:szCs w:val="20"/>
      </w:rPr>
      <w:t>17</w:t>
    </w:r>
    <w:r w:rsidR="00D11B16">
      <w:rPr>
        <w:rFonts w:ascii="Agency FB" w:hAnsi="Agency FB"/>
        <w:color w:val="E36C0A"/>
        <w:sz w:val="20"/>
        <w:szCs w:val="20"/>
      </w:rPr>
      <w:t>2</w:t>
    </w:r>
    <w:r w:rsidRPr="00D07EF2">
      <w:rPr>
        <w:rFonts w:ascii="Agency FB" w:hAnsi="Agency FB"/>
        <w:color w:val="E36C0A"/>
        <w:sz w:val="20"/>
        <w:szCs w:val="20"/>
      </w:rPr>
      <w:t>-</w:t>
    </w:r>
    <w:r w:rsidR="00D11B16">
      <w:rPr>
        <w:rFonts w:ascii="Agency FB" w:hAnsi="Agency FB"/>
        <w:color w:val="E36C0A"/>
        <w:sz w:val="20"/>
        <w:szCs w:val="20"/>
      </w:rPr>
      <w:t>198</w:t>
    </w:r>
  </w:p>
  <w:p w14:paraId="369D42C0" w14:textId="77777777"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4A16970B" w14:textId="77777777" w:rsidR="00A82B98" w:rsidRPr="0081623B" w:rsidRDefault="00685DBE"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5FAD4BEC"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6468F27"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2BEE8CA8"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42A9"/>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1D9"/>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4EBD"/>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08A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13AD"/>
    <w:rsid w:val="00323EC0"/>
    <w:rsid w:val="00326D5D"/>
    <w:rsid w:val="00330D23"/>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6CCC"/>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5F55"/>
    <w:rsid w:val="003B6BFD"/>
    <w:rsid w:val="003B7E8E"/>
    <w:rsid w:val="003C0F36"/>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29F4"/>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3AB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13BC"/>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0A17"/>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5F7B99"/>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5DBE"/>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5016"/>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0A4F"/>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1455"/>
    <w:rsid w:val="007430BA"/>
    <w:rsid w:val="00744BFD"/>
    <w:rsid w:val="00745050"/>
    <w:rsid w:val="00745B70"/>
    <w:rsid w:val="00746CCC"/>
    <w:rsid w:val="00751F7B"/>
    <w:rsid w:val="00753B73"/>
    <w:rsid w:val="00753D2B"/>
    <w:rsid w:val="00754B72"/>
    <w:rsid w:val="00755684"/>
    <w:rsid w:val="00755F1F"/>
    <w:rsid w:val="007564BC"/>
    <w:rsid w:val="00756801"/>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977EC"/>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05A"/>
    <w:rsid w:val="00814594"/>
    <w:rsid w:val="00814810"/>
    <w:rsid w:val="008325B7"/>
    <w:rsid w:val="00832BEC"/>
    <w:rsid w:val="00832D4D"/>
    <w:rsid w:val="008377E1"/>
    <w:rsid w:val="008417EF"/>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53AD"/>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1339"/>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422B"/>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2924"/>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516E"/>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184C"/>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07EF2"/>
    <w:rsid w:val="00D11B16"/>
    <w:rsid w:val="00D13FF0"/>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81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0C03"/>
    <w:rsid w:val="00E02896"/>
    <w:rsid w:val="00E049B7"/>
    <w:rsid w:val="00E0577F"/>
    <w:rsid w:val="00E05EED"/>
    <w:rsid w:val="00E078BD"/>
    <w:rsid w:val="00E100D5"/>
    <w:rsid w:val="00E129A2"/>
    <w:rsid w:val="00E1546C"/>
    <w:rsid w:val="00E179DF"/>
    <w:rsid w:val="00E20D87"/>
    <w:rsid w:val="00E23F6F"/>
    <w:rsid w:val="00E247BE"/>
    <w:rsid w:val="00E24E58"/>
    <w:rsid w:val="00E274B1"/>
    <w:rsid w:val="00E30343"/>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0C7"/>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4222"/>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6A5016"/>
  </w:style>
  <w:style w:type="character" w:customStyle="1" w:styleId="eop">
    <w:name w:val="eop"/>
    <w:basedOn w:val="Fuentedeprrafopredeter"/>
    <w:rsid w:val="00A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38803679">
      <w:bodyDiv w:val="1"/>
      <w:marLeft w:val="0"/>
      <w:marRight w:val="0"/>
      <w:marTop w:val="0"/>
      <w:marBottom w:val="0"/>
      <w:divBdr>
        <w:top w:val="none" w:sz="0" w:space="0" w:color="auto"/>
        <w:left w:val="none" w:sz="0" w:space="0" w:color="auto"/>
        <w:bottom w:val="none" w:sz="0" w:space="0" w:color="auto"/>
        <w:right w:val="none" w:sz="0" w:space="0" w:color="auto"/>
      </w:divBdr>
      <w:divsChild>
        <w:div w:id="772669713">
          <w:marLeft w:val="0"/>
          <w:marRight w:val="0"/>
          <w:marTop w:val="0"/>
          <w:marBottom w:val="0"/>
          <w:divBdr>
            <w:top w:val="none" w:sz="0" w:space="0" w:color="auto"/>
            <w:left w:val="none" w:sz="0" w:space="0" w:color="auto"/>
            <w:bottom w:val="none" w:sz="0" w:space="0" w:color="auto"/>
            <w:right w:val="none" w:sz="0" w:space="0" w:color="auto"/>
          </w:divBdr>
        </w:div>
        <w:div w:id="2141537230">
          <w:marLeft w:val="0"/>
          <w:marRight w:val="0"/>
          <w:marTop w:val="0"/>
          <w:marBottom w:val="0"/>
          <w:divBdr>
            <w:top w:val="none" w:sz="0" w:space="0" w:color="auto"/>
            <w:left w:val="none" w:sz="0" w:space="0" w:color="auto"/>
            <w:bottom w:val="none" w:sz="0" w:space="0" w:color="auto"/>
            <w:right w:val="none" w:sz="0" w:space="0" w:color="auto"/>
          </w:divBdr>
        </w:div>
        <w:div w:id="1466116284">
          <w:marLeft w:val="0"/>
          <w:marRight w:val="0"/>
          <w:marTop w:val="0"/>
          <w:marBottom w:val="0"/>
          <w:divBdr>
            <w:top w:val="none" w:sz="0" w:space="0" w:color="auto"/>
            <w:left w:val="none" w:sz="0" w:space="0" w:color="auto"/>
            <w:bottom w:val="none" w:sz="0" w:space="0" w:color="auto"/>
            <w:right w:val="none" w:sz="0" w:space="0" w:color="auto"/>
          </w:divBdr>
        </w:div>
        <w:div w:id="1340547945">
          <w:marLeft w:val="0"/>
          <w:marRight w:val="0"/>
          <w:marTop w:val="0"/>
          <w:marBottom w:val="0"/>
          <w:divBdr>
            <w:top w:val="none" w:sz="0" w:space="0" w:color="auto"/>
            <w:left w:val="none" w:sz="0" w:space="0" w:color="auto"/>
            <w:bottom w:val="none" w:sz="0" w:space="0" w:color="auto"/>
            <w:right w:val="none" w:sz="0" w:space="0" w:color="auto"/>
          </w:divBdr>
        </w:div>
        <w:div w:id="2081323460">
          <w:marLeft w:val="0"/>
          <w:marRight w:val="0"/>
          <w:marTop w:val="0"/>
          <w:marBottom w:val="0"/>
          <w:divBdr>
            <w:top w:val="none" w:sz="0" w:space="0" w:color="auto"/>
            <w:left w:val="none" w:sz="0" w:space="0" w:color="auto"/>
            <w:bottom w:val="none" w:sz="0" w:space="0" w:color="auto"/>
            <w:right w:val="none" w:sz="0" w:space="0" w:color="auto"/>
          </w:divBdr>
        </w:div>
        <w:div w:id="228925855">
          <w:marLeft w:val="0"/>
          <w:marRight w:val="0"/>
          <w:marTop w:val="0"/>
          <w:marBottom w:val="0"/>
          <w:divBdr>
            <w:top w:val="none" w:sz="0" w:space="0" w:color="auto"/>
            <w:left w:val="none" w:sz="0" w:space="0" w:color="auto"/>
            <w:bottom w:val="none" w:sz="0" w:space="0" w:color="auto"/>
            <w:right w:val="none" w:sz="0" w:space="0" w:color="auto"/>
          </w:divBdr>
        </w:div>
        <w:div w:id="1478298896">
          <w:marLeft w:val="0"/>
          <w:marRight w:val="0"/>
          <w:marTop w:val="0"/>
          <w:marBottom w:val="0"/>
          <w:divBdr>
            <w:top w:val="none" w:sz="0" w:space="0" w:color="auto"/>
            <w:left w:val="none" w:sz="0" w:space="0" w:color="auto"/>
            <w:bottom w:val="none" w:sz="0" w:space="0" w:color="auto"/>
            <w:right w:val="none" w:sz="0" w:space="0" w:color="auto"/>
          </w:divBdr>
        </w:div>
        <w:div w:id="601423888">
          <w:marLeft w:val="0"/>
          <w:marRight w:val="0"/>
          <w:marTop w:val="0"/>
          <w:marBottom w:val="0"/>
          <w:divBdr>
            <w:top w:val="none" w:sz="0" w:space="0" w:color="auto"/>
            <w:left w:val="none" w:sz="0" w:space="0" w:color="auto"/>
            <w:bottom w:val="none" w:sz="0" w:space="0" w:color="auto"/>
            <w:right w:val="none" w:sz="0" w:space="0" w:color="auto"/>
          </w:divBdr>
        </w:div>
        <w:div w:id="1740248968">
          <w:marLeft w:val="0"/>
          <w:marRight w:val="0"/>
          <w:marTop w:val="0"/>
          <w:marBottom w:val="0"/>
          <w:divBdr>
            <w:top w:val="none" w:sz="0" w:space="0" w:color="auto"/>
            <w:left w:val="none" w:sz="0" w:space="0" w:color="auto"/>
            <w:bottom w:val="none" w:sz="0" w:space="0" w:color="auto"/>
            <w:right w:val="none" w:sz="0" w:space="0" w:color="auto"/>
          </w:divBdr>
        </w:div>
        <w:div w:id="1320690002">
          <w:marLeft w:val="0"/>
          <w:marRight w:val="0"/>
          <w:marTop w:val="0"/>
          <w:marBottom w:val="0"/>
          <w:divBdr>
            <w:top w:val="none" w:sz="0" w:space="0" w:color="auto"/>
            <w:left w:val="none" w:sz="0" w:space="0" w:color="auto"/>
            <w:bottom w:val="none" w:sz="0" w:space="0" w:color="auto"/>
            <w:right w:val="none" w:sz="0" w:space="0" w:color="auto"/>
          </w:divBdr>
        </w:div>
        <w:div w:id="1619220012">
          <w:marLeft w:val="0"/>
          <w:marRight w:val="0"/>
          <w:marTop w:val="0"/>
          <w:marBottom w:val="0"/>
          <w:divBdr>
            <w:top w:val="none" w:sz="0" w:space="0" w:color="auto"/>
            <w:left w:val="none" w:sz="0" w:space="0" w:color="auto"/>
            <w:bottom w:val="none" w:sz="0" w:space="0" w:color="auto"/>
            <w:right w:val="none" w:sz="0" w:space="0" w:color="auto"/>
          </w:divBdr>
        </w:div>
        <w:div w:id="2049448776">
          <w:marLeft w:val="0"/>
          <w:marRight w:val="0"/>
          <w:marTop w:val="0"/>
          <w:marBottom w:val="0"/>
          <w:divBdr>
            <w:top w:val="none" w:sz="0" w:space="0" w:color="auto"/>
            <w:left w:val="none" w:sz="0" w:space="0" w:color="auto"/>
            <w:bottom w:val="none" w:sz="0" w:space="0" w:color="auto"/>
            <w:right w:val="none" w:sz="0" w:space="0" w:color="auto"/>
          </w:divBdr>
        </w:div>
        <w:div w:id="485127697">
          <w:marLeft w:val="0"/>
          <w:marRight w:val="0"/>
          <w:marTop w:val="0"/>
          <w:marBottom w:val="0"/>
          <w:divBdr>
            <w:top w:val="none" w:sz="0" w:space="0" w:color="auto"/>
            <w:left w:val="none" w:sz="0" w:space="0" w:color="auto"/>
            <w:bottom w:val="none" w:sz="0" w:space="0" w:color="auto"/>
            <w:right w:val="none" w:sz="0" w:space="0" w:color="auto"/>
          </w:divBdr>
        </w:div>
        <w:div w:id="166752593">
          <w:marLeft w:val="0"/>
          <w:marRight w:val="0"/>
          <w:marTop w:val="0"/>
          <w:marBottom w:val="0"/>
          <w:divBdr>
            <w:top w:val="none" w:sz="0" w:space="0" w:color="auto"/>
            <w:left w:val="none" w:sz="0" w:space="0" w:color="auto"/>
            <w:bottom w:val="none" w:sz="0" w:space="0" w:color="auto"/>
            <w:right w:val="none" w:sz="0" w:space="0" w:color="auto"/>
          </w:divBdr>
        </w:div>
        <w:div w:id="1516920176">
          <w:marLeft w:val="0"/>
          <w:marRight w:val="0"/>
          <w:marTop w:val="0"/>
          <w:marBottom w:val="0"/>
          <w:divBdr>
            <w:top w:val="none" w:sz="0" w:space="0" w:color="auto"/>
            <w:left w:val="none" w:sz="0" w:space="0" w:color="auto"/>
            <w:bottom w:val="none" w:sz="0" w:space="0" w:color="auto"/>
            <w:right w:val="none" w:sz="0" w:space="0" w:color="auto"/>
          </w:divBdr>
        </w:div>
        <w:div w:id="730150374">
          <w:marLeft w:val="0"/>
          <w:marRight w:val="0"/>
          <w:marTop w:val="0"/>
          <w:marBottom w:val="0"/>
          <w:divBdr>
            <w:top w:val="none" w:sz="0" w:space="0" w:color="auto"/>
            <w:left w:val="none" w:sz="0" w:space="0" w:color="auto"/>
            <w:bottom w:val="none" w:sz="0" w:space="0" w:color="auto"/>
            <w:right w:val="none" w:sz="0" w:space="0" w:color="auto"/>
          </w:divBdr>
        </w:div>
        <w:div w:id="1170750757">
          <w:marLeft w:val="0"/>
          <w:marRight w:val="0"/>
          <w:marTop w:val="0"/>
          <w:marBottom w:val="0"/>
          <w:divBdr>
            <w:top w:val="none" w:sz="0" w:space="0" w:color="auto"/>
            <w:left w:val="none" w:sz="0" w:space="0" w:color="auto"/>
            <w:bottom w:val="none" w:sz="0" w:space="0" w:color="auto"/>
            <w:right w:val="none" w:sz="0" w:space="0" w:color="auto"/>
          </w:divBdr>
        </w:div>
        <w:div w:id="1131441586">
          <w:marLeft w:val="0"/>
          <w:marRight w:val="0"/>
          <w:marTop w:val="0"/>
          <w:marBottom w:val="0"/>
          <w:divBdr>
            <w:top w:val="none" w:sz="0" w:space="0" w:color="auto"/>
            <w:left w:val="none" w:sz="0" w:space="0" w:color="auto"/>
            <w:bottom w:val="none" w:sz="0" w:space="0" w:color="auto"/>
            <w:right w:val="none" w:sz="0" w:space="0" w:color="auto"/>
          </w:divBdr>
        </w:div>
        <w:div w:id="1858614454">
          <w:marLeft w:val="0"/>
          <w:marRight w:val="0"/>
          <w:marTop w:val="0"/>
          <w:marBottom w:val="0"/>
          <w:divBdr>
            <w:top w:val="none" w:sz="0" w:space="0" w:color="auto"/>
            <w:left w:val="none" w:sz="0" w:space="0" w:color="auto"/>
            <w:bottom w:val="none" w:sz="0" w:space="0" w:color="auto"/>
            <w:right w:val="none" w:sz="0" w:space="0" w:color="auto"/>
          </w:divBdr>
        </w:div>
        <w:div w:id="995648298">
          <w:marLeft w:val="0"/>
          <w:marRight w:val="0"/>
          <w:marTop w:val="0"/>
          <w:marBottom w:val="0"/>
          <w:divBdr>
            <w:top w:val="none" w:sz="0" w:space="0" w:color="auto"/>
            <w:left w:val="none" w:sz="0" w:space="0" w:color="auto"/>
            <w:bottom w:val="none" w:sz="0" w:space="0" w:color="auto"/>
            <w:right w:val="none" w:sz="0" w:space="0" w:color="auto"/>
          </w:divBdr>
        </w:div>
        <w:div w:id="1977251387">
          <w:marLeft w:val="0"/>
          <w:marRight w:val="0"/>
          <w:marTop w:val="0"/>
          <w:marBottom w:val="0"/>
          <w:divBdr>
            <w:top w:val="none" w:sz="0" w:space="0" w:color="auto"/>
            <w:left w:val="none" w:sz="0" w:space="0" w:color="auto"/>
            <w:bottom w:val="none" w:sz="0" w:space="0" w:color="auto"/>
            <w:right w:val="none" w:sz="0" w:space="0" w:color="auto"/>
          </w:divBdr>
        </w:div>
        <w:div w:id="1878198839">
          <w:marLeft w:val="0"/>
          <w:marRight w:val="0"/>
          <w:marTop w:val="0"/>
          <w:marBottom w:val="0"/>
          <w:divBdr>
            <w:top w:val="none" w:sz="0" w:space="0" w:color="auto"/>
            <w:left w:val="none" w:sz="0" w:space="0" w:color="auto"/>
            <w:bottom w:val="none" w:sz="0" w:space="0" w:color="auto"/>
            <w:right w:val="none" w:sz="0" w:space="0" w:color="auto"/>
          </w:divBdr>
        </w:div>
        <w:div w:id="2048941516">
          <w:marLeft w:val="0"/>
          <w:marRight w:val="0"/>
          <w:marTop w:val="0"/>
          <w:marBottom w:val="0"/>
          <w:divBdr>
            <w:top w:val="none" w:sz="0" w:space="0" w:color="auto"/>
            <w:left w:val="none" w:sz="0" w:space="0" w:color="auto"/>
            <w:bottom w:val="none" w:sz="0" w:space="0" w:color="auto"/>
            <w:right w:val="none" w:sz="0" w:space="0" w:color="auto"/>
          </w:divBdr>
        </w:div>
        <w:div w:id="1901020335">
          <w:marLeft w:val="0"/>
          <w:marRight w:val="0"/>
          <w:marTop w:val="0"/>
          <w:marBottom w:val="0"/>
          <w:divBdr>
            <w:top w:val="none" w:sz="0" w:space="0" w:color="auto"/>
            <w:left w:val="none" w:sz="0" w:space="0" w:color="auto"/>
            <w:bottom w:val="none" w:sz="0" w:space="0" w:color="auto"/>
            <w:right w:val="none" w:sz="0" w:space="0" w:color="auto"/>
          </w:divBdr>
        </w:div>
        <w:div w:id="242954798">
          <w:marLeft w:val="0"/>
          <w:marRight w:val="0"/>
          <w:marTop w:val="0"/>
          <w:marBottom w:val="0"/>
          <w:divBdr>
            <w:top w:val="none" w:sz="0" w:space="0" w:color="auto"/>
            <w:left w:val="none" w:sz="0" w:space="0" w:color="auto"/>
            <w:bottom w:val="none" w:sz="0" w:space="0" w:color="auto"/>
            <w:right w:val="none" w:sz="0" w:space="0" w:color="auto"/>
          </w:divBdr>
        </w:div>
        <w:div w:id="710956396">
          <w:marLeft w:val="0"/>
          <w:marRight w:val="0"/>
          <w:marTop w:val="0"/>
          <w:marBottom w:val="0"/>
          <w:divBdr>
            <w:top w:val="none" w:sz="0" w:space="0" w:color="auto"/>
            <w:left w:val="none" w:sz="0" w:space="0" w:color="auto"/>
            <w:bottom w:val="none" w:sz="0" w:space="0" w:color="auto"/>
            <w:right w:val="none" w:sz="0" w:space="0" w:color="auto"/>
          </w:divBdr>
        </w:div>
        <w:div w:id="671177715">
          <w:marLeft w:val="0"/>
          <w:marRight w:val="0"/>
          <w:marTop w:val="0"/>
          <w:marBottom w:val="0"/>
          <w:divBdr>
            <w:top w:val="none" w:sz="0" w:space="0" w:color="auto"/>
            <w:left w:val="none" w:sz="0" w:space="0" w:color="auto"/>
            <w:bottom w:val="none" w:sz="0" w:space="0" w:color="auto"/>
            <w:right w:val="none" w:sz="0" w:space="0" w:color="auto"/>
          </w:divBdr>
        </w:div>
        <w:div w:id="736787976">
          <w:marLeft w:val="0"/>
          <w:marRight w:val="0"/>
          <w:marTop w:val="0"/>
          <w:marBottom w:val="0"/>
          <w:divBdr>
            <w:top w:val="none" w:sz="0" w:space="0" w:color="auto"/>
            <w:left w:val="none" w:sz="0" w:space="0" w:color="auto"/>
            <w:bottom w:val="none" w:sz="0" w:space="0" w:color="auto"/>
            <w:right w:val="none" w:sz="0" w:space="0" w:color="auto"/>
          </w:divBdr>
        </w:div>
        <w:div w:id="662929016">
          <w:marLeft w:val="0"/>
          <w:marRight w:val="0"/>
          <w:marTop w:val="0"/>
          <w:marBottom w:val="0"/>
          <w:divBdr>
            <w:top w:val="none" w:sz="0" w:space="0" w:color="auto"/>
            <w:left w:val="none" w:sz="0" w:space="0" w:color="auto"/>
            <w:bottom w:val="none" w:sz="0" w:space="0" w:color="auto"/>
            <w:right w:val="none" w:sz="0" w:space="0" w:color="auto"/>
          </w:divBdr>
        </w:div>
        <w:div w:id="2039161285">
          <w:marLeft w:val="0"/>
          <w:marRight w:val="0"/>
          <w:marTop w:val="0"/>
          <w:marBottom w:val="0"/>
          <w:divBdr>
            <w:top w:val="none" w:sz="0" w:space="0" w:color="auto"/>
            <w:left w:val="none" w:sz="0" w:space="0" w:color="auto"/>
            <w:bottom w:val="none" w:sz="0" w:space="0" w:color="auto"/>
            <w:right w:val="none" w:sz="0" w:space="0" w:color="auto"/>
          </w:divBdr>
        </w:div>
        <w:div w:id="220598911">
          <w:marLeft w:val="0"/>
          <w:marRight w:val="0"/>
          <w:marTop w:val="0"/>
          <w:marBottom w:val="0"/>
          <w:divBdr>
            <w:top w:val="none" w:sz="0" w:space="0" w:color="auto"/>
            <w:left w:val="none" w:sz="0" w:space="0" w:color="auto"/>
            <w:bottom w:val="none" w:sz="0" w:space="0" w:color="auto"/>
            <w:right w:val="none" w:sz="0" w:space="0" w:color="auto"/>
          </w:divBdr>
        </w:div>
        <w:div w:id="655382939">
          <w:marLeft w:val="0"/>
          <w:marRight w:val="0"/>
          <w:marTop w:val="0"/>
          <w:marBottom w:val="0"/>
          <w:divBdr>
            <w:top w:val="none" w:sz="0" w:space="0" w:color="auto"/>
            <w:left w:val="none" w:sz="0" w:space="0" w:color="auto"/>
            <w:bottom w:val="none" w:sz="0" w:space="0" w:color="auto"/>
            <w:right w:val="none" w:sz="0" w:space="0" w:color="auto"/>
          </w:divBdr>
        </w:div>
        <w:div w:id="1990162168">
          <w:marLeft w:val="0"/>
          <w:marRight w:val="0"/>
          <w:marTop w:val="0"/>
          <w:marBottom w:val="0"/>
          <w:divBdr>
            <w:top w:val="none" w:sz="0" w:space="0" w:color="auto"/>
            <w:left w:val="none" w:sz="0" w:space="0" w:color="auto"/>
            <w:bottom w:val="none" w:sz="0" w:space="0" w:color="auto"/>
            <w:right w:val="none" w:sz="0" w:space="0" w:color="auto"/>
          </w:divBdr>
          <w:divsChild>
            <w:div w:id="1161771966">
              <w:marLeft w:val="-75"/>
              <w:marRight w:val="0"/>
              <w:marTop w:val="30"/>
              <w:marBottom w:val="30"/>
              <w:divBdr>
                <w:top w:val="none" w:sz="0" w:space="0" w:color="auto"/>
                <w:left w:val="none" w:sz="0" w:space="0" w:color="auto"/>
                <w:bottom w:val="none" w:sz="0" w:space="0" w:color="auto"/>
                <w:right w:val="none" w:sz="0" w:space="0" w:color="auto"/>
              </w:divBdr>
              <w:divsChild>
                <w:div w:id="1030495821">
                  <w:marLeft w:val="0"/>
                  <w:marRight w:val="0"/>
                  <w:marTop w:val="0"/>
                  <w:marBottom w:val="0"/>
                  <w:divBdr>
                    <w:top w:val="none" w:sz="0" w:space="0" w:color="auto"/>
                    <w:left w:val="none" w:sz="0" w:space="0" w:color="auto"/>
                    <w:bottom w:val="none" w:sz="0" w:space="0" w:color="auto"/>
                    <w:right w:val="none" w:sz="0" w:space="0" w:color="auto"/>
                  </w:divBdr>
                  <w:divsChild>
                    <w:div w:id="1138886444">
                      <w:marLeft w:val="0"/>
                      <w:marRight w:val="0"/>
                      <w:marTop w:val="0"/>
                      <w:marBottom w:val="0"/>
                      <w:divBdr>
                        <w:top w:val="none" w:sz="0" w:space="0" w:color="auto"/>
                        <w:left w:val="none" w:sz="0" w:space="0" w:color="auto"/>
                        <w:bottom w:val="none" w:sz="0" w:space="0" w:color="auto"/>
                        <w:right w:val="none" w:sz="0" w:space="0" w:color="auto"/>
                      </w:divBdr>
                    </w:div>
                  </w:divsChild>
                </w:div>
                <w:div w:id="97527917">
                  <w:marLeft w:val="0"/>
                  <w:marRight w:val="0"/>
                  <w:marTop w:val="0"/>
                  <w:marBottom w:val="0"/>
                  <w:divBdr>
                    <w:top w:val="none" w:sz="0" w:space="0" w:color="auto"/>
                    <w:left w:val="none" w:sz="0" w:space="0" w:color="auto"/>
                    <w:bottom w:val="none" w:sz="0" w:space="0" w:color="auto"/>
                    <w:right w:val="none" w:sz="0" w:space="0" w:color="auto"/>
                  </w:divBdr>
                  <w:divsChild>
                    <w:div w:id="126247042">
                      <w:marLeft w:val="0"/>
                      <w:marRight w:val="0"/>
                      <w:marTop w:val="0"/>
                      <w:marBottom w:val="0"/>
                      <w:divBdr>
                        <w:top w:val="none" w:sz="0" w:space="0" w:color="auto"/>
                        <w:left w:val="none" w:sz="0" w:space="0" w:color="auto"/>
                        <w:bottom w:val="none" w:sz="0" w:space="0" w:color="auto"/>
                        <w:right w:val="none" w:sz="0" w:space="0" w:color="auto"/>
                      </w:divBdr>
                    </w:div>
                  </w:divsChild>
                </w:div>
                <w:div w:id="1229420125">
                  <w:marLeft w:val="0"/>
                  <w:marRight w:val="0"/>
                  <w:marTop w:val="0"/>
                  <w:marBottom w:val="0"/>
                  <w:divBdr>
                    <w:top w:val="none" w:sz="0" w:space="0" w:color="auto"/>
                    <w:left w:val="none" w:sz="0" w:space="0" w:color="auto"/>
                    <w:bottom w:val="none" w:sz="0" w:space="0" w:color="auto"/>
                    <w:right w:val="none" w:sz="0" w:space="0" w:color="auto"/>
                  </w:divBdr>
                  <w:divsChild>
                    <w:div w:id="1588464829">
                      <w:marLeft w:val="0"/>
                      <w:marRight w:val="0"/>
                      <w:marTop w:val="0"/>
                      <w:marBottom w:val="0"/>
                      <w:divBdr>
                        <w:top w:val="none" w:sz="0" w:space="0" w:color="auto"/>
                        <w:left w:val="none" w:sz="0" w:space="0" w:color="auto"/>
                        <w:bottom w:val="none" w:sz="0" w:space="0" w:color="auto"/>
                        <w:right w:val="none" w:sz="0" w:space="0" w:color="auto"/>
                      </w:divBdr>
                    </w:div>
                  </w:divsChild>
                </w:div>
                <w:div w:id="884832560">
                  <w:marLeft w:val="0"/>
                  <w:marRight w:val="0"/>
                  <w:marTop w:val="0"/>
                  <w:marBottom w:val="0"/>
                  <w:divBdr>
                    <w:top w:val="none" w:sz="0" w:space="0" w:color="auto"/>
                    <w:left w:val="none" w:sz="0" w:space="0" w:color="auto"/>
                    <w:bottom w:val="none" w:sz="0" w:space="0" w:color="auto"/>
                    <w:right w:val="none" w:sz="0" w:space="0" w:color="auto"/>
                  </w:divBdr>
                  <w:divsChild>
                    <w:div w:id="1871717483">
                      <w:marLeft w:val="0"/>
                      <w:marRight w:val="0"/>
                      <w:marTop w:val="0"/>
                      <w:marBottom w:val="0"/>
                      <w:divBdr>
                        <w:top w:val="none" w:sz="0" w:space="0" w:color="auto"/>
                        <w:left w:val="none" w:sz="0" w:space="0" w:color="auto"/>
                        <w:bottom w:val="none" w:sz="0" w:space="0" w:color="auto"/>
                        <w:right w:val="none" w:sz="0" w:space="0" w:color="auto"/>
                      </w:divBdr>
                    </w:div>
                  </w:divsChild>
                </w:div>
                <w:div w:id="1651246178">
                  <w:marLeft w:val="0"/>
                  <w:marRight w:val="0"/>
                  <w:marTop w:val="0"/>
                  <w:marBottom w:val="0"/>
                  <w:divBdr>
                    <w:top w:val="none" w:sz="0" w:space="0" w:color="auto"/>
                    <w:left w:val="none" w:sz="0" w:space="0" w:color="auto"/>
                    <w:bottom w:val="none" w:sz="0" w:space="0" w:color="auto"/>
                    <w:right w:val="none" w:sz="0" w:space="0" w:color="auto"/>
                  </w:divBdr>
                  <w:divsChild>
                    <w:div w:id="1435174728">
                      <w:marLeft w:val="0"/>
                      <w:marRight w:val="0"/>
                      <w:marTop w:val="0"/>
                      <w:marBottom w:val="0"/>
                      <w:divBdr>
                        <w:top w:val="none" w:sz="0" w:space="0" w:color="auto"/>
                        <w:left w:val="none" w:sz="0" w:space="0" w:color="auto"/>
                        <w:bottom w:val="none" w:sz="0" w:space="0" w:color="auto"/>
                        <w:right w:val="none" w:sz="0" w:space="0" w:color="auto"/>
                      </w:divBdr>
                    </w:div>
                  </w:divsChild>
                </w:div>
                <w:div w:id="84420508">
                  <w:marLeft w:val="0"/>
                  <w:marRight w:val="0"/>
                  <w:marTop w:val="0"/>
                  <w:marBottom w:val="0"/>
                  <w:divBdr>
                    <w:top w:val="none" w:sz="0" w:space="0" w:color="auto"/>
                    <w:left w:val="none" w:sz="0" w:space="0" w:color="auto"/>
                    <w:bottom w:val="none" w:sz="0" w:space="0" w:color="auto"/>
                    <w:right w:val="none" w:sz="0" w:space="0" w:color="auto"/>
                  </w:divBdr>
                  <w:divsChild>
                    <w:div w:id="459882714">
                      <w:marLeft w:val="0"/>
                      <w:marRight w:val="0"/>
                      <w:marTop w:val="0"/>
                      <w:marBottom w:val="0"/>
                      <w:divBdr>
                        <w:top w:val="none" w:sz="0" w:space="0" w:color="auto"/>
                        <w:left w:val="none" w:sz="0" w:space="0" w:color="auto"/>
                        <w:bottom w:val="none" w:sz="0" w:space="0" w:color="auto"/>
                        <w:right w:val="none" w:sz="0" w:space="0" w:color="auto"/>
                      </w:divBdr>
                    </w:div>
                  </w:divsChild>
                </w:div>
                <w:div w:id="1511987772">
                  <w:marLeft w:val="0"/>
                  <w:marRight w:val="0"/>
                  <w:marTop w:val="0"/>
                  <w:marBottom w:val="0"/>
                  <w:divBdr>
                    <w:top w:val="none" w:sz="0" w:space="0" w:color="auto"/>
                    <w:left w:val="none" w:sz="0" w:space="0" w:color="auto"/>
                    <w:bottom w:val="none" w:sz="0" w:space="0" w:color="auto"/>
                    <w:right w:val="none" w:sz="0" w:space="0" w:color="auto"/>
                  </w:divBdr>
                  <w:divsChild>
                    <w:div w:id="252671900">
                      <w:marLeft w:val="0"/>
                      <w:marRight w:val="0"/>
                      <w:marTop w:val="0"/>
                      <w:marBottom w:val="0"/>
                      <w:divBdr>
                        <w:top w:val="none" w:sz="0" w:space="0" w:color="auto"/>
                        <w:left w:val="none" w:sz="0" w:space="0" w:color="auto"/>
                        <w:bottom w:val="none" w:sz="0" w:space="0" w:color="auto"/>
                        <w:right w:val="none" w:sz="0" w:space="0" w:color="auto"/>
                      </w:divBdr>
                    </w:div>
                  </w:divsChild>
                </w:div>
                <w:div w:id="3635697">
                  <w:marLeft w:val="0"/>
                  <w:marRight w:val="0"/>
                  <w:marTop w:val="0"/>
                  <w:marBottom w:val="0"/>
                  <w:divBdr>
                    <w:top w:val="none" w:sz="0" w:space="0" w:color="auto"/>
                    <w:left w:val="none" w:sz="0" w:space="0" w:color="auto"/>
                    <w:bottom w:val="none" w:sz="0" w:space="0" w:color="auto"/>
                    <w:right w:val="none" w:sz="0" w:space="0" w:color="auto"/>
                  </w:divBdr>
                  <w:divsChild>
                    <w:div w:id="3212025">
                      <w:marLeft w:val="0"/>
                      <w:marRight w:val="0"/>
                      <w:marTop w:val="0"/>
                      <w:marBottom w:val="0"/>
                      <w:divBdr>
                        <w:top w:val="none" w:sz="0" w:space="0" w:color="auto"/>
                        <w:left w:val="none" w:sz="0" w:space="0" w:color="auto"/>
                        <w:bottom w:val="none" w:sz="0" w:space="0" w:color="auto"/>
                        <w:right w:val="none" w:sz="0" w:space="0" w:color="auto"/>
                      </w:divBdr>
                    </w:div>
                  </w:divsChild>
                </w:div>
                <w:div w:id="523329483">
                  <w:marLeft w:val="0"/>
                  <w:marRight w:val="0"/>
                  <w:marTop w:val="0"/>
                  <w:marBottom w:val="0"/>
                  <w:divBdr>
                    <w:top w:val="none" w:sz="0" w:space="0" w:color="auto"/>
                    <w:left w:val="none" w:sz="0" w:space="0" w:color="auto"/>
                    <w:bottom w:val="none" w:sz="0" w:space="0" w:color="auto"/>
                    <w:right w:val="none" w:sz="0" w:space="0" w:color="auto"/>
                  </w:divBdr>
                  <w:divsChild>
                    <w:div w:id="1177307449">
                      <w:marLeft w:val="0"/>
                      <w:marRight w:val="0"/>
                      <w:marTop w:val="0"/>
                      <w:marBottom w:val="0"/>
                      <w:divBdr>
                        <w:top w:val="none" w:sz="0" w:space="0" w:color="auto"/>
                        <w:left w:val="none" w:sz="0" w:space="0" w:color="auto"/>
                        <w:bottom w:val="none" w:sz="0" w:space="0" w:color="auto"/>
                        <w:right w:val="none" w:sz="0" w:space="0" w:color="auto"/>
                      </w:divBdr>
                    </w:div>
                  </w:divsChild>
                </w:div>
                <w:div w:id="112555787">
                  <w:marLeft w:val="0"/>
                  <w:marRight w:val="0"/>
                  <w:marTop w:val="0"/>
                  <w:marBottom w:val="0"/>
                  <w:divBdr>
                    <w:top w:val="none" w:sz="0" w:space="0" w:color="auto"/>
                    <w:left w:val="none" w:sz="0" w:space="0" w:color="auto"/>
                    <w:bottom w:val="none" w:sz="0" w:space="0" w:color="auto"/>
                    <w:right w:val="none" w:sz="0" w:space="0" w:color="auto"/>
                  </w:divBdr>
                  <w:divsChild>
                    <w:div w:id="179199029">
                      <w:marLeft w:val="0"/>
                      <w:marRight w:val="0"/>
                      <w:marTop w:val="0"/>
                      <w:marBottom w:val="0"/>
                      <w:divBdr>
                        <w:top w:val="none" w:sz="0" w:space="0" w:color="auto"/>
                        <w:left w:val="none" w:sz="0" w:space="0" w:color="auto"/>
                        <w:bottom w:val="none" w:sz="0" w:space="0" w:color="auto"/>
                        <w:right w:val="none" w:sz="0" w:space="0" w:color="auto"/>
                      </w:divBdr>
                    </w:div>
                  </w:divsChild>
                </w:div>
                <w:div w:id="1833450082">
                  <w:marLeft w:val="0"/>
                  <w:marRight w:val="0"/>
                  <w:marTop w:val="0"/>
                  <w:marBottom w:val="0"/>
                  <w:divBdr>
                    <w:top w:val="none" w:sz="0" w:space="0" w:color="auto"/>
                    <w:left w:val="none" w:sz="0" w:space="0" w:color="auto"/>
                    <w:bottom w:val="none" w:sz="0" w:space="0" w:color="auto"/>
                    <w:right w:val="none" w:sz="0" w:space="0" w:color="auto"/>
                  </w:divBdr>
                  <w:divsChild>
                    <w:div w:id="160514342">
                      <w:marLeft w:val="0"/>
                      <w:marRight w:val="0"/>
                      <w:marTop w:val="0"/>
                      <w:marBottom w:val="0"/>
                      <w:divBdr>
                        <w:top w:val="none" w:sz="0" w:space="0" w:color="auto"/>
                        <w:left w:val="none" w:sz="0" w:space="0" w:color="auto"/>
                        <w:bottom w:val="none" w:sz="0" w:space="0" w:color="auto"/>
                        <w:right w:val="none" w:sz="0" w:space="0" w:color="auto"/>
                      </w:divBdr>
                    </w:div>
                  </w:divsChild>
                </w:div>
                <w:div w:id="978073652">
                  <w:marLeft w:val="0"/>
                  <w:marRight w:val="0"/>
                  <w:marTop w:val="0"/>
                  <w:marBottom w:val="0"/>
                  <w:divBdr>
                    <w:top w:val="none" w:sz="0" w:space="0" w:color="auto"/>
                    <w:left w:val="none" w:sz="0" w:space="0" w:color="auto"/>
                    <w:bottom w:val="none" w:sz="0" w:space="0" w:color="auto"/>
                    <w:right w:val="none" w:sz="0" w:space="0" w:color="auto"/>
                  </w:divBdr>
                  <w:divsChild>
                    <w:div w:id="1446726429">
                      <w:marLeft w:val="0"/>
                      <w:marRight w:val="0"/>
                      <w:marTop w:val="0"/>
                      <w:marBottom w:val="0"/>
                      <w:divBdr>
                        <w:top w:val="none" w:sz="0" w:space="0" w:color="auto"/>
                        <w:left w:val="none" w:sz="0" w:space="0" w:color="auto"/>
                        <w:bottom w:val="none" w:sz="0" w:space="0" w:color="auto"/>
                        <w:right w:val="none" w:sz="0" w:space="0" w:color="auto"/>
                      </w:divBdr>
                    </w:div>
                  </w:divsChild>
                </w:div>
                <w:div w:id="1556119127">
                  <w:marLeft w:val="0"/>
                  <w:marRight w:val="0"/>
                  <w:marTop w:val="0"/>
                  <w:marBottom w:val="0"/>
                  <w:divBdr>
                    <w:top w:val="none" w:sz="0" w:space="0" w:color="auto"/>
                    <w:left w:val="none" w:sz="0" w:space="0" w:color="auto"/>
                    <w:bottom w:val="none" w:sz="0" w:space="0" w:color="auto"/>
                    <w:right w:val="none" w:sz="0" w:space="0" w:color="auto"/>
                  </w:divBdr>
                  <w:divsChild>
                    <w:div w:id="858423147">
                      <w:marLeft w:val="0"/>
                      <w:marRight w:val="0"/>
                      <w:marTop w:val="0"/>
                      <w:marBottom w:val="0"/>
                      <w:divBdr>
                        <w:top w:val="none" w:sz="0" w:space="0" w:color="auto"/>
                        <w:left w:val="none" w:sz="0" w:space="0" w:color="auto"/>
                        <w:bottom w:val="none" w:sz="0" w:space="0" w:color="auto"/>
                        <w:right w:val="none" w:sz="0" w:space="0" w:color="auto"/>
                      </w:divBdr>
                    </w:div>
                  </w:divsChild>
                </w:div>
                <w:div w:id="1530683122">
                  <w:marLeft w:val="0"/>
                  <w:marRight w:val="0"/>
                  <w:marTop w:val="0"/>
                  <w:marBottom w:val="0"/>
                  <w:divBdr>
                    <w:top w:val="none" w:sz="0" w:space="0" w:color="auto"/>
                    <w:left w:val="none" w:sz="0" w:space="0" w:color="auto"/>
                    <w:bottom w:val="none" w:sz="0" w:space="0" w:color="auto"/>
                    <w:right w:val="none" w:sz="0" w:space="0" w:color="auto"/>
                  </w:divBdr>
                  <w:divsChild>
                    <w:div w:id="1803844505">
                      <w:marLeft w:val="0"/>
                      <w:marRight w:val="0"/>
                      <w:marTop w:val="0"/>
                      <w:marBottom w:val="0"/>
                      <w:divBdr>
                        <w:top w:val="none" w:sz="0" w:space="0" w:color="auto"/>
                        <w:left w:val="none" w:sz="0" w:space="0" w:color="auto"/>
                        <w:bottom w:val="none" w:sz="0" w:space="0" w:color="auto"/>
                        <w:right w:val="none" w:sz="0" w:space="0" w:color="auto"/>
                      </w:divBdr>
                    </w:div>
                  </w:divsChild>
                </w:div>
                <w:div w:id="57098580">
                  <w:marLeft w:val="0"/>
                  <w:marRight w:val="0"/>
                  <w:marTop w:val="0"/>
                  <w:marBottom w:val="0"/>
                  <w:divBdr>
                    <w:top w:val="none" w:sz="0" w:space="0" w:color="auto"/>
                    <w:left w:val="none" w:sz="0" w:space="0" w:color="auto"/>
                    <w:bottom w:val="none" w:sz="0" w:space="0" w:color="auto"/>
                    <w:right w:val="none" w:sz="0" w:space="0" w:color="auto"/>
                  </w:divBdr>
                  <w:divsChild>
                    <w:div w:id="349062899">
                      <w:marLeft w:val="0"/>
                      <w:marRight w:val="0"/>
                      <w:marTop w:val="0"/>
                      <w:marBottom w:val="0"/>
                      <w:divBdr>
                        <w:top w:val="none" w:sz="0" w:space="0" w:color="auto"/>
                        <w:left w:val="none" w:sz="0" w:space="0" w:color="auto"/>
                        <w:bottom w:val="none" w:sz="0" w:space="0" w:color="auto"/>
                        <w:right w:val="none" w:sz="0" w:space="0" w:color="auto"/>
                      </w:divBdr>
                    </w:div>
                  </w:divsChild>
                </w:div>
                <w:div w:id="119425976">
                  <w:marLeft w:val="0"/>
                  <w:marRight w:val="0"/>
                  <w:marTop w:val="0"/>
                  <w:marBottom w:val="0"/>
                  <w:divBdr>
                    <w:top w:val="none" w:sz="0" w:space="0" w:color="auto"/>
                    <w:left w:val="none" w:sz="0" w:space="0" w:color="auto"/>
                    <w:bottom w:val="none" w:sz="0" w:space="0" w:color="auto"/>
                    <w:right w:val="none" w:sz="0" w:space="0" w:color="auto"/>
                  </w:divBdr>
                  <w:divsChild>
                    <w:div w:id="1050229080">
                      <w:marLeft w:val="0"/>
                      <w:marRight w:val="0"/>
                      <w:marTop w:val="0"/>
                      <w:marBottom w:val="0"/>
                      <w:divBdr>
                        <w:top w:val="none" w:sz="0" w:space="0" w:color="auto"/>
                        <w:left w:val="none" w:sz="0" w:space="0" w:color="auto"/>
                        <w:bottom w:val="none" w:sz="0" w:space="0" w:color="auto"/>
                        <w:right w:val="none" w:sz="0" w:space="0" w:color="auto"/>
                      </w:divBdr>
                    </w:div>
                  </w:divsChild>
                </w:div>
                <w:div w:id="2004778665">
                  <w:marLeft w:val="0"/>
                  <w:marRight w:val="0"/>
                  <w:marTop w:val="0"/>
                  <w:marBottom w:val="0"/>
                  <w:divBdr>
                    <w:top w:val="none" w:sz="0" w:space="0" w:color="auto"/>
                    <w:left w:val="none" w:sz="0" w:space="0" w:color="auto"/>
                    <w:bottom w:val="none" w:sz="0" w:space="0" w:color="auto"/>
                    <w:right w:val="none" w:sz="0" w:space="0" w:color="auto"/>
                  </w:divBdr>
                  <w:divsChild>
                    <w:div w:id="1897740041">
                      <w:marLeft w:val="0"/>
                      <w:marRight w:val="0"/>
                      <w:marTop w:val="0"/>
                      <w:marBottom w:val="0"/>
                      <w:divBdr>
                        <w:top w:val="none" w:sz="0" w:space="0" w:color="auto"/>
                        <w:left w:val="none" w:sz="0" w:space="0" w:color="auto"/>
                        <w:bottom w:val="none" w:sz="0" w:space="0" w:color="auto"/>
                        <w:right w:val="none" w:sz="0" w:space="0" w:color="auto"/>
                      </w:divBdr>
                    </w:div>
                  </w:divsChild>
                </w:div>
                <w:div w:id="1015838004">
                  <w:marLeft w:val="0"/>
                  <w:marRight w:val="0"/>
                  <w:marTop w:val="0"/>
                  <w:marBottom w:val="0"/>
                  <w:divBdr>
                    <w:top w:val="none" w:sz="0" w:space="0" w:color="auto"/>
                    <w:left w:val="none" w:sz="0" w:space="0" w:color="auto"/>
                    <w:bottom w:val="none" w:sz="0" w:space="0" w:color="auto"/>
                    <w:right w:val="none" w:sz="0" w:space="0" w:color="auto"/>
                  </w:divBdr>
                  <w:divsChild>
                    <w:div w:id="1133211931">
                      <w:marLeft w:val="0"/>
                      <w:marRight w:val="0"/>
                      <w:marTop w:val="0"/>
                      <w:marBottom w:val="0"/>
                      <w:divBdr>
                        <w:top w:val="none" w:sz="0" w:space="0" w:color="auto"/>
                        <w:left w:val="none" w:sz="0" w:space="0" w:color="auto"/>
                        <w:bottom w:val="none" w:sz="0" w:space="0" w:color="auto"/>
                        <w:right w:val="none" w:sz="0" w:space="0" w:color="auto"/>
                      </w:divBdr>
                    </w:div>
                  </w:divsChild>
                </w:div>
                <w:div w:id="1466897186">
                  <w:marLeft w:val="0"/>
                  <w:marRight w:val="0"/>
                  <w:marTop w:val="0"/>
                  <w:marBottom w:val="0"/>
                  <w:divBdr>
                    <w:top w:val="none" w:sz="0" w:space="0" w:color="auto"/>
                    <w:left w:val="none" w:sz="0" w:space="0" w:color="auto"/>
                    <w:bottom w:val="none" w:sz="0" w:space="0" w:color="auto"/>
                    <w:right w:val="none" w:sz="0" w:space="0" w:color="auto"/>
                  </w:divBdr>
                  <w:divsChild>
                    <w:div w:id="66651892">
                      <w:marLeft w:val="0"/>
                      <w:marRight w:val="0"/>
                      <w:marTop w:val="0"/>
                      <w:marBottom w:val="0"/>
                      <w:divBdr>
                        <w:top w:val="none" w:sz="0" w:space="0" w:color="auto"/>
                        <w:left w:val="none" w:sz="0" w:space="0" w:color="auto"/>
                        <w:bottom w:val="none" w:sz="0" w:space="0" w:color="auto"/>
                        <w:right w:val="none" w:sz="0" w:space="0" w:color="auto"/>
                      </w:divBdr>
                    </w:div>
                  </w:divsChild>
                </w:div>
                <w:div w:id="415517292">
                  <w:marLeft w:val="0"/>
                  <w:marRight w:val="0"/>
                  <w:marTop w:val="0"/>
                  <w:marBottom w:val="0"/>
                  <w:divBdr>
                    <w:top w:val="none" w:sz="0" w:space="0" w:color="auto"/>
                    <w:left w:val="none" w:sz="0" w:space="0" w:color="auto"/>
                    <w:bottom w:val="none" w:sz="0" w:space="0" w:color="auto"/>
                    <w:right w:val="none" w:sz="0" w:space="0" w:color="auto"/>
                  </w:divBdr>
                  <w:divsChild>
                    <w:div w:id="2088185266">
                      <w:marLeft w:val="0"/>
                      <w:marRight w:val="0"/>
                      <w:marTop w:val="0"/>
                      <w:marBottom w:val="0"/>
                      <w:divBdr>
                        <w:top w:val="none" w:sz="0" w:space="0" w:color="auto"/>
                        <w:left w:val="none" w:sz="0" w:space="0" w:color="auto"/>
                        <w:bottom w:val="none" w:sz="0" w:space="0" w:color="auto"/>
                        <w:right w:val="none" w:sz="0" w:space="0" w:color="auto"/>
                      </w:divBdr>
                    </w:div>
                  </w:divsChild>
                </w:div>
                <w:div w:id="2091416026">
                  <w:marLeft w:val="0"/>
                  <w:marRight w:val="0"/>
                  <w:marTop w:val="0"/>
                  <w:marBottom w:val="0"/>
                  <w:divBdr>
                    <w:top w:val="none" w:sz="0" w:space="0" w:color="auto"/>
                    <w:left w:val="none" w:sz="0" w:space="0" w:color="auto"/>
                    <w:bottom w:val="none" w:sz="0" w:space="0" w:color="auto"/>
                    <w:right w:val="none" w:sz="0" w:space="0" w:color="auto"/>
                  </w:divBdr>
                  <w:divsChild>
                    <w:div w:id="695348667">
                      <w:marLeft w:val="0"/>
                      <w:marRight w:val="0"/>
                      <w:marTop w:val="0"/>
                      <w:marBottom w:val="0"/>
                      <w:divBdr>
                        <w:top w:val="none" w:sz="0" w:space="0" w:color="auto"/>
                        <w:left w:val="none" w:sz="0" w:space="0" w:color="auto"/>
                        <w:bottom w:val="none" w:sz="0" w:space="0" w:color="auto"/>
                        <w:right w:val="none" w:sz="0" w:space="0" w:color="auto"/>
                      </w:divBdr>
                    </w:div>
                  </w:divsChild>
                </w:div>
                <w:div w:id="1419596526">
                  <w:marLeft w:val="0"/>
                  <w:marRight w:val="0"/>
                  <w:marTop w:val="0"/>
                  <w:marBottom w:val="0"/>
                  <w:divBdr>
                    <w:top w:val="none" w:sz="0" w:space="0" w:color="auto"/>
                    <w:left w:val="none" w:sz="0" w:space="0" w:color="auto"/>
                    <w:bottom w:val="none" w:sz="0" w:space="0" w:color="auto"/>
                    <w:right w:val="none" w:sz="0" w:space="0" w:color="auto"/>
                  </w:divBdr>
                  <w:divsChild>
                    <w:div w:id="1529836678">
                      <w:marLeft w:val="0"/>
                      <w:marRight w:val="0"/>
                      <w:marTop w:val="0"/>
                      <w:marBottom w:val="0"/>
                      <w:divBdr>
                        <w:top w:val="none" w:sz="0" w:space="0" w:color="auto"/>
                        <w:left w:val="none" w:sz="0" w:space="0" w:color="auto"/>
                        <w:bottom w:val="none" w:sz="0" w:space="0" w:color="auto"/>
                        <w:right w:val="none" w:sz="0" w:space="0" w:color="auto"/>
                      </w:divBdr>
                    </w:div>
                  </w:divsChild>
                </w:div>
                <w:div w:id="1915315988">
                  <w:marLeft w:val="0"/>
                  <w:marRight w:val="0"/>
                  <w:marTop w:val="0"/>
                  <w:marBottom w:val="0"/>
                  <w:divBdr>
                    <w:top w:val="none" w:sz="0" w:space="0" w:color="auto"/>
                    <w:left w:val="none" w:sz="0" w:space="0" w:color="auto"/>
                    <w:bottom w:val="none" w:sz="0" w:space="0" w:color="auto"/>
                    <w:right w:val="none" w:sz="0" w:space="0" w:color="auto"/>
                  </w:divBdr>
                  <w:divsChild>
                    <w:div w:id="675888305">
                      <w:marLeft w:val="0"/>
                      <w:marRight w:val="0"/>
                      <w:marTop w:val="0"/>
                      <w:marBottom w:val="0"/>
                      <w:divBdr>
                        <w:top w:val="none" w:sz="0" w:space="0" w:color="auto"/>
                        <w:left w:val="none" w:sz="0" w:space="0" w:color="auto"/>
                        <w:bottom w:val="none" w:sz="0" w:space="0" w:color="auto"/>
                        <w:right w:val="none" w:sz="0" w:space="0" w:color="auto"/>
                      </w:divBdr>
                    </w:div>
                  </w:divsChild>
                </w:div>
                <w:div w:id="1496148605">
                  <w:marLeft w:val="0"/>
                  <w:marRight w:val="0"/>
                  <w:marTop w:val="0"/>
                  <w:marBottom w:val="0"/>
                  <w:divBdr>
                    <w:top w:val="none" w:sz="0" w:space="0" w:color="auto"/>
                    <w:left w:val="none" w:sz="0" w:space="0" w:color="auto"/>
                    <w:bottom w:val="none" w:sz="0" w:space="0" w:color="auto"/>
                    <w:right w:val="none" w:sz="0" w:space="0" w:color="auto"/>
                  </w:divBdr>
                  <w:divsChild>
                    <w:div w:id="434903955">
                      <w:marLeft w:val="0"/>
                      <w:marRight w:val="0"/>
                      <w:marTop w:val="0"/>
                      <w:marBottom w:val="0"/>
                      <w:divBdr>
                        <w:top w:val="none" w:sz="0" w:space="0" w:color="auto"/>
                        <w:left w:val="none" w:sz="0" w:space="0" w:color="auto"/>
                        <w:bottom w:val="none" w:sz="0" w:space="0" w:color="auto"/>
                        <w:right w:val="none" w:sz="0" w:space="0" w:color="auto"/>
                      </w:divBdr>
                    </w:div>
                  </w:divsChild>
                </w:div>
                <w:div w:id="926424514">
                  <w:marLeft w:val="0"/>
                  <w:marRight w:val="0"/>
                  <w:marTop w:val="0"/>
                  <w:marBottom w:val="0"/>
                  <w:divBdr>
                    <w:top w:val="none" w:sz="0" w:space="0" w:color="auto"/>
                    <w:left w:val="none" w:sz="0" w:space="0" w:color="auto"/>
                    <w:bottom w:val="none" w:sz="0" w:space="0" w:color="auto"/>
                    <w:right w:val="none" w:sz="0" w:space="0" w:color="auto"/>
                  </w:divBdr>
                  <w:divsChild>
                    <w:div w:id="1947543593">
                      <w:marLeft w:val="0"/>
                      <w:marRight w:val="0"/>
                      <w:marTop w:val="0"/>
                      <w:marBottom w:val="0"/>
                      <w:divBdr>
                        <w:top w:val="none" w:sz="0" w:space="0" w:color="auto"/>
                        <w:left w:val="none" w:sz="0" w:space="0" w:color="auto"/>
                        <w:bottom w:val="none" w:sz="0" w:space="0" w:color="auto"/>
                        <w:right w:val="none" w:sz="0" w:space="0" w:color="auto"/>
                      </w:divBdr>
                    </w:div>
                  </w:divsChild>
                </w:div>
                <w:div w:id="169030443">
                  <w:marLeft w:val="0"/>
                  <w:marRight w:val="0"/>
                  <w:marTop w:val="0"/>
                  <w:marBottom w:val="0"/>
                  <w:divBdr>
                    <w:top w:val="none" w:sz="0" w:space="0" w:color="auto"/>
                    <w:left w:val="none" w:sz="0" w:space="0" w:color="auto"/>
                    <w:bottom w:val="none" w:sz="0" w:space="0" w:color="auto"/>
                    <w:right w:val="none" w:sz="0" w:space="0" w:color="auto"/>
                  </w:divBdr>
                  <w:divsChild>
                    <w:div w:id="743457924">
                      <w:marLeft w:val="0"/>
                      <w:marRight w:val="0"/>
                      <w:marTop w:val="0"/>
                      <w:marBottom w:val="0"/>
                      <w:divBdr>
                        <w:top w:val="none" w:sz="0" w:space="0" w:color="auto"/>
                        <w:left w:val="none" w:sz="0" w:space="0" w:color="auto"/>
                        <w:bottom w:val="none" w:sz="0" w:space="0" w:color="auto"/>
                        <w:right w:val="none" w:sz="0" w:space="0" w:color="auto"/>
                      </w:divBdr>
                    </w:div>
                  </w:divsChild>
                </w:div>
                <w:div w:id="1082334456">
                  <w:marLeft w:val="0"/>
                  <w:marRight w:val="0"/>
                  <w:marTop w:val="0"/>
                  <w:marBottom w:val="0"/>
                  <w:divBdr>
                    <w:top w:val="none" w:sz="0" w:space="0" w:color="auto"/>
                    <w:left w:val="none" w:sz="0" w:space="0" w:color="auto"/>
                    <w:bottom w:val="none" w:sz="0" w:space="0" w:color="auto"/>
                    <w:right w:val="none" w:sz="0" w:space="0" w:color="auto"/>
                  </w:divBdr>
                  <w:divsChild>
                    <w:div w:id="228999034">
                      <w:marLeft w:val="0"/>
                      <w:marRight w:val="0"/>
                      <w:marTop w:val="0"/>
                      <w:marBottom w:val="0"/>
                      <w:divBdr>
                        <w:top w:val="none" w:sz="0" w:space="0" w:color="auto"/>
                        <w:left w:val="none" w:sz="0" w:space="0" w:color="auto"/>
                        <w:bottom w:val="none" w:sz="0" w:space="0" w:color="auto"/>
                        <w:right w:val="none" w:sz="0" w:space="0" w:color="auto"/>
                      </w:divBdr>
                    </w:div>
                  </w:divsChild>
                </w:div>
                <w:div w:id="740100924">
                  <w:marLeft w:val="0"/>
                  <w:marRight w:val="0"/>
                  <w:marTop w:val="0"/>
                  <w:marBottom w:val="0"/>
                  <w:divBdr>
                    <w:top w:val="none" w:sz="0" w:space="0" w:color="auto"/>
                    <w:left w:val="none" w:sz="0" w:space="0" w:color="auto"/>
                    <w:bottom w:val="none" w:sz="0" w:space="0" w:color="auto"/>
                    <w:right w:val="none" w:sz="0" w:space="0" w:color="auto"/>
                  </w:divBdr>
                  <w:divsChild>
                    <w:div w:id="1995602907">
                      <w:marLeft w:val="0"/>
                      <w:marRight w:val="0"/>
                      <w:marTop w:val="0"/>
                      <w:marBottom w:val="0"/>
                      <w:divBdr>
                        <w:top w:val="none" w:sz="0" w:space="0" w:color="auto"/>
                        <w:left w:val="none" w:sz="0" w:space="0" w:color="auto"/>
                        <w:bottom w:val="none" w:sz="0" w:space="0" w:color="auto"/>
                        <w:right w:val="none" w:sz="0" w:space="0" w:color="auto"/>
                      </w:divBdr>
                    </w:div>
                  </w:divsChild>
                </w:div>
                <w:div w:id="2045210128">
                  <w:marLeft w:val="0"/>
                  <w:marRight w:val="0"/>
                  <w:marTop w:val="0"/>
                  <w:marBottom w:val="0"/>
                  <w:divBdr>
                    <w:top w:val="none" w:sz="0" w:space="0" w:color="auto"/>
                    <w:left w:val="none" w:sz="0" w:space="0" w:color="auto"/>
                    <w:bottom w:val="none" w:sz="0" w:space="0" w:color="auto"/>
                    <w:right w:val="none" w:sz="0" w:space="0" w:color="auto"/>
                  </w:divBdr>
                  <w:divsChild>
                    <w:div w:id="103428997">
                      <w:marLeft w:val="0"/>
                      <w:marRight w:val="0"/>
                      <w:marTop w:val="0"/>
                      <w:marBottom w:val="0"/>
                      <w:divBdr>
                        <w:top w:val="none" w:sz="0" w:space="0" w:color="auto"/>
                        <w:left w:val="none" w:sz="0" w:space="0" w:color="auto"/>
                        <w:bottom w:val="none" w:sz="0" w:space="0" w:color="auto"/>
                        <w:right w:val="none" w:sz="0" w:space="0" w:color="auto"/>
                      </w:divBdr>
                    </w:div>
                  </w:divsChild>
                </w:div>
                <w:div w:id="39017156">
                  <w:marLeft w:val="0"/>
                  <w:marRight w:val="0"/>
                  <w:marTop w:val="0"/>
                  <w:marBottom w:val="0"/>
                  <w:divBdr>
                    <w:top w:val="none" w:sz="0" w:space="0" w:color="auto"/>
                    <w:left w:val="none" w:sz="0" w:space="0" w:color="auto"/>
                    <w:bottom w:val="none" w:sz="0" w:space="0" w:color="auto"/>
                    <w:right w:val="none" w:sz="0" w:space="0" w:color="auto"/>
                  </w:divBdr>
                  <w:divsChild>
                    <w:div w:id="41905863">
                      <w:marLeft w:val="0"/>
                      <w:marRight w:val="0"/>
                      <w:marTop w:val="0"/>
                      <w:marBottom w:val="0"/>
                      <w:divBdr>
                        <w:top w:val="none" w:sz="0" w:space="0" w:color="auto"/>
                        <w:left w:val="none" w:sz="0" w:space="0" w:color="auto"/>
                        <w:bottom w:val="none" w:sz="0" w:space="0" w:color="auto"/>
                        <w:right w:val="none" w:sz="0" w:space="0" w:color="auto"/>
                      </w:divBdr>
                    </w:div>
                  </w:divsChild>
                </w:div>
                <w:div w:id="1391464135">
                  <w:marLeft w:val="0"/>
                  <w:marRight w:val="0"/>
                  <w:marTop w:val="0"/>
                  <w:marBottom w:val="0"/>
                  <w:divBdr>
                    <w:top w:val="none" w:sz="0" w:space="0" w:color="auto"/>
                    <w:left w:val="none" w:sz="0" w:space="0" w:color="auto"/>
                    <w:bottom w:val="none" w:sz="0" w:space="0" w:color="auto"/>
                    <w:right w:val="none" w:sz="0" w:space="0" w:color="auto"/>
                  </w:divBdr>
                  <w:divsChild>
                    <w:div w:id="735397755">
                      <w:marLeft w:val="0"/>
                      <w:marRight w:val="0"/>
                      <w:marTop w:val="0"/>
                      <w:marBottom w:val="0"/>
                      <w:divBdr>
                        <w:top w:val="none" w:sz="0" w:space="0" w:color="auto"/>
                        <w:left w:val="none" w:sz="0" w:space="0" w:color="auto"/>
                        <w:bottom w:val="none" w:sz="0" w:space="0" w:color="auto"/>
                        <w:right w:val="none" w:sz="0" w:space="0" w:color="auto"/>
                      </w:divBdr>
                    </w:div>
                  </w:divsChild>
                </w:div>
                <w:div w:id="52121719">
                  <w:marLeft w:val="0"/>
                  <w:marRight w:val="0"/>
                  <w:marTop w:val="0"/>
                  <w:marBottom w:val="0"/>
                  <w:divBdr>
                    <w:top w:val="none" w:sz="0" w:space="0" w:color="auto"/>
                    <w:left w:val="none" w:sz="0" w:space="0" w:color="auto"/>
                    <w:bottom w:val="none" w:sz="0" w:space="0" w:color="auto"/>
                    <w:right w:val="none" w:sz="0" w:space="0" w:color="auto"/>
                  </w:divBdr>
                  <w:divsChild>
                    <w:div w:id="1911961834">
                      <w:marLeft w:val="0"/>
                      <w:marRight w:val="0"/>
                      <w:marTop w:val="0"/>
                      <w:marBottom w:val="0"/>
                      <w:divBdr>
                        <w:top w:val="none" w:sz="0" w:space="0" w:color="auto"/>
                        <w:left w:val="none" w:sz="0" w:space="0" w:color="auto"/>
                        <w:bottom w:val="none" w:sz="0" w:space="0" w:color="auto"/>
                        <w:right w:val="none" w:sz="0" w:space="0" w:color="auto"/>
                      </w:divBdr>
                    </w:div>
                  </w:divsChild>
                </w:div>
                <w:div w:id="703602018">
                  <w:marLeft w:val="0"/>
                  <w:marRight w:val="0"/>
                  <w:marTop w:val="0"/>
                  <w:marBottom w:val="0"/>
                  <w:divBdr>
                    <w:top w:val="none" w:sz="0" w:space="0" w:color="auto"/>
                    <w:left w:val="none" w:sz="0" w:space="0" w:color="auto"/>
                    <w:bottom w:val="none" w:sz="0" w:space="0" w:color="auto"/>
                    <w:right w:val="none" w:sz="0" w:space="0" w:color="auto"/>
                  </w:divBdr>
                  <w:divsChild>
                    <w:div w:id="274102395">
                      <w:marLeft w:val="0"/>
                      <w:marRight w:val="0"/>
                      <w:marTop w:val="0"/>
                      <w:marBottom w:val="0"/>
                      <w:divBdr>
                        <w:top w:val="none" w:sz="0" w:space="0" w:color="auto"/>
                        <w:left w:val="none" w:sz="0" w:space="0" w:color="auto"/>
                        <w:bottom w:val="none" w:sz="0" w:space="0" w:color="auto"/>
                        <w:right w:val="none" w:sz="0" w:space="0" w:color="auto"/>
                      </w:divBdr>
                    </w:div>
                  </w:divsChild>
                </w:div>
                <w:div w:id="1594628991">
                  <w:marLeft w:val="0"/>
                  <w:marRight w:val="0"/>
                  <w:marTop w:val="0"/>
                  <w:marBottom w:val="0"/>
                  <w:divBdr>
                    <w:top w:val="none" w:sz="0" w:space="0" w:color="auto"/>
                    <w:left w:val="none" w:sz="0" w:space="0" w:color="auto"/>
                    <w:bottom w:val="none" w:sz="0" w:space="0" w:color="auto"/>
                    <w:right w:val="none" w:sz="0" w:space="0" w:color="auto"/>
                  </w:divBdr>
                  <w:divsChild>
                    <w:div w:id="1037973657">
                      <w:marLeft w:val="0"/>
                      <w:marRight w:val="0"/>
                      <w:marTop w:val="0"/>
                      <w:marBottom w:val="0"/>
                      <w:divBdr>
                        <w:top w:val="none" w:sz="0" w:space="0" w:color="auto"/>
                        <w:left w:val="none" w:sz="0" w:space="0" w:color="auto"/>
                        <w:bottom w:val="none" w:sz="0" w:space="0" w:color="auto"/>
                        <w:right w:val="none" w:sz="0" w:space="0" w:color="auto"/>
                      </w:divBdr>
                    </w:div>
                  </w:divsChild>
                </w:div>
                <w:div w:id="1495409491">
                  <w:marLeft w:val="0"/>
                  <w:marRight w:val="0"/>
                  <w:marTop w:val="0"/>
                  <w:marBottom w:val="0"/>
                  <w:divBdr>
                    <w:top w:val="none" w:sz="0" w:space="0" w:color="auto"/>
                    <w:left w:val="none" w:sz="0" w:space="0" w:color="auto"/>
                    <w:bottom w:val="none" w:sz="0" w:space="0" w:color="auto"/>
                    <w:right w:val="none" w:sz="0" w:space="0" w:color="auto"/>
                  </w:divBdr>
                  <w:divsChild>
                    <w:div w:id="1615552764">
                      <w:marLeft w:val="0"/>
                      <w:marRight w:val="0"/>
                      <w:marTop w:val="0"/>
                      <w:marBottom w:val="0"/>
                      <w:divBdr>
                        <w:top w:val="none" w:sz="0" w:space="0" w:color="auto"/>
                        <w:left w:val="none" w:sz="0" w:space="0" w:color="auto"/>
                        <w:bottom w:val="none" w:sz="0" w:space="0" w:color="auto"/>
                        <w:right w:val="none" w:sz="0" w:space="0" w:color="auto"/>
                      </w:divBdr>
                    </w:div>
                  </w:divsChild>
                </w:div>
                <w:div w:id="1681813986">
                  <w:marLeft w:val="0"/>
                  <w:marRight w:val="0"/>
                  <w:marTop w:val="0"/>
                  <w:marBottom w:val="0"/>
                  <w:divBdr>
                    <w:top w:val="none" w:sz="0" w:space="0" w:color="auto"/>
                    <w:left w:val="none" w:sz="0" w:space="0" w:color="auto"/>
                    <w:bottom w:val="none" w:sz="0" w:space="0" w:color="auto"/>
                    <w:right w:val="none" w:sz="0" w:space="0" w:color="auto"/>
                  </w:divBdr>
                  <w:divsChild>
                    <w:div w:id="847135738">
                      <w:marLeft w:val="0"/>
                      <w:marRight w:val="0"/>
                      <w:marTop w:val="0"/>
                      <w:marBottom w:val="0"/>
                      <w:divBdr>
                        <w:top w:val="none" w:sz="0" w:space="0" w:color="auto"/>
                        <w:left w:val="none" w:sz="0" w:space="0" w:color="auto"/>
                        <w:bottom w:val="none" w:sz="0" w:space="0" w:color="auto"/>
                        <w:right w:val="none" w:sz="0" w:space="0" w:color="auto"/>
                      </w:divBdr>
                    </w:div>
                  </w:divsChild>
                </w:div>
                <w:div w:id="378481217">
                  <w:marLeft w:val="0"/>
                  <w:marRight w:val="0"/>
                  <w:marTop w:val="0"/>
                  <w:marBottom w:val="0"/>
                  <w:divBdr>
                    <w:top w:val="none" w:sz="0" w:space="0" w:color="auto"/>
                    <w:left w:val="none" w:sz="0" w:space="0" w:color="auto"/>
                    <w:bottom w:val="none" w:sz="0" w:space="0" w:color="auto"/>
                    <w:right w:val="none" w:sz="0" w:space="0" w:color="auto"/>
                  </w:divBdr>
                  <w:divsChild>
                    <w:div w:id="591622826">
                      <w:marLeft w:val="0"/>
                      <w:marRight w:val="0"/>
                      <w:marTop w:val="0"/>
                      <w:marBottom w:val="0"/>
                      <w:divBdr>
                        <w:top w:val="none" w:sz="0" w:space="0" w:color="auto"/>
                        <w:left w:val="none" w:sz="0" w:space="0" w:color="auto"/>
                        <w:bottom w:val="none" w:sz="0" w:space="0" w:color="auto"/>
                        <w:right w:val="none" w:sz="0" w:space="0" w:color="auto"/>
                      </w:divBdr>
                    </w:div>
                  </w:divsChild>
                </w:div>
                <w:div w:id="254093943">
                  <w:marLeft w:val="0"/>
                  <w:marRight w:val="0"/>
                  <w:marTop w:val="0"/>
                  <w:marBottom w:val="0"/>
                  <w:divBdr>
                    <w:top w:val="none" w:sz="0" w:space="0" w:color="auto"/>
                    <w:left w:val="none" w:sz="0" w:space="0" w:color="auto"/>
                    <w:bottom w:val="none" w:sz="0" w:space="0" w:color="auto"/>
                    <w:right w:val="none" w:sz="0" w:space="0" w:color="auto"/>
                  </w:divBdr>
                  <w:divsChild>
                    <w:div w:id="190460255">
                      <w:marLeft w:val="0"/>
                      <w:marRight w:val="0"/>
                      <w:marTop w:val="0"/>
                      <w:marBottom w:val="0"/>
                      <w:divBdr>
                        <w:top w:val="none" w:sz="0" w:space="0" w:color="auto"/>
                        <w:left w:val="none" w:sz="0" w:space="0" w:color="auto"/>
                        <w:bottom w:val="none" w:sz="0" w:space="0" w:color="auto"/>
                        <w:right w:val="none" w:sz="0" w:space="0" w:color="auto"/>
                      </w:divBdr>
                    </w:div>
                  </w:divsChild>
                </w:div>
                <w:div w:id="1134717606">
                  <w:marLeft w:val="0"/>
                  <w:marRight w:val="0"/>
                  <w:marTop w:val="0"/>
                  <w:marBottom w:val="0"/>
                  <w:divBdr>
                    <w:top w:val="none" w:sz="0" w:space="0" w:color="auto"/>
                    <w:left w:val="none" w:sz="0" w:space="0" w:color="auto"/>
                    <w:bottom w:val="none" w:sz="0" w:space="0" w:color="auto"/>
                    <w:right w:val="none" w:sz="0" w:space="0" w:color="auto"/>
                  </w:divBdr>
                  <w:divsChild>
                    <w:div w:id="429543037">
                      <w:marLeft w:val="0"/>
                      <w:marRight w:val="0"/>
                      <w:marTop w:val="0"/>
                      <w:marBottom w:val="0"/>
                      <w:divBdr>
                        <w:top w:val="none" w:sz="0" w:space="0" w:color="auto"/>
                        <w:left w:val="none" w:sz="0" w:space="0" w:color="auto"/>
                        <w:bottom w:val="none" w:sz="0" w:space="0" w:color="auto"/>
                        <w:right w:val="none" w:sz="0" w:space="0" w:color="auto"/>
                      </w:divBdr>
                    </w:div>
                  </w:divsChild>
                </w:div>
                <w:div w:id="346559378">
                  <w:marLeft w:val="0"/>
                  <w:marRight w:val="0"/>
                  <w:marTop w:val="0"/>
                  <w:marBottom w:val="0"/>
                  <w:divBdr>
                    <w:top w:val="none" w:sz="0" w:space="0" w:color="auto"/>
                    <w:left w:val="none" w:sz="0" w:space="0" w:color="auto"/>
                    <w:bottom w:val="none" w:sz="0" w:space="0" w:color="auto"/>
                    <w:right w:val="none" w:sz="0" w:space="0" w:color="auto"/>
                  </w:divBdr>
                  <w:divsChild>
                    <w:div w:id="49305647">
                      <w:marLeft w:val="0"/>
                      <w:marRight w:val="0"/>
                      <w:marTop w:val="0"/>
                      <w:marBottom w:val="0"/>
                      <w:divBdr>
                        <w:top w:val="none" w:sz="0" w:space="0" w:color="auto"/>
                        <w:left w:val="none" w:sz="0" w:space="0" w:color="auto"/>
                        <w:bottom w:val="none" w:sz="0" w:space="0" w:color="auto"/>
                        <w:right w:val="none" w:sz="0" w:space="0" w:color="auto"/>
                      </w:divBdr>
                    </w:div>
                  </w:divsChild>
                </w:div>
                <w:div w:id="2130657882">
                  <w:marLeft w:val="0"/>
                  <w:marRight w:val="0"/>
                  <w:marTop w:val="0"/>
                  <w:marBottom w:val="0"/>
                  <w:divBdr>
                    <w:top w:val="none" w:sz="0" w:space="0" w:color="auto"/>
                    <w:left w:val="none" w:sz="0" w:space="0" w:color="auto"/>
                    <w:bottom w:val="none" w:sz="0" w:space="0" w:color="auto"/>
                    <w:right w:val="none" w:sz="0" w:space="0" w:color="auto"/>
                  </w:divBdr>
                  <w:divsChild>
                    <w:div w:id="1696809204">
                      <w:marLeft w:val="0"/>
                      <w:marRight w:val="0"/>
                      <w:marTop w:val="0"/>
                      <w:marBottom w:val="0"/>
                      <w:divBdr>
                        <w:top w:val="none" w:sz="0" w:space="0" w:color="auto"/>
                        <w:left w:val="none" w:sz="0" w:space="0" w:color="auto"/>
                        <w:bottom w:val="none" w:sz="0" w:space="0" w:color="auto"/>
                        <w:right w:val="none" w:sz="0" w:space="0" w:color="auto"/>
                      </w:divBdr>
                    </w:div>
                  </w:divsChild>
                </w:div>
                <w:div w:id="1511329285">
                  <w:marLeft w:val="0"/>
                  <w:marRight w:val="0"/>
                  <w:marTop w:val="0"/>
                  <w:marBottom w:val="0"/>
                  <w:divBdr>
                    <w:top w:val="none" w:sz="0" w:space="0" w:color="auto"/>
                    <w:left w:val="none" w:sz="0" w:space="0" w:color="auto"/>
                    <w:bottom w:val="none" w:sz="0" w:space="0" w:color="auto"/>
                    <w:right w:val="none" w:sz="0" w:space="0" w:color="auto"/>
                  </w:divBdr>
                  <w:divsChild>
                    <w:div w:id="506558912">
                      <w:marLeft w:val="0"/>
                      <w:marRight w:val="0"/>
                      <w:marTop w:val="0"/>
                      <w:marBottom w:val="0"/>
                      <w:divBdr>
                        <w:top w:val="none" w:sz="0" w:space="0" w:color="auto"/>
                        <w:left w:val="none" w:sz="0" w:space="0" w:color="auto"/>
                        <w:bottom w:val="none" w:sz="0" w:space="0" w:color="auto"/>
                        <w:right w:val="none" w:sz="0" w:space="0" w:color="auto"/>
                      </w:divBdr>
                    </w:div>
                  </w:divsChild>
                </w:div>
                <w:div w:id="881791826">
                  <w:marLeft w:val="0"/>
                  <w:marRight w:val="0"/>
                  <w:marTop w:val="0"/>
                  <w:marBottom w:val="0"/>
                  <w:divBdr>
                    <w:top w:val="none" w:sz="0" w:space="0" w:color="auto"/>
                    <w:left w:val="none" w:sz="0" w:space="0" w:color="auto"/>
                    <w:bottom w:val="none" w:sz="0" w:space="0" w:color="auto"/>
                    <w:right w:val="none" w:sz="0" w:space="0" w:color="auto"/>
                  </w:divBdr>
                  <w:divsChild>
                    <w:div w:id="1534616170">
                      <w:marLeft w:val="0"/>
                      <w:marRight w:val="0"/>
                      <w:marTop w:val="0"/>
                      <w:marBottom w:val="0"/>
                      <w:divBdr>
                        <w:top w:val="none" w:sz="0" w:space="0" w:color="auto"/>
                        <w:left w:val="none" w:sz="0" w:space="0" w:color="auto"/>
                        <w:bottom w:val="none" w:sz="0" w:space="0" w:color="auto"/>
                        <w:right w:val="none" w:sz="0" w:space="0" w:color="auto"/>
                      </w:divBdr>
                    </w:div>
                  </w:divsChild>
                </w:div>
                <w:div w:id="594827643">
                  <w:marLeft w:val="0"/>
                  <w:marRight w:val="0"/>
                  <w:marTop w:val="0"/>
                  <w:marBottom w:val="0"/>
                  <w:divBdr>
                    <w:top w:val="none" w:sz="0" w:space="0" w:color="auto"/>
                    <w:left w:val="none" w:sz="0" w:space="0" w:color="auto"/>
                    <w:bottom w:val="none" w:sz="0" w:space="0" w:color="auto"/>
                    <w:right w:val="none" w:sz="0" w:space="0" w:color="auto"/>
                  </w:divBdr>
                  <w:divsChild>
                    <w:div w:id="1095128344">
                      <w:marLeft w:val="0"/>
                      <w:marRight w:val="0"/>
                      <w:marTop w:val="0"/>
                      <w:marBottom w:val="0"/>
                      <w:divBdr>
                        <w:top w:val="none" w:sz="0" w:space="0" w:color="auto"/>
                        <w:left w:val="none" w:sz="0" w:space="0" w:color="auto"/>
                        <w:bottom w:val="none" w:sz="0" w:space="0" w:color="auto"/>
                        <w:right w:val="none" w:sz="0" w:space="0" w:color="auto"/>
                      </w:divBdr>
                    </w:div>
                  </w:divsChild>
                </w:div>
                <w:div w:id="1888879977">
                  <w:marLeft w:val="0"/>
                  <w:marRight w:val="0"/>
                  <w:marTop w:val="0"/>
                  <w:marBottom w:val="0"/>
                  <w:divBdr>
                    <w:top w:val="none" w:sz="0" w:space="0" w:color="auto"/>
                    <w:left w:val="none" w:sz="0" w:space="0" w:color="auto"/>
                    <w:bottom w:val="none" w:sz="0" w:space="0" w:color="auto"/>
                    <w:right w:val="none" w:sz="0" w:space="0" w:color="auto"/>
                  </w:divBdr>
                  <w:divsChild>
                    <w:div w:id="1617522248">
                      <w:marLeft w:val="0"/>
                      <w:marRight w:val="0"/>
                      <w:marTop w:val="0"/>
                      <w:marBottom w:val="0"/>
                      <w:divBdr>
                        <w:top w:val="none" w:sz="0" w:space="0" w:color="auto"/>
                        <w:left w:val="none" w:sz="0" w:space="0" w:color="auto"/>
                        <w:bottom w:val="none" w:sz="0" w:space="0" w:color="auto"/>
                        <w:right w:val="none" w:sz="0" w:space="0" w:color="auto"/>
                      </w:divBdr>
                    </w:div>
                  </w:divsChild>
                </w:div>
                <w:div w:id="734006989">
                  <w:marLeft w:val="0"/>
                  <w:marRight w:val="0"/>
                  <w:marTop w:val="0"/>
                  <w:marBottom w:val="0"/>
                  <w:divBdr>
                    <w:top w:val="none" w:sz="0" w:space="0" w:color="auto"/>
                    <w:left w:val="none" w:sz="0" w:space="0" w:color="auto"/>
                    <w:bottom w:val="none" w:sz="0" w:space="0" w:color="auto"/>
                    <w:right w:val="none" w:sz="0" w:space="0" w:color="auto"/>
                  </w:divBdr>
                  <w:divsChild>
                    <w:div w:id="669604604">
                      <w:marLeft w:val="0"/>
                      <w:marRight w:val="0"/>
                      <w:marTop w:val="0"/>
                      <w:marBottom w:val="0"/>
                      <w:divBdr>
                        <w:top w:val="none" w:sz="0" w:space="0" w:color="auto"/>
                        <w:left w:val="none" w:sz="0" w:space="0" w:color="auto"/>
                        <w:bottom w:val="none" w:sz="0" w:space="0" w:color="auto"/>
                        <w:right w:val="none" w:sz="0" w:space="0" w:color="auto"/>
                      </w:divBdr>
                    </w:div>
                  </w:divsChild>
                </w:div>
                <w:div w:id="1281495168">
                  <w:marLeft w:val="0"/>
                  <w:marRight w:val="0"/>
                  <w:marTop w:val="0"/>
                  <w:marBottom w:val="0"/>
                  <w:divBdr>
                    <w:top w:val="none" w:sz="0" w:space="0" w:color="auto"/>
                    <w:left w:val="none" w:sz="0" w:space="0" w:color="auto"/>
                    <w:bottom w:val="none" w:sz="0" w:space="0" w:color="auto"/>
                    <w:right w:val="none" w:sz="0" w:space="0" w:color="auto"/>
                  </w:divBdr>
                  <w:divsChild>
                    <w:div w:id="1316377851">
                      <w:marLeft w:val="0"/>
                      <w:marRight w:val="0"/>
                      <w:marTop w:val="0"/>
                      <w:marBottom w:val="0"/>
                      <w:divBdr>
                        <w:top w:val="none" w:sz="0" w:space="0" w:color="auto"/>
                        <w:left w:val="none" w:sz="0" w:space="0" w:color="auto"/>
                        <w:bottom w:val="none" w:sz="0" w:space="0" w:color="auto"/>
                        <w:right w:val="none" w:sz="0" w:space="0" w:color="auto"/>
                      </w:divBdr>
                    </w:div>
                  </w:divsChild>
                </w:div>
                <w:div w:id="853999837">
                  <w:marLeft w:val="0"/>
                  <w:marRight w:val="0"/>
                  <w:marTop w:val="0"/>
                  <w:marBottom w:val="0"/>
                  <w:divBdr>
                    <w:top w:val="none" w:sz="0" w:space="0" w:color="auto"/>
                    <w:left w:val="none" w:sz="0" w:space="0" w:color="auto"/>
                    <w:bottom w:val="none" w:sz="0" w:space="0" w:color="auto"/>
                    <w:right w:val="none" w:sz="0" w:space="0" w:color="auto"/>
                  </w:divBdr>
                  <w:divsChild>
                    <w:div w:id="245574981">
                      <w:marLeft w:val="0"/>
                      <w:marRight w:val="0"/>
                      <w:marTop w:val="0"/>
                      <w:marBottom w:val="0"/>
                      <w:divBdr>
                        <w:top w:val="none" w:sz="0" w:space="0" w:color="auto"/>
                        <w:left w:val="none" w:sz="0" w:space="0" w:color="auto"/>
                        <w:bottom w:val="none" w:sz="0" w:space="0" w:color="auto"/>
                        <w:right w:val="none" w:sz="0" w:space="0" w:color="auto"/>
                      </w:divBdr>
                    </w:div>
                  </w:divsChild>
                </w:div>
                <w:div w:id="282154007">
                  <w:marLeft w:val="0"/>
                  <w:marRight w:val="0"/>
                  <w:marTop w:val="0"/>
                  <w:marBottom w:val="0"/>
                  <w:divBdr>
                    <w:top w:val="none" w:sz="0" w:space="0" w:color="auto"/>
                    <w:left w:val="none" w:sz="0" w:space="0" w:color="auto"/>
                    <w:bottom w:val="none" w:sz="0" w:space="0" w:color="auto"/>
                    <w:right w:val="none" w:sz="0" w:space="0" w:color="auto"/>
                  </w:divBdr>
                  <w:divsChild>
                    <w:div w:id="616257142">
                      <w:marLeft w:val="0"/>
                      <w:marRight w:val="0"/>
                      <w:marTop w:val="0"/>
                      <w:marBottom w:val="0"/>
                      <w:divBdr>
                        <w:top w:val="none" w:sz="0" w:space="0" w:color="auto"/>
                        <w:left w:val="none" w:sz="0" w:space="0" w:color="auto"/>
                        <w:bottom w:val="none" w:sz="0" w:space="0" w:color="auto"/>
                        <w:right w:val="none" w:sz="0" w:space="0" w:color="auto"/>
                      </w:divBdr>
                    </w:div>
                  </w:divsChild>
                </w:div>
                <w:div w:id="2029138181">
                  <w:marLeft w:val="0"/>
                  <w:marRight w:val="0"/>
                  <w:marTop w:val="0"/>
                  <w:marBottom w:val="0"/>
                  <w:divBdr>
                    <w:top w:val="none" w:sz="0" w:space="0" w:color="auto"/>
                    <w:left w:val="none" w:sz="0" w:space="0" w:color="auto"/>
                    <w:bottom w:val="none" w:sz="0" w:space="0" w:color="auto"/>
                    <w:right w:val="none" w:sz="0" w:space="0" w:color="auto"/>
                  </w:divBdr>
                  <w:divsChild>
                    <w:div w:id="496846559">
                      <w:marLeft w:val="0"/>
                      <w:marRight w:val="0"/>
                      <w:marTop w:val="0"/>
                      <w:marBottom w:val="0"/>
                      <w:divBdr>
                        <w:top w:val="none" w:sz="0" w:space="0" w:color="auto"/>
                        <w:left w:val="none" w:sz="0" w:space="0" w:color="auto"/>
                        <w:bottom w:val="none" w:sz="0" w:space="0" w:color="auto"/>
                        <w:right w:val="none" w:sz="0" w:space="0" w:color="auto"/>
                      </w:divBdr>
                    </w:div>
                  </w:divsChild>
                </w:div>
                <w:div w:id="1250650899">
                  <w:marLeft w:val="0"/>
                  <w:marRight w:val="0"/>
                  <w:marTop w:val="0"/>
                  <w:marBottom w:val="0"/>
                  <w:divBdr>
                    <w:top w:val="none" w:sz="0" w:space="0" w:color="auto"/>
                    <w:left w:val="none" w:sz="0" w:space="0" w:color="auto"/>
                    <w:bottom w:val="none" w:sz="0" w:space="0" w:color="auto"/>
                    <w:right w:val="none" w:sz="0" w:space="0" w:color="auto"/>
                  </w:divBdr>
                  <w:divsChild>
                    <w:div w:id="512308613">
                      <w:marLeft w:val="0"/>
                      <w:marRight w:val="0"/>
                      <w:marTop w:val="0"/>
                      <w:marBottom w:val="0"/>
                      <w:divBdr>
                        <w:top w:val="none" w:sz="0" w:space="0" w:color="auto"/>
                        <w:left w:val="none" w:sz="0" w:space="0" w:color="auto"/>
                        <w:bottom w:val="none" w:sz="0" w:space="0" w:color="auto"/>
                        <w:right w:val="none" w:sz="0" w:space="0" w:color="auto"/>
                      </w:divBdr>
                    </w:div>
                  </w:divsChild>
                </w:div>
                <w:div w:id="1033963227">
                  <w:marLeft w:val="0"/>
                  <w:marRight w:val="0"/>
                  <w:marTop w:val="0"/>
                  <w:marBottom w:val="0"/>
                  <w:divBdr>
                    <w:top w:val="none" w:sz="0" w:space="0" w:color="auto"/>
                    <w:left w:val="none" w:sz="0" w:space="0" w:color="auto"/>
                    <w:bottom w:val="none" w:sz="0" w:space="0" w:color="auto"/>
                    <w:right w:val="none" w:sz="0" w:space="0" w:color="auto"/>
                  </w:divBdr>
                  <w:divsChild>
                    <w:div w:id="1742100431">
                      <w:marLeft w:val="0"/>
                      <w:marRight w:val="0"/>
                      <w:marTop w:val="0"/>
                      <w:marBottom w:val="0"/>
                      <w:divBdr>
                        <w:top w:val="none" w:sz="0" w:space="0" w:color="auto"/>
                        <w:left w:val="none" w:sz="0" w:space="0" w:color="auto"/>
                        <w:bottom w:val="none" w:sz="0" w:space="0" w:color="auto"/>
                        <w:right w:val="none" w:sz="0" w:space="0" w:color="auto"/>
                      </w:divBdr>
                    </w:div>
                  </w:divsChild>
                </w:div>
                <w:div w:id="30957506">
                  <w:marLeft w:val="0"/>
                  <w:marRight w:val="0"/>
                  <w:marTop w:val="0"/>
                  <w:marBottom w:val="0"/>
                  <w:divBdr>
                    <w:top w:val="none" w:sz="0" w:space="0" w:color="auto"/>
                    <w:left w:val="none" w:sz="0" w:space="0" w:color="auto"/>
                    <w:bottom w:val="none" w:sz="0" w:space="0" w:color="auto"/>
                    <w:right w:val="none" w:sz="0" w:space="0" w:color="auto"/>
                  </w:divBdr>
                  <w:divsChild>
                    <w:div w:id="165093808">
                      <w:marLeft w:val="0"/>
                      <w:marRight w:val="0"/>
                      <w:marTop w:val="0"/>
                      <w:marBottom w:val="0"/>
                      <w:divBdr>
                        <w:top w:val="none" w:sz="0" w:space="0" w:color="auto"/>
                        <w:left w:val="none" w:sz="0" w:space="0" w:color="auto"/>
                        <w:bottom w:val="none" w:sz="0" w:space="0" w:color="auto"/>
                        <w:right w:val="none" w:sz="0" w:space="0" w:color="auto"/>
                      </w:divBdr>
                    </w:div>
                  </w:divsChild>
                </w:div>
                <w:div w:id="434518204">
                  <w:marLeft w:val="0"/>
                  <w:marRight w:val="0"/>
                  <w:marTop w:val="0"/>
                  <w:marBottom w:val="0"/>
                  <w:divBdr>
                    <w:top w:val="none" w:sz="0" w:space="0" w:color="auto"/>
                    <w:left w:val="none" w:sz="0" w:space="0" w:color="auto"/>
                    <w:bottom w:val="none" w:sz="0" w:space="0" w:color="auto"/>
                    <w:right w:val="none" w:sz="0" w:space="0" w:color="auto"/>
                  </w:divBdr>
                  <w:divsChild>
                    <w:div w:id="1223442163">
                      <w:marLeft w:val="0"/>
                      <w:marRight w:val="0"/>
                      <w:marTop w:val="0"/>
                      <w:marBottom w:val="0"/>
                      <w:divBdr>
                        <w:top w:val="none" w:sz="0" w:space="0" w:color="auto"/>
                        <w:left w:val="none" w:sz="0" w:space="0" w:color="auto"/>
                        <w:bottom w:val="none" w:sz="0" w:space="0" w:color="auto"/>
                        <w:right w:val="none" w:sz="0" w:space="0" w:color="auto"/>
                      </w:divBdr>
                    </w:div>
                  </w:divsChild>
                </w:div>
                <w:div w:id="1655913377">
                  <w:marLeft w:val="0"/>
                  <w:marRight w:val="0"/>
                  <w:marTop w:val="0"/>
                  <w:marBottom w:val="0"/>
                  <w:divBdr>
                    <w:top w:val="none" w:sz="0" w:space="0" w:color="auto"/>
                    <w:left w:val="none" w:sz="0" w:space="0" w:color="auto"/>
                    <w:bottom w:val="none" w:sz="0" w:space="0" w:color="auto"/>
                    <w:right w:val="none" w:sz="0" w:space="0" w:color="auto"/>
                  </w:divBdr>
                  <w:divsChild>
                    <w:div w:id="287660227">
                      <w:marLeft w:val="0"/>
                      <w:marRight w:val="0"/>
                      <w:marTop w:val="0"/>
                      <w:marBottom w:val="0"/>
                      <w:divBdr>
                        <w:top w:val="none" w:sz="0" w:space="0" w:color="auto"/>
                        <w:left w:val="none" w:sz="0" w:space="0" w:color="auto"/>
                        <w:bottom w:val="none" w:sz="0" w:space="0" w:color="auto"/>
                        <w:right w:val="none" w:sz="0" w:space="0" w:color="auto"/>
                      </w:divBdr>
                    </w:div>
                  </w:divsChild>
                </w:div>
                <w:div w:id="946548533">
                  <w:marLeft w:val="0"/>
                  <w:marRight w:val="0"/>
                  <w:marTop w:val="0"/>
                  <w:marBottom w:val="0"/>
                  <w:divBdr>
                    <w:top w:val="none" w:sz="0" w:space="0" w:color="auto"/>
                    <w:left w:val="none" w:sz="0" w:space="0" w:color="auto"/>
                    <w:bottom w:val="none" w:sz="0" w:space="0" w:color="auto"/>
                    <w:right w:val="none" w:sz="0" w:space="0" w:color="auto"/>
                  </w:divBdr>
                  <w:divsChild>
                    <w:div w:id="1007708472">
                      <w:marLeft w:val="0"/>
                      <w:marRight w:val="0"/>
                      <w:marTop w:val="0"/>
                      <w:marBottom w:val="0"/>
                      <w:divBdr>
                        <w:top w:val="none" w:sz="0" w:space="0" w:color="auto"/>
                        <w:left w:val="none" w:sz="0" w:space="0" w:color="auto"/>
                        <w:bottom w:val="none" w:sz="0" w:space="0" w:color="auto"/>
                        <w:right w:val="none" w:sz="0" w:space="0" w:color="auto"/>
                      </w:divBdr>
                    </w:div>
                  </w:divsChild>
                </w:div>
                <w:div w:id="162548217">
                  <w:marLeft w:val="0"/>
                  <w:marRight w:val="0"/>
                  <w:marTop w:val="0"/>
                  <w:marBottom w:val="0"/>
                  <w:divBdr>
                    <w:top w:val="none" w:sz="0" w:space="0" w:color="auto"/>
                    <w:left w:val="none" w:sz="0" w:space="0" w:color="auto"/>
                    <w:bottom w:val="none" w:sz="0" w:space="0" w:color="auto"/>
                    <w:right w:val="none" w:sz="0" w:space="0" w:color="auto"/>
                  </w:divBdr>
                  <w:divsChild>
                    <w:div w:id="270019887">
                      <w:marLeft w:val="0"/>
                      <w:marRight w:val="0"/>
                      <w:marTop w:val="0"/>
                      <w:marBottom w:val="0"/>
                      <w:divBdr>
                        <w:top w:val="none" w:sz="0" w:space="0" w:color="auto"/>
                        <w:left w:val="none" w:sz="0" w:space="0" w:color="auto"/>
                        <w:bottom w:val="none" w:sz="0" w:space="0" w:color="auto"/>
                        <w:right w:val="none" w:sz="0" w:space="0" w:color="auto"/>
                      </w:divBdr>
                    </w:div>
                  </w:divsChild>
                </w:div>
                <w:div w:id="1239174953">
                  <w:marLeft w:val="0"/>
                  <w:marRight w:val="0"/>
                  <w:marTop w:val="0"/>
                  <w:marBottom w:val="0"/>
                  <w:divBdr>
                    <w:top w:val="none" w:sz="0" w:space="0" w:color="auto"/>
                    <w:left w:val="none" w:sz="0" w:space="0" w:color="auto"/>
                    <w:bottom w:val="none" w:sz="0" w:space="0" w:color="auto"/>
                    <w:right w:val="none" w:sz="0" w:space="0" w:color="auto"/>
                  </w:divBdr>
                  <w:divsChild>
                    <w:div w:id="2094931225">
                      <w:marLeft w:val="0"/>
                      <w:marRight w:val="0"/>
                      <w:marTop w:val="0"/>
                      <w:marBottom w:val="0"/>
                      <w:divBdr>
                        <w:top w:val="none" w:sz="0" w:space="0" w:color="auto"/>
                        <w:left w:val="none" w:sz="0" w:space="0" w:color="auto"/>
                        <w:bottom w:val="none" w:sz="0" w:space="0" w:color="auto"/>
                        <w:right w:val="none" w:sz="0" w:space="0" w:color="auto"/>
                      </w:divBdr>
                    </w:div>
                  </w:divsChild>
                </w:div>
                <w:div w:id="2046447592">
                  <w:marLeft w:val="0"/>
                  <w:marRight w:val="0"/>
                  <w:marTop w:val="0"/>
                  <w:marBottom w:val="0"/>
                  <w:divBdr>
                    <w:top w:val="none" w:sz="0" w:space="0" w:color="auto"/>
                    <w:left w:val="none" w:sz="0" w:space="0" w:color="auto"/>
                    <w:bottom w:val="none" w:sz="0" w:space="0" w:color="auto"/>
                    <w:right w:val="none" w:sz="0" w:space="0" w:color="auto"/>
                  </w:divBdr>
                  <w:divsChild>
                    <w:div w:id="1812359879">
                      <w:marLeft w:val="0"/>
                      <w:marRight w:val="0"/>
                      <w:marTop w:val="0"/>
                      <w:marBottom w:val="0"/>
                      <w:divBdr>
                        <w:top w:val="none" w:sz="0" w:space="0" w:color="auto"/>
                        <w:left w:val="none" w:sz="0" w:space="0" w:color="auto"/>
                        <w:bottom w:val="none" w:sz="0" w:space="0" w:color="auto"/>
                        <w:right w:val="none" w:sz="0" w:space="0" w:color="auto"/>
                      </w:divBdr>
                    </w:div>
                  </w:divsChild>
                </w:div>
                <w:div w:id="334915112">
                  <w:marLeft w:val="0"/>
                  <w:marRight w:val="0"/>
                  <w:marTop w:val="0"/>
                  <w:marBottom w:val="0"/>
                  <w:divBdr>
                    <w:top w:val="none" w:sz="0" w:space="0" w:color="auto"/>
                    <w:left w:val="none" w:sz="0" w:space="0" w:color="auto"/>
                    <w:bottom w:val="none" w:sz="0" w:space="0" w:color="auto"/>
                    <w:right w:val="none" w:sz="0" w:space="0" w:color="auto"/>
                  </w:divBdr>
                  <w:divsChild>
                    <w:div w:id="415637780">
                      <w:marLeft w:val="0"/>
                      <w:marRight w:val="0"/>
                      <w:marTop w:val="0"/>
                      <w:marBottom w:val="0"/>
                      <w:divBdr>
                        <w:top w:val="none" w:sz="0" w:space="0" w:color="auto"/>
                        <w:left w:val="none" w:sz="0" w:space="0" w:color="auto"/>
                        <w:bottom w:val="none" w:sz="0" w:space="0" w:color="auto"/>
                        <w:right w:val="none" w:sz="0" w:space="0" w:color="auto"/>
                      </w:divBdr>
                    </w:div>
                  </w:divsChild>
                </w:div>
                <w:div w:id="411239221">
                  <w:marLeft w:val="0"/>
                  <w:marRight w:val="0"/>
                  <w:marTop w:val="0"/>
                  <w:marBottom w:val="0"/>
                  <w:divBdr>
                    <w:top w:val="none" w:sz="0" w:space="0" w:color="auto"/>
                    <w:left w:val="none" w:sz="0" w:space="0" w:color="auto"/>
                    <w:bottom w:val="none" w:sz="0" w:space="0" w:color="auto"/>
                    <w:right w:val="none" w:sz="0" w:space="0" w:color="auto"/>
                  </w:divBdr>
                  <w:divsChild>
                    <w:div w:id="1107853261">
                      <w:marLeft w:val="0"/>
                      <w:marRight w:val="0"/>
                      <w:marTop w:val="0"/>
                      <w:marBottom w:val="0"/>
                      <w:divBdr>
                        <w:top w:val="none" w:sz="0" w:space="0" w:color="auto"/>
                        <w:left w:val="none" w:sz="0" w:space="0" w:color="auto"/>
                        <w:bottom w:val="none" w:sz="0" w:space="0" w:color="auto"/>
                        <w:right w:val="none" w:sz="0" w:space="0" w:color="auto"/>
                      </w:divBdr>
                    </w:div>
                  </w:divsChild>
                </w:div>
                <w:div w:id="1817260446">
                  <w:marLeft w:val="0"/>
                  <w:marRight w:val="0"/>
                  <w:marTop w:val="0"/>
                  <w:marBottom w:val="0"/>
                  <w:divBdr>
                    <w:top w:val="none" w:sz="0" w:space="0" w:color="auto"/>
                    <w:left w:val="none" w:sz="0" w:space="0" w:color="auto"/>
                    <w:bottom w:val="none" w:sz="0" w:space="0" w:color="auto"/>
                    <w:right w:val="none" w:sz="0" w:space="0" w:color="auto"/>
                  </w:divBdr>
                  <w:divsChild>
                    <w:div w:id="156382508">
                      <w:marLeft w:val="0"/>
                      <w:marRight w:val="0"/>
                      <w:marTop w:val="0"/>
                      <w:marBottom w:val="0"/>
                      <w:divBdr>
                        <w:top w:val="none" w:sz="0" w:space="0" w:color="auto"/>
                        <w:left w:val="none" w:sz="0" w:space="0" w:color="auto"/>
                        <w:bottom w:val="none" w:sz="0" w:space="0" w:color="auto"/>
                        <w:right w:val="none" w:sz="0" w:space="0" w:color="auto"/>
                      </w:divBdr>
                    </w:div>
                  </w:divsChild>
                </w:div>
                <w:div w:id="1079785991">
                  <w:marLeft w:val="0"/>
                  <w:marRight w:val="0"/>
                  <w:marTop w:val="0"/>
                  <w:marBottom w:val="0"/>
                  <w:divBdr>
                    <w:top w:val="none" w:sz="0" w:space="0" w:color="auto"/>
                    <w:left w:val="none" w:sz="0" w:space="0" w:color="auto"/>
                    <w:bottom w:val="none" w:sz="0" w:space="0" w:color="auto"/>
                    <w:right w:val="none" w:sz="0" w:space="0" w:color="auto"/>
                  </w:divBdr>
                  <w:divsChild>
                    <w:div w:id="417407650">
                      <w:marLeft w:val="0"/>
                      <w:marRight w:val="0"/>
                      <w:marTop w:val="0"/>
                      <w:marBottom w:val="0"/>
                      <w:divBdr>
                        <w:top w:val="none" w:sz="0" w:space="0" w:color="auto"/>
                        <w:left w:val="none" w:sz="0" w:space="0" w:color="auto"/>
                        <w:bottom w:val="none" w:sz="0" w:space="0" w:color="auto"/>
                        <w:right w:val="none" w:sz="0" w:space="0" w:color="auto"/>
                      </w:divBdr>
                    </w:div>
                  </w:divsChild>
                </w:div>
                <w:div w:id="1946961043">
                  <w:marLeft w:val="0"/>
                  <w:marRight w:val="0"/>
                  <w:marTop w:val="0"/>
                  <w:marBottom w:val="0"/>
                  <w:divBdr>
                    <w:top w:val="none" w:sz="0" w:space="0" w:color="auto"/>
                    <w:left w:val="none" w:sz="0" w:space="0" w:color="auto"/>
                    <w:bottom w:val="none" w:sz="0" w:space="0" w:color="auto"/>
                    <w:right w:val="none" w:sz="0" w:space="0" w:color="auto"/>
                  </w:divBdr>
                  <w:divsChild>
                    <w:div w:id="987128044">
                      <w:marLeft w:val="0"/>
                      <w:marRight w:val="0"/>
                      <w:marTop w:val="0"/>
                      <w:marBottom w:val="0"/>
                      <w:divBdr>
                        <w:top w:val="none" w:sz="0" w:space="0" w:color="auto"/>
                        <w:left w:val="none" w:sz="0" w:space="0" w:color="auto"/>
                        <w:bottom w:val="none" w:sz="0" w:space="0" w:color="auto"/>
                        <w:right w:val="none" w:sz="0" w:space="0" w:color="auto"/>
                      </w:divBdr>
                    </w:div>
                  </w:divsChild>
                </w:div>
                <w:div w:id="868951832">
                  <w:marLeft w:val="0"/>
                  <w:marRight w:val="0"/>
                  <w:marTop w:val="0"/>
                  <w:marBottom w:val="0"/>
                  <w:divBdr>
                    <w:top w:val="none" w:sz="0" w:space="0" w:color="auto"/>
                    <w:left w:val="none" w:sz="0" w:space="0" w:color="auto"/>
                    <w:bottom w:val="none" w:sz="0" w:space="0" w:color="auto"/>
                    <w:right w:val="none" w:sz="0" w:space="0" w:color="auto"/>
                  </w:divBdr>
                  <w:divsChild>
                    <w:div w:id="1173493479">
                      <w:marLeft w:val="0"/>
                      <w:marRight w:val="0"/>
                      <w:marTop w:val="0"/>
                      <w:marBottom w:val="0"/>
                      <w:divBdr>
                        <w:top w:val="none" w:sz="0" w:space="0" w:color="auto"/>
                        <w:left w:val="none" w:sz="0" w:space="0" w:color="auto"/>
                        <w:bottom w:val="none" w:sz="0" w:space="0" w:color="auto"/>
                        <w:right w:val="none" w:sz="0" w:space="0" w:color="auto"/>
                      </w:divBdr>
                    </w:div>
                  </w:divsChild>
                </w:div>
                <w:div w:id="650331442">
                  <w:marLeft w:val="0"/>
                  <w:marRight w:val="0"/>
                  <w:marTop w:val="0"/>
                  <w:marBottom w:val="0"/>
                  <w:divBdr>
                    <w:top w:val="none" w:sz="0" w:space="0" w:color="auto"/>
                    <w:left w:val="none" w:sz="0" w:space="0" w:color="auto"/>
                    <w:bottom w:val="none" w:sz="0" w:space="0" w:color="auto"/>
                    <w:right w:val="none" w:sz="0" w:space="0" w:color="auto"/>
                  </w:divBdr>
                  <w:divsChild>
                    <w:div w:id="1241720045">
                      <w:marLeft w:val="0"/>
                      <w:marRight w:val="0"/>
                      <w:marTop w:val="0"/>
                      <w:marBottom w:val="0"/>
                      <w:divBdr>
                        <w:top w:val="none" w:sz="0" w:space="0" w:color="auto"/>
                        <w:left w:val="none" w:sz="0" w:space="0" w:color="auto"/>
                        <w:bottom w:val="none" w:sz="0" w:space="0" w:color="auto"/>
                        <w:right w:val="none" w:sz="0" w:space="0" w:color="auto"/>
                      </w:divBdr>
                    </w:div>
                  </w:divsChild>
                </w:div>
                <w:div w:id="1483540922">
                  <w:marLeft w:val="0"/>
                  <w:marRight w:val="0"/>
                  <w:marTop w:val="0"/>
                  <w:marBottom w:val="0"/>
                  <w:divBdr>
                    <w:top w:val="none" w:sz="0" w:space="0" w:color="auto"/>
                    <w:left w:val="none" w:sz="0" w:space="0" w:color="auto"/>
                    <w:bottom w:val="none" w:sz="0" w:space="0" w:color="auto"/>
                    <w:right w:val="none" w:sz="0" w:space="0" w:color="auto"/>
                  </w:divBdr>
                  <w:divsChild>
                    <w:div w:id="969213254">
                      <w:marLeft w:val="0"/>
                      <w:marRight w:val="0"/>
                      <w:marTop w:val="0"/>
                      <w:marBottom w:val="0"/>
                      <w:divBdr>
                        <w:top w:val="none" w:sz="0" w:space="0" w:color="auto"/>
                        <w:left w:val="none" w:sz="0" w:space="0" w:color="auto"/>
                        <w:bottom w:val="none" w:sz="0" w:space="0" w:color="auto"/>
                        <w:right w:val="none" w:sz="0" w:space="0" w:color="auto"/>
                      </w:divBdr>
                    </w:div>
                  </w:divsChild>
                </w:div>
                <w:div w:id="2069645144">
                  <w:marLeft w:val="0"/>
                  <w:marRight w:val="0"/>
                  <w:marTop w:val="0"/>
                  <w:marBottom w:val="0"/>
                  <w:divBdr>
                    <w:top w:val="none" w:sz="0" w:space="0" w:color="auto"/>
                    <w:left w:val="none" w:sz="0" w:space="0" w:color="auto"/>
                    <w:bottom w:val="none" w:sz="0" w:space="0" w:color="auto"/>
                    <w:right w:val="none" w:sz="0" w:space="0" w:color="auto"/>
                  </w:divBdr>
                  <w:divsChild>
                    <w:div w:id="790785231">
                      <w:marLeft w:val="0"/>
                      <w:marRight w:val="0"/>
                      <w:marTop w:val="0"/>
                      <w:marBottom w:val="0"/>
                      <w:divBdr>
                        <w:top w:val="none" w:sz="0" w:space="0" w:color="auto"/>
                        <w:left w:val="none" w:sz="0" w:space="0" w:color="auto"/>
                        <w:bottom w:val="none" w:sz="0" w:space="0" w:color="auto"/>
                        <w:right w:val="none" w:sz="0" w:space="0" w:color="auto"/>
                      </w:divBdr>
                    </w:div>
                  </w:divsChild>
                </w:div>
                <w:div w:id="1986808782">
                  <w:marLeft w:val="0"/>
                  <w:marRight w:val="0"/>
                  <w:marTop w:val="0"/>
                  <w:marBottom w:val="0"/>
                  <w:divBdr>
                    <w:top w:val="none" w:sz="0" w:space="0" w:color="auto"/>
                    <w:left w:val="none" w:sz="0" w:space="0" w:color="auto"/>
                    <w:bottom w:val="none" w:sz="0" w:space="0" w:color="auto"/>
                    <w:right w:val="none" w:sz="0" w:space="0" w:color="auto"/>
                  </w:divBdr>
                  <w:divsChild>
                    <w:div w:id="178157873">
                      <w:marLeft w:val="0"/>
                      <w:marRight w:val="0"/>
                      <w:marTop w:val="0"/>
                      <w:marBottom w:val="0"/>
                      <w:divBdr>
                        <w:top w:val="none" w:sz="0" w:space="0" w:color="auto"/>
                        <w:left w:val="none" w:sz="0" w:space="0" w:color="auto"/>
                        <w:bottom w:val="none" w:sz="0" w:space="0" w:color="auto"/>
                        <w:right w:val="none" w:sz="0" w:space="0" w:color="auto"/>
                      </w:divBdr>
                    </w:div>
                  </w:divsChild>
                </w:div>
                <w:div w:id="818811885">
                  <w:marLeft w:val="0"/>
                  <w:marRight w:val="0"/>
                  <w:marTop w:val="0"/>
                  <w:marBottom w:val="0"/>
                  <w:divBdr>
                    <w:top w:val="none" w:sz="0" w:space="0" w:color="auto"/>
                    <w:left w:val="none" w:sz="0" w:space="0" w:color="auto"/>
                    <w:bottom w:val="none" w:sz="0" w:space="0" w:color="auto"/>
                    <w:right w:val="none" w:sz="0" w:space="0" w:color="auto"/>
                  </w:divBdr>
                  <w:divsChild>
                    <w:div w:id="988241908">
                      <w:marLeft w:val="0"/>
                      <w:marRight w:val="0"/>
                      <w:marTop w:val="0"/>
                      <w:marBottom w:val="0"/>
                      <w:divBdr>
                        <w:top w:val="none" w:sz="0" w:space="0" w:color="auto"/>
                        <w:left w:val="none" w:sz="0" w:space="0" w:color="auto"/>
                        <w:bottom w:val="none" w:sz="0" w:space="0" w:color="auto"/>
                        <w:right w:val="none" w:sz="0" w:space="0" w:color="auto"/>
                      </w:divBdr>
                    </w:div>
                  </w:divsChild>
                </w:div>
                <w:div w:id="557596787">
                  <w:marLeft w:val="0"/>
                  <w:marRight w:val="0"/>
                  <w:marTop w:val="0"/>
                  <w:marBottom w:val="0"/>
                  <w:divBdr>
                    <w:top w:val="none" w:sz="0" w:space="0" w:color="auto"/>
                    <w:left w:val="none" w:sz="0" w:space="0" w:color="auto"/>
                    <w:bottom w:val="none" w:sz="0" w:space="0" w:color="auto"/>
                    <w:right w:val="none" w:sz="0" w:space="0" w:color="auto"/>
                  </w:divBdr>
                  <w:divsChild>
                    <w:div w:id="2062705662">
                      <w:marLeft w:val="0"/>
                      <w:marRight w:val="0"/>
                      <w:marTop w:val="0"/>
                      <w:marBottom w:val="0"/>
                      <w:divBdr>
                        <w:top w:val="none" w:sz="0" w:space="0" w:color="auto"/>
                        <w:left w:val="none" w:sz="0" w:space="0" w:color="auto"/>
                        <w:bottom w:val="none" w:sz="0" w:space="0" w:color="auto"/>
                        <w:right w:val="none" w:sz="0" w:space="0" w:color="auto"/>
                      </w:divBdr>
                    </w:div>
                  </w:divsChild>
                </w:div>
                <w:div w:id="1670214118">
                  <w:marLeft w:val="0"/>
                  <w:marRight w:val="0"/>
                  <w:marTop w:val="0"/>
                  <w:marBottom w:val="0"/>
                  <w:divBdr>
                    <w:top w:val="none" w:sz="0" w:space="0" w:color="auto"/>
                    <w:left w:val="none" w:sz="0" w:space="0" w:color="auto"/>
                    <w:bottom w:val="none" w:sz="0" w:space="0" w:color="auto"/>
                    <w:right w:val="none" w:sz="0" w:space="0" w:color="auto"/>
                  </w:divBdr>
                  <w:divsChild>
                    <w:div w:id="543105509">
                      <w:marLeft w:val="0"/>
                      <w:marRight w:val="0"/>
                      <w:marTop w:val="0"/>
                      <w:marBottom w:val="0"/>
                      <w:divBdr>
                        <w:top w:val="none" w:sz="0" w:space="0" w:color="auto"/>
                        <w:left w:val="none" w:sz="0" w:space="0" w:color="auto"/>
                        <w:bottom w:val="none" w:sz="0" w:space="0" w:color="auto"/>
                        <w:right w:val="none" w:sz="0" w:space="0" w:color="auto"/>
                      </w:divBdr>
                    </w:div>
                  </w:divsChild>
                </w:div>
                <w:div w:id="341399994">
                  <w:marLeft w:val="0"/>
                  <w:marRight w:val="0"/>
                  <w:marTop w:val="0"/>
                  <w:marBottom w:val="0"/>
                  <w:divBdr>
                    <w:top w:val="none" w:sz="0" w:space="0" w:color="auto"/>
                    <w:left w:val="none" w:sz="0" w:space="0" w:color="auto"/>
                    <w:bottom w:val="none" w:sz="0" w:space="0" w:color="auto"/>
                    <w:right w:val="none" w:sz="0" w:space="0" w:color="auto"/>
                  </w:divBdr>
                  <w:divsChild>
                    <w:div w:id="5756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4785">
          <w:marLeft w:val="0"/>
          <w:marRight w:val="0"/>
          <w:marTop w:val="0"/>
          <w:marBottom w:val="0"/>
          <w:divBdr>
            <w:top w:val="none" w:sz="0" w:space="0" w:color="auto"/>
            <w:left w:val="none" w:sz="0" w:space="0" w:color="auto"/>
            <w:bottom w:val="none" w:sz="0" w:space="0" w:color="auto"/>
            <w:right w:val="none" w:sz="0" w:space="0" w:color="auto"/>
          </w:divBdr>
        </w:div>
        <w:div w:id="1728992444">
          <w:marLeft w:val="0"/>
          <w:marRight w:val="0"/>
          <w:marTop w:val="0"/>
          <w:marBottom w:val="0"/>
          <w:divBdr>
            <w:top w:val="none" w:sz="0" w:space="0" w:color="auto"/>
            <w:left w:val="none" w:sz="0" w:space="0" w:color="auto"/>
            <w:bottom w:val="none" w:sz="0" w:space="0" w:color="auto"/>
            <w:right w:val="none" w:sz="0" w:space="0" w:color="auto"/>
          </w:divBdr>
        </w:div>
        <w:div w:id="1578132924">
          <w:marLeft w:val="0"/>
          <w:marRight w:val="0"/>
          <w:marTop w:val="0"/>
          <w:marBottom w:val="0"/>
          <w:divBdr>
            <w:top w:val="none" w:sz="0" w:space="0" w:color="auto"/>
            <w:left w:val="none" w:sz="0" w:space="0" w:color="auto"/>
            <w:bottom w:val="none" w:sz="0" w:space="0" w:color="auto"/>
            <w:right w:val="none" w:sz="0" w:space="0" w:color="auto"/>
          </w:divBdr>
        </w:div>
        <w:div w:id="139083861">
          <w:marLeft w:val="0"/>
          <w:marRight w:val="0"/>
          <w:marTop w:val="0"/>
          <w:marBottom w:val="0"/>
          <w:divBdr>
            <w:top w:val="none" w:sz="0" w:space="0" w:color="auto"/>
            <w:left w:val="none" w:sz="0" w:space="0" w:color="auto"/>
            <w:bottom w:val="none" w:sz="0" w:space="0" w:color="auto"/>
            <w:right w:val="none" w:sz="0" w:space="0" w:color="auto"/>
          </w:divBdr>
        </w:div>
        <w:div w:id="223488406">
          <w:marLeft w:val="0"/>
          <w:marRight w:val="0"/>
          <w:marTop w:val="0"/>
          <w:marBottom w:val="0"/>
          <w:divBdr>
            <w:top w:val="none" w:sz="0" w:space="0" w:color="auto"/>
            <w:left w:val="none" w:sz="0" w:space="0" w:color="auto"/>
            <w:bottom w:val="none" w:sz="0" w:space="0" w:color="auto"/>
            <w:right w:val="none" w:sz="0" w:space="0" w:color="auto"/>
          </w:divBdr>
        </w:div>
        <w:div w:id="77484837">
          <w:marLeft w:val="0"/>
          <w:marRight w:val="0"/>
          <w:marTop w:val="0"/>
          <w:marBottom w:val="0"/>
          <w:divBdr>
            <w:top w:val="none" w:sz="0" w:space="0" w:color="auto"/>
            <w:left w:val="none" w:sz="0" w:space="0" w:color="auto"/>
            <w:bottom w:val="none" w:sz="0" w:space="0" w:color="auto"/>
            <w:right w:val="none" w:sz="0" w:space="0" w:color="auto"/>
          </w:divBdr>
        </w:div>
        <w:div w:id="1541282839">
          <w:marLeft w:val="0"/>
          <w:marRight w:val="0"/>
          <w:marTop w:val="0"/>
          <w:marBottom w:val="0"/>
          <w:divBdr>
            <w:top w:val="none" w:sz="0" w:space="0" w:color="auto"/>
            <w:left w:val="none" w:sz="0" w:space="0" w:color="auto"/>
            <w:bottom w:val="none" w:sz="0" w:space="0" w:color="auto"/>
            <w:right w:val="none" w:sz="0" w:space="0" w:color="auto"/>
          </w:divBdr>
        </w:div>
        <w:div w:id="823397039">
          <w:marLeft w:val="0"/>
          <w:marRight w:val="0"/>
          <w:marTop w:val="0"/>
          <w:marBottom w:val="0"/>
          <w:divBdr>
            <w:top w:val="none" w:sz="0" w:space="0" w:color="auto"/>
            <w:left w:val="none" w:sz="0" w:space="0" w:color="auto"/>
            <w:bottom w:val="none" w:sz="0" w:space="0" w:color="auto"/>
            <w:right w:val="none" w:sz="0" w:space="0" w:color="auto"/>
          </w:divBdr>
        </w:div>
        <w:div w:id="1648241272">
          <w:marLeft w:val="0"/>
          <w:marRight w:val="0"/>
          <w:marTop w:val="0"/>
          <w:marBottom w:val="0"/>
          <w:divBdr>
            <w:top w:val="none" w:sz="0" w:space="0" w:color="auto"/>
            <w:left w:val="none" w:sz="0" w:space="0" w:color="auto"/>
            <w:bottom w:val="none" w:sz="0" w:space="0" w:color="auto"/>
            <w:right w:val="none" w:sz="0" w:space="0" w:color="auto"/>
          </w:divBdr>
        </w:div>
        <w:div w:id="704867288">
          <w:marLeft w:val="0"/>
          <w:marRight w:val="0"/>
          <w:marTop w:val="0"/>
          <w:marBottom w:val="0"/>
          <w:divBdr>
            <w:top w:val="none" w:sz="0" w:space="0" w:color="auto"/>
            <w:left w:val="none" w:sz="0" w:space="0" w:color="auto"/>
            <w:bottom w:val="none" w:sz="0" w:space="0" w:color="auto"/>
            <w:right w:val="none" w:sz="0" w:space="0" w:color="auto"/>
          </w:divBdr>
          <w:divsChild>
            <w:div w:id="1317420317">
              <w:marLeft w:val="-75"/>
              <w:marRight w:val="0"/>
              <w:marTop w:val="30"/>
              <w:marBottom w:val="30"/>
              <w:divBdr>
                <w:top w:val="none" w:sz="0" w:space="0" w:color="auto"/>
                <w:left w:val="none" w:sz="0" w:space="0" w:color="auto"/>
                <w:bottom w:val="none" w:sz="0" w:space="0" w:color="auto"/>
                <w:right w:val="none" w:sz="0" w:space="0" w:color="auto"/>
              </w:divBdr>
              <w:divsChild>
                <w:div w:id="1462461198">
                  <w:marLeft w:val="0"/>
                  <w:marRight w:val="0"/>
                  <w:marTop w:val="0"/>
                  <w:marBottom w:val="0"/>
                  <w:divBdr>
                    <w:top w:val="none" w:sz="0" w:space="0" w:color="auto"/>
                    <w:left w:val="none" w:sz="0" w:space="0" w:color="auto"/>
                    <w:bottom w:val="none" w:sz="0" w:space="0" w:color="auto"/>
                    <w:right w:val="none" w:sz="0" w:space="0" w:color="auto"/>
                  </w:divBdr>
                  <w:divsChild>
                    <w:div w:id="1681201016">
                      <w:marLeft w:val="0"/>
                      <w:marRight w:val="0"/>
                      <w:marTop w:val="0"/>
                      <w:marBottom w:val="0"/>
                      <w:divBdr>
                        <w:top w:val="none" w:sz="0" w:space="0" w:color="auto"/>
                        <w:left w:val="none" w:sz="0" w:space="0" w:color="auto"/>
                        <w:bottom w:val="none" w:sz="0" w:space="0" w:color="auto"/>
                        <w:right w:val="none" w:sz="0" w:space="0" w:color="auto"/>
                      </w:divBdr>
                    </w:div>
                  </w:divsChild>
                </w:div>
                <w:div w:id="2132356430">
                  <w:marLeft w:val="0"/>
                  <w:marRight w:val="0"/>
                  <w:marTop w:val="0"/>
                  <w:marBottom w:val="0"/>
                  <w:divBdr>
                    <w:top w:val="none" w:sz="0" w:space="0" w:color="auto"/>
                    <w:left w:val="none" w:sz="0" w:space="0" w:color="auto"/>
                    <w:bottom w:val="none" w:sz="0" w:space="0" w:color="auto"/>
                    <w:right w:val="none" w:sz="0" w:space="0" w:color="auto"/>
                  </w:divBdr>
                  <w:divsChild>
                    <w:div w:id="1117795478">
                      <w:marLeft w:val="0"/>
                      <w:marRight w:val="0"/>
                      <w:marTop w:val="0"/>
                      <w:marBottom w:val="0"/>
                      <w:divBdr>
                        <w:top w:val="none" w:sz="0" w:space="0" w:color="auto"/>
                        <w:left w:val="none" w:sz="0" w:space="0" w:color="auto"/>
                        <w:bottom w:val="none" w:sz="0" w:space="0" w:color="auto"/>
                        <w:right w:val="none" w:sz="0" w:space="0" w:color="auto"/>
                      </w:divBdr>
                    </w:div>
                  </w:divsChild>
                </w:div>
                <w:div w:id="1340695924">
                  <w:marLeft w:val="0"/>
                  <w:marRight w:val="0"/>
                  <w:marTop w:val="0"/>
                  <w:marBottom w:val="0"/>
                  <w:divBdr>
                    <w:top w:val="none" w:sz="0" w:space="0" w:color="auto"/>
                    <w:left w:val="none" w:sz="0" w:space="0" w:color="auto"/>
                    <w:bottom w:val="none" w:sz="0" w:space="0" w:color="auto"/>
                    <w:right w:val="none" w:sz="0" w:space="0" w:color="auto"/>
                  </w:divBdr>
                  <w:divsChild>
                    <w:div w:id="259879642">
                      <w:marLeft w:val="0"/>
                      <w:marRight w:val="0"/>
                      <w:marTop w:val="0"/>
                      <w:marBottom w:val="0"/>
                      <w:divBdr>
                        <w:top w:val="none" w:sz="0" w:space="0" w:color="auto"/>
                        <w:left w:val="none" w:sz="0" w:space="0" w:color="auto"/>
                        <w:bottom w:val="none" w:sz="0" w:space="0" w:color="auto"/>
                        <w:right w:val="none" w:sz="0" w:space="0" w:color="auto"/>
                      </w:divBdr>
                    </w:div>
                  </w:divsChild>
                </w:div>
                <w:div w:id="1612397253">
                  <w:marLeft w:val="0"/>
                  <w:marRight w:val="0"/>
                  <w:marTop w:val="0"/>
                  <w:marBottom w:val="0"/>
                  <w:divBdr>
                    <w:top w:val="none" w:sz="0" w:space="0" w:color="auto"/>
                    <w:left w:val="none" w:sz="0" w:space="0" w:color="auto"/>
                    <w:bottom w:val="none" w:sz="0" w:space="0" w:color="auto"/>
                    <w:right w:val="none" w:sz="0" w:space="0" w:color="auto"/>
                  </w:divBdr>
                  <w:divsChild>
                    <w:div w:id="1052577071">
                      <w:marLeft w:val="0"/>
                      <w:marRight w:val="0"/>
                      <w:marTop w:val="0"/>
                      <w:marBottom w:val="0"/>
                      <w:divBdr>
                        <w:top w:val="none" w:sz="0" w:space="0" w:color="auto"/>
                        <w:left w:val="none" w:sz="0" w:space="0" w:color="auto"/>
                        <w:bottom w:val="none" w:sz="0" w:space="0" w:color="auto"/>
                        <w:right w:val="none" w:sz="0" w:space="0" w:color="auto"/>
                      </w:divBdr>
                    </w:div>
                  </w:divsChild>
                </w:div>
                <w:div w:id="810169684">
                  <w:marLeft w:val="0"/>
                  <w:marRight w:val="0"/>
                  <w:marTop w:val="0"/>
                  <w:marBottom w:val="0"/>
                  <w:divBdr>
                    <w:top w:val="none" w:sz="0" w:space="0" w:color="auto"/>
                    <w:left w:val="none" w:sz="0" w:space="0" w:color="auto"/>
                    <w:bottom w:val="none" w:sz="0" w:space="0" w:color="auto"/>
                    <w:right w:val="none" w:sz="0" w:space="0" w:color="auto"/>
                  </w:divBdr>
                  <w:divsChild>
                    <w:div w:id="641664699">
                      <w:marLeft w:val="0"/>
                      <w:marRight w:val="0"/>
                      <w:marTop w:val="0"/>
                      <w:marBottom w:val="0"/>
                      <w:divBdr>
                        <w:top w:val="none" w:sz="0" w:space="0" w:color="auto"/>
                        <w:left w:val="none" w:sz="0" w:space="0" w:color="auto"/>
                        <w:bottom w:val="none" w:sz="0" w:space="0" w:color="auto"/>
                        <w:right w:val="none" w:sz="0" w:space="0" w:color="auto"/>
                      </w:divBdr>
                    </w:div>
                  </w:divsChild>
                </w:div>
                <w:div w:id="1326589747">
                  <w:marLeft w:val="0"/>
                  <w:marRight w:val="0"/>
                  <w:marTop w:val="0"/>
                  <w:marBottom w:val="0"/>
                  <w:divBdr>
                    <w:top w:val="none" w:sz="0" w:space="0" w:color="auto"/>
                    <w:left w:val="none" w:sz="0" w:space="0" w:color="auto"/>
                    <w:bottom w:val="none" w:sz="0" w:space="0" w:color="auto"/>
                    <w:right w:val="none" w:sz="0" w:space="0" w:color="auto"/>
                  </w:divBdr>
                  <w:divsChild>
                    <w:div w:id="1752434781">
                      <w:marLeft w:val="0"/>
                      <w:marRight w:val="0"/>
                      <w:marTop w:val="0"/>
                      <w:marBottom w:val="0"/>
                      <w:divBdr>
                        <w:top w:val="none" w:sz="0" w:space="0" w:color="auto"/>
                        <w:left w:val="none" w:sz="0" w:space="0" w:color="auto"/>
                        <w:bottom w:val="none" w:sz="0" w:space="0" w:color="auto"/>
                        <w:right w:val="none" w:sz="0" w:space="0" w:color="auto"/>
                      </w:divBdr>
                    </w:div>
                  </w:divsChild>
                </w:div>
                <w:div w:id="1113936512">
                  <w:marLeft w:val="0"/>
                  <w:marRight w:val="0"/>
                  <w:marTop w:val="0"/>
                  <w:marBottom w:val="0"/>
                  <w:divBdr>
                    <w:top w:val="none" w:sz="0" w:space="0" w:color="auto"/>
                    <w:left w:val="none" w:sz="0" w:space="0" w:color="auto"/>
                    <w:bottom w:val="none" w:sz="0" w:space="0" w:color="auto"/>
                    <w:right w:val="none" w:sz="0" w:space="0" w:color="auto"/>
                  </w:divBdr>
                  <w:divsChild>
                    <w:div w:id="1603951851">
                      <w:marLeft w:val="0"/>
                      <w:marRight w:val="0"/>
                      <w:marTop w:val="0"/>
                      <w:marBottom w:val="0"/>
                      <w:divBdr>
                        <w:top w:val="none" w:sz="0" w:space="0" w:color="auto"/>
                        <w:left w:val="none" w:sz="0" w:space="0" w:color="auto"/>
                        <w:bottom w:val="none" w:sz="0" w:space="0" w:color="auto"/>
                        <w:right w:val="none" w:sz="0" w:space="0" w:color="auto"/>
                      </w:divBdr>
                    </w:div>
                  </w:divsChild>
                </w:div>
                <w:div w:id="1141265638">
                  <w:marLeft w:val="0"/>
                  <w:marRight w:val="0"/>
                  <w:marTop w:val="0"/>
                  <w:marBottom w:val="0"/>
                  <w:divBdr>
                    <w:top w:val="none" w:sz="0" w:space="0" w:color="auto"/>
                    <w:left w:val="none" w:sz="0" w:space="0" w:color="auto"/>
                    <w:bottom w:val="none" w:sz="0" w:space="0" w:color="auto"/>
                    <w:right w:val="none" w:sz="0" w:space="0" w:color="auto"/>
                  </w:divBdr>
                  <w:divsChild>
                    <w:div w:id="454638234">
                      <w:marLeft w:val="0"/>
                      <w:marRight w:val="0"/>
                      <w:marTop w:val="0"/>
                      <w:marBottom w:val="0"/>
                      <w:divBdr>
                        <w:top w:val="none" w:sz="0" w:space="0" w:color="auto"/>
                        <w:left w:val="none" w:sz="0" w:space="0" w:color="auto"/>
                        <w:bottom w:val="none" w:sz="0" w:space="0" w:color="auto"/>
                        <w:right w:val="none" w:sz="0" w:space="0" w:color="auto"/>
                      </w:divBdr>
                    </w:div>
                  </w:divsChild>
                </w:div>
                <w:div w:id="399790732">
                  <w:marLeft w:val="0"/>
                  <w:marRight w:val="0"/>
                  <w:marTop w:val="0"/>
                  <w:marBottom w:val="0"/>
                  <w:divBdr>
                    <w:top w:val="none" w:sz="0" w:space="0" w:color="auto"/>
                    <w:left w:val="none" w:sz="0" w:space="0" w:color="auto"/>
                    <w:bottom w:val="none" w:sz="0" w:space="0" w:color="auto"/>
                    <w:right w:val="none" w:sz="0" w:space="0" w:color="auto"/>
                  </w:divBdr>
                  <w:divsChild>
                    <w:div w:id="486552727">
                      <w:marLeft w:val="0"/>
                      <w:marRight w:val="0"/>
                      <w:marTop w:val="0"/>
                      <w:marBottom w:val="0"/>
                      <w:divBdr>
                        <w:top w:val="none" w:sz="0" w:space="0" w:color="auto"/>
                        <w:left w:val="none" w:sz="0" w:space="0" w:color="auto"/>
                        <w:bottom w:val="none" w:sz="0" w:space="0" w:color="auto"/>
                        <w:right w:val="none" w:sz="0" w:space="0" w:color="auto"/>
                      </w:divBdr>
                    </w:div>
                  </w:divsChild>
                </w:div>
                <w:div w:id="944842679">
                  <w:marLeft w:val="0"/>
                  <w:marRight w:val="0"/>
                  <w:marTop w:val="0"/>
                  <w:marBottom w:val="0"/>
                  <w:divBdr>
                    <w:top w:val="none" w:sz="0" w:space="0" w:color="auto"/>
                    <w:left w:val="none" w:sz="0" w:space="0" w:color="auto"/>
                    <w:bottom w:val="none" w:sz="0" w:space="0" w:color="auto"/>
                    <w:right w:val="none" w:sz="0" w:space="0" w:color="auto"/>
                  </w:divBdr>
                  <w:divsChild>
                    <w:div w:id="1634671222">
                      <w:marLeft w:val="0"/>
                      <w:marRight w:val="0"/>
                      <w:marTop w:val="0"/>
                      <w:marBottom w:val="0"/>
                      <w:divBdr>
                        <w:top w:val="none" w:sz="0" w:space="0" w:color="auto"/>
                        <w:left w:val="none" w:sz="0" w:space="0" w:color="auto"/>
                        <w:bottom w:val="none" w:sz="0" w:space="0" w:color="auto"/>
                        <w:right w:val="none" w:sz="0" w:space="0" w:color="auto"/>
                      </w:divBdr>
                    </w:div>
                  </w:divsChild>
                </w:div>
                <w:div w:id="227810674">
                  <w:marLeft w:val="0"/>
                  <w:marRight w:val="0"/>
                  <w:marTop w:val="0"/>
                  <w:marBottom w:val="0"/>
                  <w:divBdr>
                    <w:top w:val="none" w:sz="0" w:space="0" w:color="auto"/>
                    <w:left w:val="none" w:sz="0" w:space="0" w:color="auto"/>
                    <w:bottom w:val="none" w:sz="0" w:space="0" w:color="auto"/>
                    <w:right w:val="none" w:sz="0" w:space="0" w:color="auto"/>
                  </w:divBdr>
                  <w:divsChild>
                    <w:div w:id="738329590">
                      <w:marLeft w:val="0"/>
                      <w:marRight w:val="0"/>
                      <w:marTop w:val="0"/>
                      <w:marBottom w:val="0"/>
                      <w:divBdr>
                        <w:top w:val="none" w:sz="0" w:space="0" w:color="auto"/>
                        <w:left w:val="none" w:sz="0" w:space="0" w:color="auto"/>
                        <w:bottom w:val="none" w:sz="0" w:space="0" w:color="auto"/>
                        <w:right w:val="none" w:sz="0" w:space="0" w:color="auto"/>
                      </w:divBdr>
                    </w:div>
                  </w:divsChild>
                </w:div>
                <w:div w:id="1818451127">
                  <w:marLeft w:val="0"/>
                  <w:marRight w:val="0"/>
                  <w:marTop w:val="0"/>
                  <w:marBottom w:val="0"/>
                  <w:divBdr>
                    <w:top w:val="none" w:sz="0" w:space="0" w:color="auto"/>
                    <w:left w:val="none" w:sz="0" w:space="0" w:color="auto"/>
                    <w:bottom w:val="none" w:sz="0" w:space="0" w:color="auto"/>
                    <w:right w:val="none" w:sz="0" w:space="0" w:color="auto"/>
                  </w:divBdr>
                  <w:divsChild>
                    <w:div w:id="602807748">
                      <w:marLeft w:val="0"/>
                      <w:marRight w:val="0"/>
                      <w:marTop w:val="0"/>
                      <w:marBottom w:val="0"/>
                      <w:divBdr>
                        <w:top w:val="none" w:sz="0" w:space="0" w:color="auto"/>
                        <w:left w:val="none" w:sz="0" w:space="0" w:color="auto"/>
                        <w:bottom w:val="none" w:sz="0" w:space="0" w:color="auto"/>
                        <w:right w:val="none" w:sz="0" w:space="0" w:color="auto"/>
                      </w:divBdr>
                    </w:div>
                  </w:divsChild>
                </w:div>
                <w:div w:id="1159612422">
                  <w:marLeft w:val="0"/>
                  <w:marRight w:val="0"/>
                  <w:marTop w:val="0"/>
                  <w:marBottom w:val="0"/>
                  <w:divBdr>
                    <w:top w:val="none" w:sz="0" w:space="0" w:color="auto"/>
                    <w:left w:val="none" w:sz="0" w:space="0" w:color="auto"/>
                    <w:bottom w:val="none" w:sz="0" w:space="0" w:color="auto"/>
                    <w:right w:val="none" w:sz="0" w:space="0" w:color="auto"/>
                  </w:divBdr>
                  <w:divsChild>
                    <w:div w:id="1982299146">
                      <w:marLeft w:val="0"/>
                      <w:marRight w:val="0"/>
                      <w:marTop w:val="0"/>
                      <w:marBottom w:val="0"/>
                      <w:divBdr>
                        <w:top w:val="none" w:sz="0" w:space="0" w:color="auto"/>
                        <w:left w:val="none" w:sz="0" w:space="0" w:color="auto"/>
                        <w:bottom w:val="none" w:sz="0" w:space="0" w:color="auto"/>
                        <w:right w:val="none" w:sz="0" w:space="0" w:color="auto"/>
                      </w:divBdr>
                    </w:div>
                  </w:divsChild>
                </w:div>
                <w:div w:id="65883567">
                  <w:marLeft w:val="0"/>
                  <w:marRight w:val="0"/>
                  <w:marTop w:val="0"/>
                  <w:marBottom w:val="0"/>
                  <w:divBdr>
                    <w:top w:val="none" w:sz="0" w:space="0" w:color="auto"/>
                    <w:left w:val="none" w:sz="0" w:space="0" w:color="auto"/>
                    <w:bottom w:val="none" w:sz="0" w:space="0" w:color="auto"/>
                    <w:right w:val="none" w:sz="0" w:space="0" w:color="auto"/>
                  </w:divBdr>
                  <w:divsChild>
                    <w:div w:id="740366428">
                      <w:marLeft w:val="0"/>
                      <w:marRight w:val="0"/>
                      <w:marTop w:val="0"/>
                      <w:marBottom w:val="0"/>
                      <w:divBdr>
                        <w:top w:val="none" w:sz="0" w:space="0" w:color="auto"/>
                        <w:left w:val="none" w:sz="0" w:space="0" w:color="auto"/>
                        <w:bottom w:val="none" w:sz="0" w:space="0" w:color="auto"/>
                        <w:right w:val="none" w:sz="0" w:space="0" w:color="auto"/>
                      </w:divBdr>
                    </w:div>
                  </w:divsChild>
                </w:div>
                <w:div w:id="843130471">
                  <w:marLeft w:val="0"/>
                  <w:marRight w:val="0"/>
                  <w:marTop w:val="0"/>
                  <w:marBottom w:val="0"/>
                  <w:divBdr>
                    <w:top w:val="none" w:sz="0" w:space="0" w:color="auto"/>
                    <w:left w:val="none" w:sz="0" w:space="0" w:color="auto"/>
                    <w:bottom w:val="none" w:sz="0" w:space="0" w:color="auto"/>
                    <w:right w:val="none" w:sz="0" w:space="0" w:color="auto"/>
                  </w:divBdr>
                  <w:divsChild>
                    <w:div w:id="1677807192">
                      <w:marLeft w:val="0"/>
                      <w:marRight w:val="0"/>
                      <w:marTop w:val="0"/>
                      <w:marBottom w:val="0"/>
                      <w:divBdr>
                        <w:top w:val="none" w:sz="0" w:space="0" w:color="auto"/>
                        <w:left w:val="none" w:sz="0" w:space="0" w:color="auto"/>
                        <w:bottom w:val="none" w:sz="0" w:space="0" w:color="auto"/>
                        <w:right w:val="none" w:sz="0" w:space="0" w:color="auto"/>
                      </w:divBdr>
                    </w:div>
                  </w:divsChild>
                </w:div>
                <w:div w:id="569384251">
                  <w:marLeft w:val="0"/>
                  <w:marRight w:val="0"/>
                  <w:marTop w:val="0"/>
                  <w:marBottom w:val="0"/>
                  <w:divBdr>
                    <w:top w:val="none" w:sz="0" w:space="0" w:color="auto"/>
                    <w:left w:val="none" w:sz="0" w:space="0" w:color="auto"/>
                    <w:bottom w:val="none" w:sz="0" w:space="0" w:color="auto"/>
                    <w:right w:val="none" w:sz="0" w:space="0" w:color="auto"/>
                  </w:divBdr>
                  <w:divsChild>
                    <w:div w:id="1669943996">
                      <w:marLeft w:val="0"/>
                      <w:marRight w:val="0"/>
                      <w:marTop w:val="0"/>
                      <w:marBottom w:val="0"/>
                      <w:divBdr>
                        <w:top w:val="none" w:sz="0" w:space="0" w:color="auto"/>
                        <w:left w:val="none" w:sz="0" w:space="0" w:color="auto"/>
                        <w:bottom w:val="none" w:sz="0" w:space="0" w:color="auto"/>
                        <w:right w:val="none" w:sz="0" w:space="0" w:color="auto"/>
                      </w:divBdr>
                    </w:div>
                  </w:divsChild>
                </w:div>
                <w:div w:id="1275870965">
                  <w:marLeft w:val="0"/>
                  <w:marRight w:val="0"/>
                  <w:marTop w:val="0"/>
                  <w:marBottom w:val="0"/>
                  <w:divBdr>
                    <w:top w:val="none" w:sz="0" w:space="0" w:color="auto"/>
                    <w:left w:val="none" w:sz="0" w:space="0" w:color="auto"/>
                    <w:bottom w:val="none" w:sz="0" w:space="0" w:color="auto"/>
                    <w:right w:val="none" w:sz="0" w:space="0" w:color="auto"/>
                  </w:divBdr>
                  <w:divsChild>
                    <w:div w:id="1786146058">
                      <w:marLeft w:val="0"/>
                      <w:marRight w:val="0"/>
                      <w:marTop w:val="0"/>
                      <w:marBottom w:val="0"/>
                      <w:divBdr>
                        <w:top w:val="none" w:sz="0" w:space="0" w:color="auto"/>
                        <w:left w:val="none" w:sz="0" w:space="0" w:color="auto"/>
                        <w:bottom w:val="none" w:sz="0" w:space="0" w:color="auto"/>
                        <w:right w:val="none" w:sz="0" w:space="0" w:color="auto"/>
                      </w:divBdr>
                    </w:div>
                  </w:divsChild>
                </w:div>
                <w:div w:id="1469006054">
                  <w:marLeft w:val="0"/>
                  <w:marRight w:val="0"/>
                  <w:marTop w:val="0"/>
                  <w:marBottom w:val="0"/>
                  <w:divBdr>
                    <w:top w:val="none" w:sz="0" w:space="0" w:color="auto"/>
                    <w:left w:val="none" w:sz="0" w:space="0" w:color="auto"/>
                    <w:bottom w:val="none" w:sz="0" w:space="0" w:color="auto"/>
                    <w:right w:val="none" w:sz="0" w:space="0" w:color="auto"/>
                  </w:divBdr>
                  <w:divsChild>
                    <w:div w:id="1654873667">
                      <w:marLeft w:val="0"/>
                      <w:marRight w:val="0"/>
                      <w:marTop w:val="0"/>
                      <w:marBottom w:val="0"/>
                      <w:divBdr>
                        <w:top w:val="none" w:sz="0" w:space="0" w:color="auto"/>
                        <w:left w:val="none" w:sz="0" w:space="0" w:color="auto"/>
                        <w:bottom w:val="none" w:sz="0" w:space="0" w:color="auto"/>
                        <w:right w:val="none" w:sz="0" w:space="0" w:color="auto"/>
                      </w:divBdr>
                    </w:div>
                  </w:divsChild>
                </w:div>
                <w:div w:id="1265726327">
                  <w:marLeft w:val="0"/>
                  <w:marRight w:val="0"/>
                  <w:marTop w:val="0"/>
                  <w:marBottom w:val="0"/>
                  <w:divBdr>
                    <w:top w:val="none" w:sz="0" w:space="0" w:color="auto"/>
                    <w:left w:val="none" w:sz="0" w:space="0" w:color="auto"/>
                    <w:bottom w:val="none" w:sz="0" w:space="0" w:color="auto"/>
                    <w:right w:val="none" w:sz="0" w:space="0" w:color="auto"/>
                  </w:divBdr>
                  <w:divsChild>
                    <w:div w:id="1200705180">
                      <w:marLeft w:val="0"/>
                      <w:marRight w:val="0"/>
                      <w:marTop w:val="0"/>
                      <w:marBottom w:val="0"/>
                      <w:divBdr>
                        <w:top w:val="none" w:sz="0" w:space="0" w:color="auto"/>
                        <w:left w:val="none" w:sz="0" w:space="0" w:color="auto"/>
                        <w:bottom w:val="none" w:sz="0" w:space="0" w:color="auto"/>
                        <w:right w:val="none" w:sz="0" w:space="0" w:color="auto"/>
                      </w:divBdr>
                    </w:div>
                  </w:divsChild>
                </w:div>
                <w:div w:id="1829784028">
                  <w:marLeft w:val="0"/>
                  <w:marRight w:val="0"/>
                  <w:marTop w:val="0"/>
                  <w:marBottom w:val="0"/>
                  <w:divBdr>
                    <w:top w:val="none" w:sz="0" w:space="0" w:color="auto"/>
                    <w:left w:val="none" w:sz="0" w:space="0" w:color="auto"/>
                    <w:bottom w:val="none" w:sz="0" w:space="0" w:color="auto"/>
                    <w:right w:val="none" w:sz="0" w:space="0" w:color="auto"/>
                  </w:divBdr>
                  <w:divsChild>
                    <w:div w:id="1237858751">
                      <w:marLeft w:val="0"/>
                      <w:marRight w:val="0"/>
                      <w:marTop w:val="0"/>
                      <w:marBottom w:val="0"/>
                      <w:divBdr>
                        <w:top w:val="none" w:sz="0" w:space="0" w:color="auto"/>
                        <w:left w:val="none" w:sz="0" w:space="0" w:color="auto"/>
                        <w:bottom w:val="none" w:sz="0" w:space="0" w:color="auto"/>
                        <w:right w:val="none" w:sz="0" w:space="0" w:color="auto"/>
                      </w:divBdr>
                    </w:div>
                  </w:divsChild>
                </w:div>
                <w:div w:id="2029864234">
                  <w:marLeft w:val="0"/>
                  <w:marRight w:val="0"/>
                  <w:marTop w:val="0"/>
                  <w:marBottom w:val="0"/>
                  <w:divBdr>
                    <w:top w:val="none" w:sz="0" w:space="0" w:color="auto"/>
                    <w:left w:val="none" w:sz="0" w:space="0" w:color="auto"/>
                    <w:bottom w:val="none" w:sz="0" w:space="0" w:color="auto"/>
                    <w:right w:val="none" w:sz="0" w:space="0" w:color="auto"/>
                  </w:divBdr>
                  <w:divsChild>
                    <w:div w:id="713390675">
                      <w:marLeft w:val="0"/>
                      <w:marRight w:val="0"/>
                      <w:marTop w:val="0"/>
                      <w:marBottom w:val="0"/>
                      <w:divBdr>
                        <w:top w:val="none" w:sz="0" w:space="0" w:color="auto"/>
                        <w:left w:val="none" w:sz="0" w:space="0" w:color="auto"/>
                        <w:bottom w:val="none" w:sz="0" w:space="0" w:color="auto"/>
                        <w:right w:val="none" w:sz="0" w:space="0" w:color="auto"/>
                      </w:divBdr>
                    </w:div>
                  </w:divsChild>
                </w:div>
                <w:div w:id="294335121">
                  <w:marLeft w:val="0"/>
                  <w:marRight w:val="0"/>
                  <w:marTop w:val="0"/>
                  <w:marBottom w:val="0"/>
                  <w:divBdr>
                    <w:top w:val="none" w:sz="0" w:space="0" w:color="auto"/>
                    <w:left w:val="none" w:sz="0" w:space="0" w:color="auto"/>
                    <w:bottom w:val="none" w:sz="0" w:space="0" w:color="auto"/>
                    <w:right w:val="none" w:sz="0" w:space="0" w:color="auto"/>
                  </w:divBdr>
                  <w:divsChild>
                    <w:div w:id="1872722926">
                      <w:marLeft w:val="0"/>
                      <w:marRight w:val="0"/>
                      <w:marTop w:val="0"/>
                      <w:marBottom w:val="0"/>
                      <w:divBdr>
                        <w:top w:val="none" w:sz="0" w:space="0" w:color="auto"/>
                        <w:left w:val="none" w:sz="0" w:space="0" w:color="auto"/>
                        <w:bottom w:val="none" w:sz="0" w:space="0" w:color="auto"/>
                        <w:right w:val="none" w:sz="0" w:space="0" w:color="auto"/>
                      </w:divBdr>
                    </w:div>
                  </w:divsChild>
                </w:div>
                <w:div w:id="1352730725">
                  <w:marLeft w:val="0"/>
                  <w:marRight w:val="0"/>
                  <w:marTop w:val="0"/>
                  <w:marBottom w:val="0"/>
                  <w:divBdr>
                    <w:top w:val="none" w:sz="0" w:space="0" w:color="auto"/>
                    <w:left w:val="none" w:sz="0" w:space="0" w:color="auto"/>
                    <w:bottom w:val="none" w:sz="0" w:space="0" w:color="auto"/>
                    <w:right w:val="none" w:sz="0" w:space="0" w:color="auto"/>
                  </w:divBdr>
                  <w:divsChild>
                    <w:div w:id="1837376059">
                      <w:marLeft w:val="0"/>
                      <w:marRight w:val="0"/>
                      <w:marTop w:val="0"/>
                      <w:marBottom w:val="0"/>
                      <w:divBdr>
                        <w:top w:val="none" w:sz="0" w:space="0" w:color="auto"/>
                        <w:left w:val="none" w:sz="0" w:space="0" w:color="auto"/>
                        <w:bottom w:val="none" w:sz="0" w:space="0" w:color="auto"/>
                        <w:right w:val="none" w:sz="0" w:space="0" w:color="auto"/>
                      </w:divBdr>
                    </w:div>
                  </w:divsChild>
                </w:div>
                <w:div w:id="527917427">
                  <w:marLeft w:val="0"/>
                  <w:marRight w:val="0"/>
                  <w:marTop w:val="0"/>
                  <w:marBottom w:val="0"/>
                  <w:divBdr>
                    <w:top w:val="none" w:sz="0" w:space="0" w:color="auto"/>
                    <w:left w:val="none" w:sz="0" w:space="0" w:color="auto"/>
                    <w:bottom w:val="none" w:sz="0" w:space="0" w:color="auto"/>
                    <w:right w:val="none" w:sz="0" w:space="0" w:color="auto"/>
                  </w:divBdr>
                  <w:divsChild>
                    <w:div w:id="532765807">
                      <w:marLeft w:val="0"/>
                      <w:marRight w:val="0"/>
                      <w:marTop w:val="0"/>
                      <w:marBottom w:val="0"/>
                      <w:divBdr>
                        <w:top w:val="none" w:sz="0" w:space="0" w:color="auto"/>
                        <w:left w:val="none" w:sz="0" w:space="0" w:color="auto"/>
                        <w:bottom w:val="none" w:sz="0" w:space="0" w:color="auto"/>
                        <w:right w:val="none" w:sz="0" w:space="0" w:color="auto"/>
                      </w:divBdr>
                    </w:div>
                  </w:divsChild>
                </w:div>
                <w:div w:id="2112697484">
                  <w:marLeft w:val="0"/>
                  <w:marRight w:val="0"/>
                  <w:marTop w:val="0"/>
                  <w:marBottom w:val="0"/>
                  <w:divBdr>
                    <w:top w:val="none" w:sz="0" w:space="0" w:color="auto"/>
                    <w:left w:val="none" w:sz="0" w:space="0" w:color="auto"/>
                    <w:bottom w:val="none" w:sz="0" w:space="0" w:color="auto"/>
                    <w:right w:val="none" w:sz="0" w:space="0" w:color="auto"/>
                  </w:divBdr>
                  <w:divsChild>
                    <w:div w:id="420100076">
                      <w:marLeft w:val="0"/>
                      <w:marRight w:val="0"/>
                      <w:marTop w:val="0"/>
                      <w:marBottom w:val="0"/>
                      <w:divBdr>
                        <w:top w:val="none" w:sz="0" w:space="0" w:color="auto"/>
                        <w:left w:val="none" w:sz="0" w:space="0" w:color="auto"/>
                        <w:bottom w:val="none" w:sz="0" w:space="0" w:color="auto"/>
                        <w:right w:val="none" w:sz="0" w:space="0" w:color="auto"/>
                      </w:divBdr>
                    </w:div>
                  </w:divsChild>
                </w:div>
                <w:div w:id="55324308">
                  <w:marLeft w:val="0"/>
                  <w:marRight w:val="0"/>
                  <w:marTop w:val="0"/>
                  <w:marBottom w:val="0"/>
                  <w:divBdr>
                    <w:top w:val="none" w:sz="0" w:space="0" w:color="auto"/>
                    <w:left w:val="none" w:sz="0" w:space="0" w:color="auto"/>
                    <w:bottom w:val="none" w:sz="0" w:space="0" w:color="auto"/>
                    <w:right w:val="none" w:sz="0" w:space="0" w:color="auto"/>
                  </w:divBdr>
                  <w:divsChild>
                    <w:div w:id="14621107">
                      <w:marLeft w:val="0"/>
                      <w:marRight w:val="0"/>
                      <w:marTop w:val="0"/>
                      <w:marBottom w:val="0"/>
                      <w:divBdr>
                        <w:top w:val="none" w:sz="0" w:space="0" w:color="auto"/>
                        <w:left w:val="none" w:sz="0" w:space="0" w:color="auto"/>
                        <w:bottom w:val="none" w:sz="0" w:space="0" w:color="auto"/>
                        <w:right w:val="none" w:sz="0" w:space="0" w:color="auto"/>
                      </w:divBdr>
                    </w:div>
                  </w:divsChild>
                </w:div>
                <w:div w:id="742148057">
                  <w:marLeft w:val="0"/>
                  <w:marRight w:val="0"/>
                  <w:marTop w:val="0"/>
                  <w:marBottom w:val="0"/>
                  <w:divBdr>
                    <w:top w:val="none" w:sz="0" w:space="0" w:color="auto"/>
                    <w:left w:val="none" w:sz="0" w:space="0" w:color="auto"/>
                    <w:bottom w:val="none" w:sz="0" w:space="0" w:color="auto"/>
                    <w:right w:val="none" w:sz="0" w:space="0" w:color="auto"/>
                  </w:divBdr>
                  <w:divsChild>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77098202">
                  <w:marLeft w:val="0"/>
                  <w:marRight w:val="0"/>
                  <w:marTop w:val="0"/>
                  <w:marBottom w:val="0"/>
                  <w:divBdr>
                    <w:top w:val="none" w:sz="0" w:space="0" w:color="auto"/>
                    <w:left w:val="none" w:sz="0" w:space="0" w:color="auto"/>
                    <w:bottom w:val="none" w:sz="0" w:space="0" w:color="auto"/>
                    <w:right w:val="none" w:sz="0" w:space="0" w:color="auto"/>
                  </w:divBdr>
                  <w:divsChild>
                    <w:div w:id="1568109232">
                      <w:marLeft w:val="0"/>
                      <w:marRight w:val="0"/>
                      <w:marTop w:val="0"/>
                      <w:marBottom w:val="0"/>
                      <w:divBdr>
                        <w:top w:val="none" w:sz="0" w:space="0" w:color="auto"/>
                        <w:left w:val="none" w:sz="0" w:space="0" w:color="auto"/>
                        <w:bottom w:val="none" w:sz="0" w:space="0" w:color="auto"/>
                        <w:right w:val="none" w:sz="0" w:space="0" w:color="auto"/>
                      </w:divBdr>
                    </w:div>
                  </w:divsChild>
                </w:div>
                <w:div w:id="1364281828">
                  <w:marLeft w:val="0"/>
                  <w:marRight w:val="0"/>
                  <w:marTop w:val="0"/>
                  <w:marBottom w:val="0"/>
                  <w:divBdr>
                    <w:top w:val="none" w:sz="0" w:space="0" w:color="auto"/>
                    <w:left w:val="none" w:sz="0" w:space="0" w:color="auto"/>
                    <w:bottom w:val="none" w:sz="0" w:space="0" w:color="auto"/>
                    <w:right w:val="none" w:sz="0" w:space="0" w:color="auto"/>
                  </w:divBdr>
                  <w:divsChild>
                    <w:div w:id="243028706">
                      <w:marLeft w:val="0"/>
                      <w:marRight w:val="0"/>
                      <w:marTop w:val="0"/>
                      <w:marBottom w:val="0"/>
                      <w:divBdr>
                        <w:top w:val="none" w:sz="0" w:space="0" w:color="auto"/>
                        <w:left w:val="none" w:sz="0" w:space="0" w:color="auto"/>
                        <w:bottom w:val="none" w:sz="0" w:space="0" w:color="auto"/>
                        <w:right w:val="none" w:sz="0" w:space="0" w:color="auto"/>
                      </w:divBdr>
                    </w:div>
                  </w:divsChild>
                </w:div>
                <w:div w:id="2043088018">
                  <w:marLeft w:val="0"/>
                  <w:marRight w:val="0"/>
                  <w:marTop w:val="0"/>
                  <w:marBottom w:val="0"/>
                  <w:divBdr>
                    <w:top w:val="none" w:sz="0" w:space="0" w:color="auto"/>
                    <w:left w:val="none" w:sz="0" w:space="0" w:color="auto"/>
                    <w:bottom w:val="none" w:sz="0" w:space="0" w:color="auto"/>
                    <w:right w:val="none" w:sz="0" w:space="0" w:color="auto"/>
                  </w:divBdr>
                  <w:divsChild>
                    <w:div w:id="1520388424">
                      <w:marLeft w:val="0"/>
                      <w:marRight w:val="0"/>
                      <w:marTop w:val="0"/>
                      <w:marBottom w:val="0"/>
                      <w:divBdr>
                        <w:top w:val="none" w:sz="0" w:space="0" w:color="auto"/>
                        <w:left w:val="none" w:sz="0" w:space="0" w:color="auto"/>
                        <w:bottom w:val="none" w:sz="0" w:space="0" w:color="auto"/>
                        <w:right w:val="none" w:sz="0" w:space="0" w:color="auto"/>
                      </w:divBdr>
                    </w:div>
                  </w:divsChild>
                </w:div>
                <w:div w:id="1652097106">
                  <w:marLeft w:val="0"/>
                  <w:marRight w:val="0"/>
                  <w:marTop w:val="0"/>
                  <w:marBottom w:val="0"/>
                  <w:divBdr>
                    <w:top w:val="none" w:sz="0" w:space="0" w:color="auto"/>
                    <w:left w:val="none" w:sz="0" w:space="0" w:color="auto"/>
                    <w:bottom w:val="none" w:sz="0" w:space="0" w:color="auto"/>
                    <w:right w:val="none" w:sz="0" w:space="0" w:color="auto"/>
                  </w:divBdr>
                  <w:divsChild>
                    <w:div w:id="1491210377">
                      <w:marLeft w:val="0"/>
                      <w:marRight w:val="0"/>
                      <w:marTop w:val="0"/>
                      <w:marBottom w:val="0"/>
                      <w:divBdr>
                        <w:top w:val="none" w:sz="0" w:space="0" w:color="auto"/>
                        <w:left w:val="none" w:sz="0" w:space="0" w:color="auto"/>
                        <w:bottom w:val="none" w:sz="0" w:space="0" w:color="auto"/>
                        <w:right w:val="none" w:sz="0" w:space="0" w:color="auto"/>
                      </w:divBdr>
                    </w:div>
                  </w:divsChild>
                </w:div>
                <w:div w:id="743144172">
                  <w:marLeft w:val="0"/>
                  <w:marRight w:val="0"/>
                  <w:marTop w:val="0"/>
                  <w:marBottom w:val="0"/>
                  <w:divBdr>
                    <w:top w:val="none" w:sz="0" w:space="0" w:color="auto"/>
                    <w:left w:val="none" w:sz="0" w:space="0" w:color="auto"/>
                    <w:bottom w:val="none" w:sz="0" w:space="0" w:color="auto"/>
                    <w:right w:val="none" w:sz="0" w:space="0" w:color="auto"/>
                  </w:divBdr>
                  <w:divsChild>
                    <w:div w:id="1398672846">
                      <w:marLeft w:val="0"/>
                      <w:marRight w:val="0"/>
                      <w:marTop w:val="0"/>
                      <w:marBottom w:val="0"/>
                      <w:divBdr>
                        <w:top w:val="none" w:sz="0" w:space="0" w:color="auto"/>
                        <w:left w:val="none" w:sz="0" w:space="0" w:color="auto"/>
                        <w:bottom w:val="none" w:sz="0" w:space="0" w:color="auto"/>
                        <w:right w:val="none" w:sz="0" w:space="0" w:color="auto"/>
                      </w:divBdr>
                    </w:div>
                  </w:divsChild>
                </w:div>
                <w:div w:id="384138055">
                  <w:marLeft w:val="0"/>
                  <w:marRight w:val="0"/>
                  <w:marTop w:val="0"/>
                  <w:marBottom w:val="0"/>
                  <w:divBdr>
                    <w:top w:val="none" w:sz="0" w:space="0" w:color="auto"/>
                    <w:left w:val="none" w:sz="0" w:space="0" w:color="auto"/>
                    <w:bottom w:val="none" w:sz="0" w:space="0" w:color="auto"/>
                    <w:right w:val="none" w:sz="0" w:space="0" w:color="auto"/>
                  </w:divBdr>
                  <w:divsChild>
                    <w:div w:id="1483230861">
                      <w:marLeft w:val="0"/>
                      <w:marRight w:val="0"/>
                      <w:marTop w:val="0"/>
                      <w:marBottom w:val="0"/>
                      <w:divBdr>
                        <w:top w:val="none" w:sz="0" w:space="0" w:color="auto"/>
                        <w:left w:val="none" w:sz="0" w:space="0" w:color="auto"/>
                        <w:bottom w:val="none" w:sz="0" w:space="0" w:color="auto"/>
                        <w:right w:val="none" w:sz="0" w:space="0" w:color="auto"/>
                      </w:divBdr>
                    </w:div>
                  </w:divsChild>
                </w:div>
                <w:div w:id="725687187">
                  <w:marLeft w:val="0"/>
                  <w:marRight w:val="0"/>
                  <w:marTop w:val="0"/>
                  <w:marBottom w:val="0"/>
                  <w:divBdr>
                    <w:top w:val="none" w:sz="0" w:space="0" w:color="auto"/>
                    <w:left w:val="none" w:sz="0" w:space="0" w:color="auto"/>
                    <w:bottom w:val="none" w:sz="0" w:space="0" w:color="auto"/>
                    <w:right w:val="none" w:sz="0" w:space="0" w:color="auto"/>
                  </w:divBdr>
                  <w:divsChild>
                    <w:div w:id="254561850">
                      <w:marLeft w:val="0"/>
                      <w:marRight w:val="0"/>
                      <w:marTop w:val="0"/>
                      <w:marBottom w:val="0"/>
                      <w:divBdr>
                        <w:top w:val="none" w:sz="0" w:space="0" w:color="auto"/>
                        <w:left w:val="none" w:sz="0" w:space="0" w:color="auto"/>
                        <w:bottom w:val="none" w:sz="0" w:space="0" w:color="auto"/>
                        <w:right w:val="none" w:sz="0" w:space="0" w:color="auto"/>
                      </w:divBdr>
                    </w:div>
                  </w:divsChild>
                </w:div>
                <w:div w:id="1021010535">
                  <w:marLeft w:val="0"/>
                  <w:marRight w:val="0"/>
                  <w:marTop w:val="0"/>
                  <w:marBottom w:val="0"/>
                  <w:divBdr>
                    <w:top w:val="none" w:sz="0" w:space="0" w:color="auto"/>
                    <w:left w:val="none" w:sz="0" w:space="0" w:color="auto"/>
                    <w:bottom w:val="none" w:sz="0" w:space="0" w:color="auto"/>
                    <w:right w:val="none" w:sz="0" w:space="0" w:color="auto"/>
                  </w:divBdr>
                  <w:divsChild>
                    <w:div w:id="1739399679">
                      <w:marLeft w:val="0"/>
                      <w:marRight w:val="0"/>
                      <w:marTop w:val="0"/>
                      <w:marBottom w:val="0"/>
                      <w:divBdr>
                        <w:top w:val="none" w:sz="0" w:space="0" w:color="auto"/>
                        <w:left w:val="none" w:sz="0" w:space="0" w:color="auto"/>
                        <w:bottom w:val="none" w:sz="0" w:space="0" w:color="auto"/>
                        <w:right w:val="none" w:sz="0" w:space="0" w:color="auto"/>
                      </w:divBdr>
                    </w:div>
                  </w:divsChild>
                </w:div>
                <w:div w:id="645282411">
                  <w:marLeft w:val="0"/>
                  <w:marRight w:val="0"/>
                  <w:marTop w:val="0"/>
                  <w:marBottom w:val="0"/>
                  <w:divBdr>
                    <w:top w:val="none" w:sz="0" w:space="0" w:color="auto"/>
                    <w:left w:val="none" w:sz="0" w:space="0" w:color="auto"/>
                    <w:bottom w:val="none" w:sz="0" w:space="0" w:color="auto"/>
                    <w:right w:val="none" w:sz="0" w:space="0" w:color="auto"/>
                  </w:divBdr>
                  <w:divsChild>
                    <w:div w:id="950434535">
                      <w:marLeft w:val="0"/>
                      <w:marRight w:val="0"/>
                      <w:marTop w:val="0"/>
                      <w:marBottom w:val="0"/>
                      <w:divBdr>
                        <w:top w:val="none" w:sz="0" w:space="0" w:color="auto"/>
                        <w:left w:val="none" w:sz="0" w:space="0" w:color="auto"/>
                        <w:bottom w:val="none" w:sz="0" w:space="0" w:color="auto"/>
                        <w:right w:val="none" w:sz="0" w:space="0" w:color="auto"/>
                      </w:divBdr>
                    </w:div>
                  </w:divsChild>
                </w:div>
                <w:div w:id="389159470">
                  <w:marLeft w:val="0"/>
                  <w:marRight w:val="0"/>
                  <w:marTop w:val="0"/>
                  <w:marBottom w:val="0"/>
                  <w:divBdr>
                    <w:top w:val="none" w:sz="0" w:space="0" w:color="auto"/>
                    <w:left w:val="none" w:sz="0" w:space="0" w:color="auto"/>
                    <w:bottom w:val="none" w:sz="0" w:space="0" w:color="auto"/>
                    <w:right w:val="none" w:sz="0" w:space="0" w:color="auto"/>
                  </w:divBdr>
                  <w:divsChild>
                    <w:div w:id="667296324">
                      <w:marLeft w:val="0"/>
                      <w:marRight w:val="0"/>
                      <w:marTop w:val="0"/>
                      <w:marBottom w:val="0"/>
                      <w:divBdr>
                        <w:top w:val="none" w:sz="0" w:space="0" w:color="auto"/>
                        <w:left w:val="none" w:sz="0" w:space="0" w:color="auto"/>
                        <w:bottom w:val="none" w:sz="0" w:space="0" w:color="auto"/>
                        <w:right w:val="none" w:sz="0" w:space="0" w:color="auto"/>
                      </w:divBdr>
                    </w:div>
                  </w:divsChild>
                </w:div>
                <w:div w:id="762144441">
                  <w:marLeft w:val="0"/>
                  <w:marRight w:val="0"/>
                  <w:marTop w:val="0"/>
                  <w:marBottom w:val="0"/>
                  <w:divBdr>
                    <w:top w:val="none" w:sz="0" w:space="0" w:color="auto"/>
                    <w:left w:val="none" w:sz="0" w:space="0" w:color="auto"/>
                    <w:bottom w:val="none" w:sz="0" w:space="0" w:color="auto"/>
                    <w:right w:val="none" w:sz="0" w:space="0" w:color="auto"/>
                  </w:divBdr>
                  <w:divsChild>
                    <w:div w:id="1949964424">
                      <w:marLeft w:val="0"/>
                      <w:marRight w:val="0"/>
                      <w:marTop w:val="0"/>
                      <w:marBottom w:val="0"/>
                      <w:divBdr>
                        <w:top w:val="none" w:sz="0" w:space="0" w:color="auto"/>
                        <w:left w:val="none" w:sz="0" w:space="0" w:color="auto"/>
                        <w:bottom w:val="none" w:sz="0" w:space="0" w:color="auto"/>
                        <w:right w:val="none" w:sz="0" w:space="0" w:color="auto"/>
                      </w:divBdr>
                    </w:div>
                  </w:divsChild>
                </w:div>
                <w:div w:id="1593973984">
                  <w:marLeft w:val="0"/>
                  <w:marRight w:val="0"/>
                  <w:marTop w:val="0"/>
                  <w:marBottom w:val="0"/>
                  <w:divBdr>
                    <w:top w:val="none" w:sz="0" w:space="0" w:color="auto"/>
                    <w:left w:val="none" w:sz="0" w:space="0" w:color="auto"/>
                    <w:bottom w:val="none" w:sz="0" w:space="0" w:color="auto"/>
                    <w:right w:val="none" w:sz="0" w:space="0" w:color="auto"/>
                  </w:divBdr>
                  <w:divsChild>
                    <w:div w:id="1549537417">
                      <w:marLeft w:val="0"/>
                      <w:marRight w:val="0"/>
                      <w:marTop w:val="0"/>
                      <w:marBottom w:val="0"/>
                      <w:divBdr>
                        <w:top w:val="none" w:sz="0" w:space="0" w:color="auto"/>
                        <w:left w:val="none" w:sz="0" w:space="0" w:color="auto"/>
                        <w:bottom w:val="none" w:sz="0" w:space="0" w:color="auto"/>
                        <w:right w:val="none" w:sz="0" w:space="0" w:color="auto"/>
                      </w:divBdr>
                    </w:div>
                  </w:divsChild>
                </w:div>
                <w:div w:id="1593735383">
                  <w:marLeft w:val="0"/>
                  <w:marRight w:val="0"/>
                  <w:marTop w:val="0"/>
                  <w:marBottom w:val="0"/>
                  <w:divBdr>
                    <w:top w:val="none" w:sz="0" w:space="0" w:color="auto"/>
                    <w:left w:val="none" w:sz="0" w:space="0" w:color="auto"/>
                    <w:bottom w:val="none" w:sz="0" w:space="0" w:color="auto"/>
                    <w:right w:val="none" w:sz="0" w:space="0" w:color="auto"/>
                  </w:divBdr>
                  <w:divsChild>
                    <w:div w:id="1391610204">
                      <w:marLeft w:val="0"/>
                      <w:marRight w:val="0"/>
                      <w:marTop w:val="0"/>
                      <w:marBottom w:val="0"/>
                      <w:divBdr>
                        <w:top w:val="none" w:sz="0" w:space="0" w:color="auto"/>
                        <w:left w:val="none" w:sz="0" w:space="0" w:color="auto"/>
                        <w:bottom w:val="none" w:sz="0" w:space="0" w:color="auto"/>
                        <w:right w:val="none" w:sz="0" w:space="0" w:color="auto"/>
                      </w:divBdr>
                    </w:div>
                  </w:divsChild>
                </w:div>
                <w:div w:id="555896334">
                  <w:marLeft w:val="0"/>
                  <w:marRight w:val="0"/>
                  <w:marTop w:val="0"/>
                  <w:marBottom w:val="0"/>
                  <w:divBdr>
                    <w:top w:val="none" w:sz="0" w:space="0" w:color="auto"/>
                    <w:left w:val="none" w:sz="0" w:space="0" w:color="auto"/>
                    <w:bottom w:val="none" w:sz="0" w:space="0" w:color="auto"/>
                    <w:right w:val="none" w:sz="0" w:space="0" w:color="auto"/>
                  </w:divBdr>
                  <w:divsChild>
                    <w:div w:id="2074766618">
                      <w:marLeft w:val="0"/>
                      <w:marRight w:val="0"/>
                      <w:marTop w:val="0"/>
                      <w:marBottom w:val="0"/>
                      <w:divBdr>
                        <w:top w:val="none" w:sz="0" w:space="0" w:color="auto"/>
                        <w:left w:val="none" w:sz="0" w:space="0" w:color="auto"/>
                        <w:bottom w:val="none" w:sz="0" w:space="0" w:color="auto"/>
                        <w:right w:val="none" w:sz="0" w:space="0" w:color="auto"/>
                      </w:divBdr>
                    </w:div>
                  </w:divsChild>
                </w:div>
                <w:div w:id="277683177">
                  <w:marLeft w:val="0"/>
                  <w:marRight w:val="0"/>
                  <w:marTop w:val="0"/>
                  <w:marBottom w:val="0"/>
                  <w:divBdr>
                    <w:top w:val="none" w:sz="0" w:space="0" w:color="auto"/>
                    <w:left w:val="none" w:sz="0" w:space="0" w:color="auto"/>
                    <w:bottom w:val="none" w:sz="0" w:space="0" w:color="auto"/>
                    <w:right w:val="none" w:sz="0" w:space="0" w:color="auto"/>
                  </w:divBdr>
                  <w:divsChild>
                    <w:div w:id="464932490">
                      <w:marLeft w:val="0"/>
                      <w:marRight w:val="0"/>
                      <w:marTop w:val="0"/>
                      <w:marBottom w:val="0"/>
                      <w:divBdr>
                        <w:top w:val="none" w:sz="0" w:space="0" w:color="auto"/>
                        <w:left w:val="none" w:sz="0" w:space="0" w:color="auto"/>
                        <w:bottom w:val="none" w:sz="0" w:space="0" w:color="auto"/>
                        <w:right w:val="none" w:sz="0" w:space="0" w:color="auto"/>
                      </w:divBdr>
                    </w:div>
                  </w:divsChild>
                </w:div>
                <w:div w:id="1331524654">
                  <w:marLeft w:val="0"/>
                  <w:marRight w:val="0"/>
                  <w:marTop w:val="0"/>
                  <w:marBottom w:val="0"/>
                  <w:divBdr>
                    <w:top w:val="none" w:sz="0" w:space="0" w:color="auto"/>
                    <w:left w:val="none" w:sz="0" w:space="0" w:color="auto"/>
                    <w:bottom w:val="none" w:sz="0" w:space="0" w:color="auto"/>
                    <w:right w:val="none" w:sz="0" w:space="0" w:color="auto"/>
                  </w:divBdr>
                  <w:divsChild>
                    <w:div w:id="1332639661">
                      <w:marLeft w:val="0"/>
                      <w:marRight w:val="0"/>
                      <w:marTop w:val="0"/>
                      <w:marBottom w:val="0"/>
                      <w:divBdr>
                        <w:top w:val="none" w:sz="0" w:space="0" w:color="auto"/>
                        <w:left w:val="none" w:sz="0" w:space="0" w:color="auto"/>
                        <w:bottom w:val="none" w:sz="0" w:space="0" w:color="auto"/>
                        <w:right w:val="none" w:sz="0" w:space="0" w:color="auto"/>
                      </w:divBdr>
                    </w:div>
                  </w:divsChild>
                </w:div>
                <w:div w:id="1885167798">
                  <w:marLeft w:val="0"/>
                  <w:marRight w:val="0"/>
                  <w:marTop w:val="0"/>
                  <w:marBottom w:val="0"/>
                  <w:divBdr>
                    <w:top w:val="none" w:sz="0" w:space="0" w:color="auto"/>
                    <w:left w:val="none" w:sz="0" w:space="0" w:color="auto"/>
                    <w:bottom w:val="none" w:sz="0" w:space="0" w:color="auto"/>
                    <w:right w:val="none" w:sz="0" w:space="0" w:color="auto"/>
                  </w:divBdr>
                  <w:divsChild>
                    <w:div w:id="852110482">
                      <w:marLeft w:val="0"/>
                      <w:marRight w:val="0"/>
                      <w:marTop w:val="0"/>
                      <w:marBottom w:val="0"/>
                      <w:divBdr>
                        <w:top w:val="none" w:sz="0" w:space="0" w:color="auto"/>
                        <w:left w:val="none" w:sz="0" w:space="0" w:color="auto"/>
                        <w:bottom w:val="none" w:sz="0" w:space="0" w:color="auto"/>
                        <w:right w:val="none" w:sz="0" w:space="0" w:color="auto"/>
                      </w:divBdr>
                    </w:div>
                  </w:divsChild>
                </w:div>
                <w:div w:id="1303273906">
                  <w:marLeft w:val="0"/>
                  <w:marRight w:val="0"/>
                  <w:marTop w:val="0"/>
                  <w:marBottom w:val="0"/>
                  <w:divBdr>
                    <w:top w:val="none" w:sz="0" w:space="0" w:color="auto"/>
                    <w:left w:val="none" w:sz="0" w:space="0" w:color="auto"/>
                    <w:bottom w:val="none" w:sz="0" w:space="0" w:color="auto"/>
                    <w:right w:val="none" w:sz="0" w:space="0" w:color="auto"/>
                  </w:divBdr>
                  <w:divsChild>
                    <w:div w:id="1127092517">
                      <w:marLeft w:val="0"/>
                      <w:marRight w:val="0"/>
                      <w:marTop w:val="0"/>
                      <w:marBottom w:val="0"/>
                      <w:divBdr>
                        <w:top w:val="none" w:sz="0" w:space="0" w:color="auto"/>
                        <w:left w:val="none" w:sz="0" w:space="0" w:color="auto"/>
                        <w:bottom w:val="none" w:sz="0" w:space="0" w:color="auto"/>
                        <w:right w:val="none" w:sz="0" w:space="0" w:color="auto"/>
                      </w:divBdr>
                    </w:div>
                  </w:divsChild>
                </w:div>
                <w:div w:id="390885137">
                  <w:marLeft w:val="0"/>
                  <w:marRight w:val="0"/>
                  <w:marTop w:val="0"/>
                  <w:marBottom w:val="0"/>
                  <w:divBdr>
                    <w:top w:val="none" w:sz="0" w:space="0" w:color="auto"/>
                    <w:left w:val="none" w:sz="0" w:space="0" w:color="auto"/>
                    <w:bottom w:val="none" w:sz="0" w:space="0" w:color="auto"/>
                    <w:right w:val="none" w:sz="0" w:space="0" w:color="auto"/>
                  </w:divBdr>
                  <w:divsChild>
                    <w:div w:id="2075270220">
                      <w:marLeft w:val="0"/>
                      <w:marRight w:val="0"/>
                      <w:marTop w:val="0"/>
                      <w:marBottom w:val="0"/>
                      <w:divBdr>
                        <w:top w:val="none" w:sz="0" w:space="0" w:color="auto"/>
                        <w:left w:val="none" w:sz="0" w:space="0" w:color="auto"/>
                        <w:bottom w:val="none" w:sz="0" w:space="0" w:color="auto"/>
                        <w:right w:val="none" w:sz="0" w:space="0" w:color="auto"/>
                      </w:divBdr>
                    </w:div>
                  </w:divsChild>
                </w:div>
                <w:div w:id="1754736473">
                  <w:marLeft w:val="0"/>
                  <w:marRight w:val="0"/>
                  <w:marTop w:val="0"/>
                  <w:marBottom w:val="0"/>
                  <w:divBdr>
                    <w:top w:val="none" w:sz="0" w:space="0" w:color="auto"/>
                    <w:left w:val="none" w:sz="0" w:space="0" w:color="auto"/>
                    <w:bottom w:val="none" w:sz="0" w:space="0" w:color="auto"/>
                    <w:right w:val="none" w:sz="0" w:space="0" w:color="auto"/>
                  </w:divBdr>
                  <w:divsChild>
                    <w:div w:id="166091421">
                      <w:marLeft w:val="0"/>
                      <w:marRight w:val="0"/>
                      <w:marTop w:val="0"/>
                      <w:marBottom w:val="0"/>
                      <w:divBdr>
                        <w:top w:val="none" w:sz="0" w:space="0" w:color="auto"/>
                        <w:left w:val="none" w:sz="0" w:space="0" w:color="auto"/>
                        <w:bottom w:val="none" w:sz="0" w:space="0" w:color="auto"/>
                        <w:right w:val="none" w:sz="0" w:space="0" w:color="auto"/>
                      </w:divBdr>
                    </w:div>
                  </w:divsChild>
                </w:div>
                <w:div w:id="1945382503">
                  <w:marLeft w:val="0"/>
                  <w:marRight w:val="0"/>
                  <w:marTop w:val="0"/>
                  <w:marBottom w:val="0"/>
                  <w:divBdr>
                    <w:top w:val="none" w:sz="0" w:space="0" w:color="auto"/>
                    <w:left w:val="none" w:sz="0" w:space="0" w:color="auto"/>
                    <w:bottom w:val="none" w:sz="0" w:space="0" w:color="auto"/>
                    <w:right w:val="none" w:sz="0" w:space="0" w:color="auto"/>
                  </w:divBdr>
                  <w:divsChild>
                    <w:div w:id="568804777">
                      <w:marLeft w:val="0"/>
                      <w:marRight w:val="0"/>
                      <w:marTop w:val="0"/>
                      <w:marBottom w:val="0"/>
                      <w:divBdr>
                        <w:top w:val="none" w:sz="0" w:space="0" w:color="auto"/>
                        <w:left w:val="none" w:sz="0" w:space="0" w:color="auto"/>
                        <w:bottom w:val="none" w:sz="0" w:space="0" w:color="auto"/>
                        <w:right w:val="none" w:sz="0" w:space="0" w:color="auto"/>
                      </w:divBdr>
                    </w:div>
                  </w:divsChild>
                </w:div>
                <w:div w:id="678655095">
                  <w:marLeft w:val="0"/>
                  <w:marRight w:val="0"/>
                  <w:marTop w:val="0"/>
                  <w:marBottom w:val="0"/>
                  <w:divBdr>
                    <w:top w:val="none" w:sz="0" w:space="0" w:color="auto"/>
                    <w:left w:val="none" w:sz="0" w:space="0" w:color="auto"/>
                    <w:bottom w:val="none" w:sz="0" w:space="0" w:color="auto"/>
                    <w:right w:val="none" w:sz="0" w:space="0" w:color="auto"/>
                  </w:divBdr>
                  <w:divsChild>
                    <w:div w:id="1197160610">
                      <w:marLeft w:val="0"/>
                      <w:marRight w:val="0"/>
                      <w:marTop w:val="0"/>
                      <w:marBottom w:val="0"/>
                      <w:divBdr>
                        <w:top w:val="none" w:sz="0" w:space="0" w:color="auto"/>
                        <w:left w:val="none" w:sz="0" w:space="0" w:color="auto"/>
                        <w:bottom w:val="none" w:sz="0" w:space="0" w:color="auto"/>
                        <w:right w:val="none" w:sz="0" w:space="0" w:color="auto"/>
                      </w:divBdr>
                    </w:div>
                  </w:divsChild>
                </w:div>
                <w:div w:id="502553112">
                  <w:marLeft w:val="0"/>
                  <w:marRight w:val="0"/>
                  <w:marTop w:val="0"/>
                  <w:marBottom w:val="0"/>
                  <w:divBdr>
                    <w:top w:val="none" w:sz="0" w:space="0" w:color="auto"/>
                    <w:left w:val="none" w:sz="0" w:space="0" w:color="auto"/>
                    <w:bottom w:val="none" w:sz="0" w:space="0" w:color="auto"/>
                    <w:right w:val="none" w:sz="0" w:space="0" w:color="auto"/>
                  </w:divBdr>
                  <w:divsChild>
                    <w:div w:id="428083665">
                      <w:marLeft w:val="0"/>
                      <w:marRight w:val="0"/>
                      <w:marTop w:val="0"/>
                      <w:marBottom w:val="0"/>
                      <w:divBdr>
                        <w:top w:val="none" w:sz="0" w:space="0" w:color="auto"/>
                        <w:left w:val="none" w:sz="0" w:space="0" w:color="auto"/>
                        <w:bottom w:val="none" w:sz="0" w:space="0" w:color="auto"/>
                        <w:right w:val="none" w:sz="0" w:space="0" w:color="auto"/>
                      </w:divBdr>
                    </w:div>
                  </w:divsChild>
                </w:div>
                <w:div w:id="1371607708">
                  <w:marLeft w:val="0"/>
                  <w:marRight w:val="0"/>
                  <w:marTop w:val="0"/>
                  <w:marBottom w:val="0"/>
                  <w:divBdr>
                    <w:top w:val="none" w:sz="0" w:space="0" w:color="auto"/>
                    <w:left w:val="none" w:sz="0" w:space="0" w:color="auto"/>
                    <w:bottom w:val="none" w:sz="0" w:space="0" w:color="auto"/>
                    <w:right w:val="none" w:sz="0" w:space="0" w:color="auto"/>
                  </w:divBdr>
                  <w:divsChild>
                    <w:div w:id="1711951092">
                      <w:marLeft w:val="0"/>
                      <w:marRight w:val="0"/>
                      <w:marTop w:val="0"/>
                      <w:marBottom w:val="0"/>
                      <w:divBdr>
                        <w:top w:val="none" w:sz="0" w:space="0" w:color="auto"/>
                        <w:left w:val="none" w:sz="0" w:space="0" w:color="auto"/>
                        <w:bottom w:val="none" w:sz="0" w:space="0" w:color="auto"/>
                        <w:right w:val="none" w:sz="0" w:space="0" w:color="auto"/>
                      </w:divBdr>
                    </w:div>
                  </w:divsChild>
                </w:div>
                <w:div w:id="1890530314">
                  <w:marLeft w:val="0"/>
                  <w:marRight w:val="0"/>
                  <w:marTop w:val="0"/>
                  <w:marBottom w:val="0"/>
                  <w:divBdr>
                    <w:top w:val="none" w:sz="0" w:space="0" w:color="auto"/>
                    <w:left w:val="none" w:sz="0" w:space="0" w:color="auto"/>
                    <w:bottom w:val="none" w:sz="0" w:space="0" w:color="auto"/>
                    <w:right w:val="none" w:sz="0" w:space="0" w:color="auto"/>
                  </w:divBdr>
                  <w:divsChild>
                    <w:div w:id="1731339266">
                      <w:marLeft w:val="0"/>
                      <w:marRight w:val="0"/>
                      <w:marTop w:val="0"/>
                      <w:marBottom w:val="0"/>
                      <w:divBdr>
                        <w:top w:val="none" w:sz="0" w:space="0" w:color="auto"/>
                        <w:left w:val="none" w:sz="0" w:space="0" w:color="auto"/>
                        <w:bottom w:val="none" w:sz="0" w:space="0" w:color="auto"/>
                        <w:right w:val="none" w:sz="0" w:space="0" w:color="auto"/>
                      </w:divBdr>
                    </w:div>
                  </w:divsChild>
                </w:div>
                <w:div w:id="440221238">
                  <w:marLeft w:val="0"/>
                  <w:marRight w:val="0"/>
                  <w:marTop w:val="0"/>
                  <w:marBottom w:val="0"/>
                  <w:divBdr>
                    <w:top w:val="none" w:sz="0" w:space="0" w:color="auto"/>
                    <w:left w:val="none" w:sz="0" w:space="0" w:color="auto"/>
                    <w:bottom w:val="none" w:sz="0" w:space="0" w:color="auto"/>
                    <w:right w:val="none" w:sz="0" w:space="0" w:color="auto"/>
                  </w:divBdr>
                  <w:divsChild>
                    <w:div w:id="2081171256">
                      <w:marLeft w:val="0"/>
                      <w:marRight w:val="0"/>
                      <w:marTop w:val="0"/>
                      <w:marBottom w:val="0"/>
                      <w:divBdr>
                        <w:top w:val="none" w:sz="0" w:space="0" w:color="auto"/>
                        <w:left w:val="none" w:sz="0" w:space="0" w:color="auto"/>
                        <w:bottom w:val="none" w:sz="0" w:space="0" w:color="auto"/>
                        <w:right w:val="none" w:sz="0" w:space="0" w:color="auto"/>
                      </w:divBdr>
                    </w:div>
                  </w:divsChild>
                </w:div>
                <w:div w:id="128977755">
                  <w:marLeft w:val="0"/>
                  <w:marRight w:val="0"/>
                  <w:marTop w:val="0"/>
                  <w:marBottom w:val="0"/>
                  <w:divBdr>
                    <w:top w:val="none" w:sz="0" w:space="0" w:color="auto"/>
                    <w:left w:val="none" w:sz="0" w:space="0" w:color="auto"/>
                    <w:bottom w:val="none" w:sz="0" w:space="0" w:color="auto"/>
                    <w:right w:val="none" w:sz="0" w:space="0" w:color="auto"/>
                  </w:divBdr>
                  <w:divsChild>
                    <w:div w:id="786387400">
                      <w:marLeft w:val="0"/>
                      <w:marRight w:val="0"/>
                      <w:marTop w:val="0"/>
                      <w:marBottom w:val="0"/>
                      <w:divBdr>
                        <w:top w:val="none" w:sz="0" w:space="0" w:color="auto"/>
                        <w:left w:val="none" w:sz="0" w:space="0" w:color="auto"/>
                        <w:bottom w:val="none" w:sz="0" w:space="0" w:color="auto"/>
                        <w:right w:val="none" w:sz="0" w:space="0" w:color="auto"/>
                      </w:divBdr>
                    </w:div>
                  </w:divsChild>
                </w:div>
                <w:div w:id="1978795395">
                  <w:marLeft w:val="0"/>
                  <w:marRight w:val="0"/>
                  <w:marTop w:val="0"/>
                  <w:marBottom w:val="0"/>
                  <w:divBdr>
                    <w:top w:val="none" w:sz="0" w:space="0" w:color="auto"/>
                    <w:left w:val="none" w:sz="0" w:space="0" w:color="auto"/>
                    <w:bottom w:val="none" w:sz="0" w:space="0" w:color="auto"/>
                    <w:right w:val="none" w:sz="0" w:space="0" w:color="auto"/>
                  </w:divBdr>
                  <w:divsChild>
                    <w:div w:id="7148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1587">
          <w:marLeft w:val="0"/>
          <w:marRight w:val="0"/>
          <w:marTop w:val="0"/>
          <w:marBottom w:val="0"/>
          <w:divBdr>
            <w:top w:val="none" w:sz="0" w:space="0" w:color="auto"/>
            <w:left w:val="none" w:sz="0" w:space="0" w:color="auto"/>
            <w:bottom w:val="none" w:sz="0" w:space="0" w:color="auto"/>
            <w:right w:val="none" w:sz="0" w:space="0" w:color="auto"/>
          </w:divBdr>
        </w:div>
        <w:div w:id="548223197">
          <w:marLeft w:val="0"/>
          <w:marRight w:val="0"/>
          <w:marTop w:val="0"/>
          <w:marBottom w:val="0"/>
          <w:divBdr>
            <w:top w:val="none" w:sz="0" w:space="0" w:color="auto"/>
            <w:left w:val="none" w:sz="0" w:space="0" w:color="auto"/>
            <w:bottom w:val="none" w:sz="0" w:space="0" w:color="auto"/>
            <w:right w:val="none" w:sz="0" w:space="0" w:color="auto"/>
          </w:divBdr>
        </w:div>
        <w:div w:id="98566771">
          <w:marLeft w:val="0"/>
          <w:marRight w:val="0"/>
          <w:marTop w:val="0"/>
          <w:marBottom w:val="0"/>
          <w:divBdr>
            <w:top w:val="none" w:sz="0" w:space="0" w:color="auto"/>
            <w:left w:val="none" w:sz="0" w:space="0" w:color="auto"/>
            <w:bottom w:val="none" w:sz="0" w:space="0" w:color="auto"/>
            <w:right w:val="none" w:sz="0" w:space="0" w:color="auto"/>
          </w:divBdr>
        </w:div>
        <w:div w:id="410977644">
          <w:marLeft w:val="0"/>
          <w:marRight w:val="0"/>
          <w:marTop w:val="0"/>
          <w:marBottom w:val="0"/>
          <w:divBdr>
            <w:top w:val="none" w:sz="0" w:space="0" w:color="auto"/>
            <w:left w:val="none" w:sz="0" w:space="0" w:color="auto"/>
            <w:bottom w:val="none" w:sz="0" w:space="0" w:color="auto"/>
            <w:right w:val="none" w:sz="0" w:space="0" w:color="auto"/>
          </w:divBdr>
          <w:divsChild>
            <w:div w:id="545530896">
              <w:marLeft w:val="-75"/>
              <w:marRight w:val="0"/>
              <w:marTop w:val="30"/>
              <w:marBottom w:val="30"/>
              <w:divBdr>
                <w:top w:val="none" w:sz="0" w:space="0" w:color="auto"/>
                <w:left w:val="none" w:sz="0" w:space="0" w:color="auto"/>
                <w:bottom w:val="none" w:sz="0" w:space="0" w:color="auto"/>
                <w:right w:val="none" w:sz="0" w:space="0" w:color="auto"/>
              </w:divBdr>
              <w:divsChild>
                <w:div w:id="635531603">
                  <w:marLeft w:val="0"/>
                  <w:marRight w:val="0"/>
                  <w:marTop w:val="0"/>
                  <w:marBottom w:val="0"/>
                  <w:divBdr>
                    <w:top w:val="none" w:sz="0" w:space="0" w:color="auto"/>
                    <w:left w:val="none" w:sz="0" w:space="0" w:color="auto"/>
                    <w:bottom w:val="none" w:sz="0" w:space="0" w:color="auto"/>
                    <w:right w:val="none" w:sz="0" w:space="0" w:color="auto"/>
                  </w:divBdr>
                  <w:divsChild>
                    <w:div w:id="1839076344">
                      <w:marLeft w:val="0"/>
                      <w:marRight w:val="0"/>
                      <w:marTop w:val="0"/>
                      <w:marBottom w:val="0"/>
                      <w:divBdr>
                        <w:top w:val="none" w:sz="0" w:space="0" w:color="auto"/>
                        <w:left w:val="none" w:sz="0" w:space="0" w:color="auto"/>
                        <w:bottom w:val="none" w:sz="0" w:space="0" w:color="auto"/>
                        <w:right w:val="none" w:sz="0" w:space="0" w:color="auto"/>
                      </w:divBdr>
                    </w:div>
                  </w:divsChild>
                </w:div>
                <w:div w:id="1563446686">
                  <w:marLeft w:val="0"/>
                  <w:marRight w:val="0"/>
                  <w:marTop w:val="0"/>
                  <w:marBottom w:val="0"/>
                  <w:divBdr>
                    <w:top w:val="none" w:sz="0" w:space="0" w:color="auto"/>
                    <w:left w:val="none" w:sz="0" w:space="0" w:color="auto"/>
                    <w:bottom w:val="none" w:sz="0" w:space="0" w:color="auto"/>
                    <w:right w:val="none" w:sz="0" w:space="0" w:color="auto"/>
                  </w:divBdr>
                  <w:divsChild>
                    <w:div w:id="927732489">
                      <w:marLeft w:val="0"/>
                      <w:marRight w:val="0"/>
                      <w:marTop w:val="0"/>
                      <w:marBottom w:val="0"/>
                      <w:divBdr>
                        <w:top w:val="none" w:sz="0" w:space="0" w:color="auto"/>
                        <w:left w:val="none" w:sz="0" w:space="0" w:color="auto"/>
                        <w:bottom w:val="none" w:sz="0" w:space="0" w:color="auto"/>
                        <w:right w:val="none" w:sz="0" w:space="0" w:color="auto"/>
                      </w:divBdr>
                    </w:div>
                  </w:divsChild>
                </w:div>
                <w:div w:id="1041394937">
                  <w:marLeft w:val="0"/>
                  <w:marRight w:val="0"/>
                  <w:marTop w:val="0"/>
                  <w:marBottom w:val="0"/>
                  <w:divBdr>
                    <w:top w:val="none" w:sz="0" w:space="0" w:color="auto"/>
                    <w:left w:val="none" w:sz="0" w:space="0" w:color="auto"/>
                    <w:bottom w:val="none" w:sz="0" w:space="0" w:color="auto"/>
                    <w:right w:val="none" w:sz="0" w:space="0" w:color="auto"/>
                  </w:divBdr>
                  <w:divsChild>
                    <w:div w:id="896477101">
                      <w:marLeft w:val="0"/>
                      <w:marRight w:val="0"/>
                      <w:marTop w:val="0"/>
                      <w:marBottom w:val="0"/>
                      <w:divBdr>
                        <w:top w:val="none" w:sz="0" w:space="0" w:color="auto"/>
                        <w:left w:val="none" w:sz="0" w:space="0" w:color="auto"/>
                        <w:bottom w:val="none" w:sz="0" w:space="0" w:color="auto"/>
                        <w:right w:val="none" w:sz="0" w:space="0" w:color="auto"/>
                      </w:divBdr>
                    </w:div>
                  </w:divsChild>
                </w:div>
                <w:div w:id="1110473840">
                  <w:marLeft w:val="0"/>
                  <w:marRight w:val="0"/>
                  <w:marTop w:val="0"/>
                  <w:marBottom w:val="0"/>
                  <w:divBdr>
                    <w:top w:val="none" w:sz="0" w:space="0" w:color="auto"/>
                    <w:left w:val="none" w:sz="0" w:space="0" w:color="auto"/>
                    <w:bottom w:val="none" w:sz="0" w:space="0" w:color="auto"/>
                    <w:right w:val="none" w:sz="0" w:space="0" w:color="auto"/>
                  </w:divBdr>
                  <w:divsChild>
                    <w:div w:id="823203670">
                      <w:marLeft w:val="0"/>
                      <w:marRight w:val="0"/>
                      <w:marTop w:val="0"/>
                      <w:marBottom w:val="0"/>
                      <w:divBdr>
                        <w:top w:val="none" w:sz="0" w:space="0" w:color="auto"/>
                        <w:left w:val="none" w:sz="0" w:space="0" w:color="auto"/>
                        <w:bottom w:val="none" w:sz="0" w:space="0" w:color="auto"/>
                        <w:right w:val="none" w:sz="0" w:space="0" w:color="auto"/>
                      </w:divBdr>
                    </w:div>
                  </w:divsChild>
                </w:div>
                <w:div w:id="1508863530">
                  <w:marLeft w:val="0"/>
                  <w:marRight w:val="0"/>
                  <w:marTop w:val="0"/>
                  <w:marBottom w:val="0"/>
                  <w:divBdr>
                    <w:top w:val="none" w:sz="0" w:space="0" w:color="auto"/>
                    <w:left w:val="none" w:sz="0" w:space="0" w:color="auto"/>
                    <w:bottom w:val="none" w:sz="0" w:space="0" w:color="auto"/>
                    <w:right w:val="none" w:sz="0" w:space="0" w:color="auto"/>
                  </w:divBdr>
                  <w:divsChild>
                    <w:div w:id="1921523867">
                      <w:marLeft w:val="0"/>
                      <w:marRight w:val="0"/>
                      <w:marTop w:val="0"/>
                      <w:marBottom w:val="0"/>
                      <w:divBdr>
                        <w:top w:val="none" w:sz="0" w:space="0" w:color="auto"/>
                        <w:left w:val="none" w:sz="0" w:space="0" w:color="auto"/>
                        <w:bottom w:val="none" w:sz="0" w:space="0" w:color="auto"/>
                        <w:right w:val="none" w:sz="0" w:space="0" w:color="auto"/>
                      </w:divBdr>
                    </w:div>
                  </w:divsChild>
                </w:div>
                <w:div w:id="1969436347">
                  <w:marLeft w:val="0"/>
                  <w:marRight w:val="0"/>
                  <w:marTop w:val="0"/>
                  <w:marBottom w:val="0"/>
                  <w:divBdr>
                    <w:top w:val="none" w:sz="0" w:space="0" w:color="auto"/>
                    <w:left w:val="none" w:sz="0" w:space="0" w:color="auto"/>
                    <w:bottom w:val="none" w:sz="0" w:space="0" w:color="auto"/>
                    <w:right w:val="none" w:sz="0" w:space="0" w:color="auto"/>
                  </w:divBdr>
                  <w:divsChild>
                    <w:div w:id="2055930443">
                      <w:marLeft w:val="0"/>
                      <w:marRight w:val="0"/>
                      <w:marTop w:val="0"/>
                      <w:marBottom w:val="0"/>
                      <w:divBdr>
                        <w:top w:val="none" w:sz="0" w:space="0" w:color="auto"/>
                        <w:left w:val="none" w:sz="0" w:space="0" w:color="auto"/>
                        <w:bottom w:val="none" w:sz="0" w:space="0" w:color="auto"/>
                        <w:right w:val="none" w:sz="0" w:space="0" w:color="auto"/>
                      </w:divBdr>
                    </w:div>
                  </w:divsChild>
                </w:div>
                <w:div w:id="1603026859">
                  <w:marLeft w:val="0"/>
                  <w:marRight w:val="0"/>
                  <w:marTop w:val="0"/>
                  <w:marBottom w:val="0"/>
                  <w:divBdr>
                    <w:top w:val="none" w:sz="0" w:space="0" w:color="auto"/>
                    <w:left w:val="none" w:sz="0" w:space="0" w:color="auto"/>
                    <w:bottom w:val="none" w:sz="0" w:space="0" w:color="auto"/>
                    <w:right w:val="none" w:sz="0" w:space="0" w:color="auto"/>
                  </w:divBdr>
                  <w:divsChild>
                    <w:div w:id="1290017336">
                      <w:marLeft w:val="0"/>
                      <w:marRight w:val="0"/>
                      <w:marTop w:val="0"/>
                      <w:marBottom w:val="0"/>
                      <w:divBdr>
                        <w:top w:val="none" w:sz="0" w:space="0" w:color="auto"/>
                        <w:left w:val="none" w:sz="0" w:space="0" w:color="auto"/>
                        <w:bottom w:val="none" w:sz="0" w:space="0" w:color="auto"/>
                        <w:right w:val="none" w:sz="0" w:space="0" w:color="auto"/>
                      </w:divBdr>
                    </w:div>
                  </w:divsChild>
                </w:div>
                <w:div w:id="1959608507">
                  <w:marLeft w:val="0"/>
                  <w:marRight w:val="0"/>
                  <w:marTop w:val="0"/>
                  <w:marBottom w:val="0"/>
                  <w:divBdr>
                    <w:top w:val="none" w:sz="0" w:space="0" w:color="auto"/>
                    <w:left w:val="none" w:sz="0" w:space="0" w:color="auto"/>
                    <w:bottom w:val="none" w:sz="0" w:space="0" w:color="auto"/>
                    <w:right w:val="none" w:sz="0" w:space="0" w:color="auto"/>
                  </w:divBdr>
                  <w:divsChild>
                    <w:div w:id="307823319">
                      <w:marLeft w:val="0"/>
                      <w:marRight w:val="0"/>
                      <w:marTop w:val="0"/>
                      <w:marBottom w:val="0"/>
                      <w:divBdr>
                        <w:top w:val="none" w:sz="0" w:space="0" w:color="auto"/>
                        <w:left w:val="none" w:sz="0" w:space="0" w:color="auto"/>
                        <w:bottom w:val="none" w:sz="0" w:space="0" w:color="auto"/>
                        <w:right w:val="none" w:sz="0" w:space="0" w:color="auto"/>
                      </w:divBdr>
                    </w:div>
                  </w:divsChild>
                </w:div>
                <w:div w:id="1873493495">
                  <w:marLeft w:val="0"/>
                  <w:marRight w:val="0"/>
                  <w:marTop w:val="0"/>
                  <w:marBottom w:val="0"/>
                  <w:divBdr>
                    <w:top w:val="none" w:sz="0" w:space="0" w:color="auto"/>
                    <w:left w:val="none" w:sz="0" w:space="0" w:color="auto"/>
                    <w:bottom w:val="none" w:sz="0" w:space="0" w:color="auto"/>
                    <w:right w:val="none" w:sz="0" w:space="0" w:color="auto"/>
                  </w:divBdr>
                  <w:divsChild>
                    <w:div w:id="1723600032">
                      <w:marLeft w:val="0"/>
                      <w:marRight w:val="0"/>
                      <w:marTop w:val="0"/>
                      <w:marBottom w:val="0"/>
                      <w:divBdr>
                        <w:top w:val="none" w:sz="0" w:space="0" w:color="auto"/>
                        <w:left w:val="none" w:sz="0" w:space="0" w:color="auto"/>
                        <w:bottom w:val="none" w:sz="0" w:space="0" w:color="auto"/>
                        <w:right w:val="none" w:sz="0" w:space="0" w:color="auto"/>
                      </w:divBdr>
                    </w:div>
                  </w:divsChild>
                </w:div>
                <w:div w:id="158007773">
                  <w:marLeft w:val="0"/>
                  <w:marRight w:val="0"/>
                  <w:marTop w:val="0"/>
                  <w:marBottom w:val="0"/>
                  <w:divBdr>
                    <w:top w:val="none" w:sz="0" w:space="0" w:color="auto"/>
                    <w:left w:val="none" w:sz="0" w:space="0" w:color="auto"/>
                    <w:bottom w:val="none" w:sz="0" w:space="0" w:color="auto"/>
                    <w:right w:val="none" w:sz="0" w:space="0" w:color="auto"/>
                  </w:divBdr>
                  <w:divsChild>
                    <w:div w:id="1170023964">
                      <w:marLeft w:val="0"/>
                      <w:marRight w:val="0"/>
                      <w:marTop w:val="0"/>
                      <w:marBottom w:val="0"/>
                      <w:divBdr>
                        <w:top w:val="none" w:sz="0" w:space="0" w:color="auto"/>
                        <w:left w:val="none" w:sz="0" w:space="0" w:color="auto"/>
                        <w:bottom w:val="none" w:sz="0" w:space="0" w:color="auto"/>
                        <w:right w:val="none" w:sz="0" w:space="0" w:color="auto"/>
                      </w:divBdr>
                    </w:div>
                  </w:divsChild>
                </w:div>
                <w:div w:id="509175441">
                  <w:marLeft w:val="0"/>
                  <w:marRight w:val="0"/>
                  <w:marTop w:val="0"/>
                  <w:marBottom w:val="0"/>
                  <w:divBdr>
                    <w:top w:val="none" w:sz="0" w:space="0" w:color="auto"/>
                    <w:left w:val="none" w:sz="0" w:space="0" w:color="auto"/>
                    <w:bottom w:val="none" w:sz="0" w:space="0" w:color="auto"/>
                    <w:right w:val="none" w:sz="0" w:space="0" w:color="auto"/>
                  </w:divBdr>
                  <w:divsChild>
                    <w:div w:id="2089306231">
                      <w:marLeft w:val="0"/>
                      <w:marRight w:val="0"/>
                      <w:marTop w:val="0"/>
                      <w:marBottom w:val="0"/>
                      <w:divBdr>
                        <w:top w:val="none" w:sz="0" w:space="0" w:color="auto"/>
                        <w:left w:val="none" w:sz="0" w:space="0" w:color="auto"/>
                        <w:bottom w:val="none" w:sz="0" w:space="0" w:color="auto"/>
                        <w:right w:val="none" w:sz="0" w:space="0" w:color="auto"/>
                      </w:divBdr>
                    </w:div>
                  </w:divsChild>
                </w:div>
                <w:div w:id="1916934437">
                  <w:marLeft w:val="0"/>
                  <w:marRight w:val="0"/>
                  <w:marTop w:val="0"/>
                  <w:marBottom w:val="0"/>
                  <w:divBdr>
                    <w:top w:val="none" w:sz="0" w:space="0" w:color="auto"/>
                    <w:left w:val="none" w:sz="0" w:space="0" w:color="auto"/>
                    <w:bottom w:val="none" w:sz="0" w:space="0" w:color="auto"/>
                    <w:right w:val="none" w:sz="0" w:space="0" w:color="auto"/>
                  </w:divBdr>
                  <w:divsChild>
                    <w:div w:id="1807551819">
                      <w:marLeft w:val="0"/>
                      <w:marRight w:val="0"/>
                      <w:marTop w:val="0"/>
                      <w:marBottom w:val="0"/>
                      <w:divBdr>
                        <w:top w:val="none" w:sz="0" w:space="0" w:color="auto"/>
                        <w:left w:val="none" w:sz="0" w:space="0" w:color="auto"/>
                        <w:bottom w:val="none" w:sz="0" w:space="0" w:color="auto"/>
                        <w:right w:val="none" w:sz="0" w:space="0" w:color="auto"/>
                      </w:divBdr>
                    </w:div>
                  </w:divsChild>
                </w:div>
                <w:div w:id="384447003">
                  <w:marLeft w:val="0"/>
                  <w:marRight w:val="0"/>
                  <w:marTop w:val="0"/>
                  <w:marBottom w:val="0"/>
                  <w:divBdr>
                    <w:top w:val="none" w:sz="0" w:space="0" w:color="auto"/>
                    <w:left w:val="none" w:sz="0" w:space="0" w:color="auto"/>
                    <w:bottom w:val="none" w:sz="0" w:space="0" w:color="auto"/>
                    <w:right w:val="none" w:sz="0" w:space="0" w:color="auto"/>
                  </w:divBdr>
                  <w:divsChild>
                    <w:div w:id="487673548">
                      <w:marLeft w:val="0"/>
                      <w:marRight w:val="0"/>
                      <w:marTop w:val="0"/>
                      <w:marBottom w:val="0"/>
                      <w:divBdr>
                        <w:top w:val="none" w:sz="0" w:space="0" w:color="auto"/>
                        <w:left w:val="none" w:sz="0" w:space="0" w:color="auto"/>
                        <w:bottom w:val="none" w:sz="0" w:space="0" w:color="auto"/>
                        <w:right w:val="none" w:sz="0" w:space="0" w:color="auto"/>
                      </w:divBdr>
                    </w:div>
                  </w:divsChild>
                </w:div>
                <w:div w:id="886257866">
                  <w:marLeft w:val="0"/>
                  <w:marRight w:val="0"/>
                  <w:marTop w:val="0"/>
                  <w:marBottom w:val="0"/>
                  <w:divBdr>
                    <w:top w:val="none" w:sz="0" w:space="0" w:color="auto"/>
                    <w:left w:val="none" w:sz="0" w:space="0" w:color="auto"/>
                    <w:bottom w:val="none" w:sz="0" w:space="0" w:color="auto"/>
                    <w:right w:val="none" w:sz="0" w:space="0" w:color="auto"/>
                  </w:divBdr>
                  <w:divsChild>
                    <w:div w:id="1448305595">
                      <w:marLeft w:val="0"/>
                      <w:marRight w:val="0"/>
                      <w:marTop w:val="0"/>
                      <w:marBottom w:val="0"/>
                      <w:divBdr>
                        <w:top w:val="none" w:sz="0" w:space="0" w:color="auto"/>
                        <w:left w:val="none" w:sz="0" w:space="0" w:color="auto"/>
                        <w:bottom w:val="none" w:sz="0" w:space="0" w:color="auto"/>
                        <w:right w:val="none" w:sz="0" w:space="0" w:color="auto"/>
                      </w:divBdr>
                    </w:div>
                  </w:divsChild>
                </w:div>
                <w:div w:id="36707942">
                  <w:marLeft w:val="0"/>
                  <w:marRight w:val="0"/>
                  <w:marTop w:val="0"/>
                  <w:marBottom w:val="0"/>
                  <w:divBdr>
                    <w:top w:val="none" w:sz="0" w:space="0" w:color="auto"/>
                    <w:left w:val="none" w:sz="0" w:space="0" w:color="auto"/>
                    <w:bottom w:val="none" w:sz="0" w:space="0" w:color="auto"/>
                    <w:right w:val="none" w:sz="0" w:space="0" w:color="auto"/>
                  </w:divBdr>
                  <w:divsChild>
                    <w:div w:id="1024551973">
                      <w:marLeft w:val="0"/>
                      <w:marRight w:val="0"/>
                      <w:marTop w:val="0"/>
                      <w:marBottom w:val="0"/>
                      <w:divBdr>
                        <w:top w:val="none" w:sz="0" w:space="0" w:color="auto"/>
                        <w:left w:val="none" w:sz="0" w:space="0" w:color="auto"/>
                        <w:bottom w:val="none" w:sz="0" w:space="0" w:color="auto"/>
                        <w:right w:val="none" w:sz="0" w:space="0" w:color="auto"/>
                      </w:divBdr>
                    </w:div>
                  </w:divsChild>
                </w:div>
                <w:div w:id="1614094883">
                  <w:marLeft w:val="0"/>
                  <w:marRight w:val="0"/>
                  <w:marTop w:val="0"/>
                  <w:marBottom w:val="0"/>
                  <w:divBdr>
                    <w:top w:val="none" w:sz="0" w:space="0" w:color="auto"/>
                    <w:left w:val="none" w:sz="0" w:space="0" w:color="auto"/>
                    <w:bottom w:val="none" w:sz="0" w:space="0" w:color="auto"/>
                    <w:right w:val="none" w:sz="0" w:space="0" w:color="auto"/>
                  </w:divBdr>
                  <w:divsChild>
                    <w:div w:id="1282766535">
                      <w:marLeft w:val="0"/>
                      <w:marRight w:val="0"/>
                      <w:marTop w:val="0"/>
                      <w:marBottom w:val="0"/>
                      <w:divBdr>
                        <w:top w:val="none" w:sz="0" w:space="0" w:color="auto"/>
                        <w:left w:val="none" w:sz="0" w:space="0" w:color="auto"/>
                        <w:bottom w:val="none" w:sz="0" w:space="0" w:color="auto"/>
                        <w:right w:val="none" w:sz="0" w:space="0" w:color="auto"/>
                      </w:divBdr>
                    </w:div>
                  </w:divsChild>
                </w:div>
                <w:div w:id="1151026178">
                  <w:marLeft w:val="0"/>
                  <w:marRight w:val="0"/>
                  <w:marTop w:val="0"/>
                  <w:marBottom w:val="0"/>
                  <w:divBdr>
                    <w:top w:val="none" w:sz="0" w:space="0" w:color="auto"/>
                    <w:left w:val="none" w:sz="0" w:space="0" w:color="auto"/>
                    <w:bottom w:val="none" w:sz="0" w:space="0" w:color="auto"/>
                    <w:right w:val="none" w:sz="0" w:space="0" w:color="auto"/>
                  </w:divBdr>
                  <w:divsChild>
                    <w:div w:id="804273154">
                      <w:marLeft w:val="0"/>
                      <w:marRight w:val="0"/>
                      <w:marTop w:val="0"/>
                      <w:marBottom w:val="0"/>
                      <w:divBdr>
                        <w:top w:val="none" w:sz="0" w:space="0" w:color="auto"/>
                        <w:left w:val="none" w:sz="0" w:space="0" w:color="auto"/>
                        <w:bottom w:val="none" w:sz="0" w:space="0" w:color="auto"/>
                        <w:right w:val="none" w:sz="0" w:space="0" w:color="auto"/>
                      </w:divBdr>
                    </w:div>
                  </w:divsChild>
                </w:div>
                <w:div w:id="1335066564">
                  <w:marLeft w:val="0"/>
                  <w:marRight w:val="0"/>
                  <w:marTop w:val="0"/>
                  <w:marBottom w:val="0"/>
                  <w:divBdr>
                    <w:top w:val="none" w:sz="0" w:space="0" w:color="auto"/>
                    <w:left w:val="none" w:sz="0" w:space="0" w:color="auto"/>
                    <w:bottom w:val="none" w:sz="0" w:space="0" w:color="auto"/>
                    <w:right w:val="none" w:sz="0" w:space="0" w:color="auto"/>
                  </w:divBdr>
                  <w:divsChild>
                    <w:div w:id="795102309">
                      <w:marLeft w:val="0"/>
                      <w:marRight w:val="0"/>
                      <w:marTop w:val="0"/>
                      <w:marBottom w:val="0"/>
                      <w:divBdr>
                        <w:top w:val="none" w:sz="0" w:space="0" w:color="auto"/>
                        <w:left w:val="none" w:sz="0" w:space="0" w:color="auto"/>
                        <w:bottom w:val="none" w:sz="0" w:space="0" w:color="auto"/>
                        <w:right w:val="none" w:sz="0" w:space="0" w:color="auto"/>
                      </w:divBdr>
                    </w:div>
                  </w:divsChild>
                </w:div>
                <w:div w:id="1864394312">
                  <w:marLeft w:val="0"/>
                  <w:marRight w:val="0"/>
                  <w:marTop w:val="0"/>
                  <w:marBottom w:val="0"/>
                  <w:divBdr>
                    <w:top w:val="none" w:sz="0" w:space="0" w:color="auto"/>
                    <w:left w:val="none" w:sz="0" w:space="0" w:color="auto"/>
                    <w:bottom w:val="none" w:sz="0" w:space="0" w:color="auto"/>
                    <w:right w:val="none" w:sz="0" w:space="0" w:color="auto"/>
                  </w:divBdr>
                  <w:divsChild>
                    <w:div w:id="555094637">
                      <w:marLeft w:val="0"/>
                      <w:marRight w:val="0"/>
                      <w:marTop w:val="0"/>
                      <w:marBottom w:val="0"/>
                      <w:divBdr>
                        <w:top w:val="none" w:sz="0" w:space="0" w:color="auto"/>
                        <w:left w:val="none" w:sz="0" w:space="0" w:color="auto"/>
                        <w:bottom w:val="none" w:sz="0" w:space="0" w:color="auto"/>
                        <w:right w:val="none" w:sz="0" w:space="0" w:color="auto"/>
                      </w:divBdr>
                    </w:div>
                  </w:divsChild>
                </w:div>
                <w:div w:id="602424304">
                  <w:marLeft w:val="0"/>
                  <w:marRight w:val="0"/>
                  <w:marTop w:val="0"/>
                  <w:marBottom w:val="0"/>
                  <w:divBdr>
                    <w:top w:val="none" w:sz="0" w:space="0" w:color="auto"/>
                    <w:left w:val="none" w:sz="0" w:space="0" w:color="auto"/>
                    <w:bottom w:val="none" w:sz="0" w:space="0" w:color="auto"/>
                    <w:right w:val="none" w:sz="0" w:space="0" w:color="auto"/>
                  </w:divBdr>
                  <w:divsChild>
                    <w:div w:id="53823941">
                      <w:marLeft w:val="0"/>
                      <w:marRight w:val="0"/>
                      <w:marTop w:val="0"/>
                      <w:marBottom w:val="0"/>
                      <w:divBdr>
                        <w:top w:val="none" w:sz="0" w:space="0" w:color="auto"/>
                        <w:left w:val="none" w:sz="0" w:space="0" w:color="auto"/>
                        <w:bottom w:val="none" w:sz="0" w:space="0" w:color="auto"/>
                        <w:right w:val="none" w:sz="0" w:space="0" w:color="auto"/>
                      </w:divBdr>
                    </w:div>
                  </w:divsChild>
                </w:div>
                <w:div w:id="930309758">
                  <w:marLeft w:val="0"/>
                  <w:marRight w:val="0"/>
                  <w:marTop w:val="0"/>
                  <w:marBottom w:val="0"/>
                  <w:divBdr>
                    <w:top w:val="none" w:sz="0" w:space="0" w:color="auto"/>
                    <w:left w:val="none" w:sz="0" w:space="0" w:color="auto"/>
                    <w:bottom w:val="none" w:sz="0" w:space="0" w:color="auto"/>
                    <w:right w:val="none" w:sz="0" w:space="0" w:color="auto"/>
                  </w:divBdr>
                  <w:divsChild>
                    <w:div w:id="1853641088">
                      <w:marLeft w:val="0"/>
                      <w:marRight w:val="0"/>
                      <w:marTop w:val="0"/>
                      <w:marBottom w:val="0"/>
                      <w:divBdr>
                        <w:top w:val="none" w:sz="0" w:space="0" w:color="auto"/>
                        <w:left w:val="none" w:sz="0" w:space="0" w:color="auto"/>
                        <w:bottom w:val="none" w:sz="0" w:space="0" w:color="auto"/>
                        <w:right w:val="none" w:sz="0" w:space="0" w:color="auto"/>
                      </w:divBdr>
                    </w:div>
                  </w:divsChild>
                </w:div>
                <w:div w:id="779685172">
                  <w:marLeft w:val="0"/>
                  <w:marRight w:val="0"/>
                  <w:marTop w:val="0"/>
                  <w:marBottom w:val="0"/>
                  <w:divBdr>
                    <w:top w:val="none" w:sz="0" w:space="0" w:color="auto"/>
                    <w:left w:val="none" w:sz="0" w:space="0" w:color="auto"/>
                    <w:bottom w:val="none" w:sz="0" w:space="0" w:color="auto"/>
                    <w:right w:val="none" w:sz="0" w:space="0" w:color="auto"/>
                  </w:divBdr>
                  <w:divsChild>
                    <w:div w:id="634794305">
                      <w:marLeft w:val="0"/>
                      <w:marRight w:val="0"/>
                      <w:marTop w:val="0"/>
                      <w:marBottom w:val="0"/>
                      <w:divBdr>
                        <w:top w:val="none" w:sz="0" w:space="0" w:color="auto"/>
                        <w:left w:val="none" w:sz="0" w:space="0" w:color="auto"/>
                        <w:bottom w:val="none" w:sz="0" w:space="0" w:color="auto"/>
                        <w:right w:val="none" w:sz="0" w:space="0" w:color="auto"/>
                      </w:divBdr>
                    </w:div>
                  </w:divsChild>
                </w:div>
                <w:div w:id="1421102832">
                  <w:marLeft w:val="0"/>
                  <w:marRight w:val="0"/>
                  <w:marTop w:val="0"/>
                  <w:marBottom w:val="0"/>
                  <w:divBdr>
                    <w:top w:val="none" w:sz="0" w:space="0" w:color="auto"/>
                    <w:left w:val="none" w:sz="0" w:space="0" w:color="auto"/>
                    <w:bottom w:val="none" w:sz="0" w:space="0" w:color="auto"/>
                    <w:right w:val="none" w:sz="0" w:space="0" w:color="auto"/>
                  </w:divBdr>
                  <w:divsChild>
                    <w:div w:id="399983256">
                      <w:marLeft w:val="0"/>
                      <w:marRight w:val="0"/>
                      <w:marTop w:val="0"/>
                      <w:marBottom w:val="0"/>
                      <w:divBdr>
                        <w:top w:val="none" w:sz="0" w:space="0" w:color="auto"/>
                        <w:left w:val="none" w:sz="0" w:space="0" w:color="auto"/>
                        <w:bottom w:val="none" w:sz="0" w:space="0" w:color="auto"/>
                        <w:right w:val="none" w:sz="0" w:space="0" w:color="auto"/>
                      </w:divBdr>
                    </w:div>
                  </w:divsChild>
                </w:div>
                <w:div w:id="1842041015">
                  <w:marLeft w:val="0"/>
                  <w:marRight w:val="0"/>
                  <w:marTop w:val="0"/>
                  <w:marBottom w:val="0"/>
                  <w:divBdr>
                    <w:top w:val="none" w:sz="0" w:space="0" w:color="auto"/>
                    <w:left w:val="none" w:sz="0" w:space="0" w:color="auto"/>
                    <w:bottom w:val="none" w:sz="0" w:space="0" w:color="auto"/>
                    <w:right w:val="none" w:sz="0" w:space="0" w:color="auto"/>
                  </w:divBdr>
                  <w:divsChild>
                    <w:div w:id="2015180850">
                      <w:marLeft w:val="0"/>
                      <w:marRight w:val="0"/>
                      <w:marTop w:val="0"/>
                      <w:marBottom w:val="0"/>
                      <w:divBdr>
                        <w:top w:val="none" w:sz="0" w:space="0" w:color="auto"/>
                        <w:left w:val="none" w:sz="0" w:space="0" w:color="auto"/>
                        <w:bottom w:val="none" w:sz="0" w:space="0" w:color="auto"/>
                        <w:right w:val="none" w:sz="0" w:space="0" w:color="auto"/>
                      </w:divBdr>
                    </w:div>
                  </w:divsChild>
                </w:div>
                <w:div w:id="1267545793">
                  <w:marLeft w:val="0"/>
                  <w:marRight w:val="0"/>
                  <w:marTop w:val="0"/>
                  <w:marBottom w:val="0"/>
                  <w:divBdr>
                    <w:top w:val="none" w:sz="0" w:space="0" w:color="auto"/>
                    <w:left w:val="none" w:sz="0" w:space="0" w:color="auto"/>
                    <w:bottom w:val="none" w:sz="0" w:space="0" w:color="auto"/>
                    <w:right w:val="none" w:sz="0" w:space="0" w:color="auto"/>
                  </w:divBdr>
                  <w:divsChild>
                    <w:div w:id="320081102">
                      <w:marLeft w:val="0"/>
                      <w:marRight w:val="0"/>
                      <w:marTop w:val="0"/>
                      <w:marBottom w:val="0"/>
                      <w:divBdr>
                        <w:top w:val="none" w:sz="0" w:space="0" w:color="auto"/>
                        <w:left w:val="none" w:sz="0" w:space="0" w:color="auto"/>
                        <w:bottom w:val="none" w:sz="0" w:space="0" w:color="auto"/>
                        <w:right w:val="none" w:sz="0" w:space="0" w:color="auto"/>
                      </w:divBdr>
                    </w:div>
                  </w:divsChild>
                </w:div>
                <w:div w:id="1726946631">
                  <w:marLeft w:val="0"/>
                  <w:marRight w:val="0"/>
                  <w:marTop w:val="0"/>
                  <w:marBottom w:val="0"/>
                  <w:divBdr>
                    <w:top w:val="none" w:sz="0" w:space="0" w:color="auto"/>
                    <w:left w:val="none" w:sz="0" w:space="0" w:color="auto"/>
                    <w:bottom w:val="none" w:sz="0" w:space="0" w:color="auto"/>
                    <w:right w:val="none" w:sz="0" w:space="0" w:color="auto"/>
                  </w:divBdr>
                  <w:divsChild>
                    <w:div w:id="411394317">
                      <w:marLeft w:val="0"/>
                      <w:marRight w:val="0"/>
                      <w:marTop w:val="0"/>
                      <w:marBottom w:val="0"/>
                      <w:divBdr>
                        <w:top w:val="none" w:sz="0" w:space="0" w:color="auto"/>
                        <w:left w:val="none" w:sz="0" w:space="0" w:color="auto"/>
                        <w:bottom w:val="none" w:sz="0" w:space="0" w:color="auto"/>
                        <w:right w:val="none" w:sz="0" w:space="0" w:color="auto"/>
                      </w:divBdr>
                    </w:div>
                  </w:divsChild>
                </w:div>
                <w:div w:id="325280198">
                  <w:marLeft w:val="0"/>
                  <w:marRight w:val="0"/>
                  <w:marTop w:val="0"/>
                  <w:marBottom w:val="0"/>
                  <w:divBdr>
                    <w:top w:val="none" w:sz="0" w:space="0" w:color="auto"/>
                    <w:left w:val="none" w:sz="0" w:space="0" w:color="auto"/>
                    <w:bottom w:val="none" w:sz="0" w:space="0" w:color="auto"/>
                    <w:right w:val="none" w:sz="0" w:space="0" w:color="auto"/>
                  </w:divBdr>
                  <w:divsChild>
                    <w:div w:id="928537223">
                      <w:marLeft w:val="0"/>
                      <w:marRight w:val="0"/>
                      <w:marTop w:val="0"/>
                      <w:marBottom w:val="0"/>
                      <w:divBdr>
                        <w:top w:val="none" w:sz="0" w:space="0" w:color="auto"/>
                        <w:left w:val="none" w:sz="0" w:space="0" w:color="auto"/>
                        <w:bottom w:val="none" w:sz="0" w:space="0" w:color="auto"/>
                        <w:right w:val="none" w:sz="0" w:space="0" w:color="auto"/>
                      </w:divBdr>
                    </w:div>
                  </w:divsChild>
                </w:div>
                <w:div w:id="912278609">
                  <w:marLeft w:val="0"/>
                  <w:marRight w:val="0"/>
                  <w:marTop w:val="0"/>
                  <w:marBottom w:val="0"/>
                  <w:divBdr>
                    <w:top w:val="none" w:sz="0" w:space="0" w:color="auto"/>
                    <w:left w:val="none" w:sz="0" w:space="0" w:color="auto"/>
                    <w:bottom w:val="none" w:sz="0" w:space="0" w:color="auto"/>
                    <w:right w:val="none" w:sz="0" w:space="0" w:color="auto"/>
                  </w:divBdr>
                  <w:divsChild>
                    <w:div w:id="112748669">
                      <w:marLeft w:val="0"/>
                      <w:marRight w:val="0"/>
                      <w:marTop w:val="0"/>
                      <w:marBottom w:val="0"/>
                      <w:divBdr>
                        <w:top w:val="none" w:sz="0" w:space="0" w:color="auto"/>
                        <w:left w:val="none" w:sz="0" w:space="0" w:color="auto"/>
                        <w:bottom w:val="none" w:sz="0" w:space="0" w:color="auto"/>
                        <w:right w:val="none" w:sz="0" w:space="0" w:color="auto"/>
                      </w:divBdr>
                    </w:div>
                  </w:divsChild>
                </w:div>
                <w:div w:id="1339426521">
                  <w:marLeft w:val="0"/>
                  <w:marRight w:val="0"/>
                  <w:marTop w:val="0"/>
                  <w:marBottom w:val="0"/>
                  <w:divBdr>
                    <w:top w:val="none" w:sz="0" w:space="0" w:color="auto"/>
                    <w:left w:val="none" w:sz="0" w:space="0" w:color="auto"/>
                    <w:bottom w:val="none" w:sz="0" w:space="0" w:color="auto"/>
                    <w:right w:val="none" w:sz="0" w:space="0" w:color="auto"/>
                  </w:divBdr>
                  <w:divsChild>
                    <w:div w:id="96339173">
                      <w:marLeft w:val="0"/>
                      <w:marRight w:val="0"/>
                      <w:marTop w:val="0"/>
                      <w:marBottom w:val="0"/>
                      <w:divBdr>
                        <w:top w:val="none" w:sz="0" w:space="0" w:color="auto"/>
                        <w:left w:val="none" w:sz="0" w:space="0" w:color="auto"/>
                        <w:bottom w:val="none" w:sz="0" w:space="0" w:color="auto"/>
                        <w:right w:val="none" w:sz="0" w:space="0" w:color="auto"/>
                      </w:divBdr>
                    </w:div>
                  </w:divsChild>
                </w:div>
                <w:div w:id="1411612061">
                  <w:marLeft w:val="0"/>
                  <w:marRight w:val="0"/>
                  <w:marTop w:val="0"/>
                  <w:marBottom w:val="0"/>
                  <w:divBdr>
                    <w:top w:val="none" w:sz="0" w:space="0" w:color="auto"/>
                    <w:left w:val="none" w:sz="0" w:space="0" w:color="auto"/>
                    <w:bottom w:val="none" w:sz="0" w:space="0" w:color="auto"/>
                    <w:right w:val="none" w:sz="0" w:space="0" w:color="auto"/>
                  </w:divBdr>
                  <w:divsChild>
                    <w:div w:id="1168980411">
                      <w:marLeft w:val="0"/>
                      <w:marRight w:val="0"/>
                      <w:marTop w:val="0"/>
                      <w:marBottom w:val="0"/>
                      <w:divBdr>
                        <w:top w:val="none" w:sz="0" w:space="0" w:color="auto"/>
                        <w:left w:val="none" w:sz="0" w:space="0" w:color="auto"/>
                        <w:bottom w:val="none" w:sz="0" w:space="0" w:color="auto"/>
                        <w:right w:val="none" w:sz="0" w:space="0" w:color="auto"/>
                      </w:divBdr>
                    </w:div>
                  </w:divsChild>
                </w:div>
                <w:div w:id="821002220">
                  <w:marLeft w:val="0"/>
                  <w:marRight w:val="0"/>
                  <w:marTop w:val="0"/>
                  <w:marBottom w:val="0"/>
                  <w:divBdr>
                    <w:top w:val="none" w:sz="0" w:space="0" w:color="auto"/>
                    <w:left w:val="none" w:sz="0" w:space="0" w:color="auto"/>
                    <w:bottom w:val="none" w:sz="0" w:space="0" w:color="auto"/>
                    <w:right w:val="none" w:sz="0" w:space="0" w:color="auto"/>
                  </w:divBdr>
                  <w:divsChild>
                    <w:div w:id="717362886">
                      <w:marLeft w:val="0"/>
                      <w:marRight w:val="0"/>
                      <w:marTop w:val="0"/>
                      <w:marBottom w:val="0"/>
                      <w:divBdr>
                        <w:top w:val="none" w:sz="0" w:space="0" w:color="auto"/>
                        <w:left w:val="none" w:sz="0" w:space="0" w:color="auto"/>
                        <w:bottom w:val="none" w:sz="0" w:space="0" w:color="auto"/>
                        <w:right w:val="none" w:sz="0" w:space="0" w:color="auto"/>
                      </w:divBdr>
                    </w:div>
                  </w:divsChild>
                </w:div>
                <w:div w:id="1498306995">
                  <w:marLeft w:val="0"/>
                  <w:marRight w:val="0"/>
                  <w:marTop w:val="0"/>
                  <w:marBottom w:val="0"/>
                  <w:divBdr>
                    <w:top w:val="none" w:sz="0" w:space="0" w:color="auto"/>
                    <w:left w:val="none" w:sz="0" w:space="0" w:color="auto"/>
                    <w:bottom w:val="none" w:sz="0" w:space="0" w:color="auto"/>
                    <w:right w:val="none" w:sz="0" w:space="0" w:color="auto"/>
                  </w:divBdr>
                  <w:divsChild>
                    <w:div w:id="1060785453">
                      <w:marLeft w:val="0"/>
                      <w:marRight w:val="0"/>
                      <w:marTop w:val="0"/>
                      <w:marBottom w:val="0"/>
                      <w:divBdr>
                        <w:top w:val="none" w:sz="0" w:space="0" w:color="auto"/>
                        <w:left w:val="none" w:sz="0" w:space="0" w:color="auto"/>
                        <w:bottom w:val="none" w:sz="0" w:space="0" w:color="auto"/>
                        <w:right w:val="none" w:sz="0" w:space="0" w:color="auto"/>
                      </w:divBdr>
                    </w:div>
                  </w:divsChild>
                </w:div>
                <w:div w:id="1639073645">
                  <w:marLeft w:val="0"/>
                  <w:marRight w:val="0"/>
                  <w:marTop w:val="0"/>
                  <w:marBottom w:val="0"/>
                  <w:divBdr>
                    <w:top w:val="none" w:sz="0" w:space="0" w:color="auto"/>
                    <w:left w:val="none" w:sz="0" w:space="0" w:color="auto"/>
                    <w:bottom w:val="none" w:sz="0" w:space="0" w:color="auto"/>
                    <w:right w:val="none" w:sz="0" w:space="0" w:color="auto"/>
                  </w:divBdr>
                  <w:divsChild>
                    <w:div w:id="1189416827">
                      <w:marLeft w:val="0"/>
                      <w:marRight w:val="0"/>
                      <w:marTop w:val="0"/>
                      <w:marBottom w:val="0"/>
                      <w:divBdr>
                        <w:top w:val="none" w:sz="0" w:space="0" w:color="auto"/>
                        <w:left w:val="none" w:sz="0" w:space="0" w:color="auto"/>
                        <w:bottom w:val="none" w:sz="0" w:space="0" w:color="auto"/>
                        <w:right w:val="none" w:sz="0" w:space="0" w:color="auto"/>
                      </w:divBdr>
                    </w:div>
                  </w:divsChild>
                </w:div>
                <w:div w:id="888494207">
                  <w:marLeft w:val="0"/>
                  <w:marRight w:val="0"/>
                  <w:marTop w:val="0"/>
                  <w:marBottom w:val="0"/>
                  <w:divBdr>
                    <w:top w:val="none" w:sz="0" w:space="0" w:color="auto"/>
                    <w:left w:val="none" w:sz="0" w:space="0" w:color="auto"/>
                    <w:bottom w:val="none" w:sz="0" w:space="0" w:color="auto"/>
                    <w:right w:val="none" w:sz="0" w:space="0" w:color="auto"/>
                  </w:divBdr>
                  <w:divsChild>
                    <w:div w:id="1049649861">
                      <w:marLeft w:val="0"/>
                      <w:marRight w:val="0"/>
                      <w:marTop w:val="0"/>
                      <w:marBottom w:val="0"/>
                      <w:divBdr>
                        <w:top w:val="none" w:sz="0" w:space="0" w:color="auto"/>
                        <w:left w:val="none" w:sz="0" w:space="0" w:color="auto"/>
                        <w:bottom w:val="none" w:sz="0" w:space="0" w:color="auto"/>
                        <w:right w:val="none" w:sz="0" w:space="0" w:color="auto"/>
                      </w:divBdr>
                    </w:div>
                  </w:divsChild>
                </w:div>
                <w:div w:id="1504277781">
                  <w:marLeft w:val="0"/>
                  <w:marRight w:val="0"/>
                  <w:marTop w:val="0"/>
                  <w:marBottom w:val="0"/>
                  <w:divBdr>
                    <w:top w:val="none" w:sz="0" w:space="0" w:color="auto"/>
                    <w:left w:val="none" w:sz="0" w:space="0" w:color="auto"/>
                    <w:bottom w:val="none" w:sz="0" w:space="0" w:color="auto"/>
                    <w:right w:val="none" w:sz="0" w:space="0" w:color="auto"/>
                  </w:divBdr>
                  <w:divsChild>
                    <w:div w:id="877936884">
                      <w:marLeft w:val="0"/>
                      <w:marRight w:val="0"/>
                      <w:marTop w:val="0"/>
                      <w:marBottom w:val="0"/>
                      <w:divBdr>
                        <w:top w:val="none" w:sz="0" w:space="0" w:color="auto"/>
                        <w:left w:val="none" w:sz="0" w:space="0" w:color="auto"/>
                        <w:bottom w:val="none" w:sz="0" w:space="0" w:color="auto"/>
                        <w:right w:val="none" w:sz="0" w:space="0" w:color="auto"/>
                      </w:divBdr>
                    </w:div>
                  </w:divsChild>
                </w:div>
                <w:div w:id="1165239075">
                  <w:marLeft w:val="0"/>
                  <w:marRight w:val="0"/>
                  <w:marTop w:val="0"/>
                  <w:marBottom w:val="0"/>
                  <w:divBdr>
                    <w:top w:val="none" w:sz="0" w:space="0" w:color="auto"/>
                    <w:left w:val="none" w:sz="0" w:space="0" w:color="auto"/>
                    <w:bottom w:val="none" w:sz="0" w:space="0" w:color="auto"/>
                    <w:right w:val="none" w:sz="0" w:space="0" w:color="auto"/>
                  </w:divBdr>
                  <w:divsChild>
                    <w:div w:id="1551726969">
                      <w:marLeft w:val="0"/>
                      <w:marRight w:val="0"/>
                      <w:marTop w:val="0"/>
                      <w:marBottom w:val="0"/>
                      <w:divBdr>
                        <w:top w:val="none" w:sz="0" w:space="0" w:color="auto"/>
                        <w:left w:val="none" w:sz="0" w:space="0" w:color="auto"/>
                        <w:bottom w:val="none" w:sz="0" w:space="0" w:color="auto"/>
                        <w:right w:val="none" w:sz="0" w:space="0" w:color="auto"/>
                      </w:divBdr>
                    </w:div>
                  </w:divsChild>
                </w:div>
                <w:div w:id="192547152">
                  <w:marLeft w:val="0"/>
                  <w:marRight w:val="0"/>
                  <w:marTop w:val="0"/>
                  <w:marBottom w:val="0"/>
                  <w:divBdr>
                    <w:top w:val="none" w:sz="0" w:space="0" w:color="auto"/>
                    <w:left w:val="none" w:sz="0" w:space="0" w:color="auto"/>
                    <w:bottom w:val="none" w:sz="0" w:space="0" w:color="auto"/>
                    <w:right w:val="none" w:sz="0" w:space="0" w:color="auto"/>
                  </w:divBdr>
                  <w:divsChild>
                    <w:div w:id="19727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8498">
          <w:marLeft w:val="0"/>
          <w:marRight w:val="0"/>
          <w:marTop w:val="0"/>
          <w:marBottom w:val="0"/>
          <w:divBdr>
            <w:top w:val="none" w:sz="0" w:space="0" w:color="auto"/>
            <w:left w:val="none" w:sz="0" w:space="0" w:color="auto"/>
            <w:bottom w:val="none" w:sz="0" w:space="0" w:color="auto"/>
            <w:right w:val="none" w:sz="0" w:space="0" w:color="auto"/>
          </w:divBdr>
        </w:div>
        <w:div w:id="1354456409">
          <w:marLeft w:val="0"/>
          <w:marRight w:val="0"/>
          <w:marTop w:val="0"/>
          <w:marBottom w:val="0"/>
          <w:divBdr>
            <w:top w:val="none" w:sz="0" w:space="0" w:color="auto"/>
            <w:left w:val="none" w:sz="0" w:space="0" w:color="auto"/>
            <w:bottom w:val="none" w:sz="0" w:space="0" w:color="auto"/>
            <w:right w:val="none" w:sz="0" w:space="0" w:color="auto"/>
          </w:divBdr>
        </w:div>
        <w:div w:id="1375889482">
          <w:marLeft w:val="0"/>
          <w:marRight w:val="0"/>
          <w:marTop w:val="0"/>
          <w:marBottom w:val="0"/>
          <w:divBdr>
            <w:top w:val="none" w:sz="0" w:space="0" w:color="auto"/>
            <w:left w:val="none" w:sz="0" w:space="0" w:color="auto"/>
            <w:bottom w:val="none" w:sz="0" w:space="0" w:color="auto"/>
            <w:right w:val="none" w:sz="0" w:space="0" w:color="auto"/>
          </w:divBdr>
        </w:div>
        <w:div w:id="2023581309">
          <w:marLeft w:val="0"/>
          <w:marRight w:val="0"/>
          <w:marTop w:val="0"/>
          <w:marBottom w:val="0"/>
          <w:divBdr>
            <w:top w:val="none" w:sz="0" w:space="0" w:color="auto"/>
            <w:left w:val="none" w:sz="0" w:space="0" w:color="auto"/>
            <w:bottom w:val="none" w:sz="0" w:space="0" w:color="auto"/>
            <w:right w:val="none" w:sz="0" w:space="0" w:color="auto"/>
          </w:divBdr>
        </w:div>
        <w:div w:id="2136605670">
          <w:marLeft w:val="0"/>
          <w:marRight w:val="0"/>
          <w:marTop w:val="0"/>
          <w:marBottom w:val="0"/>
          <w:divBdr>
            <w:top w:val="none" w:sz="0" w:space="0" w:color="auto"/>
            <w:left w:val="none" w:sz="0" w:space="0" w:color="auto"/>
            <w:bottom w:val="none" w:sz="0" w:space="0" w:color="auto"/>
            <w:right w:val="none" w:sz="0" w:space="0" w:color="auto"/>
          </w:divBdr>
          <w:divsChild>
            <w:div w:id="389111161">
              <w:marLeft w:val="-75"/>
              <w:marRight w:val="0"/>
              <w:marTop w:val="30"/>
              <w:marBottom w:val="30"/>
              <w:divBdr>
                <w:top w:val="none" w:sz="0" w:space="0" w:color="auto"/>
                <w:left w:val="none" w:sz="0" w:space="0" w:color="auto"/>
                <w:bottom w:val="none" w:sz="0" w:space="0" w:color="auto"/>
                <w:right w:val="none" w:sz="0" w:space="0" w:color="auto"/>
              </w:divBdr>
              <w:divsChild>
                <w:div w:id="90586657">
                  <w:marLeft w:val="0"/>
                  <w:marRight w:val="0"/>
                  <w:marTop w:val="0"/>
                  <w:marBottom w:val="0"/>
                  <w:divBdr>
                    <w:top w:val="none" w:sz="0" w:space="0" w:color="auto"/>
                    <w:left w:val="none" w:sz="0" w:space="0" w:color="auto"/>
                    <w:bottom w:val="none" w:sz="0" w:space="0" w:color="auto"/>
                    <w:right w:val="none" w:sz="0" w:space="0" w:color="auto"/>
                  </w:divBdr>
                  <w:divsChild>
                    <w:div w:id="1927760945">
                      <w:marLeft w:val="0"/>
                      <w:marRight w:val="0"/>
                      <w:marTop w:val="0"/>
                      <w:marBottom w:val="0"/>
                      <w:divBdr>
                        <w:top w:val="none" w:sz="0" w:space="0" w:color="auto"/>
                        <w:left w:val="none" w:sz="0" w:space="0" w:color="auto"/>
                        <w:bottom w:val="none" w:sz="0" w:space="0" w:color="auto"/>
                        <w:right w:val="none" w:sz="0" w:space="0" w:color="auto"/>
                      </w:divBdr>
                    </w:div>
                  </w:divsChild>
                </w:div>
                <w:div w:id="1251042659">
                  <w:marLeft w:val="0"/>
                  <w:marRight w:val="0"/>
                  <w:marTop w:val="0"/>
                  <w:marBottom w:val="0"/>
                  <w:divBdr>
                    <w:top w:val="none" w:sz="0" w:space="0" w:color="auto"/>
                    <w:left w:val="none" w:sz="0" w:space="0" w:color="auto"/>
                    <w:bottom w:val="none" w:sz="0" w:space="0" w:color="auto"/>
                    <w:right w:val="none" w:sz="0" w:space="0" w:color="auto"/>
                  </w:divBdr>
                  <w:divsChild>
                    <w:div w:id="72047054">
                      <w:marLeft w:val="0"/>
                      <w:marRight w:val="0"/>
                      <w:marTop w:val="0"/>
                      <w:marBottom w:val="0"/>
                      <w:divBdr>
                        <w:top w:val="none" w:sz="0" w:space="0" w:color="auto"/>
                        <w:left w:val="none" w:sz="0" w:space="0" w:color="auto"/>
                        <w:bottom w:val="none" w:sz="0" w:space="0" w:color="auto"/>
                        <w:right w:val="none" w:sz="0" w:space="0" w:color="auto"/>
                      </w:divBdr>
                    </w:div>
                  </w:divsChild>
                </w:div>
                <w:div w:id="1737438960">
                  <w:marLeft w:val="0"/>
                  <w:marRight w:val="0"/>
                  <w:marTop w:val="0"/>
                  <w:marBottom w:val="0"/>
                  <w:divBdr>
                    <w:top w:val="none" w:sz="0" w:space="0" w:color="auto"/>
                    <w:left w:val="none" w:sz="0" w:space="0" w:color="auto"/>
                    <w:bottom w:val="none" w:sz="0" w:space="0" w:color="auto"/>
                    <w:right w:val="none" w:sz="0" w:space="0" w:color="auto"/>
                  </w:divBdr>
                  <w:divsChild>
                    <w:div w:id="898444107">
                      <w:marLeft w:val="0"/>
                      <w:marRight w:val="0"/>
                      <w:marTop w:val="0"/>
                      <w:marBottom w:val="0"/>
                      <w:divBdr>
                        <w:top w:val="none" w:sz="0" w:space="0" w:color="auto"/>
                        <w:left w:val="none" w:sz="0" w:space="0" w:color="auto"/>
                        <w:bottom w:val="none" w:sz="0" w:space="0" w:color="auto"/>
                        <w:right w:val="none" w:sz="0" w:space="0" w:color="auto"/>
                      </w:divBdr>
                    </w:div>
                  </w:divsChild>
                </w:div>
                <w:div w:id="166867102">
                  <w:marLeft w:val="0"/>
                  <w:marRight w:val="0"/>
                  <w:marTop w:val="0"/>
                  <w:marBottom w:val="0"/>
                  <w:divBdr>
                    <w:top w:val="none" w:sz="0" w:space="0" w:color="auto"/>
                    <w:left w:val="none" w:sz="0" w:space="0" w:color="auto"/>
                    <w:bottom w:val="none" w:sz="0" w:space="0" w:color="auto"/>
                    <w:right w:val="none" w:sz="0" w:space="0" w:color="auto"/>
                  </w:divBdr>
                  <w:divsChild>
                    <w:div w:id="897087520">
                      <w:marLeft w:val="0"/>
                      <w:marRight w:val="0"/>
                      <w:marTop w:val="0"/>
                      <w:marBottom w:val="0"/>
                      <w:divBdr>
                        <w:top w:val="none" w:sz="0" w:space="0" w:color="auto"/>
                        <w:left w:val="none" w:sz="0" w:space="0" w:color="auto"/>
                        <w:bottom w:val="none" w:sz="0" w:space="0" w:color="auto"/>
                        <w:right w:val="none" w:sz="0" w:space="0" w:color="auto"/>
                      </w:divBdr>
                    </w:div>
                  </w:divsChild>
                </w:div>
                <w:div w:id="1653365005">
                  <w:marLeft w:val="0"/>
                  <w:marRight w:val="0"/>
                  <w:marTop w:val="0"/>
                  <w:marBottom w:val="0"/>
                  <w:divBdr>
                    <w:top w:val="none" w:sz="0" w:space="0" w:color="auto"/>
                    <w:left w:val="none" w:sz="0" w:space="0" w:color="auto"/>
                    <w:bottom w:val="none" w:sz="0" w:space="0" w:color="auto"/>
                    <w:right w:val="none" w:sz="0" w:space="0" w:color="auto"/>
                  </w:divBdr>
                  <w:divsChild>
                    <w:div w:id="655837071">
                      <w:marLeft w:val="0"/>
                      <w:marRight w:val="0"/>
                      <w:marTop w:val="0"/>
                      <w:marBottom w:val="0"/>
                      <w:divBdr>
                        <w:top w:val="none" w:sz="0" w:space="0" w:color="auto"/>
                        <w:left w:val="none" w:sz="0" w:space="0" w:color="auto"/>
                        <w:bottom w:val="none" w:sz="0" w:space="0" w:color="auto"/>
                        <w:right w:val="none" w:sz="0" w:space="0" w:color="auto"/>
                      </w:divBdr>
                    </w:div>
                  </w:divsChild>
                </w:div>
                <w:div w:id="86582377">
                  <w:marLeft w:val="0"/>
                  <w:marRight w:val="0"/>
                  <w:marTop w:val="0"/>
                  <w:marBottom w:val="0"/>
                  <w:divBdr>
                    <w:top w:val="none" w:sz="0" w:space="0" w:color="auto"/>
                    <w:left w:val="none" w:sz="0" w:space="0" w:color="auto"/>
                    <w:bottom w:val="none" w:sz="0" w:space="0" w:color="auto"/>
                    <w:right w:val="none" w:sz="0" w:space="0" w:color="auto"/>
                  </w:divBdr>
                  <w:divsChild>
                    <w:div w:id="1676613564">
                      <w:marLeft w:val="0"/>
                      <w:marRight w:val="0"/>
                      <w:marTop w:val="0"/>
                      <w:marBottom w:val="0"/>
                      <w:divBdr>
                        <w:top w:val="none" w:sz="0" w:space="0" w:color="auto"/>
                        <w:left w:val="none" w:sz="0" w:space="0" w:color="auto"/>
                        <w:bottom w:val="none" w:sz="0" w:space="0" w:color="auto"/>
                        <w:right w:val="none" w:sz="0" w:space="0" w:color="auto"/>
                      </w:divBdr>
                    </w:div>
                  </w:divsChild>
                </w:div>
                <w:div w:id="767191972">
                  <w:marLeft w:val="0"/>
                  <w:marRight w:val="0"/>
                  <w:marTop w:val="0"/>
                  <w:marBottom w:val="0"/>
                  <w:divBdr>
                    <w:top w:val="none" w:sz="0" w:space="0" w:color="auto"/>
                    <w:left w:val="none" w:sz="0" w:space="0" w:color="auto"/>
                    <w:bottom w:val="none" w:sz="0" w:space="0" w:color="auto"/>
                    <w:right w:val="none" w:sz="0" w:space="0" w:color="auto"/>
                  </w:divBdr>
                  <w:divsChild>
                    <w:div w:id="1636981771">
                      <w:marLeft w:val="0"/>
                      <w:marRight w:val="0"/>
                      <w:marTop w:val="0"/>
                      <w:marBottom w:val="0"/>
                      <w:divBdr>
                        <w:top w:val="none" w:sz="0" w:space="0" w:color="auto"/>
                        <w:left w:val="none" w:sz="0" w:space="0" w:color="auto"/>
                        <w:bottom w:val="none" w:sz="0" w:space="0" w:color="auto"/>
                        <w:right w:val="none" w:sz="0" w:space="0" w:color="auto"/>
                      </w:divBdr>
                    </w:div>
                  </w:divsChild>
                </w:div>
                <w:div w:id="1694913635">
                  <w:marLeft w:val="0"/>
                  <w:marRight w:val="0"/>
                  <w:marTop w:val="0"/>
                  <w:marBottom w:val="0"/>
                  <w:divBdr>
                    <w:top w:val="none" w:sz="0" w:space="0" w:color="auto"/>
                    <w:left w:val="none" w:sz="0" w:space="0" w:color="auto"/>
                    <w:bottom w:val="none" w:sz="0" w:space="0" w:color="auto"/>
                    <w:right w:val="none" w:sz="0" w:space="0" w:color="auto"/>
                  </w:divBdr>
                  <w:divsChild>
                    <w:div w:id="282731168">
                      <w:marLeft w:val="0"/>
                      <w:marRight w:val="0"/>
                      <w:marTop w:val="0"/>
                      <w:marBottom w:val="0"/>
                      <w:divBdr>
                        <w:top w:val="none" w:sz="0" w:space="0" w:color="auto"/>
                        <w:left w:val="none" w:sz="0" w:space="0" w:color="auto"/>
                        <w:bottom w:val="none" w:sz="0" w:space="0" w:color="auto"/>
                        <w:right w:val="none" w:sz="0" w:space="0" w:color="auto"/>
                      </w:divBdr>
                    </w:div>
                  </w:divsChild>
                </w:div>
                <w:div w:id="566645516">
                  <w:marLeft w:val="0"/>
                  <w:marRight w:val="0"/>
                  <w:marTop w:val="0"/>
                  <w:marBottom w:val="0"/>
                  <w:divBdr>
                    <w:top w:val="none" w:sz="0" w:space="0" w:color="auto"/>
                    <w:left w:val="none" w:sz="0" w:space="0" w:color="auto"/>
                    <w:bottom w:val="none" w:sz="0" w:space="0" w:color="auto"/>
                    <w:right w:val="none" w:sz="0" w:space="0" w:color="auto"/>
                  </w:divBdr>
                  <w:divsChild>
                    <w:div w:id="2003659517">
                      <w:marLeft w:val="0"/>
                      <w:marRight w:val="0"/>
                      <w:marTop w:val="0"/>
                      <w:marBottom w:val="0"/>
                      <w:divBdr>
                        <w:top w:val="none" w:sz="0" w:space="0" w:color="auto"/>
                        <w:left w:val="none" w:sz="0" w:space="0" w:color="auto"/>
                        <w:bottom w:val="none" w:sz="0" w:space="0" w:color="auto"/>
                        <w:right w:val="none" w:sz="0" w:space="0" w:color="auto"/>
                      </w:divBdr>
                    </w:div>
                  </w:divsChild>
                </w:div>
                <w:div w:id="1510832385">
                  <w:marLeft w:val="0"/>
                  <w:marRight w:val="0"/>
                  <w:marTop w:val="0"/>
                  <w:marBottom w:val="0"/>
                  <w:divBdr>
                    <w:top w:val="none" w:sz="0" w:space="0" w:color="auto"/>
                    <w:left w:val="none" w:sz="0" w:space="0" w:color="auto"/>
                    <w:bottom w:val="none" w:sz="0" w:space="0" w:color="auto"/>
                    <w:right w:val="none" w:sz="0" w:space="0" w:color="auto"/>
                  </w:divBdr>
                  <w:divsChild>
                    <w:div w:id="372660936">
                      <w:marLeft w:val="0"/>
                      <w:marRight w:val="0"/>
                      <w:marTop w:val="0"/>
                      <w:marBottom w:val="0"/>
                      <w:divBdr>
                        <w:top w:val="none" w:sz="0" w:space="0" w:color="auto"/>
                        <w:left w:val="none" w:sz="0" w:space="0" w:color="auto"/>
                        <w:bottom w:val="none" w:sz="0" w:space="0" w:color="auto"/>
                        <w:right w:val="none" w:sz="0" w:space="0" w:color="auto"/>
                      </w:divBdr>
                    </w:div>
                  </w:divsChild>
                </w:div>
                <w:div w:id="5444088">
                  <w:marLeft w:val="0"/>
                  <w:marRight w:val="0"/>
                  <w:marTop w:val="0"/>
                  <w:marBottom w:val="0"/>
                  <w:divBdr>
                    <w:top w:val="none" w:sz="0" w:space="0" w:color="auto"/>
                    <w:left w:val="none" w:sz="0" w:space="0" w:color="auto"/>
                    <w:bottom w:val="none" w:sz="0" w:space="0" w:color="auto"/>
                    <w:right w:val="none" w:sz="0" w:space="0" w:color="auto"/>
                  </w:divBdr>
                  <w:divsChild>
                    <w:div w:id="1189217894">
                      <w:marLeft w:val="0"/>
                      <w:marRight w:val="0"/>
                      <w:marTop w:val="0"/>
                      <w:marBottom w:val="0"/>
                      <w:divBdr>
                        <w:top w:val="none" w:sz="0" w:space="0" w:color="auto"/>
                        <w:left w:val="none" w:sz="0" w:space="0" w:color="auto"/>
                        <w:bottom w:val="none" w:sz="0" w:space="0" w:color="auto"/>
                        <w:right w:val="none" w:sz="0" w:space="0" w:color="auto"/>
                      </w:divBdr>
                    </w:div>
                  </w:divsChild>
                </w:div>
                <w:div w:id="2041397697">
                  <w:marLeft w:val="0"/>
                  <w:marRight w:val="0"/>
                  <w:marTop w:val="0"/>
                  <w:marBottom w:val="0"/>
                  <w:divBdr>
                    <w:top w:val="none" w:sz="0" w:space="0" w:color="auto"/>
                    <w:left w:val="none" w:sz="0" w:space="0" w:color="auto"/>
                    <w:bottom w:val="none" w:sz="0" w:space="0" w:color="auto"/>
                    <w:right w:val="none" w:sz="0" w:space="0" w:color="auto"/>
                  </w:divBdr>
                  <w:divsChild>
                    <w:div w:id="1698851400">
                      <w:marLeft w:val="0"/>
                      <w:marRight w:val="0"/>
                      <w:marTop w:val="0"/>
                      <w:marBottom w:val="0"/>
                      <w:divBdr>
                        <w:top w:val="none" w:sz="0" w:space="0" w:color="auto"/>
                        <w:left w:val="none" w:sz="0" w:space="0" w:color="auto"/>
                        <w:bottom w:val="none" w:sz="0" w:space="0" w:color="auto"/>
                        <w:right w:val="none" w:sz="0" w:space="0" w:color="auto"/>
                      </w:divBdr>
                    </w:div>
                  </w:divsChild>
                </w:div>
                <w:div w:id="1631549936">
                  <w:marLeft w:val="0"/>
                  <w:marRight w:val="0"/>
                  <w:marTop w:val="0"/>
                  <w:marBottom w:val="0"/>
                  <w:divBdr>
                    <w:top w:val="none" w:sz="0" w:space="0" w:color="auto"/>
                    <w:left w:val="none" w:sz="0" w:space="0" w:color="auto"/>
                    <w:bottom w:val="none" w:sz="0" w:space="0" w:color="auto"/>
                    <w:right w:val="none" w:sz="0" w:space="0" w:color="auto"/>
                  </w:divBdr>
                  <w:divsChild>
                    <w:div w:id="612596470">
                      <w:marLeft w:val="0"/>
                      <w:marRight w:val="0"/>
                      <w:marTop w:val="0"/>
                      <w:marBottom w:val="0"/>
                      <w:divBdr>
                        <w:top w:val="none" w:sz="0" w:space="0" w:color="auto"/>
                        <w:left w:val="none" w:sz="0" w:space="0" w:color="auto"/>
                        <w:bottom w:val="none" w:sz="0" w:space="0" w:color="auto"/>
                        <w:right w:val="none" w:sz="0" w:space="0" w:color="auto"/>
                      </w:divBdr>
                    </w:div>
                  </w:divsChild>
                </w:div>
                <w:div w:id="1196624406">
                  <w:marLeft w:val="0"/>
                  <w:marRight w:val="0"/>
                  <w:marTop w:val="0"/>
                  <w:marBottom w:val="0"/>
                  <w:divBdr>
                    <w:top w:val="none" w:sz="0" w:space="0" w:color="auto"/>
                    <w:left w:val="none" w:sz="0" w:space="0" w:color="auto"/>
                    <w:bottom w:val="none" w:sz="0" w:space="0" w:color="auto"/>
                    <w:right w:val="none" w:sz="0" w:space="0" w:color="auto"/>
                  </w:divBdr>
                  <w:divsChild>
                    <w:div w:id="727609570">
                      <w:marLeft w:val="0"/>
                      <w:marRight w:val="0"/>
                      <w:marTop w:val="0"/>
                      <w:marBottom w:val="0"/>
                      <w:divBdr>
                        <w:top w:val="none" w:sz="0" w:space="0" w:color="auto"/>
                        <w:left w:val="none" w:sz="0" w:space="0" w:color="auto"/>
                        <w:bottom w:val="none" w:sz="0" w:space="0" w:color="auto"/>
                        <w:right w:val="none" w:sz="0" w:space="0" w:color="auto"/>
                      </w:divBdr>
                    </w:div>
                  </w:divsChild>
                </w:div>
                <w:div w:id="2063167458">
                  <w:marLeft w:val="0"/>
                  <w:marRight w:val="0"/>
                  <w:marTop w:val="0"/>
                  <w:marBottom w:val="0"/>
                  <w:divBdr>
                    <w:top w:val="none" w:sz="0" w:space="0" w:color="auto"/>
                    <w:left w:val="none" w:sz="0" w:space="0" w:color="auto"/>
                    <w:bottom w:val="none" w:sz="0" w:space="0" w:color="auto"/>
                    <w:right w:val="none" w:sz="0" w:space="0" w:color="auto"/>
                  </w:divBdr>
                  <w:divsChild>
                    <w:div w:id="33578758">
                      <w:marLeft w:val="0"/>
                      <w:marRight w:val="0"/>
                      <w:marTop w:val="0"/>
                      <w:marBottom w:val="0"/>
                      <w:divBdr>
                        <w:top w:val="none" w:sz="0" w:space="0" w:color="auto"/>
                        <w:left w:val="none" w:sz="0" w:space="0" w:color="auto"/>
                        <w:bottom w:val="none" w:sz="0" w:space="0" w:color="auto"/>
                        <w:right w:val="none" w:sz="0" w:space="0" w:color="auto"/>
                      </w:divBdr>
                    </w:div>
                  </w:divsChild>
                </w:div>
                <w:div w:id="1760905889">
                  <w:marLeft w:val="0"/>
                  <w:marRight w:val="0"/>
                  <w:marTop w:val="0"/>
                  <w:marBottom w:val="0"/>
                  <w:divBdr>
                    <w:top w:val="none" w:sz="0" w:space="0" w:color="auto"/>
                    <w:left w:val="none" w:sz="0" w:space="0" w:color="auto"/>
                    <w:bottom w:val="none" w:sz="0" w:space="0" w:color="auto"/>
                    <w:right w:val="none" w:sz="0" w:space="0" w:color="auto"/>
                  </w:divBdr>
                  <w:divsChild>
                    <w:div w:id="1547990087">
                      <w:marLeft w:val="0"/>
                      <w:marRight w:val="0"/>
                      <w:marTop w:val="0"/>
                      <w:marBottom w:val="0"/>
                      <w:divBdr>
                        <w:top w:val="none" w:sz="0" w:space="0" w:color="auto"/>
                        <w:left w:val="none" w:sz="0" w:space="0" w:color="auto"/>
                        <w:bottom w:val="none" w:sz="0" w:space="0" w:color="auto"/>
                        <w:right w:val="none" w:sz="0" w:space="0" w:color="auto"/>
                      </w:divBdr>
                    </w:div>
                  </w:divsChild>
                </w:div>
                <w:div w:id="1376613138">
                  <w:marLeft w:val="0"/>
                  <w:marRight w:val="0"/>
                  <w:marTop w:val="0"/>
                  <w:marBottom w:val="0"/>
                  <w:divBdr>
                    <w:top w:val="none" w:sz="0" w:space="0" w:color="auto"/>
                    <w:left w:val="none" w:sz="0" w:space="0" w:color="auto"/>
                    <w:bottom w:val="none" w:sz="0" w:space="0" w:color="auto"/>
                    <w:right w:val="none" w:sz="0" w:space="0" w:color="auto"/>
                  </w:divBdr>
                  <w:divsChild>
                    <w:div w:id="733897203">
                      <w:marLeft w:val="0"/>
                      <w:marRight w:val="0"/>
                      <w:marTop w:val="0"/>
                      <w:marBottom w:val="0"/>
                      <w:divBdr>
                        <w:top w:val="none" w:sz="0" w:space="0" w:color="auto"/>
                        <w:left w:val="none" w:sz="0" w:space="0" w:color="auto"/>
                        <w:bottom w:val="none" w:sz="0" w:space="0" w:color="auto"/>
                        <w:right w:val="none" w:sz="0" w:space="0" w:color="auto"/>
                      </w:divBdr>
                    </w:div>
                  </w:divsChild>
                </w:div>
                <w:div w:id="1959557638">
                  <w:marLeft w:val="0"/>
                  <w:marRight w:val="0"/>
                  <w:marTop w:val="0"/>
                  <w:marBottom w:val="0"/>
                  <w:divBdr>
                    <w:top w:val="none" w:sz="0" w:space="0" w:color="auto"/>
                    <w:left w:val="none" w:sz="0" w:space="0" w:color="auto"/>
                    <w:bottom w:val="none" w:sz="0" w:space="0" w:color="auto"/>
                    <w:right w:val="none" w:sz="0" w:space="0" w:color="auto"/>
                  </w:divBdr>
                  <w:divsChild>
                    <w:div w:id="749930426">
                      <w:marLeft w:val="0"/>
                      <w:marRight w:val="0"/>
                      <w:marTop w:val="0"/>
                      <w:marBottom w:val="0"/>
                      <w:divBdr>
                        <w:top w:val="none" w:sz="0" w:space="0" w:color="auto"/>
                        <w:left w:val="none" w:sz="0" w:space="0" w:color="auto"/>
                        <w:bottom w:val="none" w:sz="0" w:space="0" w:color="auto"/>
                        <w:right w:val="none" w:sz="0" w:space="0" w:color="auto"/>
                      </w:divBdr>
                    </w:div>
                  </w:divsChild>
                </w:div>
                <w:div w:id="308485605">
                  <w:marLeft w:val="0"/>
                  <w:marRight w:val="0"/>
                  <w:marTop w:val="0"/>
                  <w:marBottom w:val="0"/>
                  <w:divBdr>
                    <w:top w:val="none" w:sz="0" w:space="0" w:color="auto"/>
                    <w:left w:val="none" w:sz="0" w:space="0" w:color="auto"/>
                    <w:bottom w:val="none" w:sz="0" w:space="0" w:color="auto"/>
                    <w:right w:val="none" w:sz="0" w:space="0" w:color="auto"/>
                  </w:divBdr>
                  <w:divsChild>
                    <w:div w:id="1564411358">
                      <w:marLeft w:val="0"/>
                      <w:marRight w:val="0"/>
                      <w:marTop w:val="0"/>
                      <w:marBottom w:val="0"/>
                      <w:divBdr>
                        <w:top w:val="none" w:sz="0" w:space="0" w:color="auto"/>
                        <w:left w:val="none" w:sz="0" w:space="0" w:color="auto"/>
                        <w:bottom w:val="none" w:sz="0" w:space="0" w:color="auto"/>
                        <w:right w:val="none" w:sz="0" w:space="0" w:color="auto"/>
                      </w:divBdr>
                    </w:div>
                  </w:divsChild>
                </w:div>
                <w:div w:id="739642866">
                  <w:marLeft w:val="0"/>
                  <w:marRight w:val="0"/>
                  <w:marTop w:val="0"/>
                  <w:marBottom w:val="0"/>
                  <w:divBdr>
                    <w:top w:val="none" w:sz="0" w:space="0" w:color="auto"/>
                    <w:left w:val="none" w:sz="0" w:space="0" w:color="auto"/>
                    <w:bottom w:val="none" w:sz="0" w:space="0" w:color="auto"/>
                    <w:right w:val="none" w:sz="0" w:space="0" w:color="auto"/>
                  </w:divBdr>
                  <w:divsChild>
                    <w:div w:id="2058506634">
                      <w:marLeft w:val="0"/>
                      <w:marRight w:val="0"/>
                      <w:marTop w:val="0"/>
                      <w:marBottom w:val="0"/>
                      <w:divBdr>
                        <w:top w:val="none" w:sz="0" w:space="0" w:color="auto"/>
                        <w:left w:val="none" w:sz="0" w:space="0" w:color="auto"/>
                        <w:bottom w:val="none" w:sz="0" w:space="0" w:color="auto"/>
                        <w:right w:val="none" w:sz="0" w:space="0" w:color="auto"/>
                      </w:divBdr>
                    </w:div>
                  </w:divsChild>
                </w:div>
                <w:div w:id="134756860">
                  <w:marLeft w:val="0"/>
                  <w:marRight w:val="0"/>
                  <w:marTop w:val="0"/>
                  <w:marBottom w:val="0"/>
                  <w:divBdr>
                    <w:top w:val="none" w:sz="0" w:space="0" w:color="auto"/>
                    <w:left w:val="none" w:sz="0" w:space="0" w:color="auto"/>
                    <w:bottom w:val="none" w:sz="0" w:space="0" w:color="auto"/>
                    <w:right w:val="none" w:sz="0" w:space="0" w:color="auto"/>
                  </w:divBdr>
                  <w:divsChild>
                    <w:div w:id="1989943785">
                      <w:marLeft w:val="0"/>
                      <w:marRight w:val="0"/>
                      <w:marTop w:val="0"/>
                      <w:marBottom w:val="0"/>
                      <w:divBdr>
                        <w:top w:val="none" w:sz="0" w:space="0" w:color="auto"/>
                        <w:left w:val="none" w:sz="0" w:space="0" w:color="auto"/>
                        <w:bottom w:val="none" w:sz="0" w:space="0" w:color="auto"/>
                        <w:right w:val="none" w:sz="0" w:space="0" w:color="auto"/>
                      </w:divBdr>
                    </w:div>
                  </w:divsChild>
                </w:div>
                <w:div w:id="1705715869">
                  <w:marLeft w:val="0"/>
                  <w:marRight w:val="0"/>
                  <w:marTop w:val="0"/>
                  <w:marBottom w:val="0"/>
                  <w:divBdr>
                    <w:top w:val="none" w:sz="0" w:space="0" w:color="auto"/>
                    <w:left w:val="none" w:sz="0" w:space="0" w:color="auto"/>
                    <w:bottom w:val="none" w:sz="0" w:space="0" w:color="auto"/>
                    <w:right w:val="none" w:sz="0" w:space="0" w:color="auto"/>
                  </w:divBdr>
                  <w:divsChild>
                    <w:div w:id="149947018">
                      <w:marLeft w:val="0"/>
                      <w:marRight w:val="0"/>
                      <w:marTop w:val="0"/>
                      <w:marBottom w:val="0"/>
                      <w:divBdr>
                        <w:top w:val="none" w:sz="0" w:space="0" w:color="auto"/>
                        <w:left w:val="none" w:sz="0" w:space="0" w:color="auto"/>
                        <w:bottom w:val="none" w:sz="0" w:space="0" w:color="auto"/>
                        <w:right w:val="none" w:sz="0" w:space="0" w:color="auto"/>
                      </w:divBdr>
                    </w:div>
                  </w:divsChild>
                </w:div>
                <w:div w:id="1226524091">
                  <w:marLeft w:val="0"/>
                  <w:marRight w:val="0"/>
                  <w:marTop w:val="0"/>
                  <w:marBottom w:val="0"/>
                  <w:divBdr>
                    <w:top w:val="none" w:sz="0" w:space="0" w:color="auto"/>
                    <w:left w:val="none" w:sz="0" w:space="0" w:color="auto"/>
                    <w:bottom w:val="none" w:sz="0" w:space="0" w:color="auto"/>
                    <w:right w:val="none" w:sz="0" w:space="0" w:color="auto"/>
                  </w:divBdr>
                  <w:divsChild>
                    <w:div w:id="715198430">
                      <w:marLeft w:val="0"/>
                      <w:marRight w:val="0"/>
                      <w:marTop w:val="0"/>
                      <w:marBottom w:val="0"/>
                      <w:divBdr>
                        <w:top w:val="none" w:sz="0" w:space="0" w:color="auto"/>
                        <w:left w:val="none" w:sz="0" w:space="0" w:color="auto"/>
                        <w:bottom w:val="none" w:sz="0" w:space="0" w:color="auto"/>
                        <w:right w:val="none" w:sz="0" w:space="0" w:color="auto"/>
                      </w:divBdr>
                    </w:div>
                  </w:divsChild>
                </w:div>
                <w:div w:id="953513032">
                  <w:marLeft w:val="0"/>
                  <w:marRight w:val="0"/>
                  <w:marTop w:val="0"/>
                  <w:marBottom w:val="0"/>
                  <w:divBdr>
                    <w:top w:val="none" w:sz="0" w:space="0" w:color="auto"/>
                    <w:left w:val="none" w:sz="0" w:space="0" w:color="auto"/>
                    <w:bottom w:val="none" w:sz="0" w:space="0" w:color="auto"/>
                    <w:right w:val="none" w:sz="0" w:space="0" w:color="auto"/>
                  </w:divBdr>
                  <w:divsChild>
                    <w:div w:id="9147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08659">
          <w:marLeft w:val="0"/>
          <w:marRight w:val="0"/>
          <w:marTop w:val="0"/>
          <w:marBottom w:val="0"/>
          <w:divBdr>
            <w:top w:val="none" w:sz="0" w:space="0" w:color="auto"/>
            <w:left w:val="none" w:sz="0" w:space="0" w:color="auto"/>
            <w:bottom w:val="none" w:sz="0" w:space="0" w:color="auto"/>
            <w:right w:val="none" w:sz="0" w:space="0" w:color="auto"/>
          </w:divBdr>
        </w:div>
        <w:div w:id="311250827">
          <w:marLeft w:val="0"/>
          <w:marRight w:val="0"/>
          <w:marTop w:val="0"/>
          <w:marBottom w:val="0"/>
          <w:divBdr>
            <w:top w:val="none" w:sz="0" w:space="0" w:color="auto"/>
            <w:left w:val="none" w:sz="0" w:space="0" w:color="auto"/>
            <w:bottom w:val="none" w:sz="0" w:space="0" w:color="auto"/>
            <w:right w:val="none" w:sz="0" w:space="0" w:color="auto"/>
          </w:divBdr>
        </w:div>
        <w:div w:id="767196359">
          <w:marLeft w:val="0"/>
          <w:marRight w:val="0"/>
          <w:marTop w:val="0"/>
          <w:marBottom w:val="0"/>
          <w:divBdr>
            <w:top w:val="none" w:sz="0" w:space="0" w:color="auto"/>
            <w:left w:val="none" w:sz="0" w:space="0" w:color="auto"/>
            <w:bottom w:val="none" w:sz="0" w:space="0" w:color="auto"/>
            <w:right w:val="none" w:sz="0" w:space="0" w:color="auto"/>
          </w:divBdr>
        </w:div>
        <w:div w:id="105584465">
          <w:marLeft w:val="0"/>
          <w:marRight w:val="0"/>
          <w:marTop w:val="0"/>
          <w:marBottom w:val="0"/>
          <w:divBdr>
            <w:top w:val="none" w:sz="0" w:space="0" w:color="auto"/>
            <w:left w:val="none" w:sz="0" w:space="0" w:color="auto"/>
            <w:bottom w:val="none" w:sz="0" w:space="0" w:color="auto"/>
            <w:right w:val="none" w:sz="0" w:space="0" w:color="auto"/>
          </w:divBdr>
        </w:div>
        <w:div w:id="2123262056">
          <w:marLeft w:val="0"/>
          <w:marRight w:val="0"/>
          <w:marTop w:val="0"/>
          <w:marBottom w:val="0"/>
          <w:divBdr>
            <w:top w:val="none" w:sz="0" w:space="0" w:color="auto"/>
            <w:left w:val="none" w:sz="0" w:space="0" w:color="auto"/>
            <w:bottom w:val="none" w:sz="0" w:space="0" w:color="auto"/>
            <w:right w:val="none" w:sz="0" w:space="0" w:color="auto"/>
          </w:divBdr>
        </w:div>
        <w:div w:id="1981154028">
          <w:marLeft w:val="0"/>
          <w:marRight w:val="0"/>
          <w:marTop w:val="0"/>
          <w:marBottom w:val="0"/>
          <w:divBdr>
            <w:top w:val="none" w:sz="0" w:space="0" w:color="auto"/>
            <w:left w:val="none" w:sz="0" w:space="0" w:color="auto"/>
            <w:bottom w:val="none" w:sz="0" w:space="0" w:color="auto"/>
            <w:right w:val="none" w:sz="0" w:space="0" w:color="auto"/>
          </w:divBdr>
        </w:div>
        <w:div w:id="500393657">
          <w:marLeft w:val="0"/>
          <w:marRight w:val="0"/>
          <w:marTop w:val="0"/>
          <w:marBottom w:val="0"/>
          <w:divBdr>
            <w:top w:val="none" w:sz="0" w:space="0" w:color="auto"/>
            <w:left w:val="none" w:sz="0" w:space="0" w:color="auto"/>
            <w:bottom w:val="none" w:sz="0" w:space="0" w:color="auto"/>
            <w:right w:val="none" w:sz="0" w:space="0" w:color="auto"/>
          </w:divBdr>
        </w:div>
        <w:div w:id="2088071816">
          <w:marLeft w:val="0"/>
          <w:marRight w:val="0"/>
          <w:marTop w:val="0"/>
          <w:marBottom w:val="0"/>
          <w:divBdr>
            <w:top w:val="none" w:sz="0" w:space="0" w:color="auto"/>
            <w:left w:val="none" w:sz="0" w:space="0" w:color="auto"/>
            <w:bottom w:val="none" w:sz="0" w:space="0" w:color="auto"/>
            <w:right w:val="none" w:sz="0" w:space="0" w:color="auto"/>
          </w:divBdr>
        </w:div>
        <w:div w:id="37291042">
          <w:marLeft w:val="0"/>
          <w:marRight w:val="0"/>
          <w:marTop w:val="0"/>
          <w:marBottom w:val="0"/>
          <w:divBdr>
            <w:top w:val="none" w:sz="0" w:space="0" w:color="auto"/>
            <w:left w:val="none" w:sz="0" w:space="0" w:color="auto"/>
            <w:bottom w:val="none" w:sz="0" w:space="0" w:color="auto"/>
            <w:right w:val="none" w:sz="0" w:space="0" w:color="auto"/>
          </w:divBdr>
        </w:div>
        <w:div w:id="404912158">
          <w:marLeft w:val="0"/>
          <w:marRight w:val="0"/>
          <w:marTop w:val="0"/>
          <w:marBottom w:val="0"/>
          <w:divBdr>
            <w:top w:val="none" w:sz="0" w:space="0" w:color="auto"/>
            <w:left w:val="none" w:sz="0" w:space="0" w:color="auto"/>
            <w:bottom w:val="none" w:sz="0" w:space="0" w:color="auto"/>
            <w:right w:val="none" w:sz="0" w:space="0" w:color="auto"/>
          </w:divBdr>
        </w:div>
        <w:div w:id="948272362">
          <w:marLeft w:val="0"/>
          <w:marRight w:val="0"/>
          <w:marTop w:val="0"/>
          <w:marBottom w:val="0"/>
          <w:divBdr>
            <w:top w:val="none" w:sz="0" w:space="0" w:color="auto"/>
            <w:left w:val="none" w:sz="0" w:space="0" w:color="auto"/>
            <w:bottom w:val="none" w:sz="0" w:space="0" w:color="auto"/>
            <w:right w:val="none" w:sz="0" w:space="0" w:color="auto"/>
          </w:divBdr>
        </w:div>
        <w:div w:id="1060861180">
          <w:marLeft w:val="0"/>
          <w:marRight w:val="0"/>
          <w:marTop w:val="0"/>
          <w:marBottom w:val="0"/>
          <w:divBdr>
            <w:top w:val="none" w:sz="0" w:space="0" w:color="auto"/>
            <w:left w:val="none" w:sz="0" w:space="0" w:color="auto"/>
            <w:bottom w:val="none" w:sz="0" w:space="0" w:color="auto"/>
            <w:right w:val="none" w:sz="0" w:space="0" w:color="auto"/>
          </w:divBdr>
        </w:div>
        <w:div w:id="135731570">
          <w:marLeft w:val="0"/>
          <w:marRight w:val="0"/>
          <w:marTop w:val="0"/>
          <w:marBottom w:val="0"/>
          <w:divBdr>
            <w:top w:val="none" w:sz="0" w:space="0" w:color="auto"/>
            <w:left w:val="none" w:sz="0" w:space="0" w:color="auto"/>
            <w:bottom w:val="none" w:sz="0" w:space="0" w:color="auto"/>
            <w:right w:val="none" w:sz="0" w:space="0" w:color="auto"/>
          </w:divBdr>
        </w:div>
        <w:div w:id="1080179930">
          <w:marLeft w:val="0"/>
          <w:marRight w:val="0"/>
          <w:marTop w:val="0"/>
          <w:marBottom w:val="0"/>
          <w:divBdr>
            <w:top w:val="none" w:sz="0" w:space="0" w:color="auto"/>
            <w:left w:val="none" w:sz="0" w:space="0" w:color="auto"/>
            <w:bottom w:val="none" w:sz="0" w:space="0" w:color="auto"/>
            <w:right w:val="none" w:sz="0" w:space="0" w:color="auto"/>
          </w:divBdr>
        </w:div>
        <w:div w:id="305597739">
          <w:marLeft w:val="0"/>
          <w:marRight w:val="0"/>
          <w:marTop w:val="0"/>
          <w:marBottom w:val="0"/>
          <w:divBdr>
            <w:top w:val="none" w:sz="0" w:space="0" w:color="auto"/>
            <w:left w:val="none" w:sz="0" w:space="0" w:color="auto"/>
            <w:bottom w:val="none" w:sz="0" w:space="0" w:color="auto"/>
            <w:right w:val="none" w:sz="0" w:space="0" w:color="auto"/>
          </w:divBdr>
        </w:div>
        <w:div w:id="782774621">
          <w:marLeft w:val="0"/>
          <w:marRight w:val="0"/>
          <w:marTop w:val="0"/>
          <w:marBottom w:val="0"/>
          <w:divBdr>
            <w:top w:val="none" w:sz="0" w:space="0" w:color="auto"/>
            <w:left w:val="none" w:sz="0" w:space="0" w:color="auto"/>
            <w:bottom w:val="none" w:sz="0" w:space="0" w:color="auto"/>
            <w:right w:val="none" w:sz="0" w:space="0" w:color="auto"/>
          </w:divBdr>
        </w:div>
        <w:div w:id="1148672192">
          <w:marLeft w:val="0"/>
          <w:marRight w:val="0"/>
          <w:marTop w:val="0"/>
          <w:marBottom w:val="0"/>
          <w:divBdr>
            <w:top w:val="none" w:sz="0" w:space="0" w:color="auto"/>
            <w:left w:val="none" w:sz="0" w:space="0" w:color="auto"/>
            <w:bottom w:val="none" w:sz="0" w:space="0" w:color="auto"/>
            <w:right w:val="none" w:sz="0" w:space="0" w:color="auto"/>
          </w:divBdr>
        </w:div>
        <w:div w:id="1385594656">
          <w:marLeft w:val="0"/>
          <w:marRight w:val="0"/>
          <w:marTop w:val="0"/>
          <w:marBottom w:val="0"/>
          <w:divBdr>
            <w:top w:val="none" w:sz="0" w:space="0" w:color="auto"/>
            <w:left w:val="none" w:sz="0" w:space="0" w:color="auto"/>
            <w:bottom w:val="none" w:sz="0" w:space="0" w:color="auto"/>
            <w:right w:val="none" w:sz="0" w:space="0" w:color="auto"/>
          </w:divBdr>
        </w:div>
        <w:div w:id="403990307">
          <w:marLeft w:val="0"/>
          <w:marRight w:val="0"/>
          <w:marTop w:val="0"/>
          <w:marBottom w:val="0"/>
          <w:divBdr>
            <w:top w:val="none" w:sz="0" w:space="0" w:color="auto"/>
            <w:left w:val="none" w:sz="0" w:space="0" w:color="auto"/>
            <w:bottom w:val="none" w:sz="0" w:space="0" w:color="auto"/>
            <w:right w:val="none" w:sz="0" w:space="0" w:color="auto"/>
          </w:divBdr>
        </w:div>
        <w:div w:id="1029070000">
          <w:marLeft w:val="0"/>
          <w:marRight w:val="0"/>
          <w:marTop w:val="0"/>
          <w:marBottom w:val="0"/>
          <w:divBdr>
            <w:top w:val="none" w:sz="0" w:space="0" w:color="auto"/>
            <w:left w:val="none" w:sz="0" w:space="0" w:color="auto"/>
            <w:bottom w:val="none" w:sz="0" w:space="0" w:color="auto"/>
            <w:right w:val="none" w:sz="0" w:space="0" w:color="auto"/>
          </w:divBdr>
        </w:div>
        <w:div w:id="17124714">
          <w:marLeft w:val="0"/>
          <w:marRight w:val="0"/>
          <w:marTop w:val="0"/>
          <w:marBottom w:val="0"/>
          <w:divBdr>
            <w:top w:val="none" w:sz="0" w:space="0" w:color="auto"/>
            <w:left w:val="none" w:sz="0" w:space="0" w:color="auto"/>
            <w:bottom w:val="none" w:sz="0" w:space="0" w:color="auto"/>
            <w:right w:val="none" w:sz="0" w:space="0" w:color="auto"/>
          </w:divBdr>
        </w:div>
        <w:div w:id="1979800263">
          <w:marLeft w:val="0"/>
          <w:marRight w:val="0"/>
          <w:marTop w:val="0"/>
          <w:marBottom w:val="0"/>
          <w:divBdr>
            <w:top w:val="none" w:sz="0" w:space="0" w:color="auto"/>
            <w:left w:val="none" w:sz="0" w:space="0" w:color="auto"/>
            <w:bottom w:val="none" w:sz="0" w:space="0" w:color="auto"/>
            <w:right w:val="none" w:sz="0" w:space="0" w:color="auto"/>
          </w:divBdr>
        </w:div>
        <w:div w:id="656610696">
          <w:marLeft w:val="0"/>
          <w:marRight w:val="0"/>
          <w:marTop w:val="0"/>
          <w:marBottom w:val="0"/>
          <w:divBdr>
            <w:top w:val="none" w:sz="0" w:space="0" w:color="auto"/>
            <w:left w:val="none" w:sz="0" w:space="0" w:color="auto"/>
            <w:bottom w:val="none" w:sz="0" w:space="0" w:color="auto"/>
            <w:right w:val="none" w:sz="0" w:space="0" w:color="auto"/>
          </w:divBdr>
        </w:div>
        <w:div w:id="171140776">
          <w:marLeft w:val="0"/>
          <w:marRight w:val="0"/>
          <w:marTop w:val="0"/>
          <w:marBottom w:val="0"/>
          <w:divBdr>
            <w:top w:val="none" w:sz="0" w:space="0" w:color="auto"/>
            <w:left w:val="none" w:sz="0" w:space="0" w:color="auto"/>
            <w:bottom w:val="none" w:sz="0" w:space="0" w:color="auto"/>
            <w:right w:val="none" w:sz="0" w:space="0" w:color="auto"/>
          </w:divBdr>
        </w:div>
        <w:div w:id="1631596591">
          <w:marLeft w:val="0"/>
          <w:marRight w:val="0"/>
          <w:marTop w:val="0"/>
          <w:marBottom w:val="0"/>
          <w:divBdr>
            <w:top w:val="none" w:sz="0" w:space="0" w:color="auto"/>
            <w:left w:val="none" w:sz="0" w:space="0" w:color="auto"/>
            <w:bottom w:val="none" w:sz="0" w:space="0" w:color="auto"/>
            <w:right w:val="none" w:sz="0" w:space="0" w:color="auto"/>
          </w:divBdr>
        </w:div>
        <w:div w:id="96488540">
          <w:marLeft w:val="0"/>
          <w:marRight w:val="0"/>
          <w:marTop w:val="0"/>
          <w:marBottom w:val="0"/>
          <w:divBdr>
            <w:top w:val="none" w:sz="0" w:space="0" w:color="auto"/>
            <w:left w:val="none" w:sz="0" w:space="0" w:color="auto"/>
            <w:bottom w:val="none" w:sz="0" w:space="0" w:color="auto"/>
            <w:right w:val="none" w:sz="0" w:space="0" w:color="auto"/>
          </w:divBdr>
        </w:div>
        <w:div w:id="33891148">
          <w:marLeft w:val="0"/>
          <w:marRight w:val="0"/>
          <w:marTop w:val="0"/>
          <w:marBottom w:val="0"/>
          <w:divBdr>
            <w:top w:val="none" w:sz="0" w:space="0" w:color="auto"/>
            <w:left w:val="none" w:sz="0" w:space="0" w:color="auto"/>
            <w:bottom w:val="none" w:sz="0" w:space="0" w:color="auto"/>
            <w:right w:val="none" w:sz="0" w:space="0" w:color="auto"/>
          </w:divBdr>
        </w:div>
        <w:div w:id="558899621">
          <w:marLeft w:val="0"/>
          <w:marRight w:val="0"/>
          <w:marTop w:val="0"/>
          <w:marBottom w:val="0"/>
          <w:divBdr>
            <w:top w:val="none" w:sz="0" w:space="0" w:color="auto"/>
            <w:left w:val="none" w:sz="0" w:space="0" w:color="auto"/>
            <w:bottom w:val="none" w:sz="0" w:space="0" w:color="auto"/>
            <w:right w:val="none" w:sz="0" w:space="0" w:color="auto"/>
          </w:divBdr>
        </w:div>
        <w:div w:id="1117218883">
          <w:marLeft w:val="0"/>
          <w:marRight w:val="0"/>
          <w:marTop w:val="0"/>
          <w:marBottom w:val="0"/>
          <w:divBdr>
            <w:top w:val="none" w:sz="0" w:space="0" w:color="auto"/>
            <w:left w:val="none" w:sz="0" w:space="0" w:color="auto"/>
            <w:bottom w:val="none" w:sz="0" w:space="0" w:color="auto"/>
            <w:right w:val="none" w:sz="0" w:space="0" w:color="auto"/>
          </w:divBdr>
        </w:div>
        <w:div w:id="55785494">
          <w:marLeft w:val="0"/>
          <w:marRight w:val="0"/>
          <w:marTop w:val="0"/>
          <w:marBottom w:val="0"/>
          <w:divBdr>
            <w:top w:val="none" w:sz="0" w:space="0" w:color="auto"/>
            <w:left w:val="none" w:sz="0" w:space="0" w:color="auto"/>
            <w:bottom w:val="none" w:sz="0" w:space="0" w:color="auto"/>
            <w:right w:val="none" w:sz="0" w:space="0" w:color="auto"/>
          </w:divBdr>
        </w:div>
        <w:div w:id="761415032">
          <w:marLeft w:val="0"/>
          <w:marRight w:val="0"/>
          <w:marTop w:val="0"/>
          <w:marBottom w:val="0"/>
          <w:divBdr>
            <w:top w:val="none" w:sz="0" w:space="0" w:color="auto"/>
            <w:left w:val="none" w:sz="0" w:space="0" w:color="auto"/>
            <w:bottom w:val="none" w:sz="0" w:space="0" w:color="auto"/>
            <w:right w:val="none" w:sz="0" w:space="0" w:color="auto"/>
          </w:divBdr>
        </w:div>
        <w:div w:id="1006901419">
          <w:marLeft w:val="0"/>
          <w:marRight w:val="0"/>
          <w:marTop w:val="0"/>
          <w:marBottom w:val="0"/>
          <w:divBdr>
            <w:top w:val="none" w:sz="0" w:space="0" w:color="auto"/>
            <w:left w:val="none" w:sz="0" w:space="0" w:color="auto"/>
            <w:bottom w:val="none" w:sz="0" w:space="0" w:color="auto"/>
            <w:right w:val="none" w:sz="0" w:space="0" w:color="auto"/>
          </w:divBdr>
        </w:div>
        <w:div w:id="1584798852">
          <w:marLeft w:val="0"/>
          <w:marRight w:val="0"/>
          <w:marTop w:val="0"/>
          <w:marBottom w:val="0"/>
          <w:divBdr>
            <w:top w:val="none" w:sz="0" w:space="0" w:color="auto"/>
            <w:left w:val="none" w:sz="0" w:space="0" w:color="auto"/>
            <w:bottom w:val="none" w:sz="0" w:space="0" w:color="auto"/>
            <w:right w:val="none" w:sz="0" w:space="0" w:color="auto"/>
          </w:divBdr>
        </w:div>
        <w:div w:id="2131194277">
          <w:marLeft w:val="0"/>
          <w:marRight w:val="0"/>
          <w:marTop w:val="0"/>
          <w:marBottom w:val="0"/>
          <w:divBdr>
            <w:top w:val="none" w:sz="0" w:space="0" w:color="auto"/>
            <w:left w:val="none" w:sz="0" w:space="0" w:color="auto"/>
            <w:bottom w:val="none" w:sz="0" w:space="0" w:color="auto"/>
            <w:right w:val="none" w:sz="0" w:space="0" w:color="auto"/>
          </w:divBdr>
        </w:div>
        <w:div w:id="2079478487">
          <w:marLeft w:val="0"/>
          <w:marRight w:val="0"/>
          <w:marTop w:val="0"/>
          <w:marBottom w:val="0"/>
          <w:divBdr>
            <w:top w:val="none" w:sz="0" w:space="0" w:color="auto"/>
            <w:left w:val="none" w:sz="0" w:space="0" w:color="auto"/>
            <w:bottom w:val="none" w:sz="0" w:space="0" w:color="auto"/>
            <w:right w:val="none" w:sz="0" w:space="0" w:color="auto"/>
          </w:divBdr>
        </w:div>
        <w:div w:id="490172386">
          <w:marLeft w:val="0"/>
          <w:marRight w:val="0"/>
          <w:marTop w:val="0"/>
          <w:marBottom w:val="0"/>
          <w:divBdr>
            <w:top w:val="none" w:sz="0" w:space="0" w:color="auto"/>
            <w:left w:val="none" w:sz="0" w:space="0" w:color="auto"/>
            <w:bottom w:val="none" w:sz="0" w:space="0" w:color="auto"/>
            <w:right w:val="none" w:sz="0" w:space="0" w:color="auto"/>
          </w:divBdr>
        </w:div>
        <w:div w:id="1341808435">
          <w:marLeft w:val="0"/>
          <w:marRight w:val="0"/>
          <w:marTop w:val="0"/>
          <w:marBottom w:val="0"/>
          <w:divBdr>
            <w:top w:val="none" w:sz="0" w:space="0" w:color="auto"/>
            <w:left w:val="none" w:sz="0" w:space="0" w:color="auto"/>
            <w:bottom w:val="none" w:sz="0" w:space="0" w:color="auto"/>
            <w:right w:val="none" w:sz="0" w:space="0" w:color="auto"/>
          </w:divBdr>
        </w:div>
        <w:div w:id="1393190076">
          <w:marLeft w:val="0"/>
          <w:marRight w:val="0"/>
          <w:marTop w:val="0"/>
          <w:marBottom w:val="0"/>
          <w:divBdr>
            <w:top w:val="none" w:sz="0" w:space="0" w:color="auto"/>
            <w:left w:val="none" w:sz="0" w:space="0" w:color="auto"/>
            <w:bottom w:val="none" w:sz="0" w:space="0" w:color="auto"/>
            <w:right w:val="none" w:sz="0" w:space="0" w:color="auto"/>
          </w:divBdr>
        </w:div>
        <w:div w:id="823400547">
          <w:marLeft w:val="0"/>
          <w:marRight w:val="0"/>
          <w:marTop w:val="0"/>
          <w:marBottom w:val="0"/>
          <w:divBdr>
            <w:top w:val="none" w:sz="0" w:space="0" w:color="auto"/>
            <w:left w:val="none" w:sz="0" w:space="0" w:color="auto"/>
            <w:bottom w:val="none" w:sz="0" w:space="0" w:color="auto"/>
            <w:right w:val="none" w:sz="0" w:space="0" w:color="auto"/>
          </w:divBdr>
        </w:div>
        <w:div w:id="249390547">
          <w:marLeft w:val="0"/>
          <w:marRight w:val="0"/>
          <w:marTop w:val="0"/>
          <w:marBottom w:val="0"/>
          <w:divBdr>
            <w:top w:val="none" w:sz="0" w:space="0" w:color="auto"/>
            <w:left w:val="none" w:sz="0" w:space="0" w:color="auto"/>
            <w:bottom w:val="none" w:sz="0" w:space="0" w:color="auto"/>
            <w:right w:val="none" w:sz="0" w:space="0" w:color="auto"/>
          </w:divBdr>
        </w:div>
        <w:div w:id="2121338919">
          <w:marLeft w:val="0"/>
          <w:marRight w:val="0"/>
          <w:marTop w:val="0"/>
          <w:marBottom w:val="0"/>
          <w:divBdr>
            <w:top w:val="none" w:sz="0" w:space="0" w:color="auto"/>
            <w:left w:val="none" w:sz="0" w:space="0" w:color="auto"/>
            <w:bottom w:val="none" w:sz="0" w:space="0" w:color="auto"/>
            <w:right w:val="none" w:sz="0" w:space="0" w:color="auto"/>
          </w:divBdr>
        </w:div>
        <w:div w:id="742797635">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1001/JAMA.2024.2197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fflores@puce.edu.ec" TargetMode="External"/><Relationship Id="rId17" Type="http://schemas.openxmlformats.org/officeDocument/2006/relationships/hyperlink" Target="https://doi.org/10.7189/jogh.11.04009" TargetMode="External"/><Relationship Id="rId2" Type="http://schemas.openxmlformats.org/officeDocument/2006/relationships/customXml" Target="../customXml/item2.xml"/><Relationship Id="rId16" Type="http://schemas.openxmlformats.org/officeDocument/2006/relationships/hyperlink" Target="http://ve.scielo.org/scielo.php?script=sci_arttext&amp;pid=S0535-51332012000400004&amp;lng=es&amp;nrm=iso&amp;tlng=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elorocio@gmail.com" TargetMode="External"/><Relationship Id="rId5" Type="http://schemas.openxmlformats.org/officeDocument/2006/relationships/numbering" Target="numbering.xml"/><Relationship Id="rId15" Type="http://schemas.openxmlformats.org/officeDocument/2006/relationships/hyperlink" Target="https://doi.org/10.1093/PTJ/PZAE10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1-0881-6173" TargetMode="External"/><Relationship Id="rId2" Type="http://schemas.openxmlformats.org/officeDocument/2006/relationships/hyperlink" Target="https://orcid.org/0009-0000-9057-9658" TargetMode="External"/><Relationship Id="rId1" Type="http://schemas.openxmlformats.org/officeDocument/2006/relationships/image" Target="media/image1.gif"/><Relationship Id="rId4" Type="http://schemas.openxmlformats.org/officeDocument/2006/relationships/hyperlink" Target="https://orcid.org/0000-0003-1574-826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cfcdc204-4e92-42c3-8531-a843731a3a7f"/>
    <ds:schemaRef ds:uri="http://schemas.microsoft.com/office/2006/metadata/properties"/>
    <ds:schemaRef ds:uri="http://schemas.microsoft.com/office/infopath/2007/PartnerControls"/>
    <ds:schemaRef ds:uri="8ed3e0dc-cd40-4c41-b3c6-5be0952fa030"/>
    <ds:schemaRef ds:uri="http://www.w3.org/XML/1998/namespace"/>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529949F8-1AA3-4A61-BB9B-CCD013C9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4918</Words>
  <Characters>27052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