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B70CD" w14:textId="2D2AC09E" w:rsidR="000B3179" w:rsidRDefault="00D00471" w:rsidP="00134741">
      <w:pPr>
        <w:pStyle w:val="NormalWeb"/>
        <w:spacing w:line="360" w:lineRule="auto"/>
        <w:jc w:val="center"/>
        <w:rPr>
          <w:rFonts w:ascii="Arial" w:hAnsi="Arial" w:cs="Arial"/>
          <w:b/>
          <w:bCs/>
          <w:color w:val="C45911" w:themeColor="accent2" w:themeShade="BF"/>
        </w:rPr>
      </w:pPr>
      <w:bookmarkStart w:id="0" w:name="_Hlk197112596"/>
      <w:bookmarkStart w:id="1" w:name="_Hlk197101359"/>
      <w:bookmarkStart w:id="2" w:name="_Hlk197093110"/>
      <w:bookmarkStart w:id="3" w:name="_Hlk197071050"/>
      <w:bookmarkStart w:id="4" w:name="_Hlk197081851"/>
      <w:bookmarkStart w:id="5" w:name="_Hlk145952311"/>
      <w:r>
        <w:rPr>
          <w:rFonts w:ascii="Arial" w:hAnsi="Arial" w:cs="Arial"/>
          <w:b/>
          <w:bCs/>
          <w:color w:val="C45911" w:themeColor="accent2" w:themeShade="BF"/>
        </w:rPr>
        <w:t>T</w:t>
      </w:r>
      <w:r w:rsidRPr="000B3179">
        <w:rPr>
          <w:rFonts w:ascii="Arial" w:hAnsi="Arial" w:cs="Arial"/>
          <w:b/>
          <w:bCs/>
          <w:color w:val="C45911" w:themeColor="accent2" w:themeShade="BF"/>
        </w:rPr>
        <w:t xml:space="preserve">endencia en la producción científica con relación a la economía de la salud en </w:t>
      </w:r>
      <w:r>
        <w:rPr>
          <w:rFonts w:ascii="Arial" w:hAnsi="Arial" w:cs="Arial"/>
          <w:b/>
          <w:bCs/>
          <w:color w:val="C45911" w:themeColor="accent2" w:themeShade="BF"/>
        </w:rPr>
        <w:t>C</w:t>
      </w:r>
      <w:r w:rsidRPr="000B3179">
        <w:rPr>
          <w:rFonts w:ascii="Arial" w:hAnsi="Arial" w:cs="Arial"/>
          <w:b/>
          <w:bCs/>
          <w:color w:val="C45911" w:themeColor="accent2" w:themeShade="BF"/>
        </w:rPr>
        <w:t>olombia</w:t>
      </w:r>
    </w:p>
    <w:bookmarkEnd w:id="0"/>
    <w:p w14:paraId="2CE30EB5" w14:textId="537CB10B" w:rsidR="000B3179" w:rsidRPr="000B3179" w:rsidRDefault="000B3179" w:rsidP="00134741">
      <w:pPr>
        <w:pStyle w:val="NormalWeb"/>
        <w:spacing w:line="360" w:lineRule="auto"/>
        <w:jc w:val="center"/>
        <w:rPr>
          <w:rFonts w:ascii="Arial" w:hAnsi="Arial" w:cs="Arial"/>
          <w:b/>
          <w:bCs/>
          <w:color w:val="C45911" w:themeColor="accent2" w:themeShade="BF"/>
          <w:lang w:val="en-US"/>
        </w:rPr>
      </w:pPr>
      <w:r w:rsidRPr="000B3179">
        <w:rPr>
          <w:rFonts w:ascii="Arial" w:hAnsi="Arial" w:cs="Arial"/>
          <w:b/>
          <w:bCs/>
          <w:color w:val="C45911" w:themeColor="accent2" w:themeShade="BF"/>
          <w:lang w:val="en-US"/>
        </w:rPr>
        <w:t>T</w:t>
      </w:r>
      <w:r w:rsidR="00D00471" w:rsidRPr="000B3179">
        <w:rPr>
          <w:rFonts w:ascii="Arial" w:hAnsi="Arial" w:cs="Arial"/>
          <w:b/>
          <w:bCs/>
          <w:color w:val="C45911" w:themeColor="accent2" w:themeShade="BF"/>
          <w:lang w:val="en-US"/>
        </w:rPr>
        <w:t xml:space="preserve">rends in scientific production related to health economy in </w:t>
      </w:r>
      <w:r w:rsidR="00D00471">
        <w:rPr>
          <w:rFonts w:ascii="Arial" w:hAnsi="Arial" w:cs="Arial"/>
          <w:b/>
          <w:bCs/>
          <w:color w:val="C45911" w:themeColor="accent2" w:themeShade="BF"/>
          <w:lang w:val="en-US"/>
        </w:rPr>
        <w:t>C</w:t>
      </w:r>
      <w:r w:rsidR="00D00471" w:rsidRPr="000B3179">
        <w:rPr>
          <w:rFonts w:ascii="Arial" w:hAnsi="Arial" w:cs="Arial"/>
          <w:b/>
          <w:bCs/>
          <w:color w:val="C45911" w:themeColor="accent2" w:themeShade="BF"/>
          <w:lang w:val="en-US"/>
        </w:rPr>
        <w:t>olombia</w:t>
      </w:r>
    </w:p>
    <w:p w14:paraId="2477E6E9" w14:textId="006257A8" w:rsidR="00045E66" w:rsidRPr="009E49C2" w:rsidRDefault="00F12987" w:rsidP="002116E0">
      <w:pPr>
        <w:pStyle w:val="NormalWeb"/>
        <w:spacing w:before="0" w:beforeAutospacing="0" w:after="0" w:afterAutospacing="0"/>
        <w:jc w:val="right"/>
        <w:rPr>
          <w:rFonts w:ascii="Arial" w:hAnsi="Arial" w:cs="Arial"/>
        </w:rPr>
      </w:pPr>
      <w:bookmarkStart w:id="6" w:name="_Hlk197101594"/>
      <w:bookmarkEnd w:id="1"/>
      <w:bookmarkEnd w:id="2"/>
      <w:bookmarkEnd w:id="3"/>
      <w:bookmarkEnd w:id="4"/>
      <w:r w:rsidRPr="009E49C2">
        <w:rPr>
          <w:rFonts w:ascii="Arial" w:hAnsi="Arial" w:cs="Arial"/>
        </w:rPr>
        <w:t>Lina-Yasmín Montaño-Ramírez</w:t>
      </w:r>
      <w:bookmarkEnd w:id="6"/>
      <w:r w:rsidR="008B554A" w:rsidRPr="009E49C2">
        <w:rPr>
          <w:rStyle w:val="Refdenotaalpie"/>
          <w:rFonts w:ascii="Arial" w:hAnsi="Arial" w:cs="Arial"/>
        </w:rPr>
        <w:footnoteReference w:id="1"/>
      </w:r>
    </w:p>
    <w:p w14:paraId="652BB643" w14:textId="4F42ECED" w:rsidR="00A91A83" w:rsidRPr="009E49C2" w:rsidRDefault="00F12987" w:rsidP="002116E0">
      <w:pPr>
        <w:pStyle w:val="NormalWeb"/>
        <w:spacing w:before="0" w:beforeAutospacing="0" w:after="0" w:afterAutospacing="0"/>
        <w:jc w:val="right"/>
        <w:rPr>
          <w:rFonts w:ascii="Arial" w:hAnsi="Arial" w:cs="Arial"/>
        </w:rPr>
      </w:pPr>
      <w:bookmarkStart w:id="7" w:name="_Hlk197109385"/>
      <w:r w:rsidRPr="009E49C2">
        <w:rPr>
          <w:rFonts w:ascii="Arial" w:hAnsi="Arial" w:cs="Arial"/>
        </w:rPr>
        <w:t>Institución Universitaria Antonio José Camacho</w:t>
      </w:r>
    </w:p>
    <w:p w14:paraId="1AB59735" w14:textId="4243AC6D" w:rsidR="00A91A83" w:rsidRPr="009E49C2" w:rsidRDefault="00F12987" w:rsidP="002116E0">
      <w:pPr>
        <w:pStyle w:val="NormalWeb"/>
        <w:spacing w:before="0" w:beforeAutospacing="0" w:after="0" w:afterAutospacing="0"/>
        <w:jc w:val="right"/>
        <w:rPr>
          <w:rFonts w:ascii="Arial" w:hAnsi="Arial" w:cs="Arial"/>
        </w:rPr>
      </w:pPr>
      <w:r w:rsidRPr="009E49C2">
        <w:rPr>
          <w:rFonts w:ascii="Arial" w:hAnsi="Arial" w:cs="Arial"/>
        </w:rPr>
        <w:t>Cali, Colombia</w:t>
      </w:r>
    </w:p>
    <w:bookmarkEnd w:id="7"/>
    <w:p w14:paraId="41D84668" w14:textId="4514C81E" w:rsidR="00A91A83" w:rsidRPr="0093204C" w:rsidRDefault="00A51C74" w:rsidP="002116E0">
      <w:pPr>
        <w:pStyle w:val="NormalWeb"/>
        <w:spacing w:before="0" w:beforeAutospacing="0" w:after="0" w:afterAutospacing="0"/>
        <w:jc w:val="right"/>
        <w:rPr>
          <w:rStyle w:val="Hipervnculo"/>
          <w:rFonts w:ascii="Arial" w:hAnsi="Arial" w:cs="Arial"/>
          <w:color w:val="002060"/>
        </w:rPr>
      </w:pPr>
      <w:r w:rsidRPr="0093204C">
        <w:fldChar w:fldCharType="begin"/>
      </w:r>
      <w:r w:rsidRPr="0093204C">
        <w:rPr>
          <w:rFonts w:ascii="Arial" w:hAnsi="Arial" w:cs="Arial"/>
          <w:color w:val="002060"/>
        </w:rPr>
        <w:instrText xml:space="preserve"> HYPERLINK "mailto:lmontano@estudiante.uniajc.edu.co" </w:instrText>
      </w:r>
      <w:r w:rsidRPr="0093204C">
        <w:fldChar w:fldCharType="separate"/>
      </w:r>
      <w:r w:rsidRPr="0093204C">
        <w:rPr>
          <w:rStyle w:val="Hipervnculo"/>
          <w:rFonts w:ascii="Arial" w:hAnsi="Arial" w:cs="Arial"/>
          <w:color w:val="002060"/>
          <w:lang w:val="es-ES"/>
        </w:rPr>
        <w:t>lmontano@estudiante.uniajc.edu.co</w:t>
      </w:r>
      <w:r w:rsidRPr="0093204C">
        <w:rPr>
          <w:rStyle w:val="Hipervnculo"/>
          <w:rFonts w:ascii="Arial" w:hAnsi="Arial" w:cs="Arial"/>
          <w:color w:val="002060"/>
          <w:lang w:val="es-ES"/>
        </w:rPr>
        <w:fldChar w:fldCharType="end"/>
      </w:r>
      <w:r w:rsidR="005665D1" w:rsidRPr="0093204C">
        <w:rPr>
          <w:rStyle w:val="Hipervnculo"/>
          <w:rFonts w:ascii="Arial" w:hAnsi="Arial" w:cs="Arial"/>
          <w:color w:val="002060"/>
        </w:rPr>
        <w:t xml:space="preserve"> </w:t>
      </w:r>
    </w:p>
    <w:p w14:paraId="752D6974" w14:textId="6A338ADD" w:rsidR="00CC7344" w:rsidRPr="009E49C2" w:rsidRDefault="00CC7344" w:rsidP="002116E0">
      <w:pPr>
        <w:pStyle w:val="NormalWeb"/>
        <w:spacing w:before="0" w:beforeAutospacing="0" w:after="0" w:afterAutospacing="0"/>
        <w:jc w:val="right"/>
        <w:rPr>
          <w:rFonts w:ascii="Arial" w:hAnsi="Arial" w:cs="Arial"/>
        </w:rPr>
      </w:pPr>
    </w:p>
    <w:p w14:paraId="566326B6" w14:textId="7C690CE8" w:rsidR="00CC7344" w:rsidRPr="009E49C2" w:rsidRDefault="00CC7344" w:rsidP="002116E0">
      <w:pPr>
        <w:pStyle w:val="NormalWeb"/>
        <w:spacing w:before="0" w:beforeAutospacing="0" w:after="0" w:afterAutospacing="0"/>
        <w:jc w:val="right"/>
        <w:rPr>
          <w:rFonts w:ascii="Arial" w:hAnsi="Arial" w:cs="Arial"/>
        </w:rPr>
      </w:pPr>
      <w:bookmarkStart w:id="8" w:name="_Hlk197112876"/>
      <w:r w:rsidRPr="009E49C2">
        <w:rPr>
          <w:rFonts w:ascii="Arial" w:hAnsi="Arial" w:cs="Arial"/>
        </w:rPr>
        <w:t>Oscar-Marino López-Mallama</w:t>
      </w:r>
      <w:bookmarkEnd w:id="8"/>
      <w:r w:rsidR="00DA5531">
        <w:rPr>
          <w:rStyle w:val="Refdenotaalpie"/>
          <w:rFonts w:ascii="Arial" w:hAnsi="Arial" w:cs="Arial"/>
        </w:rPr>
        <w:footnoteReference w:id="2"/>
      </w:r>
    </w:p>
    <w:p w14:paraId="558814BD" w14:textId="77777777" w:rsidR="002116E0" w:rsidRPr="009E49C2" w:rsidRDefault="002116E0" w:rsidP="002116E0">
      <w:pPr>
        <w:pStyle w:val="NormalWeb"/>
        <w:spacing w:before="0" w:beforeAutospacing="0" w:after="0" w:afterAutospacing="0"/>
        <w:jc w:val="right"/>
        <w:rPr>
          <w:rFonts w:ascii="Arial" w:hAnsi="Arial" w:cs="Arial"/>
        </w:rPr>
      </w:pPr>
      <w:r w:rsidRPr="009E49C2">
        <w:rPr>
          <w:rFonts w:ascii="Arial" w:hAnsi="Arial" w:cs="Arial"/>
        </w:rPr>
        <w:t>Institución Universitaria Antonio José Camacho</w:t>
      </w:r>
    </w:p>
    <w:p w14:paraId="3C81CD05" w14:textId="08757583" w:rsidR="002116E0" w:rsidRPr="009E49C2" w:rsidRDefault="002116E0" w:rsidP="002116E0">
      <w:pPr>
        <w:pStyle w:val="NormalWeb"/>
        <w:spacing w:before="0" w:beforeAutospacing="0" w:after="0" w:afterAutospacing="0"/>
        <w:jc w:val="right"/>
        <w:rPr>
          <w:rFonts w:ascii="Arial" w:hAnsi="Arial" w:cs="Arial"/>
        </w:rPr>
      </w:pPr>
      <w:r w:rsidRPr="009E49C2">
        <w:rPr>
          <w:rFonts w:ascii="Arial" w:hAnsi="Arial" w:cs="Arial"/>
        </w:rPr>
        <w:t>Cali, Colombia</w:t>
      </w:r>
    </w:p>
    <w:p w14:paraId="1D29DDC9" w14:textId="4B1FD6A2" w:rsidR="009E49C2" w:rsidRPr="0093204C" w:rsidRDefault="00B05CBB" w:rsidP="002116E0">
      <w:pPr>
        <w:pStyle w:val="NormalWeb"/>
        <w:spacing w:before="0" w:beforeAutospacing="0" w:after="0" w:afterAutospacing="0"/>
        <w:jc w:val="right"/>
        <w:rPr>
          <w:rFonts w:ascii="Arial" w:hAnsi="Arial" w:cs="Arial"/>
          <w:color w:val="002060"/>
        </w:rPr>
      </w:pPr>
      <w:hyperlink r:id="rId11" w:history="1">
        <w:r w:rsidR="009E49C2" w:rsidRPr="0093204C">
          <w:rPr>
            <w:rStyle w:val="Hipervnculo"/>
            <w:rFonts w:ascii="Arial" w:hAnsi="Arial" w:cs="Arial"/>
            <w:color w:val="002060"/>
            <w:lang w:val="es-ES"/>
          </w:rPr>
          <w:t>omarinolopez@admon.uniajc.edu.co</w:t>
        </w:r>
      </w:hyperlink>
    </w:p>
    <w:p w14:paraId="22C85CDF" w14:textId="77777777" w:rsidR="00D24E57" w:rsidRPr="0093204C" w:rsidRDefault="00D24E57" w:rsidP="002116E0">
      <w:pPr>
        <w:pStyle w:val="NormalWeb"/>
        <w:spacing w:before="0" w:beforeAutospacing="0" w:after="0" w:afterAutospacing="0"/>
        <w:jc w:val="right"/>
        <w:rPr>
          <w:rFonts w:ascii="Arial" w:hAnsi="Arial" w:cs="Arial"/>
          <w:bCs/>
          <w:color w:val="002060"/>
          <w:u w:val="single"/>
        </w:rPr>
      </w:pPr>
    </w:p>
    <w:p w14:paraId="1049EAB4" w14:textId="43797FD0" w:rsidR="00134741" w:rsidRPr="006426BE" w:rsidRDefault="00134741" w:rsidP="00D24E57">
      <w:pPr>
        <w:pStyle w:val="NormalWeb"/>
        <w:spacing w:before="0" w:beforeAutospacing="0" w:after="0" w:afterAutospacing="0" w:line="276" w:lineRule="auto"/>
        <w:jc w:val="center"/>
        <w:rPr>
          <w:rFonts w:ascii="Arial" w:hAnsi="Arial" w:cs="Arial"/>
          <w:bCs/>
          <w:color w:val="002060"/>
          <w:u w:val="single"/>
        </w:rPr>
      </w:pPr>
      <w:r w:rsidRPr="006426BE">
        <w:rPr>
          <w:rFonts w:ascii="Arial" w:hAnsi="Arial" w:cs="Arial"/>
          <w:bCs/>
          <w:color w:val="002060"/>
          <w:u w:val="single"/>
        </w:rPr>
        <w:t>DOI: http://dx.doi.org/10.22458/caes.v16i1.</w:t>
      </w:r>
      <w:r w:rsidR="00FB073F" w:rsidRPr="006426BE">
        <w:rPr>
          <w:rFonts w:ascii="Arial" w:hAnsi="Arial" w:cs="Arial"/>
          <w:bCs/>
          <w:color w:val="002060"/>
          <w:u w:val="single"/>
        </w:rPr>
        <w:t>5817</w:t>
      </w:r>
    </w:p>
    <w:p w14:paraId="3D30825C" w14:textId="77777777" w:rsidR="00A6025E" w:rsidRPr="006426BE" w:rsidRDefault="00A6025E" w:rsidP="00134741">
      <w:pPr>
        <w:tabs>
          <w:tab w:val="left" w:pos="5865"/>
        </w:tabs>
        <w:spacing w:line="276" w:lineRule="auto"/>
        <w:jc w:val="center"/>
        <w:rPr>
          <w:rFonts w:ascii="Arial" w:hAnsi="Arial" w:cs="Arial"/>
          <w:bCs/>
        </w:rPr>
      </w:pPr>
    </w:p>
    <w:p w14:paraId="0AA83A79" w14:textId="01232AE0" w:rsidR="00134741" w:rsidRDefault="00134741" w:rsidP="00134741">
      <w:pPr>
        <w:tabs>
          <w:tab w:val="left" w:pos="5865"/>
        </w:tabs>
        <w:spacing w:line="276" w:lineRule="auto"/>
        <w:jc w:val="center"/>
        <w:rPr>
          <w:rFonts w:ascii="Arial" w:hAnsi="Arial" w:cs="Arial"/>
          <w:bCs/>
        </w:rPr>
      </w:pPr>
      <w:r>
        <w:rPr>
          <w:rFonts w:ascii="Arial" w:hAnsi="Arial" w:cs="Arial"/>
          <w:bCs/>
        </w:rPr>
        <w:t>Volumen 16, Número 1</w:t>
      </w:r>
    </w:p>
    <w:p w14:paraId="72D7E3C2" w14:textId="77777777" w:rsidR="00134741" w:rsidRDefault="00134741" w:rsidP="00134741">
      <w:pPr>
        <w:tabs>
          <w:tab w:val="left" w:pos="5865"/>
        </w:tabs>
        <w:spacing w:line="276" w:lineRule="auto"/>
        <w:jc w:val="center"/>
        <w:rPr>
          <w:rFonts w:ascii="Arial" w:hAnsi="Arial" w:cs="Arial"/>
          <w:bCs/>
        </w:rPr>
      </w:pPr>
      <w:r>
        <w:rPr>
          <w:rFonts w:ascii="Arial" w:hAnsi="Arial" w:cs="Arial"/>
          <w:bCs/>
        </w:rPr>
        <w:t>30 de mayo de 2025</w:t>
      </w:r>
    </w:p>
    <w:p w14:paraId="1417FEB5" w14:textId="3108BF7F" w:rsidR="00134741" w:rsidRPr="00E96DEC" w:rsidRDefault="00134741" w:rsidP="00E96DEC">
      <w:pPr>
        <w:tabs>
          <w:tab w:val="left" w:pos="5865"/>
        </w:tabs>
        <w:spacing w:line="276" w:lineRule="auto"/>
        <w:jc w:val="center"/>
        <w:rPr>
          <w:rFonts w:ascii="Arial" w:hAnsi="Arial" w:cs="Arial"/>
          <w:bCs/>
        </w:rPr>
      </w:pPr>
      <w:r w:rsidRPr="001A2EAA">
        <w:rPr>
          <w:rFonts w:ascii="Arial" w:hAnsi="Arial" w:cs="Arial"/>
          <w:bCs/>
        </w:rPr>
        <w:t xml:space="preserve">pp. </w:t>
      </w:r>
      <w:r w:rsidR="009E3DBE">
        <w:rPr>
          <w:rFonts w:ascii="Arial" w:hAnsi="Arial" w:cs="Arial"/>
          <w:bCs/>
        </w:rPr>
        <w:t>11</w:t>
      </w:r>
      <w:r w:rsidR="005718CC">
        <w:rPr>
          <w:rFonts w:ascii="Arial" w:hAnsi="Arial" w:cs="Arial"/>
          <w:bCs/>
        </w:rPr>
        <w:t>0-</w:t>
      </w:r>
      <w:r w:rsidR="00752F9F">
        <w:rPr>
          <w:rFonts w:ascii="Arial" w:hAnsi="Arial" w:cs="Arial"/>
          <w:bCs/>
        </w:rPr>
        <w:t>150</w:t>
      </w:r>
    </w:p>
    <w:p w14:paraId="7FD08BB6" w14:textId="77777777" w:rsidR="00342643" w:rsidRDefault="00342643" w:rsidP="006D3FA8">
      <w:pPr>
        <w:tabs>
          <w:tab w:val="left" w:pos="5865"/>
        </w:tabs>
        <w:spacing w:line="276" w:lineRule="auto"/>
        <w:jc w:val="both"/>
        <w:rPr>
          <w:rFonts w:ascii="Arial" w:hAnsi="Arial" w:cs="Arial"/>
          <w:bCs/>
        </w:rPr>
      </w:pPr>
    </w:p>
    <w:p w14:paraId="1726F9D0" w14:textId="08C23FD0" w:rsidR="00342643" w:rsidRDefault="00134741" w:rsidP="006D3FA8">
      <w:pPr>
        <w:tabs>
          <w:tab w:val="left" w:pos="5865"/>
        </w:tabs>
        <w:spacing w:line="276" w:lineRule="auto"/>
        <w:jc w:val="both"/>
        <w:rPr>
          <w:rFonts w:ascii="Arial" w:hAnsi="Arial" w:cs="Arial"/>
          <w:bCs/>
        </w:rPr>
      </w:pPr>
      <w:r w:rsidRPr="00CB3836">
        <w:rPr>
          <w:rFonts w:ascii="Arial" w:hAnsi="Arial" w:cs="Arial"/>
          <w:bCs/>
        </w:rPr>
        <w:t>Recibido: 01 de octubre de 2024</w:t>
      </w:r>
      <w:r w:rsidR="00EE78DD">
        <w:rPr>
          <w:rFonts w:ascii="Arial" w:hAnsi="Arial" w:cs="Arial"/>
          <w:bCs/>
        </w:rPr>
        <w:t xml:space="preserve">              </w:t>
      </w:r>
      <w:r w:rsidR="00606630">
        <w:rPr>
          <w:rFonts w:ascii="Arial" w:hAnsi="Arial" w:cs="Arial"/>
          <w:bCs/>
        </w:rPr>
        <w:t xml:space="preserve"> </w:t>
      </w:r>
    </w:p>
    <w:p w14:paraId="6C3FE838" w14:textId="77777777" w:rsidR="00B14A6F" w:rsidRDefault="00B14A6F" w:rsidP="006D3FA8">
      <w:pPr>
        <w:tabs>
          <w:tab w:val="left" w:pos="5865"/>
        </w:tabs>
        <w:spacing w:line="276" w:lineRule="auto"/>
        <w:jc w:val="both"/>
        <w:rPr>
          <w:rFonts w:ascii="Arial" w:hAnsi="Arial" w:cs="Arial"/>
          <w:bCs/>
        </w:rPr>
      </w:pPr>
    </w:p>
    <w:p w14:paraId="79C539F4" w14:textId="40112186" w:rsidR="00EE78DD" w:rsidRDefault="00EE78DD" w:rsidP="006D3FA8">
      <w:pPr>
        <w:tabs>
          <w:tab w:val="left" w:pos="5865"/>
        </w:tabs>
        <w:spacing w:line="276" w:lineRule="auto"/>
        <w:jc w:val="both"/>
        <w:rPr>
          <w:rFonts w:ascii="Arial" w:hAnsi="Arial" w:cs="Arial"/>
          <w:bCs/>
        </w:rPr>
      </w:pPr>
      <w:r w:rsidRPr="00CB3836">
        <w:rPr>
          <w:rFonts w:ascii="Arial" w:hAnsi="Arial" w:cs="Arial"/>
          <w:bCs/>
        </w:rPr>
        <w:t>Aprobado: 30 de enero de 2025</w:t>
      </w:r>
    </w:p>
    <w:p w14:paraId="05A6C705" w14:textId="77777777" w:rsidR="0056480E" w:rsidRDefault="0056480E" w:rsidP="004E55A8">
      <w:pPr>
        <w:spacing w:line="360" w:lineRule="auto"/>
        <w:jc w:val="both"/>
        <w:rPr>
          <w:rFonts w:ascii="Arial" w:hAnsi="Arial" w:cs="Arial"/>
          <w:b/>
          <w:lang w:val="es-ES" w:eastAsia="ja-JP"/>
        </w:rPr>
      </w:pPr>
    </w:p>
    <w:p w14:paraId="5B252096" w14:textId="77777777" w:rsidR="00F61BAE" w:rsidRDefault="00DC3DA3" w:rsidP="00CD71E3">
      <w:pPr>
        <w:spacing w:line="360" w:lineRule="auto"/>
        <w:jc w:val="both"/>
        <w:rPr>
          <w:rFonts w:ascii="Arial" w:hAnsi="Arial" w:cs="Arial"/>
          <w:lang w:val="es-ES"/>
        </w:rPr>
      </w:pPr>
      <w:r w:rsidRPr="00CD71E3">
        <w:rPr>
          <w:rFonts w:ascii="Arial" w:hAnsi="Arial" w:cs="Arial"/>
          <w:b/>
          <w:lang w:val="es-ES" w:eastAsia="ja-JP"/>
        </w:rPr>
        <w:lastRenderedPageBreak/>
        <w:t>RESUMEN</w:t>
      </w:r>
      <w:r w:rsidR="006F48A6" w:rsidRPr="00CD71E3">
        <w:rPr>
          <w:rFonts w:ascii="Arial" w:hAnsi="Arial" w:cs="Arial"/>
          <w:b/>
          <w:lang w:val="es-ES" w:eastAsia="ja-JP"/>
        </w:rPr>
        <w:t xml:space="preserve">: </w:t>
      </w:r>
      <w:r w:rsidR="009D27D7" w:rsidRPr="00CD71E3">
        <w:rPr>
          <w:rFonts w:ascii="Arial" w:hAnsi="Arial" w:cs="Arial"/>
          <w:lang w:val="es-ES"/>
        </w:rPr>
        <w:t>En todo el mundo, los sistemas de salud han dado prioridad a la mejo</w:t>
      </w:r>
      <w:bookmarkStart w:id="9" w:name="_GoBack"/>
      <w:bookmarkEnd w:id="9"/>
      <w:r w:rsidR="009D27D7" w:rsidRPr="00CD71E3">
        <w:rPr>
          <w:rFonts w:ascii="Arial" w:hAnsi="Arial" w:cs="Arial"/>
          <w:lang w:val="es-ES"/>
        </w:rPr>
        <w:t xml:space="preserve">ra del desempeño y la calidad de los servicios de salud a través de políticas públicas específicas. Esto ha generado la necesidad de reformar los modelos sanitarios existentes con el fin de mejorar la gestión y centrarse en la creación de sistemas de salud que sean de alta calidad, seguros y eficientes. Este estudio tiene como objetivo resumir la literatura relacionada con la Economía de la Salud en Colombia mediante un análisis bibliométrico. Se examinaron 103 documentos sobre el tema extraídos de </w:t>
      </w:r>
      <w:proofErr w:type="spellStart"/>
      <w:r w:rsidR="009D27D7" w:rsidRPr="00CD71E3">
        <w:rPr>
          <w:rFonts w:ascii="Arial" w:hAnsi="Arial" w:cs="Arial"/>
          <w:lang w:val="es-ES"/>
        </w:rPr>
        <w:t>Scopus</w:t>
      </w:r>
      <w:proofErr w:type="spellEnd"/>
      <w:r w:rsidR="009D27D7" w:rsidRPr="00CD71E3">
        <w:rPr>
          <w:rFonts w:ascii="Arial" w:hAnsi="Arial" w:cs="Arial"/>
          <w:lang w:val="es-ES"/>
        </w:rPr>
        <w:t xml:space="preserve">, y se crearon indicadores para identificar el progreso de la creación científica, las revistas, los autores y las organizaciones más relevantes, los países con mayor producción, las redes de acoplamiento bibliográfico, los términos más utilizados y las futuras líneas de investigación. </w:t>
      </w:r>
    </w:p>
    <w:p w14:paraId="0D4CFCA4" w14:textId="77777777" w:rsidR="00F61BAE" w:rsidRDefault="00F61BAE" w:rsidP="00CD71E3">
      <w:pPr>
        <w:spacing w:line="360" w:lineRule="auto"/>
        <w:jc w:val="both"/>
        <w:rPr>
          <w:rFonts w:ascii="Arial" w:hAnsi="Arial" w:cs="Arial"/>
          <w:lang w:val="es-ES"/>
        </w:rPr>
      </w:pPr>
    </w:p>
    <w:p w14:paraId="4605EBFF" w14:textId="3A5FEE7D" w:rsidR="009D27D7" w:rsidRPr="00CD71E3" w:rsidRDefault="009D27D7" w:rsidP="00CD71E3">
      <w:pPr>
        <w:spacing w:line="360" w:lineRule="auto"/>
        <w:jc w:val="both"/>
        <w:rPr>
          <w:rFonts w:ascii="Arial" w:hAnsi="Arial" w:cs="Arial"/>
          <w:lang w:val="es-ES"/>
        </w:rPr>
      </w:pPr>
      <w:r w:rsidRPr="00CD71E3">
        <w:rPr>
          <w:rFonts w:ascii="Arial" w:hAnsi="Arial" w:cs="Arial"/>
          <w:lang w:val="es-ES"/>
        </w:rPr>
        <w:t>Los resultados revelaron que las publicaciones se han venido presentando desde 1975, alcanzando su punto máximo en 2023. Además, se identificaron 5 clústeres que pueden orientar futuras investigaciones al reconocer las tendencias científicas emergentes.</w:t>
      </w:r>
    </w:p>
    <w:p w14:paraId="04D0856C" w14:textId="4E9B33C9" w:rsidR="009D27D7" w:rsidRPr="00CD71E3" w:rsidRDefault="009D27D7" w:rsidP="00CD71E3">
      <w:pPr>
        <w:spacing w:line="360" w:lineRule="auto"/>
        <w:jc w:val="both"/>
        <w:rPr>
          <w:rFonts w:ascii="Arial" w:hAnsi="Arial" w:cs="Arial"/>
          <w:lang w:val="es-ES" w:eastAsia="ja-JP"/>
        </w:rPr>
      </w:pPr>
    </w:p>
    <w:p w14:paraId="331E7EA9" w14:textId="6A913F2B" w:rsidR="009D27D7" w:rsidRPr="00CD71E3" w:rsidRDefault="009D27D7" w:rsidP="00CD71E3">
      <w:pPr>
        <w:spacing w:line="360" w:lineRule="auto"/>
        <w:jc w:val="both"/>
        <w:rPr>
          <w:rFonts w:ascii="Arial" w:hAnsi="Arial" w:cs="Arial"/>
          <w:lang w:val="es-ES" w:eastAsia="ja-JP"/>
        </w:rPr>
      </w:pPr>
      <w:r w:rsidRPr="00CD71E3">
        <w:rPr>
          <w:rFonts w:ascii="Arial" w:hAnsi="Arial" w:cs="Arial"/>
          <w:b/>
          <w:lang w:val="es-ES" w:eastAsia="ja-JP"/>
        </w:rPr>
        <w:t xml:space="preserve">Palabras </w:t>
      </w:r>
      <w:r w:rsidRPr="00CD71E3">
        <w:rPr>
          <w:rFonts w:ascii="Arial" w:hAnsi="Arial" w:cs="Arial"/>
          <w:b/>
        </w:rPr>
        <w:t>clave:</w:t>
      </w:r>
      <w:r w:rsidRPr="00CD71E3">
        <w:rPr>
          <w:rFonts w:ascii="Arial" w:hAnsi="Arial" w:cs="Arial"/>
        </w:rPr>
        <w:t xml:space="preserve"> Economía de la Salud; Economía y Organizaciones para la Atención de la Salud; Bibliometría; </w:t>
      </w:r>
      <w:proofErr w:type="spellStart"/>
      <w:r w:rsidRPr="00CD71E3">
        <w:rPr>
          <w:rFonts w:ascii="Arial" w:hAnsi="Arial" w:cs="Arial"/>
        </w:rPr>
        <w:t>VOSviewer</w:t>
      </w:r>
      <w:proofErr w:type="spellEnd"/>
      <w:r w:rsidRPr="00CD71E3">
        <w:rPr>
          <w:rFonts w:ascii="Arial" w:hAnsi="Arial" w:cs="Arial"/>
        </w:rPr>
        <w:t xml:space="preserve">; </w:t>
      </w:r>
      <w:proofErr w:type="spellStart"/>
      <w:r w:rsidRPr="00CD71E3">
        <w:rPr>
          <w:rFonts w:ascii="Arial" w:hAnsi="Arial" w:cs="Arial"/>
        </w:rPr>
        <w:t>Scopus</w:t>
      </w:r>
      <w:proofErr w:type="spellEnd"/>
      <w:r w:rsidRPr="00CD71E3">
        <w:rPr>
          <w:rFonts w:ascii="Arial" w:hAnsi="Arial" w:cs="Arial"/>
        </w:rPr>
        <w:t>.</w:t>
      </w:r>
    </w:p>
    <w:p w14:paraId="482F893E" w14:textId="620B0BFC" w:rsidR="00DA1354" w:rsidRPr="00CD71E3" w:rsidRDefault="00DA1354" w:rsidP="00CD71E3">
      <w:pPr>
        <w:spacing w:line="360" w:lineRule="auto"/>
        <w:jc w:val="both"/>
        <w:rPr>
          <w:rFonts w:ascii="Arial" w:hAnsi="Arial" w:cs="Arial"/>
          <w:b/>
          <w:lang w:val="es-ES" w:eastAsia="ja-JP"/>
        </w:rPr>
      </w:pPr>
    </w:p>
    <w:p w14:paraId="1EDF87CB" w14:textId="77777777" w:rsidR="00CD71E3" w:rsidRPr="0064609D" w:rsidRDefault="00CD71E3" w:rsidP="00CD71E3">
      <w:pPr>
        <w:spacing w:line="360" w:lineRule="auto"/>
        <w:jc w:val="both"/>
        <w:rPr>
          <w:rFonts w:ascii="Arial" w:hAnsi="Arial" w:cs="Arial"/>
          <w:b/>
        </w:rPr>
      </w:pPr>
    </w:p>
    <w:p w14:paraId="6270A5BB" w14:textId="77777777" w:rsidR="00CD71E3" w:rsidRPr="0064609D" w:rsidRDefault="00CD71E3" w:rsidP="00CD71E3">
      <w:pPr>
        <w:spacing w:line="360" w:lineRule="auto"/>
        <w:jc w:val="both"/>
        <w:rPr>
          <w:rFonts w:ascii="Arial" w:hAnsi="Arial" w:cs="Arial"/>
          <w:b/>
        </w:rPr>
      </w:pPr>
    </w:p>
    <w:p w14:paraId="4DBDF972" w14:textId="77777777" w:rsidR="00F61BAE" w:rsidRDefault="00D9530B" w:rsidP="00CD71E3">
      <w:pPr>
        <w:spacing w:line="360" w:lineRule="auto"/>
        <w:jc w:val="both"/>
        <w:rPr>
          <w:rFonts w:ascii="Arial" w:hAnsi="Arial" w:cs="Arial"/>
          <w:lang w:val="en-US"/>
        </w:rPr>
      </w:pPr>
      <w:r w:rsidRPr="00CD71E3">
        <w:rPr>
          <w:rFonts w:ascii="Arial" w:hAnsi="Arial" w:cs="Arial"/>
          <w:b/>
          <w:lang w:val="en-US"/>
        </w:rPr>
        <w:lastRenderedPageBreak/>
        <w:t>ABSTRACT:</w:t>
      </w:r>
      <w:r w:rsidRPr="00CD71E3">
        <w:rPr>
          <w:rFonts w:ascii="Arial" w:hAnsi="Arial" w:cs="Arial"/>
          <w:lang w:val="en-US"/>
        </w:rPr>
        <w:t xml:space="preserve"> Around the world, health systems have prioritized improving the performance and quality of health services through targeted public policies. This has generated the need to reform existing healthcare models in order to improve management and focus on creating healthcare systems that are high quality, safe and efficient. This study aims to summarize the literature related to Health Economics in Colombia through a bibliometric analysis. 103 documents on the subject extracted from Scopus were examined, and indicators were created to identify the progress of scientific creation, the most relevant journals, authors and organizations, the countries with the greatest production, the bibliographic coupling networks, the most relevant terms. used and future lines of research. </w:t>
      </w:r>
    </w:p>
    <w:p w14:paraId="773D30FE" w14:textId="77777777" w:rsidR="00F61BAE" w:rsidRDefault="00F61BAE" w:rsidP="00CD71E3">
      <w:pPr>
        <w:spacing w:line="360" w:lineRule="auto"/>
        <w:jc w:val="both"/>
        <w:rPr>
          <w:rFonts w:ascii="Arial" w:hAnsi="Arial" w:cs="Arial"/>
          <w:lang w:val="en-US"/>
        </w:rPr>
      </w:pPr>
    </w:p>
    <w:p w14:paraId="39F50F70" w14:textId="0C175C50" w:rsidR="00DA1354" w:rsidRPr="00CD71E3" w:rsidRDefault="00D9530B" w:rsidP="00CD71E3">
      <w:pPr>
        <w:spacing w:line="360" w:lineRule="auto"/>
        <w:jc w:val="both"/>
        <w:rPr>
          <w:rFonts w:ascii="Arial" w:hAnsi="Arial" w:cs="Arial"/>
          <w:b/>
          <w:lang w:val="en-US" w:eastAsia="ja-JP"/>
        </w:rPr>
      </w:pPr>
      <w:r w:rsidRPr="00CD71E3">
        <w:rPr>
          <w:rFonts w:ascii="Arial" w:hAnsi="Arial" w:cs="Arial"/>
          <w:lang w:val="en-US"/>
        </w:rPr>
        <w:t>The results revealed that publications have been occurring since 1975, peaking in 2023. Additionally, 5 clusters were identified that can guide future research by recognizing emerging scientific trends.</w:t>
      </w:r>
    </w:p>
    <w:p w14:paraId="39EBBFFB" w14:textId="2430CB7D" w:rsidR="001B72FE" w:rsidRPr="00CD71E3" w:rsidRDefault="001B72FE" w:rsidP="00CD71E3">
      <w:pPr>
        <w:spacing w:line="360" w:lineRule="auto"/>
        <w:jc w:val="both"/>
        <w:rPr>
          <w:rFonts w:ascii="Arial" w:hAnsi="Arial" w:cs="Arial"/>
          <w:b/>
          <w:lang w:val="en-US" w:eastAsia="ja-JP"/>
        </w:rPr>
      </w:pPr>
    </w:p>
    <w:p w14:paraId="206E39DB" w14:textId="6A3AC9EB" w:rsidR="008E7CA4" w:rsidRPr="00CD71E3" w:rsidRDefault="008E7CA4" w:rsidP="00CD71E3">
      <w:pPr>
        <w:pStyle w:val="Abstract"/>
        <w:spacing w:after="0" w:line="360" w:lineRule="auto"/>
        <w:rPr>
          <w:rFonts w:ascii="Arial" w:hAnsi="Arial" w:cs="Arial"/>
          <w:sz w:val="24"/>
          <w:szCs w:val="24"/>
          <w:lang w:val="en-US" w:eastAsia="ja-JP"/>
        </w:rPr>
      </w:pPr>
      <w:r w:rsidRPr="00CD71E3">
        <w:rPr>
          <w:rFonts w:ascii="Arial" w:hAnsi="Arial" w:cs="Arial"/>
          <w:b/>
          <w:sz w:val="24"/>
          <w:szCs w:val="24"/>
          <w:lang w:val="en-US"/>
        </w:rPr>
        <w:t>Key words:</w:t>
      </w:r>
      <w:r w:rsidRPr="00CD71E3">
        <w:rPr>
          <w:rFonts w:ascii="Arial" w:hAnsi="Arial" w:cs="Arial"/>
          <w:sz w:val="24"/>
          <w:szCs w:val="24"/>
          <w:lang w:val="en-US"/>
        </w:rPr>
        <w:t xml:space="preserve"> Health Economics; Economics and Health Care Organizations; Bibliometrics; </w:t>
      </w:r>
      <w:proofErr w:type="spellStart"/>
      <w:r w:rsidRPr="00CD71E3">
        <w:rPr>
          <w:rFonts w:ascii="Arial" w:hAnsi="Arial" w:cs="Arial"/>
          <w:sz w:val="24"/>
          <w:szCs w:val="24"/>
          <w:lang w:val="en-US"/>
        </w:rPr>
        <w:t>VOSviewer</w:t>
      </w:r>
      <w:proofErr w:type="spellEnd"/>
      <w:r w:rsidRPr="00CD71E3">
        <w:rPr>
          <w:rFonts w:ascii="Arial" w:hAnsi="Arial" w:cs="Arial"/>
          <w:sz w:val="24"/>
          <w:szCs w:val="24"/>
          <w:lang w:val="en-US"/>
        </w:rPr>
        <w:t>; Scopus</w:t>
      </w:r>
      <w:r w:rsidR="00FB2746" w:rsidRPr="00CD71E3">
        <w:rPr>
          <w:rFonts w:ascii="Arial" w:hAnsi="Arial" w:cs="Arial"/>
          <w:sz w:val="24"/>
          <w:szCs w:val="24"/>
          <w:lang w:val="en-US"/>
        </w:rPr>
        <w:t>.</w:t>
      </w:r>
    </w:p>
    <w:p w14:paraId="7EFB42F0" w14:textId="77777777" w:rsidR="001B72FE" w:rsidRPr="00CD71E3" w:rsidRDefault="001B72FE" w:rsidP="00CD71E3">
      <w:pPr>
        <w:spacing w:line="360" w:lineRule="auto"/>
        <w:jc w:val="both"/>
        <w:rPr>
          <w:rFonts w:ascii="Arial" w:hAnsi="Arial" w:cs="Arial"/>
          <w:b/>
          <w:lang w:val="en-US" w:eastAsia="ja-JP"/>
        </w:rPr>
      </w:pPr>
    </w:p>
    <w:p w14:paraId="1EC3DDEA" w14:textId="77777777" w:rsidR="00CD71E3" w:rsidRDefault="00CD71E3" w:rsidP="00CD71E3">
      <w:pPr>
        <w:spacing w:line="360" w:lineRule="auto"/>
        <w:jc w:val="both"/>
        <w:rPr>
          <w:rFonts w:ascii="Arial" w:hAnsi="Arial" w:cs="Arial"/>
          <w:b/>
          <w:lang w:val="en-US" w:eastAsia="ja-JP"/>
        </w:rPr>
      </w:pPr>
    </w:p>
    <w:p w14:paraId="393DCBCE" w14:textId="77777777" w:rsidR="00CD71E3" w:rsidRDefault="00CD71E3" w:rsidP="00CD71E3">
      <w:pPr>
        <w:spacing w:line="360" w:lineRule="auto"/>
        <w:jc w:val="both"/>
        <w:rPr>
          <w:rFonts w:ascii="Arial" w:hAnsi="Arial" w:cs="Arial"/>
          <w:b/>
          <w:lang w:val="en-US" w:eastAsia="ja-JP"/>
        </w:rPr>
      </w:pPr>
    </w:p>
    <w:p w14:paraId="798B9E3F" w14:textId="0FF77052" w:rsidR="00CD71E3" w:rsidRDefault="00CD71E3" w:rsidP="00CD71E3">
      <w:pPr>
        <w:spacing w:line="360" w:lineRule="auto"/>
        <w:jc w:val="both"/>
        <w:rPr>
          <w:rFonts w:ascii="Arial" w:hAnsi="Arial" w:cs="Arial"/>
          <w:b/>
          <w:lang w:val="en-US" w:eastAsia="ja-JP"/>
        </w:rPr>
      </w:pPr>
    </w:p>
    <w:p w14:paraId="229CA669" w14:textId="77777777" w:rsidR="00A3095B" w:rsidRDefault="00A3095B" w:rsidP="00CD71E3">
      <w:pPr>
        <w:spacing w:line="360" w:lineRule="auto"/>
        <w:jc w:val="both"/>
        <w:rPr>
          <w:rFonts w:ascii="Arial" w:hAnsi="Arial" w:cs="Arial"/>
          <w:b/>
          <w:lang w:val="en-US" w:eastAsia="ja-JP"/>
        </w:rPr>
      </w:pPr>
    </w:p>
    <w:p w14:paraId="72DADC7F" w14:textId="77777777" w:rsidR="00CD71E3" w:rsidRDefault="00CD71E3" w:rsidP="00CD71E3">
      <w:pPr>
        <w:spacing w:line="360" w:lineRule="auto"/>
        <w:jc w:val="both"/>
        <w:rPr>
          <w:rFonts w:ascii="Arial" w:hAnsi="Arial" w:cs="Arial"/>
          <w:b/>
          <w:lang w:val="en-US" w:eastAsia="ja-JP"/>
        </w:rPr>
      </w:pPr>
    </w:p>
    <w:p w14:paraId="78A93681" w14:textId="09509117" w:rsidR="00DA1354" w:rsidRPr="0064609D" w:rsidRDefault="00656A5A" w:rsidP="00CD71E3">
      <w:pPr>
        <w:spacing w:line="360" w:lineRule="auto"/>
        <w:jc w:val="both"/>
        <w:rPr>
          <w:rFonts w:ascii="Arial" w:hAnsi="Arial" w:cs="Arial"/>
          <w:b/>
          <w:lang w:eastAsia="ja-JP"/>
        </w:rPr>
      </w:pPr>
      <w:r w:rsidRPr="0064609D">
        <w:rPr>
          <w:rFonts w:ascii="Arial" w:hAnsi="Arial" w:cs="Arial"/>
          <w:b/>
          <w:lang w:eastAsia="ja-JP"/>
        </w:rPr>
        <w:lastRenderedPageBreak/>
        <w:t>INTRODUCCIÓN</w:t>
      </w:r>
    </w:p>
    <w:p w14:paraId="0F3CE5E5" w14:textId="77777777" w:rsidR="00DF4747" w:rsidRDefault="00DF4747" w:rsidP="00DF4747">
      <w:pPr>
        <w:spacing w:line="360" w:lineRule="auto"/>
        <w:jc w:val="both"/>
        <w:rPr>
          <w:rFonts w:ascii="Arial" w:hAnsi="Arial" w:cs="Arial"/>
          <w:lang w:val="es-ES" w:eastAsia="ja-JP"/>
        </w:rPr>
      </w:pPr>
    </w:p>
    <w:p w14:paraId="75FDC079" w14:textId="43939160" w:rsidR="00E56473" w:rsidRPr="00CD71E3" w:rsidRDefault="00E56473" w:rsidP="00DF4747">
      <w:pPr>
        <w:spacing w:line="360" w:lineRule="auto"/>
        <w:jc w:val="both"/>
        <w:rPr>
          <w:rFonts w:ascii="Arial" w:hAnsi="Arial" w:cs="Arial"/>
          <w:lang w:val="es-ES" w:eastAsia="ja-JP"/>
        </w:rPr>
      </w:pPr>
      <w:r w:rsidRPr="00CD71E3">
        <w:rPr>
          <w:rFonts w:ascii="Arial" w:hAnsi="Arial" w:cs="Arial"/>
          <w:lang w:val="es-ES" w:eastAsia="ja-JP"/>
        </w:rPr>
        <w:t>El Sistema de Salud en Colombia, conocido como el Sistema General de Seguridad Social en Salud (SGSSS), y los sistemas de salud en general, son estructuras complejas donde interactúan múltiples participantes con intereses individuales. Su propósito es satisfacer las necesidades de los usuarios, salvaguardar su estabilidad económica y preservar su salud a un costo que sea sostenible para la economía del país. Dado que implica el uso de recursos públicos, los gobiernos prestan especial atención a la distribución y gestión eficiente de los recursos financieros entre los diversos actores del sistema de salud (PROESA, 2020).</w:t>
      </w:r>
    </w:p>
    <w:p w14:paraId="3FB61022" w14:textId="77777777" w:rsidR="00DF4747" w:rsidRDefault="00DF4747" w:rsidP="00DF4747">
      <w:pPr>
        <w:spacing w:line="360" w:lineRule="auto"/>
        <w:jc w:val="both"/>
        <w:rPr>
          <w:rFonts w:ascii="Arial" w:hAnsi="Arial" w:cs="Arial"/>
          <w:lang w:val="es-ES" w:eastAsia="ja-JP"/>
        </w:rPr>
      </w:pPr>
    </w:p>
    <w:p w14:paraId="6D6C4B2E" w14:textId="77777777" w:rsidR="00555884" w:rsidRDefault="00E56473" w:rsidP="00DF4747">
      <w:pPr>
        <w:spacing w:line="360" w:lineRule="auto"/>
        <w:jc w:val="both"/>
        <w:rPr>
          <w:rFonts w:ascii="Arial" w:hAnsi="Arial" w:cs="Arial"/>
          <w:lang w:val="es-ES" w:eastAsia="ja-JP"/>
        </w:rPr>
      </w:pPr>
      <w:r w:rsidRPr="00CD71E3">
        <w:rPr>
          <w:rFonts w:ascii="Arial" w:hAnsi="Arial" w:cs="Arial"/>
          <w:lang w:val="es-ES" w:eastAsia="ja-JP"/>
        </w:rPr>
        <w:t xml:space="preserve">El Sistema de Salud en Colombia, establecido en 1993 a través de la Ley 100, es un sistema de salud con regulación competente financiado por las contribuciones de empleados y empleadores, así como por recursos fiscales. Las Empresas Promotoras de Salud - EPS funcionan como aseguradoras y administradoras, mientras que las Instituciones Prestadoras de Servicios de Salud - IPS ofrecen servicios conforme al Plan de Beneficios en Salud - PBS. </w:t>
      </w:r>
    </w:p>
    <w:p w14:paraId="34911D3F" w14:textId="77777777" w:rsidR="00555884" w:rsidRDefault="00555884" w:rsidP="00DF4747">
      <w:pPr>
        <w:spacing w:line="360" w:lineRule="auto"/>
        <w:jc w:val="both"/>
        <w:rPr>
          <w:rFonts w:ascii="Arial" w:hAnsi="Arial" w:cs="Arial"/>
          <w:lang w:val="es-ES" w:eastAsia="ja-JP"/>
        </w:rPr>
      </w:pPr>
    </w:p>
    <w:p w14:paraId="22CDDE6A" w14:textId="6E8D0F4E" w:rsidR="00E56473" w:rsidRPr="00CD71E3" w:rsidRDefault="00E56473" w:rsidP="00DF4747">
      <w:pPr>
        <w:spacing w:line="360" w:lineRule="auto"/>
        <w:jc w:val="both"/>
        <w:rPr>
          <w:rFonts w:ascii="Arial" w:hAnsi="Arial" w:cs="Arial"/>
          <w:lang w:val="es-ES" w:eastAsia="ja-JP"/>
        </w:rPr>
      </w:pPr>
      <w:r w:rsidRPr="00CD71E3">
        <w:rPr>
          <w:rFonts w:ascii="Arial" w:hAnsi="Arial" w:cs="Arial"/>
          <w:lang w:val="es-ES" w:eastAsia="ja-JP"/>
        </w:rPr>
        <w:t>La Administradora de los Recursos del Sistema General de Seguridad Social en Salud - ADRES se encarga de gestionar los pagos a las EPS y la transferencia de recursos fiscales para el régimen subsidiado (Calderón et al., 2011; Galvis Bedoya et al., 2022; Salazar Villegas et al., 2023).</w:t>
      </w:r>
    </w:p>
    <w:p w14:paraId="49E47748" w14:textId="77777777" w:rsidR="00555884" w:rsidRDefault="00E56473" w:rsidP="00DF4747">
      <w:pPr>
        <w:spacing w:line="360" w:lineRule="auto"/>
        <w:jc w:val="both"/>
        <w:rPr>
          <w:rFonts w:ascii="Arial" w:hAnsi="Arial" w:cs="Arial"/>
          <w:lang w:val="es-ES" w:eastAsia="ja-JP"/>
        </w:rPr>
      </w:pPr>
      <w:r w:rsidRPr="00CD71E3">
        <w:rPr>
          <w:rFonts w:ascii="Arial" w:hAnsi="Arial" w:cs="Arial"/>
          <w:lang w:val="es-ES" w:eastAsia="ja-JP"/>
        </w:rPr>
        <w:lastRenderedPageBreak/>
        <w:t xml:space="preserve">Debido a la estructura del SGSSS, se encuentran involucrados diversos actores e instituciones en la planificación, toma de decisiones, asignación de recursos y funcionamiento. Estos incluyen el Ministerio de la Protección Social, la Superintendencia de Servicios de Salud, entidades territoriales y Secretarías de Salud, EPS, IPS, hospitales de distintos niveles y comunidades. Cada uno desempeña un papel en términos de mercado o regulación, y se relacionan en esquemas de coordinación, colaboración, subordinación y participación dentro del entorno de la salud (López-Mallama, 2023). </w:t>
      </w:r>
    </w:p>
    <w:p w14:paraId="6CE47D91" w14:textId="77777777" w:rsidR="00555884" w:rsidRDefault="00555884" w:rsidP="00DF4747">
      <w:pPr>
        <w:spacing w:line="360" w:lineRule="auto"/>
        <w:jc w:val="both"/>
        <w:rPr>
          <w:rFonts w:ascii="Arial" w:hAnsi="Arial" w:cs="Arial"/>
          <w:lang w:val="es-ES" w:eastAsia="ja-JP"/>
        </w:rPr>
      </w:pPr>
    </w:p>
    <w:p w14:paraId="4EDA571B" w14:textId="5CC0D627" w:rsidR="00E56473" w:rsidRPr="00CD71E3" w:rsidRDefault="00E56473" w:rsidP="00DF4747">
      <w:pPr>
        <w:spacing w:line="360" w:lineRule="auto"/>
        <w:jc w:val="both"/>
        <w:rPr>
          <w:rFonts w:ascii="Arial" w:hAnsi="Arial" w:cs="Arial"/>
          <w:lang w:val="es-ES" w:eastAsia="ja-JP"/>
        </w:rPr>
      </w:pPr>
      <w:r w:rsidRPr="00CD71E3">
        <w:rPr>
          <w:rFonts w:ascii="Arial" w:hAnsi="Arial" w:cs="Arial"/>
          <w:lang w:val="es-ES" w:eastAsia="ja-JP"/>
        </w:rPr>
        <w:t>Además, en consonancia con la tendencia globalizadora, Colombia ha orientado su política económica hacia el neoliberalismo, la apertura comercial y la reducción del papel del Estado (López-Mallama, 2021).</w:t>
      </w:r>
    </w:p>
    <w:p w14:paraId="7B6CD647" w14:textId="77777777" w:rsidR="00DF4747" w:rsidRDefault="00DF4747" w:rsidP="00DF4747">
      <w:pPr>
        <w:spacing w:line="360" w:lineRule="auto"/>
        <w:jc w:val="both"/>
        <w:rPr>
          <w:rFonts w:ascii="Arial" w:hAnsi="Arial" w:cs="Arial"/>
          <w:lang w:val="es-ES" w:eastAsia="ja-JP"/>
        </w:rPr>
      </w:pPr>
    </w:p>
    <w:p w14:paraId="294C9568" w14:textId="4695C9D5" w:rsidR="00E56473" w:rsidRPr="00CD71E3" w:rsidRDefault="00E56473" w:rsidP="00DF4747">
      <w:pPr>
        <w:spacing w:line="360" w:lineRule="auto"/>
        <w:jc w:val="both"/>
        <w:rPr>
          <w:rFonts w:ascii="Arial" w:hAnsi="Arial" w:cs="Arial"/>
          <w:lang w:val="es-ES" w:eastAsia="ja-JP"/>
        </w:rPr>
      </w:pPr>
      <w:r w:rsidRPr="00CD71E3">
        <w:rPr>
          <w:rFonts w:ascii="Arial" w:hAnsi="Arial" w:cs="Arial"/>
          <w:lang w:val="es-ES" w:eastAsia="ja-JP"/>
        </w:rPr>
        <w:t xml:space="preserve">Las situaciones mencionadas han llevado a los países a enfocarse en optimizar la utilización de los recursos en los sistemas de salud. Además, existe una fuerte presión a nivel global para contribuir al desarrollo sostenible en todos los ámbitos y sectores. A través de los documentos CONPES 91 de 2005 y 140 de 2011, Colombia se comprometió a cumplir con los Objetivos de Desarrollo del Milenio establecidos en 2000, los cuales fueron ampliados y adoptados en 2015 por todos los Estados Miembros de las Naciones Unidas (Duque Uribe, 2023). El tercer Objetivo de Desarrollo Sostenible (ODS), salud y bienestar, es el vínculo más directo con este proyecto en particular. Esto toma en cuenta las metas (3.8) de garantizar la cobertura sanitaria universal y la meta (3.C) de aumentar </w:t>
      </w:r>
      <w:r w:rsidRPr="00CD71E3">
        <w:rPr>
          <w:rFonts w:ascii="Arial" w:hAnsi="Arial" w:cs="Arial"/>
          <w:lang w:val="es-ES" w:eastAsia="ja-JP"/>
        </w:rPr>
        <w:lastRenderedPageBreak/>
        <w:t>significativamente el financiamiento de la salud (Organización de las Naciones Unidas, 2015).</w:t>
      </w:r>
    </w:p>
    <w:p w14:paraId="619B4350" w14:textId="77777777" w:rsidR="00DF4747" w:rsidRDefault="00DF4747" w:rsidP="00DF4747">
      <w:pPr>
        <w:spacing w:line="360" w:lineRule="auto"/>
        <w:jc w:val="both"/>
        <w:rPr>
          <w:rFonts w:ascii="Arial" w:hAnsi="Arial" w:cs="Arial"/>
          <w:lang w:val="es-ES" w:eastAsia="ja-JP"/>
        </w:rPr>
      </w:pPr>
    </w:p>
    <w:p w14:paraId="7A0C6E26" w14:textId="19656332" w:rsidR="00E56473" w:rsidRPr="00CD71E3" w:rsidRDefault="00E56473" w:rsidP="00DF4747">
      <w:pPr>
        <w:spacing w:line="360" w:lineRule="auto"/>
        <w:jc w:val="both"/>
        <w:rPr>
          <w:rFonts w:ascii="Arial" w:hAnsi="Arial" w:cs="Arial"/>
          <w:lang w:val="es-ES" w:eastAsia="ja-JP"/>
        </w:rPr>
      </w:pPr>
      <w:r w:rsidRPr="00CD71E3">
        <w:rPr>
          <w:rFonts w:ascii="Arial" w:hAnsi="Arial" w:cs="Arial"/>
          <w:lang w:val="es-ES" w:eastAsia="ja-JP"/>
        </w:rPr>
        <w:t xml:space="preserve">En ese sentido, se busca resolver las siguientes preguntas: ¿En qué ha cambiado la ciencia y la academia en relación con la Economía de la Salud en Colombia? ¿Cuáles son los escritores más destacados? ¿Dónde se produce la mayor cantidad de literatura científica? ¿Cuál es su afiliación corporativa? ¿Qué temas principales de investigación se han abordado? ¿Y cuáles son los problemas de límite que se espera que se aborden? </w:t>
      </w:r>
    </w:p>
    <w:p w14:paraId="65EFCAB7" w14:textId="77777777" w:rsidR="00DF4747" w:rsidRDefault="00DF4747" w:rsidP="00CD71E3">
      <w:pPr>
        <w:spacing w:line="360" w:lineRule="auto"/>
        <w:jc w:val="both"/>
        <w:rPr>
          <w:rFonts w:ascii="Arial" w:hAnsi="Arial" w:cs="Arial"/>
          <w:lang w:val="es-ES" w:eastAsia="ja-JP"/>
        </w:rPr>
      </w:pPr>
    </w:p>
    <w:p w14:paraId="3D23AB3D" w14:textId="3F1963C0" w:rsidR="00DA1354" w:rsidRPr="00B36BB0" w:rsidRDefault="00E56473" w:rsidP="00B36BB0">
      <w:pPr>
        <w:spacing w:line="360" w:lineRule="auto"/>
        <w:jc w:val="both"/>
        <w:rPr>
          <w:rFonts w:ascii="Arial" w:hAnsi="Arial" w:cs="Arial"/>
          <w:lang w:eastAsia="ja-JP"/>
        </w:rPr>
      </w:pPr>
      <w:r w:rsidRPr="00CD71E3">
        <w:rPr>
          <w:rFonts w:ascii="Arial" w:hAnsi="Arial" w:cs="Arial"/>
          <w:lang w:val="es-ES" w:eastAsia="ja-JP"/>
        </w:rPr>
        <w:t xml:space="preserve">Dado lo anterior, el objetivo de esta investigación es analizar la producción científica en Colombia sobre la economía de la salud. El estudio está estructurado de la siguiente manera: primero se plantea el marco teórico y la metodología que describe la base de datos, los tesauros y el software empleado para el estudio. Esto seguido por los principales hallazgos, conformados por estadísticos descriptivos y </w:t>
      </w:r>
      <w:r w:rsidRPr="00B36BB0">
        <w:rPr>
          <w:rFonts w:ascii="Arial" w:hAnsi="Arial" w:cs="Arial"/>
          <w:lang w:val="es-ES" w:eastAsia="ja-JP"/>
        </w:rPr>
        <w:t xml:space="preserve">las redes bibliométricas generadas a partir de </w:t>
      </w:r>
      <w:proofErr w:type="spellStart"/>
      <w:r w:rsidRPr="00B36BB0">
        <w:rPr>
          <w:rFonts w:ascii="Arial" w:hAnsi="Arial" w:cs="Arial"/>
          <w:lang w:val="es-ES" w:eastAsia="ja-JP"/>
        </w:rPr>
        <w:t>VOSviewer</w:t>
      </w:r>
      <w:proofErr w:type="spellEnd"/>
      <w:r w:rsidRPr="00B36BB0">
        <w:rPr>
          <w:rFonts w:ascii="Arial" w:hAnsi="Arial" w:cs="Arial"/>
          <w:lang w:val="es-ES" w:eastAsia="ja-JP"/>
        </w:rPr>
        <w:t>. Finalmente se presentan las conclusiones y se proporcionan recomendaciones para futuros estudios.</w:t>
      </w:r>
    </w:p>
    <w:p w14:paraId="3E7A4BC4" w14:textId="77777777" w:rsidR="00555884" w:rsidRDefault="00555884" w:rsidP="00B36BB0">
      <w:pPr>
        <w:spacing w:line="360" w:lineRule="auto"/>
        <w:jc w:val="both"/>
        <w:rPr>
          <w:rFonts w:ascii="Arial" w:hAnsi="Arial" w:cs="Arial"/>
          <w:b/>
          <w:lang w:eastAsia="ja-JP"/>
        </w:rPr>
      </w:pPr>
    </w:p>
    <w:p w14:paraId="77AEF0F5" w14:textId="460EBD20" w:rsidR="00E07B33" w:rsidRPr="00B36BB0" w:rsidRDefault="00E07B33" w:rsidP="00B36BB0">
      <w:pPr>
        <w:spacing w:line="360" w:lineRule="auto"/>
        <w:jc w:val="both"/>
        <w:rPr>
          <w:rFonts w:ascii="Arial" w:hAnsi="Arial" w:cs="Arial"/>
          <w:b/>
          <w:lang w:eastAsia="ja-JP"/>
        </w:rPr>
      </w:pPr>
      <w:r w:rsidRPr="00B36BB0">
        <w:rPr>
          <w:rFonts w:ascii="Arial" w:hAnsi="Arial" w:cs="Arial"/>
          <w:b/>
          <w:lang w:eastAsia="ja-JP"/>
        </w:rPr>
        <w:t>MATERIALES Y MÉTODOS</w:t>
      </w:r>
    </w:p>
    <w:p w14:paraId="550AC9EC" w14:textId="784D9FDD" w:rsidR="00E07B33" w:rsidRPr="00B36BB0" w:rsidRDefault="00E07B33" w:rsidP="00B36BB0">
      <w:pPr>
        <w:spacing w:line="360" w:lineRule="auto"/>
        <w:jc w:val="both"/>
        <w:rPr>
          <w:rFonts w:ascii="Arial" w:hAnsi="Arial" w:cs="Arial"/>
          <w:b/>
          <w:lang w:eastAsia="ja-JP"/>
        </w:rPr>
      </w:pPr>
    </w:p>
    <w:p w14:paraId="1F8C6E23" w14:textId="77777777" w:rsidR="00B36BB0" w:rsidRPr="00B36BB0" w:rsidRDefault="00B36BB0" w:rsidP="00B36BB0">
      <w:pPr>
        <w:pStyle w:val="Contenido1"/>
        <w:spacing w:line="360" w:lineRule="auto"/>
        <w:ind w:firstLine="0"/>
        <w:rPr>
          <w:rStyle w:val="longtext"/>
          <w:rFonts w:ascii="Arial" w:hAnsi="Arial" w:cs="Arial"/>
          <w:sz w:val="24"/>
          <w:szCs w:val="24"/>
          <w:lang w:val="es-ES"/>
        </w:rPr>
      </w:pPr>
      <w:r w:rsidRPr="00B36BB0">
        <w:rPr>
          <w:rStyle w:val="longtext"/>
          <w:rFonts w:ascii="Arial" w:hAnsi="Arial" w:cs="Arial"/>
          <w:sz w:val="24"/>
          <w:szCs w:val="24"/>
          <w:lang w:val="es-ES"/>
        </w:rPr>
        <w:t xml:space="preserve">La investigación se llevó a cabo a través de un enfoque mixto, en un principio utilizando el enfoque cuantitativo. Los objetivos de esta investigación son los indicadores bibliométricos de estadística descriptiva, los cuales podrían revelar el </w:t>
      </w:r>
      <w:r w:rsidRPr="00B36BB0">
        <w:rPr>
          <w:rStyle w:val="longtext"/>
          <w:rFonts w:ascii="Arial" w:hAnsi="Arial" w:cs="Arial"/>
          <w:sz w:val="24"/>
          <w:szCs w:val="24"/>
          <w:lang w:val="es-ES"/>
        </w:rPr>
        <w:lastRenderedPageBreak/>
        <w:t xml:space="preserve">interés del mundo científico en la economía de la salud en Colombia a través de datos numéricos. Para identificar lo que se ha estudiado y determinar las líneas de investigación futuras, se utilizó el enfoque de investigación cualitativa (Almeida-Espinosa, et al., 2023; </w:t>
      </w:r>
      <w:proofErr w:type="spellStart"/>
      <w:r w:rsidRPr="00B36BB0">
        <w:rPr>
          <w:rStyle w:val="longtext"/>
          <w:rFonts w:ascii="Arial" w:hAnsi="Arial" w:cs="Arial"/>
          <w:sz w:val="24"/>
          <w:szCs w:val="24"/>
          <w:lang w:val="es-ES"/>
        </w:rPr>
        <w:t>Lopez</w:t>
      </w:r>
      <w:proofErr w:type="spellEnd"/>
      <w:r w:rsidRPr="00B36BB0">
        <w:rPr>
          <w:rStyle w:val="longtext"/>
          <w:rFonts w:ascii="Arial" w:hAnsi="Arial" w:cs="Arial"/>
          <w:sz w:val="24"/>
          <w:szCs w:val="24"/>
          <w:lang w:val="es-ES"/>
        </w:rPr>
        <w:t xml:space="preserve">-Mallama et al., 2024). A través del análisis, integración y discusión de datos cuantitativos y cualitativos, la vinculación del enfoque de investigación mixta permite realizar inferencias a partir de la información recopilada (conocidas como meta inferencias) y lograr un mayor entendimiento del fenómeno en estudio (Hernández-Sampieri &amp; Mendoza Torres, 2018). </w:t>
      </w:r>
    </w:p>
    <w:p w14:paraId="4CA780A1" w14:textId="77777777" w:rsidR="00ED7720" w:rsidRDefault="00ED7720" w:rsidP="00ED7720">
      <w:pPr>
        <w:pStyle w:val="Contenido1"/>
        <w:spacing w:line="360" w:lineRule="auto"/>
        <w:ind w:firstLine="0"/>
        <w:rPr>
          <w:rStyle w:val="longtext"/>
          <w:rFonts w:ascii="Arial" w:hAnsi="Arial" w:cs="Arial"/>
          <w:sz w:val="24"/>
          <w:szCs w:val="24"/>
          <w:lang w:val="es-ES"/>
        </w:rPr>
      </w:pPr>
    </w:p>
    <w:p w14:paraId="6969EC29" w14:textId="5F5B4D0B" w:rsidR="00B36BB0" w:rsidRPr="00B36BB0" w:rsidRDefault="00B36BB0" w:rsidP="00ED7720">
      <w:pPr>
        <w:pStyle w:val="Contenido1"/>
        <w:spacing w:line="360" w:lineRule="auto"/>
        <w:ind w:firstLine="0"/>
        <w:rPr>
          <w:rStyle w:val="longtext"/>
          <w:rFonts w:ascii="Arial" w:hAnsi="Arial" w:cs="Arial"/>
          <w:sz w:val="24"/>
          <w:szCs w:val="24"/>
          <w:lang w:val="es-ES"/>
        </w:rPr>
      </w:pPr>
      <w:r w:rsidRPr="00B36BB0">
        <w:rPr>
          <w:rStyle w:val="longtext"/>
          <w:rFonts w:ascii="Arial" w:hAnsi="Arial" w:cs="Arial"/>
          <w:sz w:val="24"/>
          <w:szCs w:val="24"/>
          <w:lang w:val="es-ES"/>
        </w:rPr>
        <w:t xml:space="preserve">La investigación se llevó a cabo en dos tipos diferentes de estudios. El primer tipo fue de tipo descriptivo, según </w:t>
      </w:r>
      <w:proofErr w:type="spellStart"/>
      <w:r w:rsidRPr="00B36BB0">
        <w:rPr>
          <w:rStyle w:val="longtext"/>
          <w:rFonts w:ascii="Arial" w:hAnsi="Arial" w:cs="Arial"/>
          <w:sz w:val="24"/>
          <w:szCs w:val="24"/>
          <w:lang w:val="es-ES"/>
        </w:rPr>
        <w:t>Salkind</w:t>
      </w:r>
      <w:proofErr w:type="spellEnd"/>
      <w:r w:rsidRPr="00B36BB0">
        <w:rPr>
          <w:rStyle w:val="longtext"/>
          <w:rFonts w:ascii="Arial" w:hAnsi="Arial" w:cs="Arial"/>
          <w:sz w:val="24"/>
          <w:szCs w:val="24"/>
          <w:lang w:val="es-ES"/>
        </w:rPr>
        <w:t xml:space="preserve"> (1998), citado en (Bernal, (2010). El propósito de este estudio es describir las características o rasgos del objeto de estudio, tal como se planteó con la aplicación de este estudio bibliométrico (Bernal Torres, 2010; Montaño-Ramírez, et al., 2023). En segundo lugar, de tipo documental, según Bernal (2010): la investigación documental implica analizar la información escrita sobre un tema en particular con el objetivo de identificar relaciones, diferencias, etapas, posturas o el estado actual del conocimiento relacionado con el tema de estudio (Bernal Torres, 2010; Lemos-Muñoz, et al., 2023).</w:t>
      </w:r>
    </w:p>
    <w:p w14:paraId="4BCD6F87" w14:textId="77777777" w:rsidR="00ED7720" w:rsidRDefault="00ED7720" w:rsidP="00ED7720">
      <w:pPr>
        <w:pStyle w:val="Contenido1"/>
        <w:spacing w:line="360" w:lineRule="auto"/>
        <w:ind w:firstLine="0"/>
        <w:rPr>
          <w:rStyle w:val="longtext"/>
          <w:rFonts w:ascii="Arial" w:hAnsi="Arial" w:cs="Arial"/>
          <w:sz w:val="24"/>
          <w:szCs w:val="24"/>
          <w:lang w:val="es-ES"/>
        </w:rPr>
      </w:pPr>
    </w:p>
    <w:p w14:paraId="1F95CA9F" w14:textId="50FE6DF7" w:rsidR="00B36BB0" w:rsidRPr="00B36BB0" w:rsidRDefault="00B36BB0" w:rsidP="00ED7720">
      <w:pPr>
        <w:pStyle w:val="Contenido1"/>
        <w:spacing w:line="360" w:lineRule="auto"/>
        <w:ind w:firstLine="0"/>
        <w:rPr>
          <w:rStyle w:val="longtext"/>
          <w:rFonts w:ascii="Arial" w:hAnsi="Arial" w:cs="Arial"/>
          <w:sz w:val="24"/>
          <w:szCs w:val="24"/>
          <w:lang w:val="es-ES"/>
        </w:rPr>
      </w:pPr>
      <w:r w:rsidRPr="00B36BB0">
        <w:rPr>
          <w:rStyle w:val="longtext"/>
          <w:rFonts w:ascii="Arial" w:hAnsi="Arial" w:cs="Arial"/>
          <w:sz w:val="24"/>
          <w:szCs w:val="24"/>
          <w:lang w:val="es-ES"/>
        </w:rPr>
        <w:t>Además, se empleó el Diseño Explicativo Secuencial (</w:t>
      </w:r>
      <w:proofErr w:type="spellStart"/>
      <w:r w:rsidRPr="00B36BB0">
        <w:rPr>
          <w:rStyle w:val="longtext"/>
          <w:rFonts w:ascii="Arial" w:hAnsi="Arial" w:cs="Arial"/>
          <w:sz w:val="24"/>
          <w:szCs w:val="24"/>
          <w:lang w:val="es-ES"/>
        </w:rPr>
        <w:t>Sequential</w:t>
      </w:r>
      <w:proofErr w:type="spellEnd"/>
      <w:r w:rsidRPr="00B36BB0">
        <w:rPr>
          <w:rStyle w:val="longtext"/>
          <w:rFonts w:ascii="Arial" w:hAnsi="Arial" w:cs="Arial"/>
          <w:sz w:val="24"/>
          <w:szCs w:val="24"/>
          <w:lang w:val="es-ES"/>
        </w:rPr>
        <w:t xml:space="preserve"> </w:t>
      </w:r>
      <w:proofErr w:type="spellStart"/>
      <w:r w:rsidRPr="00B36BB0">
        <w:rPr>
          <w:rStyle w:val="longtext"/>
          <w:rFonts w:ascii="Arial" w:hAnsi="Arial" w:cs="Arial"/>
          <w:sz w:val="24"/>
          <w:szCs w:val="24"/>
          <w:lang w:val="es-ES"/>
        </w:rPr>
        <w:t>Explanatory</w:t>
      </w:r>
      <w:proofErr w:type="spellEnd"/>
      <w:r w:rsidRPr="00B36BB0">
        <w:rPr>
          <w:rStyle w:val="longtext"/>
          <w:rFonts w:ascii="Arial" w:hAnsi="Arial" w:cs="Arial"/>
          <w:sz w:val="24"/>
          <w:szCs w:val="24"/>
          <w:lang w:val="es-ES"/>
        </w:rPr>
        <w:t xml:space="preserve"> </w:t>
      </w:r>
      <w:proofErr w:type="spellStart"/>
      <w:r w:rsidRPr="00B36BB0">
        <w:rPr>
          <w:rStyle w:val="longtext"/>
          <w:rFonts w:ascii="Arial" w:hAnsi="Arial" w:cs="Arial"/>
          <w:sz w:val="24"/>
          <w:szCs w:val="24"/>
          <w:lang w:val="es-ES"/>
        </w:rPr>
        <w:t>Design</w:t>
      </w:r>
      <w:proofErr w:type="spellEnd"/>
      <w:r w:rsidRPr="00B36BB0">
        <w:rPr>
          <w:rStyle w:val="longtext"/>
          <w:rFonts w:ascii="Arial" w:hAnsi="Arial" w:cs="Arial"/>
          <w:sz w:val="24"/>
          <w:szCs w:val="24"/>
          <w:lang w:val="es-ES"/>
        </w:rPr>
        <w:t xml:space="preserve">), que se distingue por la recolección secuencial de datos y el análisis de cada una de las fuentes, lo que resulta en una interpretación conectada de los datos (Creswell, 2009; Martín et al., 2017). </w:t>
      </w:r>
      <w:r w:rsidRPr="00B36BB0">
        <w:rPr>
          <w:rStyle w:val="longtext"/>
          <w:rFonts w:ascii="Arial" w:hAnsi="Arial" w:cs="Arial"/>
          <w:sz w:val="24"/>
          <w:szCs w:val="24"/>
          <w:lang w:val="en-US"/>
        </w:rPr>
        <w:t xml:space="preserve">Se </w:t>
      </w:r>
      <w:proofErr w:type="spellStart"/>
      <w:r w:rsidRPr="00B36BB0">
        <w:rPr>
          <w:rStyle w:val="longtext"/>
          <w:rFonts w:ascii="Arial" w:hAnsi="Arial" w:cs="Arial"/>
          <w:sz w:val="24"/>
          <w:szCs w:val="24"/>
          <w:lang w:val="en-US"/>
        </w:rPr>
        <w:t>empleó</w:t>
      </w:r>
      <w:proofErr w:type="spellEnd"/>
      <w:r w:rsidRPr="00B36BB0">
        <w:rPr>
          <w:rStyle w:val="longtext"/>
          <w:rFonts w:ascii="Arial" w:hAnsi="Arial" w:cs="Arial"/>
          <w:sz w:val="24"/>
          <w:szCs w:val="24"/>
          <w:lang w:val="en-US"/>
        </w:rPr>
        <w:t xml:space="preserve"> la base de </w:t>
      </w:r>
      <w:proofErr w:type="spellStart"/>
      <w:r w:rsidRPr="00B36BB0">
        <w:rPr>
          <w:rStyle w:val="longtext"/>
          <w:rFonts w:ascii="Arial" w:hAnsi="Arial" w:cs="Arial"/>
          <w:sz w:val="24"/>
          <w:szCs w:val="24"/>
          <w:lang w:val="en-US"/>
        </w:rPr>
        <w:t>datos</w:t>
      </w:r>
      <w:proofErr w:type="spellEnd"/>
      <w:r w:rsidRPr="00B36BB0">
        <w:rPr>
          <w:rStyle w:val="longtext"/>
          <w:rFonts w:ascii="Arial" w:hAnsi="Arial" w:cs="Arial"/>
          <w:sz w:val="24"/>
          <w:szCs w:val="24"/>
          <w:lang w:val="en-US"/>
        </w:rPr>
        <w:t xml:space="preserve"> Scopus y se </w:t>
      </w:r>
      <w:proofErr w:type="spellStart"/>
      <w:r w:rsidRPr="00B36BB0">
        <w:rPr>
          <w:rStyle w:val="longtext"/>
          <w:rFonts w:ascii="Arial" w:hAnsi="Arial" w:cs="Arial"/>
          <w:sz w:val="24"/>
          <w:szCs w:val="24"/>
          <w:lang w:val="en-US"/>
        </w:rPr>
        <w:lastRenderedPageBreak/>
        <w:t>diseñó</w:t>
      </w:r>
      <w:proofErr w:type="spellEnd"/>
      <w:r w:rsidRPr="00B36BB0">
        <w:rPr>
          <w:rStyle w:val="longtext"/>
          <w:rFonts w:ascii="Arial" w:hAnsi="Arial" w:cs="Arial"/>
          <w:sz w:val="24"/>
          <w:szCs w:val="24"/>
          <w:lang w:val="en-US"/>
        </w:rPr>
        <w:t xml:space="preserve"> la </w:t>
      </w:r>
      <w:proofErr w:type="spellStart"/>
      <w:r w:rsidRPr="00B36BB0">
        <w:rPr>
          <w:rStyle w:val="longtext"/>
          <w:rFonts w:ascii="Arial" w:hAnsi="Arial" w:cs="Arial"/>
          <w:sz w:val="24"/>
          <w:szCs w:val="24"/>
          <w:lang w:val="en-US"/>
        </w:rPr>
        <w:t>ecuación</w:t>
      </w:r>
      <w:proofErr w:type="spellEnd"/>
      <w:r w:rsidRPr="00B36BB0">
        <w:rPr>
          <w:rStyle w:val="longtext"/>
          <w:rFonts w:ascii="Arial" w:hAnsi="Arial" w:cs="Arial"/>
          <w:sz w:val="24"/>
          <w:szCs w:val="24"/>
          <w:lang w:val="en-US"/>
        </w:rPr>
        <w:t xml:space="preserve"> de </w:t>
      </w:r>
      <w:proofErr w:type="spellStart"/>
      <w:r w:rsidRPr="00B36BB0">
        <w:rPr>
          <w:rStyle w:val="longtext"/>
          <w:rFonts w:ascii="Arial" w:hAnsi="Arial" w:cs="Arial"/>
          <w:sz w:val="24"/>
          <w:szCs w:val="24"/>
          <w:lang w:val="en-US"/>
        </w:rPr>
        <w:t>búsqueda</w:t>
      </w:r>
      <w:proofErr w:type="spellEnd"/>
      <w:r w:rsidRPr="00B36BB0">
        <w:rPr>
          <w:rStyle w:val="longtext"/>
          <w:rFonts w:ascii="Arial" w:hAnsi="Arial" w:cs="Arial"/>
          <w:sz w:val="24"/>
          <w:szCs w:val="24"/>
          <w:lang w:val="en-US"/>
        </w:rPr>
        <w:t xml:space="preserve">: </w:t>
      </w:r>
      <w:proofErr w:type="gramStart"/>
      <w:r w:rsidRPr="00B36BB0">
        <w:rPr>
          <w:rStyle w:val="longtext"/>
          <w:rFonts w:ascii="Arial" w:hAnsi="Arial" w:cs="Arial"/>
          <w:sz w:val="24"/>
          <w:szCs w:val="24"/>
          <w:lang w:val="en-US"/>
        </w:rPr>
        <w:t>( TITLE</w:t>
      </w:r>
      <w:proofErr w:type="gramEnd"/>
      <w:r w:rsidRPr="00B36BB0">
        <w:rPr>
          <w:rStyle w:val="longtext"/>
          <w:rFonts w:ascii="Arial" w:hAnsi="Arial" w:cs="Arial"/>
          <w:sz w:val="24"/>
          <w:szCs w:val="24"/>
          <w:lang w:val="en-US"/>
        </w:rPr>
        <w:t xml:space="preserve">-ABS-KEY ( "Health Care Economics and Organizations" ) OR TITLE-ABS-KEY ( "Health Economics" ) OR TITLE-ABS-KEY ( "Health Care Economics" ) AND TITLE-ABS-KEY ( "Colombia" ) ). </w:t>
      </w:r>
      <w:r w:rsidRPr="00B36BB0">
        <w:rPr>
          <w:rStyle w:val="longtext"/>
          <w:rFonts w:ascii="Arial" w:hAnsi="Arial" w:cs="Arial"/>
          <w:sz w:val="24"/>
          <w:szCs w:val="24"/>
          <w:lang w:val="es-ES"/>
        </w:rPr>
        <w:t>Esta ecuación arrojó un total de 103 documentos publicados sobre el campo. Cabe destacar que la extracción de información se hizo el 8 de marzo de 2024 con corte de búsqueda 31 de diciembre de 2023.</w:t>
      </w:r>
    </w:p>
    <w:p w14:paraId="5DC38DC8" w14:textId="77777777" w:rsidR="00ED7720" w:rsidRDefault="00ED7720" w:rsidP="00ED7720">
      <w:pPr>
        <w:pStyle w:val="Contenido1"/>
        <w:spacing w:line="360" w:lineRule="auto"/>
        <w:ind w:firstLine="0"/>
        <w:rPr>
          <w:rStyle w:val="longtext"/>
          <w:rFonts w:ascii="Arial" w:hAnsi="Arial" w:cs="Arial"/>
          <w:sz w:val="24"/>
          <w:szCs w:val="24"/>
          <w:lang w:val="es-ES"/>
        </w:rPr>
      </w:pPr>
    </w:p>
    <w:p w14:paraId="508AF48D" w14:textId="233C5CDF" w:rsidR="00B36BB0" w:rsidRPr="00B36BB0" w:rsidRDefault="00B36BB0" w:rsidP="00ED7720">
      <w:pPr>
        <w:pStyle w:val="Contenido1"/>
        <w:spacing w:line="360" w:lineRule="auto"/>
        <w:ind w:firstLine="0"/>
        <w:rPr>
          <w:rStyle w:val="longtext"/>
          <w:rFonts w:ascii="Arial" w:hAnsi="Arial" w:cs="Arial"/>
          <w:sz w:val="24"/>
          <w:szCs w:val="24"/>
          <w:lang w:val="es-ES"/>
        </w:rPr>
      </w:pPr>
      <w:r w:rsidRPr="00B36BB0">
        <w:rPr>
          <w:rStyle w:val="longtext"/>
          <w:rFonts w:ascii="Arial" w:hAnsi="Arial" w:cs="Arial"/>
          <w:sz w:val="24"/>
          <w:szCs w:val="24"/>
          <w:lang w:val="es-ES"/>
        </w:rPr>
        <w:t xml:space="preserve">Después, mediante el uso del visualizador bibliométrico </w:t>
      </w:r>
      <w:proofErr w:type="spellStart"/>
      <w:r w:rsidRPr="00B36BB0">
        <w:rPr>
          <w:rStyle w:val="longtext"/>
          <w:rFonts w:ascii="Arial" w:hAnsi="Arial" w:cs="Arial"/>
          <w:sz w:val="24"/>
          <w:szCs w:val="24"/>
          <w:lang w:val="es-ES"/>
        </w:rPr>
        <w:t>VOSviewer</w:t>
      </w:r>
      <w:proofErr w:type="spellEnd"/>
      <w:r w:rsidRPr="00B36BB0">
        <w:rPr>
          <w:rStyle w:val="longtext"/>
          <w:rFonts w:ascii="Arial" w:hAnsi="Arial" w:cs="Arial"/>
          <w:sz w:val="24"/>
          <w:szCs w:val="24"/>
          <w:lang w:val="es-ES"/>
        </w:rPr>
        <w:t xml:space="preserve"> (Van Eck &amp; </w:t>
      </w:r>
      <w:proofErr w:type="spellStart"/>
      <w:r w:rsidRPr="00B36BB0">
        <w:rPr>
          <w:rStyle w:val="longtext"/>
          <w:rFonts w:ascii="Arial" w:hAnsi="Arial" w:cs="Arial"/>
          <w:sz w:val="24"/>
          <w:szCs w:val="24"/>
          <w:lang w:val="es-ES"/>
        </w:rPr>
        <w:t>Waltman</w:t>
      </w:r>
      <w:proofErr w:type="spellEnd"/>
      <w:r w:rsidRPr="00B36BB0">
        <w:rPr>
          <w:rStyle w:val="longtext"/>
          <w:rFonts w:ascii="Arial" w:hAnsi="Arial" w:cs="Arial"/>
          <w:sz w:val="24"/>
          <w:szCs w:val="24"/>
          <w:lang w:val="es-ES"/>
        </w:rPr>
        <w:t xml:space="preserve">, 2014) se crearon redes de acoplamiento bibliográfico que permitan identificar la similitud entre varios artículos científicos y corrientes de investigación sobre la economía de la salud en Colombia. Por último, se realizó una revisión cualitativa de la literatura publicada en el último año para determinar futuras líneas de investigación en este campo de conocimiento (Van Eck &amp; </w:t>
      </w:r>
      <w:proofErr w:type="spellStart"/>
      <w:r w:rsidRPr="00B36BB0">
        <w:rPr>
          <w:rStyle w:val="longtext"/>
          <w:rFonts w:ascii="Arial" w:hAnsi="Arial" w:cs="Arial"/>
          <w:sz w:val="24"/>
          <w:szCs w:val="24"/>
          <w:lang w:val="es-ES"/>
        </w:rPr>
        <w:t>Waltman</w:t>
      </w:r>
      <w:proofErr w:type="spellEnd"/>
      <w:r w:rsidRPr="00B36BB0">
        <w:rPr>
          <w:rStyle w:val="longtext"/>
          <w:rFonts w:ascii="Arial" w:hAnsi="Arial" w:cs="Arial"/>
          <w:sz w:val="24"/>
          <w:szCs w:val="24"/>
          <w:lang w:val="es-ES"/>
        </w:rPr>
        <w:t>, 2019).</w:t>
      </w:r>
    </w:p>
    <w:p w14:paraId="7DD4A74D" w14:textId="77777777" w:rsidR="00B36BB0" w:rsidRPr="00B36BB0" w:rsidRDefault="00B36BB0" w:rsidP="00B36BB0">
      <w:pPr>
        <w:pStyle w:val="Contenido1"/>
        <w:spacing w:line="360" w:lineRule="auto"/>
        <w:ind w:firstLine="709"/>
        <w:rPr>
          <w:rFonts w:ascii="Arial" w:hAnsi="Arial" w:cs="Arial"/>
          <w:sz w:val="24"/>
          <w:szCs w:val="24"/>
        </w:rPr>
      </w:pPr>
    </w:p>
    <w:p w14:paraId="2D9FE6FC" w14:textId="4CD03D57" w:rsidR="00ED7720" w:rsidRPr="00DD267F" w:rsidRDefault="00B36BB0" w:rsidP="00B36BB0">
      <w:pPr>
        <w:spacing w:line="360" w:lineRule="auto"/>
        <w:jc w:val="both"/>
        <w:rPr>
          <w:rStyle w:val="m3062600942643913808gmail-m3924406302619508286gmail-"/>
          <w:rFonts w:ascii="Arial" w:hAnsi="Arial" w:cs="Arial"/>
          <w:color w:val="222222"/>
          <w:shd w:val="clear" w:color="auto" w:fill="FFFFFF"/>
        </w:rPr>
      </w:pPr>
      <w:r w:rsidRPr="00B36BB0">
        <w:rPr>
          <w:rStyle w:val="m3062600942643913808gmail-m3924406302619508286gmail-"/>
          <w:rFonts w:ascii="Arial" w:hAnsi="Arial" w:cs="Arial"/>
          <w:b/>
          <w:bCs/>
          <w:color w:val="222222"/>
          <w:shd w:val="clear" w:color="auto" w:fill="FFFFFF"/>
        </w:rPr>
        <w:t>Ética, conflicto de intereses y declaración de financiamiento</w:t>
      </w:r>
      <w:r w:rsidRPr="00B36BB0">
        <w:rPr>
          <w:rStyle w:val="m3062600942643913808gmail-m3924406302619508286gmail-"/>
          <w:rFonts w:ascii="Arial" w:hAnsi="Arial" w:cs="Arial"/>
          <w:color w:val="222222"/>
          <w:shd w:val="clear" w:color="auto" w:fill="FFFFFF"/>
        </w:rPr>
        <w:t>: los autores declaran haber cumplido con todos los requisitos éticos y legales pertinentes, tanto durante el estudio como en el manuscrito;</w:t>
      </w:r>
      <w:r w:rsidRPr="00B36BB0">
        <w:rPr>
          <w:rFonts w:ascii="Arial" w:hAnsi="Arial" w:cs="Arial"/>
          <w:color w:val="222222"/>
          <w:shd w:val="clear" w:color="auto" w:fill="FFFFFF"/>
        </w:rPr>
        <w:t> </w:t>
      </w:r>
      <w:r w:rsidRPr="00B36BB0">
        <w:rPr>
          <w:rStyle w:val="m3062600942643913808gmail-m3924406302619508286gmail-"/>
          <w:rFonts w:ascii="Arial" w:hAnsi="Arial" w:cs="Arial"/>
          <w:color w:val="222222"/>
          <w:shd w:val="clear" w:color="auto" w:fill="FFFFFF"/>
        </w:rPr>
        <w:t xml:space="preserve">que no hay conflictos de interés de ningún tipo, y que todas las fuentes financieras se detallan plena y claramente en la sección de agradecimientos. Asimismo, están de acuerdo con la versión editada final del documento. El respectivo documento legal firmado se encuentra en los </w:t>
      </w:r>
      <w:r w:rsidRPr="00DD267F">
        <w:rPr>
          <w:rStyle w:val="m3062600942643913808gmail-m3924406302619508286gmail-"/>
          <w:rFonts w:ascii="Arial" w:hAnsi="Arial" w:cs="Arial"/>
          <w:color w:val="222222"/>
          <w:shd w:val="clear" w:color="auto" w:fill="FFFFFF"/>
        </w:rPr>
        <w:t>archivos de la revista.</w:t>
      </w:r>
    </w:p>
    <w:p w14:paraId="6BCE1090" w14:textId="36B97313" w:rsidR="005D57F3" w:rsidRPr="00DD267F" w:rsidRDefault="005D57F3" w:rsidP="00B36BB0">
      <w:pPr>
        <w:spacing w:line="360" w:lineRule="auto"/>
        <w:jc w:val="both"/>
        <w:rPr>
          <w:rFonts w:ascii="Arial" w:hAnsi="Arial" w:cs="Arial"/>
          <w:color w:val="222222"/>
          <w:shd w:val="clear" w:color="auto" w:fill="FFFFFF"/>
        </w:rPr>
      </w:pPr>
    </w:p>
    <w:p w14:paraId="3EDDED0B" w14:textId="77777777" w:rsidR="00567046" w:rsidRDefault="00567046" w:rsidP="00B36BB0">
      <w:pPr>
        <w:spacing w:line="360" w:lineRule="auto"/>
        <w:jc w:val="both"/>
        <w:rPr>
          <w:rFonts w:ascii="Arial" w:hAnsi="Arial" w:cs="Arial"/>
          <w:b/>
          <w:color w:val="222222"/>
          <w:shd w:val="clear" w:color="auto" w:fill="FFFFFF"/>
        </w:rPr>
      </w:pPr>
    </w:p>
    <w:p w14:paraId="03805E06" w14:textId="6F34278B" w:rsidR="005D57F3" w:rsidRPr="00DD267F" w:rsidRDefault="005D57F3" w:rsidP="00B36BB0">
      <w:pPr>
        <w:spacing w:line="360" w:lineRule="auto"/>
        <w:jc w:val="both"/>
        <w:rPr>
          <w:rFonts w:ascii="Arial" w:hAnsi="Arial" w:cs="Arial"/>
          <w:b/>
          <w:color w:val="222222"/>
          <w:shd w:val="clear" w:color="auto" w:fill="FFFFFF"/>
        </w:rPr>
      </w:pPr>
      <w:r w:rsidRPr="00DD267F">
        <w:rPr>
          <w:rFonts w:ascii="Arial" w:hAnsi="Arial" w:cs="Arial"/>
          <w:b/>
          <w:color w:val="222222"/>
          <w:shd w:val="clear" w:color="auto" w:fill="FFFFFF"/>
        </w:rPr>
        <w:lastRenderedPageBreak/>
        <w:t>RESULTADOS</w:t>
      </w:r>
    </w:p>
    <w:p w14:paraId="2D22E02F" w14:textId="62EB4597" w:rsidR="005D57F3" w:rsidRPr="00DD267F" w:rsidRDefault="005D57F3" w:rsidP="00B36BB0">
      <w:pPr>
        <w:spacing w:line="360" w:lineRule="auto"/>
        <w:jc w:val="both"/>
        <w:rPr>
          <w:rFonts w:ascii="Arial" w:hAnsi="Arial" w:cs="Arial"/>
          <w:b/>
          <w:color w:val="222222"/>
          <w:shd w:val="clear" w:color="auto" w:fill="FFFFFF"/>
        </w:rPr>
      </w:pPr>
    </w:p>
    <w:p w14:paraId="73F12233" w14:textId="77777777" w:rsidR="00FB5E07" w:rsidRPr="00DD267F" w:rsidRDefault="00FB5E07" w:rsidP="00DD267F">
      <w:pPr>
        <w:spacing w:line="360" w:lineRule="auto"/>
        <w:jc w:val="both"/>
        <w:rPr>
          <w:rFonts w:ascii="Arial" w:hAnsi="Arial" w:cs="Arial"/>
        </w:rPr>
      </w:pPr>
      <w:r w:rsidRPr="00DD267F">
        <w:rPr>
          <w:rFonts w:ascii="Arial" w:hAnsi="Arial" w:cs="Arial"/>
        </w:rPr>
        <w:t xml:space="preserve">A continuación, se relacionan los resultados obtenidos por medio del análisis bibliométrico aplicado en este estudio. En concreto, se define la evolución de la producción científica publicada en </w:t>
      </w:r>
      <w:proofErr w:type="spellStart"/>
      <w:r w:rsidRPr="00DD267F">
        <w:rPr>
          <w:rFonts w:ascii="Arial" w:hAnsi="Arial" w:cs="Arial"/>
        </w:rPr>
        <w:t>Scopus</w:t>
      </w:r>
      <w:proofErr w:type="spellEnd"/>
      <w:r w:rsidRPr="00DD267F">
        <w:rPr>
          <w:rFonts w:ascii="Arial" w:hAnsi="Arial" w:cs="Arial"/>
        </w:rPr>
        <w:t xml:space="preserve"> sobre la economía de la salud en Colombia, también se mencionan aquellos países que, en la actualidad, poseen mayores documentos publicados acordes al tema, las revistas científicas más importantes, así como las instituciones educativas con mayor producción en el campo. Posteriormente, se presentan los autores y artículos con mayor número de citaciones, incluyendo una pequeña descripción de sus aportes.</w:t>
      </w:r>
    </w:p>
    <w:p w14:paraId="4284F573" w14:textId="77777777" w:rsidR="00DD267F" w:rsidRDefault="00DD267F" w:rsidP="00DD267F">
      <w:pPr>
        <w:spacing w:line="360" w:lineRule="auto"/>
        <w:jc w:val="both"/>
        <w:rPr>
          <w:rFonts w:ascii="Arial" w:hAnsi="Arial" w:cs="Arial"/>
        </w:rPr>
      </w:pPr>
    </w:p>
    <w:p w14:paraId="04B9E1F6" w14:textId="46EE6427" w:rsidR="00FB5E07" w:rsidRPr="00DD267F" w:rsidRDefault="00FB5E07" w:rsidP="00DD267F">
      <w:pPr>
        <w:spacing w:line="360" w:lineRule="auto"/>
        <w:jc w:val="both"/>
        <w:rPr>
          <w:rFonts w:ascii="Arial" w:hAnsi="Arial" w:cs="Arial"/>
        </w:rPr>
      </w:pPr>
      <w:r w:rsidRPr="00DD267F">
        <w:rPr>
          <w:rFonts w:ascii="Arial" w:hAnsi="Arial" w:cs="Arial"/>
        </w:rPr>
        <w:t>Para terminar, se expone el resultado de la construcción de redes bibliométricas, las cuales delimitan el acoplamiento bibliográfico entre documentos y los términos con mayor ocurrencia</w:t>
      </w:r>
      <w:r w:rsidRPr="00DD267F">
        <w:rPr>
          <w:rFonts w:ascii="Arial" w:hAnsi="Arial" w:cs="Arial"/>
          <w:color w:val="FF0000"/>
        </w:rPr>
        <w:t xml:space="preserve"> </w:t>
      </w:r>
      <w:r w:rsidRPr="00DD267F">
        <w:rPr>
          <w:rFonts w:ascii="Arial" w:hAnsi="Arial" w:cs="Arial"/>
        </w:rPr>
        <w:t>en textos que abordan el estudio de la economía de la salud en Colombia y otros temas relacionados.</w:t>
      </w:r>
    </w:p>
    <w:p w14:paraId="186A549C" w14:textId="77777777" w:rsidR="00DD267F" w:rsidRDefault="00DD267F" w:rsidP="00FB5E07">
      <w:pPr>
        <w:spacing w:line="360" w:lineRule="auto"/>
        <w:ind w:firstLine="709"/>
        <w:jc w:val="both"/>
        <w:rPr>
          <w:rFonts w:ascii="Arial" w:hAnsi="Arial" w:cs="Arial"/>
          <w:b/>
          <w:bCs/>
          <w:i/>
          <w:iCs/>
        </w:rPr>
      </w:pPr>
    </w:p>
    <w:p w14:paraId="6A1E4F57" w14:textId="174EDEFA" w:rsidR="00FB5E07" w:rsidRPr="00DD267F" w:rsidRDefault="00FB5E07" w:rsidP="00FB5E07">
      <w:pPr>
        <w:spacing w:line="360" w:lineRule="auto"/>
        <w:ind w:firstLine="709"/>
        <w:jc w:val="both"/>
        <w:rPr>
          <w:rFonts w:ascii="Arial" w:hAnsi="Arial" w:cs="Arial"/>
          <w:b/>
          <w:bCs/>
          <w:i/>
          <w:iCs/>
        </w:rPr>
      </w:pPr>
      <w:r w:rsidRPr="00DD267F">
        <w:rPr>
          <w:rFonts w:ascii="Arial" w:hAnsi="Arial" w:cs="Arial"/>
          <w:b/>
          <w:bCs/>
          <w:i/>
          <w:iCs/>
        </w:rPr>
        <w:t>Evolución de la Producción Científica</w:t>
      </w:r>
    </w:p>
    <w:p w14:paraId="2089014E" w14:textId="77777777" w:rsidR="00956A77" w:rsidRDefault="00956A77" w:rsidP="00956A77">
      <w:pPr>
        <w:spacing w:line="360" w:lineRule="auto"/>
        <w:jc w:val="both"/>
        <w:rPr>
          <w:rFonts w:ascii="Arial" w:hAnsi="Arial" w:cs="Arial"/>
        </w:rPr>
      </w:pPr>
    </w:p>
    <w:p w14:paraId="27D6A68E" w14:textId="1959AE86" w:rsidR="00FB5E07" w:rsidRPr="00DD267F" w:rsidRDefault="00FB5E07" w:rsidP="00956A77">
      <w:pPr>
        <w:spacing w:line="360" w:lineRule="auto"/>
        <w:jc w:val="both"/>
        <w:rPr>
          <w:rFonts w:ascii="Arial" w:hAnsi="Arial" w:cs="Arial"/>
        </w:rPr>
      </w:pPr>
      <w:r w:rsidRPr="00DD267F">
        <w:rPr>
          <w:rFonts w:ascii="Arial" w:hAnsi="Arial" w:cs="Arial"/>
        </w:rPr>
        <w:t xml:space="preserve">En el grafico 1 se presenta la línea de tiempo que describe el avance de la producción científica enfocada al campo de estudio de la economía de la salud en Colombia. Se evidencia que el primer documento de este tipo fue publicado en el año 1975, escrito por Hill II, G.J. en la revista </w:t>
      </w:r>
      <w:proofErr w:type="spellStart"/>
      <w:r w:rsidRPr="00DD267F">
        <w:rPr>
          <w:rFonts w:ascii="Arial" w:hAnsi="Arial" w:cs="Arial"/>
        </w:rPr>
        <w:t>Surgery</w:t>
      </w:r>
      <w:proofErr w:type="spellEnd"/>
      <w:r w:rsidRPr="00DD267F">
        <w:rPr>
          <w:rFonts w:ascii="Arial" w:hAnsi="Arial" w:cs="Arial"/>
        </w:rPr>
        <w:t xml:space="preserve">. Discute las indicaciones de la cirugía ambulatoria y se centra en identificar los criterios y situaciones en las que </w:t>
      </w:r>
      <w:r w:rsidRPr="00DD267F">
        <w:rPr>
          <w:rFonts w:ascii="Arial" w:hAnsi="Arial" w:cs="Arial"/>
        </w:rPr>
        <w:lastRenderedPageBreak/>
        <w:t xml:space="preserve">la cirugía ambulatoria es apropiada, es decir, aquellas cirugías que pueden realizarse sin necesidad de que el paciente pase la noche en el hospital y pueda ser dado de alta el mismo día de la intervención </w:t>
      </w:r>
      <w:r w:rsidRPr="00DD267F">
        <w:rPr>
          <w:rFonts w:ascii="Arial" w:hAnsi="Arial" w:cs="Arial"/>
        </w:rPr>
        <w:fldChar w:fldCharType="begin"/>
      </w:r>
      <w:r w:rsidRPr="00DD267F">
        <w:rPr>
          <w:rFonts w:ascii="Arial" w:hAnsi="Arial" w:cs="Arial"/>
        </w:rPr>
        <w:instrText xml:space="preserve"> ADDIN ZOTERO_ITEM CSL_CITATION {"citationID":"1UsJg8eh","properties":{"formattedCitation":"(Hill II, 1975)","plainCitation":"(Hill II, 1975)","noteIndex":0},"citationItems":[{"id":599,"uris":["http://zotero.org/users/local/2poXFmzI/items/KVHQNZUN"],"itemData":{"id":599,"type":"article-journal","archive":"Scopus","container-title":"Surgery","ISSN":"00396060 (ISSN)","issue":"3","journalAbbreviation":"Surgery (USA)","language":"English","page":"333-335","title":"Outpatient surgery-what are the indications for it?","volume":"77","author":[{"family":"Hill II","given":"G.J."}],"issued":{"date-parts":[["1975"]]}}}],"schema":"https://github.com/citation-style-language/schema/raw/master/csl-citation.json"} </w:instrText>
      </w:r>
      <w:r w:rsidRPr="00DD267F">
        <w:rPr>
          <w:rFonts w:ascii="Arial" w:hAnsi="Arial" w:cs="Arial"/>
        </w:rPr>
        <w:fldChar w:fldCharType="separate"/>
      </w:r>
      <w:r w:rsidRPr="00DD267F">
        <w:rPr>
          <w:rFonts w:ascii="Arial" w:hAnsi="Arial" w:cs="Arial"/>
        </w:rPr>
        <w:t>(Hill II, 1975)</w:t>
      </w:r>
      <w:r w:rsidRPr="00DD267F">
        <w:rPr>
          <w:rFonts w:ascii="Arial" w:hAnsi="Arial" w:cs="Arial"/>
        </w:rPr>
        <w:fldChar w:fldCharType="end"/>
      </w:r>
      <w:r w:rsidRPr="00DD267F">
        <w:rPr>
          <w:rFonts w:ascii="Arial" w:hAnsi="Arial" w:cs="Arial"/>
        </w:rPr>
        <w:t>.</w:t>
      </w:r>
    </w:p>
    <w:p w14:paraId="154D42CF" w14:textId="77777777" w:rsidR="001D589A" w:rsidRDefault="001D589A" w:rsidP="001D589A">
      <w:pPr>
        <w:spacing w:line="360" w:lineRule="auto"/>
        <w:jc w:val="both"/>
        <w:rPr>
          <w:rFonts w:ascii="Arial" w:hAnsi="Arial" w:cs="Arial"/>
        </w:rPr>
      </w:pPr>
    </w:p>
    <w:p w14:paraId="70C06947" w14:textId="53F5BC7F" w:rsidR="00FB5E07" w:rsidRPr="00DD267F" w:rsidRDefault="00FB5E07" w:rsidP="001D589A">
      <w:pPr>
        <w:spacing w:line="360" w:lineRule="auto"/>
        <w:jc w:val="both"/>
        <w:rPr>
          <w:rFonts w:ascii="Arial" w:hAnsi="Arial" w:cs="Arial"/>
        </w:rPr>
      </w:pPr>
      <w:r w:rsidRPr="00DD267F">
        <w:rPr>
          <w:rFonts w:ascii="Arial" w:hAnsi="Arial" w:cs="Arial"/>
        </w:rPr>
        <w:t xml:space="preserve">En el gráfico 1 se observa que la producción de documentos relacionados con la economía de la salud en Colombia experimentó un aumento en el año 2023. El aumento se debe principalmente a las múltiples dificultades financieras y administrativas que ha enfrentado el sistema de salud. Estos problemas incluyen un aumento en la cantidad de personas afiliadas al régimen subsidiado, un aumento en la necesidad de servicios, los gastos relacionados con la unificación de las primas - UPC de aseguramiento entre los regímenes subsidiado y contributivo, y la afiliación de población  migrante principalmente venezolanos al régimen subsidiado, la liquidación de las Entidades Administradoras de Planes de Beneficios (EAPB) y la implementación del Acuerdo de Punto Final </w:t>
      </w:r>
      <w:r w:rsidRPr="00DD267F">
        <w:rPr>
          <w:rFonts w:ascii="Arial" w:hAnsi="Arial" w:cs="Arial"/>
        </w:rPr>
        <w:fldChar w:fldCharType="begin"/>
      </w:r>
      <w:r w:rsidRPr="00DD267F">
        <w:rPr>
          <w:rFonts w:ascii="Arial" w:hAnsi="Arial" w:cs="Arial"/>
        </w:rPr>
        <w:instrText xml:space="preserve"> ADDIN ZOTERO_ITEM CSL_CITATION {"citationID":"vGJ2fTt0","properties":{"formattedCitation":"(Melo-Becerra et\\uc0\\u160{}al., 2023)","plainCitation":"(Melo-Becerra et al., 2023)","noteIndex":0},"citationItems":[{"id":1000,"uris":["http://zotero.org/users/local/2poXFmzI/items/R5X3NP9R"],"itemData":{"id":1000,"type":"article-journal","abstract":"El artículo realiza una descripción de los aspectos institucionales, mecanismos y fuentes de financiación del sistema de salud en Colombia. Utilizando modelos de equilibrio general, el estudio evalúa los efectos de diversos riesgos que enfrenta el sistema de salud, en las finanzas del sector, el déficit fiscal y algunas variables macroeconómicas. Estos riesgos incluyen el impacto del cambio demográfico, caracterizado por el envejecimiento de la población, los cambios en los patrones de morbilidad, especialmente relacionados con el aumento de enfermedades crónicas no transmisibles y la adopción de nuevas tecnologías médicas. Además, explora el impacto de la informalidad y del crecimiento económico, en la necesidad de recursos fiscales para el sector. El estudio encuentra que el país podría experimentar un incremento significativo en el gasto público necesario para financiar el sistema de salud, equivalente a 1,9% del PIB para el año 2030. El articulo también presenta estimaciones de medidas de eficiencia y de economías de escala para las empresas promotoras de salud y de las Instituciones Prestadoras de Servicios de Salud, resaltando la importancia de la eficiencia en el uso de los recursos del sistema para mitigar las presiones sobre el gasto público.","container-title":"Ensayos sobre Política Económica","DOI":"10.32468/espe106","ISSN":"26651327","issue":"106","journalAbbreviation":"ESPE","page":"1-92","source":"DOI.org (Crossref)","title":"Aspectos financieros y fiscales del sistema de salud en Colombia","author":[{"family":"Melo-Becerra","given":"Ligia Alba"},{"family":"Arango-Thomas","given":"Luis E."},{"family":"Ávila-Montealegre","given":"Óscar"},{"family":"Ayala-García","given":"Jhorland"},{"family":"Bonilla-Mejía","given":"Leonardo"},{"family":"Botero-García","given":"Jesús Alonso"},{"family":"Cardona-Badillo","given":"Manuela"},{"family":"Crispin-Fory","given":"Carolina"},{"family":"Gallo-Montaño","given":"Daniela Del Pilar"},{"family":"Granger-Castaño","given":"Clark Júnior"},{"family":"Guzmán-Finol","given":"Karelys"},{"family":"Iregui-Bohórquez","given":"Ana María"},{"family":"Ospina-Tejeiro","given":"Juan José"},{"family":"Pinilla-Alarcón","given":"Diana"},{"family":"Posso-Suárez","given":"Christian"},{"family":"Ramírez-Giraldo","given":"María Teresa"},{"family":"Ramos-Forero","given":"Jorge Enrique"},{"family":"Ramos-Veloza","given":"Mario"},{"family":"Restrepo-Tobón","given":"Diego Alexander"},{"family":"Restrepo-Zea","given":"Jairo Humberto"},{"family":"Silva-Samudio","given":"Giselle Tatiana"},{"family":"Vásquez-Escobar","given":"Diego Mauricio"}],"issued":{"date-parts":[["2023",10,2]]}}}],"schema":"https://github.com/citation-style-language/schema/raw/master/csl-citation.json"} </w:instrText>
      </w:r>
      <w:r w:rsidRPr="00DD267F">
        <w:rPr>
          <w:rFonts w:ascii="Arial" w:hAnsi="Arial" w:cs="Arial"/>
        </w:rPr>
        <w:fldChar w:fldCharType="separate"/>
      </w:r>
      <w:r w:rsidRPr="00DD267F">
        <w:rPr>
          <w:rFonts w:ascii="Arial" w:hAnsi="Arial" w:cs="Arial"/>
        </w:rPr>
        <w:t>(Melo-Becerra et al., 2023)</w:t>
      </w:r>
      <w:r w:rsidRPr="00DD267F">
        <w:rPr>
          <w:rFonts w:ascii="Arial" w:hAnsi="Arial" w:cs="Arial"/>
        </w:rPr>
        <w:fldChar w:fldCharType="end"/>
      </w:r>
      <w:r w:rsidRPr="00DD267F">
        <w:rPr>
          <w:rFonts w:ascii="Arial" w:hAnsi="Arial" w:cs="Arial"/>
        </w:rPr>
        <w:t>.</w:t>
      </w:r>
    </w:p>
    <w:p w14:paraId="0BAC1F3F" w14:textId="77777777" w:rsidR="00555884" w:rsidRDefault="00555884" w:rsidP="00FB5E07">
      <w:pPr>
        <w:spacing w:line="360" w:lineRule="auto"/>
        <w:jc w:val="both"/>
        <w:rPr>
          <w:rFonts w:ascii="Arial" w:hAnsi="Arial" w:cs="Arial"/>
        </w:rPr>
      </w:pPr>
    </w:p>
    <w:p w14:paraId="5F037B67" w14:textId="77777777" w:rsidR="001A7A64" w:rsidRDefault="00FB5E07" w:rsidP="00FB5E07">
      <w:pPr>
        <w:spacing w:line="360" w:lineRule="auto"/>
        <w:jc w:val="both"/>
        <w:rPr>
          <w:rFonts w:ascii="Arial" w:hAnsi="Arial" w:cs="Arial"/>
        </w:rPr>
      </w:pPr>
      <w:r w:rsidRPr="00DD267F">
        <w:rPr>
          <w:rFonts w:ascii="Arial" w:hAnsi="Arial" w:cs="Arial"/>
        </w:rPr>
        <w:t xml:space="preserve">Se puede notar, que entre los años 2020, 2022 y 2023 los estudios sobre la economía de la salud en Colombia han alcanzado cifras superiores, alcanzando aproximadamente 10, 16 y 17 publicaciones respectivamente. Es importante destacar que la pandemia de COVID-19 ha influido significativamente en este fenómeno, generando un mayor interés en la operatividad y la eficiencia de los sistemas de salud. </w:t>
      </w:r>
    </w:p>
    <w:p w14:paraId="197599DD" w14:textId="77777777" w:rsidR="001A7A64" w:rsidRDefault="001A7A64" w:rsidP="00FB5E07">
      <w:pPr>
        <w:spacing w:line="360" w:lineRule="auto"/>
        <w:jc w:val="both"/>
        <w:rPr>
          <w:rFonts w:ascii="Arial" w:hAnsi="Arial" w:cs="Arial"/>
        </w:rPr>
      </w:pPr>
    </w:p>
    <w:p w14:paraId="76D9A1CC" w14:textId="23A203B9" w:rsidR="005D57F3" w:rsidRPr="00DD267F" w:rsidRDefault="00FB5E07" w:rsidP="00FB5E07">
      <w:pPr>
        <w:spacing w:line="360" w:lineRule="auto"/>
        <w:jc w:val="both"/>
        <w:rPr>
          <w:rFonts w:ascii="Arial" w:hAnsi="Arial" w:cs="Arial"/>
        </w:rPr>
      </w:pPr>
      <w:r w:rsidRPr="00DD267F">
        <w:rPr>
          <w:rFonts w:ascii="Arial" w:hAnsi="Arial" w:cs="Arial"/>
        </w:rPr>
        <w:lastRenderedPageBreak/>
        <w:t xml:space="preserve">Asimismo, ha promovido una mayor conciencia acerca de la relevancia de contar con sistemas de salud robustos y accesibles. Por último, el progreso tecnológico y la disponibilidad de datos han facilitado la realización de investigaciones y estudios en torno a asuntos vinculados con la economía de la salud </w:t>
      </w:r>
      <w:sdt>
        <w:sdtPr>
          <w:rPr>
            <w:rFonts w:ascii="Arial" w:hAnsi="Arial" w:cs="Arial"/>
          </w:rPr>
          <w:id w:val="1313679184"/>
          <w:citation/>
        </w:sdtPr>
        <w:sdtEndPr/>
        <w:sdtContent>
          <w:r w:rsidRPr="00DD267F">
            <w:rPr>
              <w:rFonts w:ascii="Arial" w:hAnsi="Arial" w:cs="Arial"/>
            </w:rPr>
            <w:fldChar w:fldCharType="begin"/>
          </w:r>
          <w:r w:rsidRPr="00DD267F">
            <w:rPr>
              <w:rFonts w:ascii="Arial" w:hAnsi="Arial" w:cs="Arial"/>
              <w:lang w:val="es-ES"/>
            </w:rPr>
            <w:instrText xml:space="preserve"> CITATION Org20 \l 3082 </w:instrText>
          </w:r>
          <w:r w:rsidRPr="00DD267F">
            <w:rPr>
              <w:rFonts w:ascii="Arial" w:hAnsi="Arial" w:cs="Arial"/>
            </w:rPr>
            <w:fldChar w:fldCharType="separate"/>
          </w:r>
          <w:r w:rsidRPr="00DD267F">
            <w:rPr>
              <w:rFonts w:ascii="Arial" w:hAnsi="Arial" w:cs="Arial"/>
              <w:noProof/>
              <w:lang w:val="es-ES"/>
            </w:rPr>
            <w:t>(Organización Panamericana de la Salud/ Organización Mundial de la Salud (OPS/OMS), 2020)</w:t>
          </w:r>
          <w:r w:rsidRPr="00DD267F">
            <w:rPr>
              <w:rFonts w:ascii="Arial" w:hAnsi="Arial" w:cs="Arial"/>
            </w:rPr>
            <w:fldChar w:fldCharType="end"/>
          </w:r>
        </w:sdtContent>
      </w:sdt>
      <w:r w:rsidRPr="00DD267F">
        <w:rPr>
          <w:rFonts w:ascii="Arial" w:hAnsi="Arial" w:cs="Arial"/>
        </w:rPr>
        <w:t>.</w:t>
      </w:r>
    </w:p>
    <w:p w14:paraId="3443B243" w14:textId="77777777" w:rsidR="00A3095B" w:rsidRDefault="00A3095B" w:rsidP="008C0B8F">
      <w:pPr>
        <w:spacing w:line="360" w:lineRule="auto"/>
        <w:ind w:firstLine="709"/>
        <w:jc w:val="center"/>
        <w:rPr>
          <w:rFonts w:ascii="Arial" w:hAnsi="Arial" w:cs="Arial"/>
          <w:b/>
          <w:bCs/>
          <w:sz w:val="20"/>
          <w:szCs w:val="20"/>
        </w:rPr>
      </w:pPr>
    </w:p>
    <w:p w14:paraId="14555C5D" w14:textId="386C0DF8" w:rsidR="008C0B8F" w:rsidRPr="00DC587F" w:rsidRDefault="008C0B8F" w:rsidP="008C0B8F">
      <w:pPr>
        <w:spacing w:line="360" w:lineRule="auto"/>
        <w:ind w:firstLine="709"/>
        <w:jc w:val="center"/>
        <w:rPr>
          <w:rFonts w:ascii="Arial" w:hAnsi="Arial" w:cs="Arial"/>
          <w:b/>
          <w:bCs/>
          <w:sz w:val="20"/>
          <w:szCs w:val="20"/>
        </w:rPr>
      </w:pPr>
      <w:r w:rsidRPr="00DC587F">
        <w:rPr>
          <w:rFonts w:ascii="Arial" w:hAnsi="Arial" w:cs="Arial"/>
          <w:b/>
          <w:bCs/>
          <w:sz w:val="20"/>
          <w:szCs w:val="20"/>
        </w:rPr>
        <w:t xml:space="preserve">Gráfico 1. Evolución de </w:t>
      </w:r>
      <w:r w:rsidR="00B51B25">
        <w:rPr>
          <w:rFonts w:ascii="Arial" w:hAnsi="Arial" w:cs="Arial"/>
          <w:b/>
          <w:bCs/>
          <w:sz w:val="20"/>
          <w:szCs w:val="20"/>
        </w:rPr>
        <w:t>p</w:t>
      </w:r>
      <w:r w:rsidRPr="00DC587F">
        <w:rPr>
          <w:rFonts w:ascii="Arial" w:hAnsi="Arial" w:cs="Arial"/>
          <w:b/>
          <w:bCs/>
          <w:sz w:val="20"/>
          <w:szCs w:val="20"/>
        </w:rPr>
        <w:t xml:space="preserve">ublicaciones </w:t>
      </w:r>
    </w:p>
    <w:p w14:paraId="29C51ACD" w14:textId="77777777" w:rsidR="008C0B8F" w:rsidRPr="00416937" w:rsidRDefault="008C0B8F" w:rsidP="008C0B8F">
      <w:pPr>
        <w:spacing w:line="360" w:lineRule="auto"/>
        <w:ind w:firstLine="709"/>
        <w:jc w:val="center"/>
        <w:rPr>
          <w:rFonts w:cstheme="minorHAnsi"/>
          <w:b/>
          <w:bCs/>
        </w:rPr>
      </w:pPr>
      <w:r w:rsidRPr="00416937">
        <w:rPr>
          <w:rFonts w:cstheme="minorHAnsi"/>
          <w:noProof/>
          <w:lang w:eastAsia="es-CR"/>
        </w:rPr>
        <w:drawing>
          <wp:inline distT="0" distB="0" distL="0" distR="0" wp14:anchorId="300E89A0" wp14:editId="1D32413C">
            <wp:extent cx="5038725" cy="3619500"/>
            <wp:effectExtent l="0" t="0" r="9525" b="0"/>
            <wp:docPr id="1799762758" name="Gráfico 1">
              <a:extLst xmlns:a="http://schemas.openxmlformats.org/drawingml/2006/main">
                <a:ext uri="{FF2B5EF4-FFF2-40B4-BE49-F238E27FC236}">
                  <a16:creationId xmlns:a16="http://schemas.microsoft.com/office/drawing/2014/main" id="{E05E1616-8FE4-9331-BC19-5D549BA5CF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A1FB19" w14:textId="6A9FD3E4" w:rsidR="008C0B8F" w:rsidRPr="002D7179" w:rsidRDefault="008C0B8F" w:rsidP="008C0B8F">
      <w:pPr>
        <w:spacing w:line="360" w:lineRule="auto"/>
        <w:ind w:firstLine="709"/>
        <w:jc w:val="center"/>
        <w:rPr>
          <w:rFonts w:ascii="Arial" w:hAnsi="Arial" w:cs="Arial"/>
          <w:sz w:val="20"/>
          <w:szCs w:val="20"/>
        </w:rPr>
      </w:pPr>
      <w:r w:rsidRPr="002D7179">
        <w:rPr>
          <w:rFonts w:ascii="Arial" w:hAnsi="Arial" w:cs="Arial"/>
          <w:sz w:val="20"/>
          <w:szCs w:val="20"/>
        </w:rPr>
        <w:t xml:space="preserve">Fuente: Elaboración propia, con base en los resultados de </w:t>
      </w:r>
      <w:proofErr w:type="spellStart"/>
      <w:r w:rsidRPr="002D7179">
        <w:rPr>
          <w:rFonts w:ascii="Arial" w:hAnsi="Arial" w:cs="Arial"/>
          <w:sz w:val="20"/>
          <w:szCs w:val="20"/>
        </w:rPr>
        <w:t>Scopus</w:t>
      </w:r>
      <w:proofErr w:type="spellEnd"/>
      <w:r w:rsidRPr="002D7179">
        <w:rPr>
          <w:rFonts w:ascii="Arial" w:hAnsi="Arial" w:cs="Arial"/>
          <w:sz w:val="20"/>
          <w:szCs w:val="20"/>
        </w:rPr>
        <w:t>, 2024</w:t>
      </w:r>
      <w:r w:rsidR="002D7179">
        <w:rPr>
          <w:rFonts w:ascii="Arial" w:hAnsi="Arial" w:cs="Arial"/>
          <w:sz w:val="20"/>
          <w:szCs w:val="20"/>
        </w:rPr>
        <w:t>.</w:t>
      </w:r>
    </w:p>
    <w:p w14:paraId="1A1F04E6" w14:textId="77777777" w:rsidR="002D7179" w:rsidRPr="002D7179" w:rsidRDefault="002D7179" w:rsidP="008C0B8F">
      <w:pPr>
        <w:spacing w:line="360" w:lineRule="auto"/>
        <w:ind w:firstLine="709"/>
        <w:jc w:val="both"/>
        <w:rPr>
          <w:rFonts w:ascii="Arial" w:hAnsi="Arial" w:cs="Arial"/>
          <w:b/>
          <w:bCs/>
          <w:i/>
          <w:iCs/>
        </w:rPr>
      </w:pPr>
    </w:p>
    <w:p w14:paraId="262AB2A5" w14:textId="4C22E363" w:rsidR="008C0B8F" w:rsidRPr="002D7179" w:rsidRDefault="008C0B8F" w:rsidP="008C0B8F">
      <w:pPr>
        <w:spacing w:line="360" w:lineRule="auto"/>
        <w:ind w:firstLine="709"/>
        <w:jc w:val="both"/>
        <w:rPr>
          <w:rFonts w:ascii="Arial" w:hAnsi="Arial" w:cs="Arial"/>
          <w:b/>
          <w:bCs/>
          <w:i/>
          <w:iCs/>
        </w:rPr>
      </w:pPr>
      <w:r w:rsidRPr="002D7179">
        <w:rPr>
          <w:rFonts w:ascii="Arial" w:hAnsi="Arial" w:cs="Arial"/>
          <w:b/>
          <w:bCs/>
          <w:i/>
          <w:iCs/>
        </w:rPr>
        <w:lastRenderedPageBreak/>
        <w:t xml:space="preserve">Países con Mayor Producción Científica </w:t>
      </w:r>
    </w:p>
    <w:p w14:paraId="607C0098" w14:textId="77777777" w:rsidR="002D7179" w:rsidRPr="002D7179" w:rsidRDefault="002D7179" w:rsidP="008C0B8F">
      <w:pPr>
        <w:spacing w:line="360" w:lineRule="auto"/>
        <w:ind w:firstLine="709"/>
        <w:jc w:val="both"/>
        <w:rPr>
          <w:rFonts w:ascii="Arial" w:hAnsi="Arial" w:cs="Arial"/>
        </w:rPr>
      </w:pPr>
    </w:p>
    <w:p w14:paraId="4F141F22" w14:textId="5138305D" w:rsidR="008C0B8F" w:rsidRDefault="008C0B8F" w:rsidP="002D7179">
      <w:pPr>
        <w:spacing w:line="360" w:lineRule="auto"/>
        <w:jc w:val="both"/>
        <w:rPr>
          <w:rFonts w:ascii="Arial" w:hAnsi="Arial" w:cs="Arial"/>
        </w:rPr>
      </w:pPr>
      <w:r w:rsidRPr="002D7179">
        <w:rPr>
          <w:rFonts w:ascii="Arial" w:hAnsi="Arial" w:cs="Arial"/>
        </w:rPr>
        <w:t xml:space="preserve">En la tabla 1 se presentan los países con mayor producción sobre la economía de la salud en Colombia y temas afines, donde se evidencia que Colombia, con 73 artículos publicados hasta el momento, es el país de mayor productividad en el campo de estudio, seguido de Estados Unidos, en donde se han realizado 23 publicaciones. </w:t>
      </w:r>
    </w:p>
    <w:p w14:paraId="0C5DFF3C" w14:textId="459E4D36" w:rsidR="008C0B8F" w:rsidRPr="00B925AA" w:rsidRDefault="008C0B8F" w:rsidP="00B925AA">
      <w:pPr>
        <w:jc w:val="center"/>
        <w:rPr>
          <w:rFonts w:ascii="Arial" w:hAnsi="Arial" w:cs="Arial"/>
          <w:b/>
          <w:bCs/>
          <w:sz w:val="20"/>
          <w:szCs w:val="20"/>
        </w:rPr>
      </w:pPr>
      <w:r w:rsidRPr="00B925AA">
        <w:rPr>
          <w:rFonts w:ascii="Arial" w:hAnsi="Arial" w:cs="Arial"/>
          <w:b/>
          <w:bCs/>
          <w:sz w:val="20"/>
          <w:szCs w:val="20"/>
        </w:rPr>
        <w:t xml:space="preserve">Tabla 1. Países con </w:t>
      </w:r>
      <w:r w:rsidR="00B925AA">
        <w:rPr>
          <w:rFonts w:ascii="Arial" w:hAnsi="Arial" w:cs="Arial"/>
          <w:b/>
          <w:bCs/>
          <w:sz w:val="20"/>
          <w:szCs w:val="20"/>
        </w:rPr>
        <w:t>m</w:t>
      </w:r>
      <w:r w:rsidRPr="00B925AA">
        <w:rPr>
          <w:rFonts w:ascii="Arial" w:hAnsi="Arial" w:cs="Arial"/>
          <w:b/>
          <w:bCs/>
          <w:sz w:val="20"/>
          <w:szCs w:val="20"/>
        </w:rPr>
        <w:t xml:space="preserve">ayor </w:t>
      </w:r>
      <w:r w:rsidR="00B925AA">
        <w:rPr>
          <w:rFonts w:ascii="Arial" w:hAnsi="Arial" w:cs="Arial"/>
          <w:b/>
          <w:bCs/>
          <w:sz w:val="20"/>
          <w:szCs w:val="20"/>
        </w:rPr>
        <w:t>p</w:t>
      </w:r>
      <w:r w:rsidRPr="00B925AA">
        <w:rPr>
          <w:rFonts w:ascii="Arial" w:hAnsi="Arial" w:cs="Arial"/>
          <w:b/>
          <w:bCs/>
          <w:sz w:val="20"/>
          <w:szCs w:val="20"/>
        </w:rPr>
        <w:t>roducción científica</w:t>
      </w:r>
    </w:p>
    <w:p w14:paraId="64FABAB8" w14:textId="7EBF84F1" w:rsidR="00796F5C" w:rsidRPr="00B925AA" w:rsidRDefault="00796F5C" w:rsidP="00B925AA">
      <w:pPr>
        <w:jc w:val="both"/>
        <w:rPr>
          <w:rFonts w:ascii="Arial" w:hAnsi="Arial" w:cs="Arial"/>
          <w:color w:val="222222"/>
          <w:sz w:val="20"/>
          <w:szCs w:val="20"/>
          <w:shd w:val="clear" w:color="auto" w:fill="FFFFFF"/>
        </w:rPr>
      </w:pPr>
    </w:p>
    <w:tbl>
      <w:tblPr>
        <w:tblW w:w="8748" w:type="dxa"/>
        <w:jc w:val="center"/>
        <w:tblCellMar>
          <w:left w:w="70" w:type="dxa"/>
          <w:right w:w="70" w:type="dxa"/>
        </w:tblCellMar>
        <w:tblLook w:val="04A0" w:firstRow="1" w:lastRow="0" w:firstColumn="1" w:lastColumn="0" w:noHBand="0" w:noVBand="1"/>
      </w:tblPr>
      <w:tblGrid>
        <w:gridCol w:w="2180"/>
        <w:gridCol w:w="2194"/>
        <w:gridCol w:w="2180"/>
        <w:gridCol w:w="2194"/>
      </w:tblGrid>
      <w:tr w:rsidR="00796F5C" w:rsidRPr="00796F5C" w14:paraId="0C2D7871" w14:textId="77777777" w:rsidTr="00562FCB">
        <w:trPr>
          <w:trHeight w:val="300"/>
          <w:jc w:val="center"/>
        </w:trPr>
        <w:tc>
          <w:tcPr>
            <w:tcW w:w="2180" w:type="dxa"/>
            <w:tcBorders>
              <w:top w:val="single" w:sz="4" w:space="0" w:color="auto"/>
              <w:left w:val="nil"/>
              <w:bottom w:val="single" w:sz="4" w:space="0" w:color="auto"/>
              <w:right w:val="nil"/>
            </w:tcBorders>
            <w:shd w:val="clear" w:color="auto" w:fill="auto"/>
            <w:noWrap/>
            <w:vAlign w:val="center"/>
            <w:hideMark/>
          </w:tcPr>
          <w:p w14:paraId="4444B5B1" w14:textId="77777777" w:rsidR="00796F5C" w:rsidRPr="00796F5C" w:rsidRDefault="00796F5C" w:rsidP="00764EB1">
            <w:pPr>
              <w:ind w:firstLine="709"/>
              <w:rPr>
                <w:rFonts w:ascii="Arial" w:hAnsi="Arial" w:cs="Arial"/>
                <w:b/>
                <w:bCs/>
                <w:color w:val="000000"/>
                <w:sz w:val="20"/>
                <w:szCs w:val="20"/>
                <w:lang w:eastAsia="es-CO"/>
              </w:rPr>
            </w:pPr>
            <w:r w:rsidRPr="00796F5C">
              <w:rPr>
                <w:rFonts w:ascii="Arial" w:hAnsi="Arial" w:cs="Arial"/>
                <w:b/>
                <w:bCs/>
                <w:color w:val="000000"/>
                <w:sz w:val="20"/>
                <w:szCs w:val="20"/>
                <w:lang w:eastAsia="es-CO"/>
              </w:rPr>
              <w:t>País</w:t>
            </w:r>
          </w:p>
        </w:tc>
        <w:tc>
          <w:tcPr>
            <w:tcW w:w="2194" w:type="dxa"/>
            <w:tcBorders>
              <w:top w:val="single" w:sz="4" w:space="0" w:color="auto"/>
              <w:left w:val="nil"/>
              <w:bottom w:val="single" w:sz="4" w:space="0" w:color="auto"/>
              <w:right w:val="nil"/>
            </w:tcBorders>
            <w:shd w:val="clear" w:color="auto" w:fill="auto"/>
            <w:noWrap/>
            <w:vAlign w:val="center"/>
            <w:hideMark/>
          </w:tcPr>
          <w:p w14:paraId="1AFB2F9B" w14:textId="77777777" w:rsidR="00796F5C" w:rsidRPr="00796F5C" w:rsidRDefault="00796F5C" w:rsidP="002F047C">
            <w:pPr>
              <w:ind w:firstLine="709"/>
              <w:jc w:val="center"/>
              <w:rPr>
                <w:rFonts w:ascii="Arial" w:hAnsi="Arial" w:cs="Arial"/>
                <w:b/>
                <w:bCs/>
                <w:color w:val="000000"/>
                <w:sz w:val="20"/>
                <w:szCs w:val="20"/>
                <w:lang w:eastAsia="es-CO"/>
              </w:rPr>
            </w:pPr>
            <w:r w:rsidRPr="00796F5C">
              <w:rPr>
                <w:rFonts w:ascii="Arial" w:hAnsi="Arial" w:cs="Arial"/>
                <w:b/>
                <w:bCs/>
                <w:color w:val="000000"/>
                <w:sz w:val="20"/>
                <w:szCs w:val="20"/>
                <w:lang w:eastAsia="es-CO"/>
              </w:rPr>
              <w:t xml:space="preserve">Publicaciones </w:t>
            </w:r>
          </w:p>
        </w:tc>
        <w:tc>
          <w:tcPr>
            <w:tcW w:w="2180" w:type="dxa"/>
            <w:tcBorders>
              <w:top w:val="single" w:sz="4" w:space="0" w:color="auto"/>
              <w:left w:val="nil"/>
              <w:bottom w:val="single" w:sz="4" w:space="0" w:color="auto"/>
              <w:right w:val="nil"/>
            </w:tcBorders>
            <w:shd w:val="clear" w:color="auto" w:fill="auto"/>
            <w:noWrap/>
            <w:vAlign w:val="center"/>
            <w:hideMark/>
          </w:tcPr>
          <w:p w14:paraId="315DFACB" w14:textId="77777777" w:rsidR="00796F5C" w:rsidRPr="00796F5C" w:rsidRDefault="00796F5C" w:rsidP="000F618C">
            <w:pPr>
              <w:ind w:firstLine="709"/>
              <w:rPr>
                <w:rFonts w:ascii="Arial" w:hAnsi="Arial" w:cs="Arial"/>
                <w:b/>
                <w:bCs/>
                <w:color w:val="000000"/>
                <w:sz w:val="20"/>
                <w:szCs w:val="20"/>
                <w:lang w:eastAsia="es-CO"/>
              </w:rPr>
            </w:pPr>
            <w:r w:rsidRPr="00796F5C">
              <w:rPr>
                <w:rFonts w:ascii="Arial" w:hAnsi="Arial" w:cs="Arial"/>
                <w:b/>
                <w:bCs/>
                <w:color w:val="000000"/>
                <w:sz w:val="20"/>
                <w:szCs w:val="20"/>
                <w:lang w:eastAsia="es-CO"/>
              </w:rPr>
              <w:t>País</w:t>
            </w:r>
          </w:p>
        </w:tc>
        <w:tc>
          <w:tcPr>
            <w:tcW w:w="2194" w:type="dxa"/>
            <w:tcBorders>
              <w:top w:val="single" w:sz="4" w:space="0" w:color="auto"/>
              <w:left w:val="nil"/>
              <w:bottom w:val="single" w:sz="4" w:space="0" w:color="auto"/>
              <w:right w:val="nil"/>
            </w:tcBorders>
            <w:shd w:val="clear" w:color="auto" w:fill="auto"/>
            <w:noWrap/>
            <w:vAlign w:val="center"/>
            <w:hideMark/>
          </w:tcPr>
          <w:p w14:paraId="7D6AFB09" w14:textId="77777777" w:rsidR="00796F5C" w:rsidRPr="00796F5C" w:rsidRDefault="00796F5C" w:rsidP="002F047C">
            <w:pPr>
              <w:ind w:firstLine="709"/>
              <w:jc w:val="center"/>
              <w:rPr>
                <w:rFonts w:ascii="Arial" w:hAnsi="Arial" w:cs="Arial"/>
                <w:b/>
                <w:bCs/>
                <w:color w:val="000000"/>
                <w:sz w:val="20"/>
                <w:szCs w:val="20"/>
                <w:lang w:eastAsia="es-CO"/>
              </w:rPr>
            </w:pPr>
            <w:r w:rsidRPr="00796F5C">
              <w:rPr>
                <w:rFonts w:ascii="Arial" w:hAnsi="Arial" w:cs="Arial"/>
                <w:b/>
                <w:bCs/>
                <w:color w:val="000000"/>
                <w:sz w:val="20"/>
                <w:szCs w:val="20"/>
                <w:lang w:eastAsia="es-CO"/>
              </w:rPr>
              <w:t xml:space="preserve">Publicaciones </w:t>
            </w:r>
          </w:p>
        </w:tc>
      </w:tr>
      <w:tr w:rsidR="00796F5C" w:rsidRPr="00796F5C" w14:paraId="101F1291" w14:textId="77777777" w:rsidTr="00562FCB">
        <w:trPr>
          <w:trHeight w:val="315"/>
          <w:jc w:val="center"/>
        </w:trPr>
        <w:tc>
          <w:tcPr>
            <w:tcW w:w="2180" w:type="dxa"/>
            <w:tcBorders>
              <w:top w:val="nil"/>
              <w:left w:val="nil"/>
              <w:bottom w:val="nil"/>
              <w:right w:val="nil"/>
            </w:tcBorders>
            <w:shd w:val="clear" w:color="auto" w:fill="auto"/>
            <w:noWrap/>
            <w:vAlign w:val="bottom"/>
            <w:hideMark/>
          </w:tcPr>
          <w:p w14:paraId="47723761" w14:textId="77777777" w:rsidR="00796F5C" w:rsidRPr="00796F5C" w:rsidRDefault="00796F5C" w:rsidP="002F047C">
            <w:pPr>
              <w:ind w:firstLine="709"/>
              <w:rPr>
                <w:rFonts w:ascii="Arial" w:hAnsi="Arial" w:cs="Arial"/>
                <w:color w:val="000000"/>
                <w:sz w:val="20"/>
                <w:szCs w:val="20"/>
                <w:lang w:eastAsia="es-CO"/>
              </w:rPr>
            </w:pPr>
            <w:r w:rsidRPr="00796F5C">
              <w:rPr>
                <w:rFonts w:ascii="Arial" w:hAnsi="Arial" w:cs="Arial"/>
                <w:color w:val="000000"/>
                <w:sz w:val="20"/>
                <w:szCs w:val="20"/>
                <w:lang w:eastAsia="es-CO"/>
              </w:rPr>
              <w:t>Colombia</w:t>
            </w:r>
          </w:p>
        </w:tc>
        <w:tc>
          <w:tcPr>
            <w:tcW w:w="2194" w:type="dxa"/>
            <w:tcBorders>
              <w:top w:val="nil"/>
              <w:left w:val="nil"/>
              <w:bottom w:val="nil"/>
              <w:right w:val="nil"/>
            </w:tcBorders>
            <w:shd w:val="clear" w:color="auto" w:fill="auto"/>
            <w:noWrap/>
            <w:vAlign w:val="bottom"/>
            <w:hideMark/>
          </w:tcPr>
          <w:p w14:paraId="03C36427" w14:textId="77777777" w:rsidR="00796F5C" w:rsidRPr="00796F5C" w:rsidRDefault="00796F5C" w:rsidP="002F047C">
            <w:pPr>
              <w:ind w:firstLine="709"/>
              <w:jc w:val="center"/>
              <w:rPr>
                <w:rFonts w:ascii="Arial" w:hAnsi="Arial" w:cs="Arial"/>
                <w:color w:val="000000"/>
                <w:sz w:val="20"/>
                <w:szCs w:val="20"/>
                <w:lang w:eastAsia="es-CO"/>
              </w:rPr>
            </w:pPr>
            <w:r w:rsidRPr="00796F5C">
              <w:rPr>
                <w:rFonts w:ascii="Arial" w:hAnsi="Arial" w:cs="Arial"/>
                <w:color w:val="000000"/>
                <w:sz w:val="20"/>
                <w:szCs w:val="20"/>
                <w:lang w:eastAsia="es-CO"/>
              </w:rPr>
              <w:t>73</w:t>
            </w:r>
          </w:p>
        </w:tc>
        <w:tc>
          <w:tcPr>
            <w:tcW w:w="2180" w:type="dxa"/>
            <w:tcBorders>
              <w:top w:val="nil"/>
              <w:left w:val="nil"/>
              <w:bottom w:val="nil"/>
              <w:right w:val="nil"/>
            </w:tcBorders>
            <w:shd w:val="clear" w:color="auto" w:fill="auto"/>
            <w:noWrap/>
            <w:vAlign w:val="bottom"/>
            <w:hideMark/>
          </w:tcPr>
          <w:p w14:paraId="79E5CC75" w14:textId="77777777" w:rsidR="00796F5C" w:rsidRPr="00796F5C" w:rsidRDefault="00796F5C" w:rsidP="002F047C">
            <w:pPr>
              <w:ind w:firstLine="709"/>
              <w:rPr>
                <w:rFonts w:ascii="Arial" w:hAnsi="Arial" w:cs="Arial"/>
                <w:color w:val="000000"/>
                <w:sz w:val="20"/>
                <w:szCs w:val="20"/>
                <w:lang w:eastAsia="es-CO"/>
              </w:rPr>
            </w:pPr>
            <w:r w:rsidRPr="00796F5C">
              <w:rPr>
                <w:rFonts w:ascii="Arial" w:hAnsi="Arial" w:cs="Arial"/>
                <w:color w:val="000000"/>
                <w:sz w:val="20"/>
                <w:szCs w:val="20"/>
                <w:lang w:eastAsia="es-CO"/>
              </w:rPr>
              <w:t>Brasil</w:t>
            </w:r>
          </w:p>
        </w:tc>
        <w:tc>
          <w:tcPr>
            <w:tcW w:w="2194" w:type="dxa"/>
            <w:tcBorders>
              <w:top w:val="nil"/>
              <w:left w:val="nil"/>
              <w:bottom w:val="nil"/>
              <w:right w:val="nil"/>
            </w:tcBorders>
            <w:shd w:val="clear" w:color="auto" w:fill="auto"/>
            <w:noWrap/>
            <w:vAlign w:val="bottom"/>
            <w:hideMark/>
          </w:tcPr>
          <w:p w14:paraId="7FE1AFB8" w14:textId="77777777" w:rsidR="00796F5C" w:rsidRPr="00796F5C" w:rsidRDefault="00796F5C" w:rsidP="002F047C">
            <w:pPr>
              <w:ind w:firstLine="709"/>
              <w:jc w:val="center"/>
              <w:rPr>
                <w:rFonts w:ascii="Arial" w:hAnsi="Arial" w:cs="Arial"/>
                <w:color w:val="000000"/>
                <w:sz w:val="20"/>
                <w:szCs w:val="20"/>
                <w:lang w:eastAsia="es-CO"/>
              </w:rPr>
            </w:pPr>
            <w:r w:rsidRPr="00796F5C">
              <w:rPr>
                <w:rFonts w:ascii="Arial" w:hAnsi="Arial" w:cs="Arial"/>
                <w:color w:val="000000"/>
                <w:sz w:val="20"/>
                <w:szCs w:val="20"/>
                <w:lang w:eastAsia="es-CO"/>
              </w:rPr>
              <w:t>12</w:t>
            </w:r>
          </w:p>
        </w:tc>
      </w:tr>
      <w:tr w:rsidR="00796F5C" w:rsidRPr="00796F5C" w14:paraId="110FE1D0" w14:textId="77777777" w:rsidTr="00562FCB">
        <w:trPr>
          <w:trHeight w:val="315"/>
          <w:jc w:val="center"/>
        </w:trPr>
        <w:tc>
          <w:tcPr>
            <w:tcW w:w="2180" w:type="dxa"/>
            <w:tcBorders>
              <w:top w:val="nil"/>
              <w:left w:val="nil"/>
              <w:bottom w:val="nil"/>
              <w:right w:val="nil"/>
            </w:tcBorders>
            <w:shd w:val="clear" w:color="auto" w:fill="auto"/>
            <w:noWrap/>
            <w:vAlign w:val="bottom"/>
            <w:hideMark/>
          </w:tcPr>
          <w:p w14:paraId="13180DBC" w14:textId="6703E591" w:rsidR="00796F5C" w:rsidRPr="00796F5C" w:rsidRDefault="00796F5C" w:rsidP="002F047C">
            <w:pPr>
              <w:ind w:firstLine="709"/>
              <w:rPr>
                <w:rFonts w:ascii="Arial" w:hAnsi="Arial" w:cs="Arial"/>
                <w:color w:val="000000"/>
                <w:sz w:val="20"/>
                <w:szCs w:val="20"/>
                <w:lang w:eastAsia="es-CO"/>
              </w:rPr>
            </w:pPr>
            <w:r w:rsidRPr="00796F5C">
              <w:rPr>
                <w:rFonts w:ascii="Arial" w:hAnsi="Arial" w:cs="Arial"/>
                <w:color w:val="000000"/>
                <w:sz w:val="20"/>
                <w:szCs w:val="20"/>
                <w:lang w:eastAsia="es-CO"/>
              </w:rPr>
              <w:t>Estado</w:t>
            </w:r>
            <w:r w:rsidR="000D11AE">
              <w:rPr>
                <w:rFonts w:ascii="Arial" w:hAnsi="Arial" w:cs="Arial"/>
                <w:color w:val="000000"/>
                <w:sz w:val="20"/>
                <w:szCs w:val="20"/>
                <w:lang w:eastAsia="es-CO"/>
              </w:rPr>
              <w:t xml:space="preserve"> </w:t>
            </w:r>
            <w:r w:rsidRPr="00796F5C">
              <w:rPr>
                <w:rFonts w:ascii="Arial" w:hAnsi="Arial" w:cs="Arial"/>
                <w:color w:val="000000"/>
                <w:sz w:val="20"/>
                <w:szCs w:val="20"/>
                <w:lang w:eastAsia="es-CO"/>
              </w:rPr>
              <w:t>Unidos</w:t>
            </w:r>
            <w:r w:rsidR="00764EB1">
              <w:rPr>
                <w:rFonts w:ascii="Arial" w:hAnsi="Arial" w:cs="Arial"/>
                <w:color w:val="000000"/>
                <w:sz w:val="20"/>
                <w:szCs w:val="20"/>
                <w:lang w:eastAsia="es-CO"/>
              </w:rPr>
              <w:t xml:space="preserve">  </w:t>
            </w:r>
          </w:p>
        </w:tc>
        <w:tc>
          <w:tcPr>
            <w:tcW w:w="2194" w:type="dxa"/>
            <w:tcBorders>
              <w:top w:val="nil"/>
              <w:left w:val="nil"/>
              <w:bottom w:val="nil"/>
              <w:right w:val="nil"/>
            </w:tcBorders>
            <w:shd w:val="clear" w:color="auto" w:fill="auto"/>
            <w:noWrap/>
            <w:vAlign w:val="bottom"/>
            <w:hideMark/>
          </w:tcPr>
          <w:p w14:paraId="1CD39C99" w14:textId="77777777" w:rsidR="00796F5C" w:rsidRPr="00796F5C" w:rsidRDefault="00796F5C" w:rsidP="002F047C">
            <w:pPr>
              <w:ind w:firstLine="709"/>
              <w:jc w:val="center"/>
              <w:rPr>
                <w:rFonts w:ascii="Arial" w:hAnsi="Arial" w:cs="Arial"/>
                <w:color w:val="000000"/>
                <w:sz w:val="20"/>
                <w:szCs w:val="20"/>
                <w:lang w:eastAsia="es-CO"/>
              </w:rPr>
            </w:pPr>
            <w:r w:rsidRPr="00796F5C">
              <w:rPr>
                <w:rFonts w:ascii="Arial" w:hAnsi="Arial" w:cs="Arial"/>
                <w:color w:val="000000"/>
                <w:sz w:val="20"/>
                <w:szCs w:val="20"/>
                <w:lang w:eastAsia="es-CO"/>
              </w:rPr>
              <w:t>23</w:t>
            </w:r>
          </w:p>
        </w:tc>
        <w:tc>
          <w:tcPr>
            <w:tcW w:w="2180" w:type="dxa"/>
            <w:tcBorders>
              <w:top w:val="nil"/>
              <w:left w:val="nil"/>
              <w:bottom w:val="nil"/>
              <w:right w:val="nil"/>
            </w:tcBorders>
            <w:shd w:val="clear" w:color="auto" w:fill="auto"/>
            <w:noWrap/>
            <w:vAlign w:val="bottom"/>
            <w:hideMark/>
          </w:tcPr>
          <w:p w14:paraId="7D2B4F01" w14:textId="77777777" w:rsidR="00796F5C" w:rsidRPr="00796F5C" w:rsidRDefault="00796F5C" w:rsidP="002F047C">
            <w:pPr>
              <w:ind w:firstLine="709"/>
              <w:rPr>
                <w:rFonts w:ascii="Arial" w:hAnsi="Arial" w:cs="Arial"/>
                <w:color w:val="000000"/>
                <w:sz w:val="20"/>
                <w:szCs w:val="20"/>
                <w:lang w:eastAsia="es-CO"/>
              </w:rPr>
            </w:pPr>
            <w:r w:rsidRPr="00796F5C">
              <w:rPr>
                <w:rFonts w:ascii="Arial" w:hAnsi="Arial" w:cs="Arial"/>
                <w:color w:val="000000"/>
                <w:sz w:val="20"/>
                <w:szCs w:val="20"/>
                <w:lang w:eastAsia="es-CO"/>
              </w:rPr>
              <w:t>Canadá</w:t>
            </w:r>
          </w:p>
        </w:tc>
        <w:tc>
          <w:tcPr>
            <w:tcW w:w="2194" w:type="dxa"/>
            <w:tcBorders>
              <w:top w:val="nil"/>
              <w:left w:val="nil"/>
              <w:bottom w:val="nil"/>
              <w:right w:val="nil"/>
            </w:tcBorders>
            <w:shd w:val="clear" w:color="auto" w:fill="auto"/>
            <w:noWrap/>
            <w:vAlign w:val="bottom"/>
            <w:hideMark/>
          </w:tcPr>
          <w:p w14:paraId="0182C6C3" w14:textId="77777777" w:rsidR="00796F5C" w:rsidRPr="00796F5C" w:rsidRDefault="00796F5C" w:rsidP="002F047C">
            <w:pPr>
              <w:ind w:firstLine="709"/>
              <w:jc w:val="center"/>
              <w:rPr>
                <w:rFonts w:ascii="Arial" w:hAnsi="Arial" w:cs="Arial"/>
                <w:color w:val="000000"/>
                <w:sz w:val="20"/>
                <w:szCs w:val="20"/>
                <w:lang w:eastAsia="es-CO"/>
              </w:rPr>
            </w:pPr>
            <w:r w:rsidRPr="00796F5C">
              <w:rPr>
                <w:rFonts w:ascii="Arial" w:hAnsi="Arial" w:cs="Arial"/>
                <w:color w:val="000000"/>
                <w:sz w:val="20"/>
                <w:szCs w:val="20"/>
                <w:lang w:eastAsia="es-CO"/>
              </w:rPr>
              <w:t>6</w:t>
            </w:r>
          </w:p>
        </w:tc>
      </w:tr>
      <w:tr w:rsidR="00796F5C" w:rsidRPr="00796F5C" w14:paraId="43A037B2" w14:textId="77777777" w:rsidTr="00562FCB">
        <w:trPr>
          <w:trHeight w:val="315"/>
          <w:jc w:val="center"/>
        </w:trPr>
        <w:tc>
          <w:tcPr>
            <w:tcW w:w="2180" w:type="dxa"/>
            <w:tcBorders>
              <w:top w:val="nil"/>
              <w:left w:val="nil"/>
              <w:bottom w:val="nil"/>
              <w:right w:val="nil"/>
            </w:tcBorders>
            <w:shd w:val="clear" w:color="auto" w:fill="auto"/>
            <w:noWrap/>
            <w:vAlign w:val="bottom"/>
            <w:hideMark/>
          </w:tcPr>
          <w:p w14:paraId="29569A2B" w14:textId="77777777" w:rsidR="00796F5C" w:rsidRPr="00796F5C" w:rsidRDefault="00796F5C" w:rsidP="002F047C">
            <w:pPr>
              <w:ind w:firstLine="709"/>
              <w:rPr>
                <w:rFonts w:ascii="Arial" w:hAnsi="Arial" w:cs="Arial"/>
                <w:color w:val="000000"/>
                <w:sz w:val="20"/>
                <w:szCs w:val="20"/>
                <w:lang w:eastAsia="es-CO"/>
              </w:rPr>
            </w:pPr>
            <w:r w:rsidRPr="00796F5C">
              <w:rPr>
                <w:rFonts w:ascii="Arial" w:hAnsi="Arial" w:cs="Arial"/>
                <w:color w:val="000000"/>
                <w:sz w:val="20"/>
                <w:szCs w:val="20"/>
                <w:lang w:eastAsia="es-CO"/>
              </w:rPr>
              <w:t>Chile</w:t>
            </w:r>
          </w:p>
        </w:tc>
        <w:tc>
          <w:tcPr>
            <w:tcW w:w="2194" w:type="dxa"/>
            <w:tcBorders>
              <w:top w:val="nil"/>
              <w:left w:val="nil"/>
              <w:bottom w:val="nil"/>
              <w:right w:val="nil"/>
            </w:tcBorders>
            <w:shd w:val="clear" w:color="auto" w:fill="auto"/>
            <w:noWrap/>
            <w:vAlign w:val="bottom"/>
            <w:hideMark/>
          </w:tcPr>
          <w:p w14:paraId="7A652C09" w14:textId="77777777" w:rsidR="00796F5C" w:rsidRPr="00796F5C" w:rsidRDefault="00796F5C" w:rsidP="002F047C">
            <w:pPr>
              <w:ind w:firstLine="709"/>
              <w:jc w:val="center"/>
              <w:rPr>
                <w:rFonts w:ascii="Arial" w:hAnsi="Arial" w:cs="Arial"/>
                <w:color w:val="000000"/>
                <w:sz w:val="20"/>
                <w:szCs w:val="20"/>
                <w:lang w:eastAsia="es-CO"/>
              </w:rPr>
            </w:pPr>
            <w:r w:rsidRPr="00796F5C">
              <w:rPr>
                <w:rFonts w:ascii="Arial" w:hAnsi="Arial" w:cs="Arial"/>
                <w:color w:val="000000"/>
                <w:sz w:val="20"/>
                <w:szCs w:val="20"/>
                <w:lang w:eastAsia="es-CO"/>
              </w:rPr>
              <w:t>14</w:t>
            </w:r>
          </w:p>
        </w:tc>
        <w:tc>
          <w:tcPr>
            <w:tcW w:w="2180" w:type="dxa"/>
            <w:tcBorders>
              <w:top w:val="nil"/>
              <w:left w:val="nil"/>
              <w:bottom w:val="nil"/>
              <w:right w:val="nil"/>
            </w:tcBorders>
            <w:shd w:val="clear" w:color="auto" w:fill="auto"/>
            <w:noWrap/>
            <w:vAlign w:val="bottom"/>
            <w:hideMark/>
          </w:tcPr>
          <w:p w14:paraId="1657579C" w14:textId="77777777" w:rsidR="00796F5C" w:rsidRPr="00796F5C" w:rsidRDefault="00796F5C" w:rsidP="002F047C">
            <w:pPr>
              <w:ind w:firstLine="709"/>
              <w:rPr>
                <w:rFonts w:ascii="Arial" w:hAnsi="Arial" w:cs="Arial"/>
                <w:color w:val="000000"/>
                <w:sz w:val="20"/>
                <w:szCs w:val="20"/>
                <w:lang w:eastAsia="es-CO"/>
              </w:rPr>
            </w:pPr>
            <w:r w:rsidRPr="00796F5C">
              <w:rPr>
                <w:rFonts w:ascii="Arial" w:hAnsi="Arial" w:cs="Arial"/>
                <w:color w:val="000000"/>
                <w:sz w:val="20"/>
                <w:szCs w:val="20"/>
                <w:lang w:eastAsia="es-CO"/>
              </w:rPr>
              <w:t>México</w:t>
            </w:r>
          </w:p>
        </w:tc>
        <w:tc>
          <w:tcPr>
            <w:tcW w:w="2194" w:type="dxa"/>
            <w:tcBorders>
              <w:top w:val="nil"/>
              <w:left w:val="nil"/>
              <w:bottom w:val="nil"/>
              <w:right w:val="nil"/>
            </w:tcBorders>
            <w:shd w:val="clear" w:color="auto" w:fill="auto"/>
            <w:noWrap/>
            <w:vAlign w:val="bottom"/>
            <w:hideMark/>
          </w:tcPr>
          <w:p w14:paraId="2FC8C0FB" w14:textId="77777777" w:rsidR="00796F5C" w:rsidRPr="00796F5C" w:rsidRDefault="00796F5C" w:rsidP="002F047C">
            <w:pPr>
              <w:ind w:firstLine="709"/>
              <w:jc w:val="center"/>
              <w:rPr>
                <w:rFonts w:ascii="Arial" w:hAnsi="Arial" w:cs="Arial"/>
                <w:color w:val="000000"/>
                <w:sz w:val="20"/>
                <w:szCs w:val="20"/>
                <w:lang w:eastAsia="es-CO"/>
              </w:rPr>
            </w:pPr>
            <w:r w:rsidRPr="00796F5C">
              <w:rPr>
                <w:rFonts w:ascii="Arial" w:hAnsi="Arial" w:cs="Arial"/>
                <w:color w:val="000000"/>
                <w:sz w:val="20"/>
                <w:szCs w:val="20"/>
                <w:lang w:eastAsia="es-CO"/>
              </w:rPr>
              <w:t>5</w:t>
            </w:r>
          </w:p>
        </w:tc>
      </w:tr>
      <w:tr w:rsidR="00796F5C" w:rsidRPr="00796F5C" w14:paraId="75507B7F" w14:textId="77777777" w:rsidTr="00562FCB">
        <w:trPr>
          <w:trHeight w:val="315"/>
          <w:jc w:val="center"/>
        </w:trPr>
        <w:tc>
          <w:tcPr>
            <w:tcW w:w="2180" w:type="dxa"/>
            <w:tcBorders>
              <w:top w:val="nil"/>
              <w:left w:val="nil"/>
              <w:bottom w:val="nil"/>
              <w:right w:val="nil"/>
            </w:tcBorders>
            <w:shd w:val="clear" w:color="auto" w:fill="auto"/>
            <w:noWrap/>
            <w:vAlign w:val="bottom"/>
            <w:hideMark/>
          </w:tcPr>
          <w:p w14:paraId="748591AF" w14:textId="77777777" w:rsidR="00796F5C" w:rsidRPr="00796F5C" w:rsidRDefault="00796F5C" w:rsidP="002F047C">
            <w:pPr>
              <w:ind w:firstLine="709"/>
              <w:rPr>
                <w:rFonts w:ascii="Arial" w:hAnsi="Arial" w:cs="Arial"/>
                <w:color w:val="000000"/>
                <w:sz w:val="20"/>
                <w:szCs w:val="20"/>
                <w:lang w:eastAsia="es-CO"/>
              </w:rPr>
            </w:pPr>
            <w:r w:rsidRPr="00796F5C">
              <w:rPr>
                <w:rFonts w:ascii="Arial" w:hAnsi="Arial" w:cs="Arial"/>
                <w:color w:val="000000"/>
                <w:sz w:val="20"/>
                <w:szCs w:val="20"/>
                <w:lang w:eastAsia="es-CO"/>
              </w:rPr>
              <w:t>Reino Unido</w:t>
            </w:r>
          </w:p>
        </w:tc>
        <w:tc>
          <w:tcPr>
            <w:tcW w:w="2194" w:type="dxa"/>
            <w:tcBorders>
              <w:top w:val="nil"/>
              <w:left w:val="nil"/>
              <w:bottom w:val="nil"/>
              <w:right w:val="nil"/>
            </w:tcBorders>
            <w:shd w:val="clear" w:color="auto" w:fill="auto"/>
            <w:noWrap/>
            <w:vAlign w:val="bottom"/>
            <w:hideMark/>
          </w:tcPr>
          <w:p w14:paraId="4332E79A" w14:textId="77777777" w:rsidR="00796F5C" w:rsidRPr="00796F5C" w:rsidRDefault="00796F5C" w:rsidP="002F047C">
            <w:pPr>
              <w:ind w:firstLine="709"/>
              <w:jc w:val="center"/>
              <w:rPr>
                <w:rFonts w:ascii="Arial" w:hAnsi="Arial" w:cs="Arial"/>
                <w:color w:val="000000"/>
                <w:sz w:val="20"/>
                <w:szCs w:val="20"/>
                <w:lang w:eastAsia="es-CO"/>
              </w:rPr>
            </w:pPr>
            <w:r w:rsidRPr="00796F5C">
              <w:rPr>
                <w:rFonts w:ascii="Arial" w:hAnsi="Arial" w:cs="Arial"/>
                <w:color w:val="000000"/>
                <w:sz w:val="20"/>
                <w:szCs w:val="20"/>
                <w:lang w:eastAsia="es-CO"/>
              </w:rPr>
              <w:t>14</w:t>
            </w:r>
          </w:p>
        </w:tc>
        <w:tc>
          <w:tcPr>
            <w:tcW w:w="2180" w:type="dxa"/>
            <w:tcBorders>
              <w:top w:val="nil"/>
              <w:left w:val="nil"/>
              <w:bottom w:val="nil"/>
              <w:right w:val="nil"/>
            </w:tcBorders>
            <w:shd w:val="clear" w:color="auto" w:fill="auto"/>
            <w:noWrap/>
            <w:vAlign w:val="bottom"/>
            <w:hideMark/>
          </w:tcPr>
          <w:p w14:paraId="12EBD0B2" w14:textId="77777777" w:rsidR="00796F5C" w:rsidRPr="00796F5C" w:rsidRDefault="00796F5C" w:rsidP="002F047C">
            <w:pPr>
              <w:ind w:firstLine="709"/>
              <w:rPr>
                <w:rFonts w:ascii="Arial" w:hAnsi="Arial" w:cs="Arial"/>
                <w:color w:val="000000"/>
                <w:sz w:val="20"/>
                <w:szCs w:val="20"/>
                <w:lang w:eastAsia="es-CO"/>
              </w:rPr>
            </w:pPr>
            <w:r w:rsidRPr="00796F5C">
              <w:rPr>
                <w:rFonts w:ascii="Arial" w:hAnsi="Arial" w:cs="Arial"/>
                <w:color w:val="000000"/>
                <w:sz w:val="20"/>
                <w:szCs w:val="20"/>
                <w:lang w:eastAsia="es-CO"/>
              </w:rPr>
              <w:t>España</w:t>
            </w:r>
          </w:p>
        </w:tc>
        <w:tc>
          <w:tcPr>
            <w:tcW w:w="2194" w:type="dxa"/>
            <w:tcBorders>
              <w:top w:val="nil"/>
              <w:left w:val="nil"/>
              <w:bottom w:val="nil"/>
              <w:right w:val="nil"/>
            </w:tcBorders>
            <w:shd w:val="clear" w:color="auto" w:fill="auto"/>
            <w:noWrap/>
            <w:vAlign w:val="bottom"/>
            <w:hideMark/>
          </w:tcPr>
          <w:p w14:paraId="7BB1F6A8" w14:textId="77777777" w:rsidR="00796F5C" w:rsidRPr="00796F5C" w:rsidRDefault="00796F5C" w:rsidP="002F047C">
            <w:pPr>
              <w:ind w:firstLine="709"/>
              <w:jc w:val="center"/>
              <w:rPr>
                <w:rFonts w:ascii="Arial" w:hAnsi="Arial" w:cs="Arial"/>
                <w:color w:val="000000"/>
                <w:sz w:val="20"/>
                <w:szCs w:val="20"/>
                <w:lang w:eastAsia="es-CO"/>
              </w:rPr>
            </w:pPr>
            <w:r w:rsidRPr="00796F5C">
              <w:rPr>
                <w:rFonts w:ascii="Arial" w:hAnsi="Arial" w:cs="Arial"/>
                <w:color w:val="000000"/>
                <w:sz w:val="20"/>
                <w:szCs w:val="20"/>
                <w:lang w:eastAsia="es-CO"/>
              </w:rPr>
              <w:t>4</w:t>
            </w:r>
          </w:p>
        </w:tc>
      </w:tr>
      <w:tr w:rsidR="00796F5C" w:rsidRPr="00796F5C" w14:paraId="23FF3C3D" w14:textId="77777777" w:rsidTr="00562FCB">
        <w:trPr>
          <w:trHeight w:val="315"/>
          <w:jc w:val="center"/>
        </w:trPr>
        <w:tc>
          <w:tcPr>
            <w:tcW w:w="2180" w:type="dxa"/>
            <w:tcBorders>
              <w:top w:val="nil"/>
              <w:left w:val="nil"/>
              <w:bottom w:val="single" w:sz="4" w:space="0" w:color="auto"/>
              <w:right w:val="nil"/>
            </w:tcBorders>
            <w:shd w:val="clear" w:color="auto" w:fill="auto"/>
            <w:noWrap/>
            <w:vAlign w:val="bottom"/>
            <w:hideMark/>
          </w:tcPr>
          <w:p w14:paraId="2B9EA9B4" w14:textId="77777777" w:rsidR="00796F5C" w:rsidRPr="00796F5C" w:rsidRDefault="00796F5C" w:rsidP="002F047C">
            <w:pPr>
              <w:ind w:firstLine="709"/>
              <w:rPr>
                <w:rFonts w:ascii="Arial" w:hAnsi="Arial" w:cs="Arial"/>
                <w:color w:val="000000"/>
                <w:sz w:val="20"/>
                <w:szCs w:val="20"/>
                <w:lang w:eastAsia="es-CO"/>
              </w:rPr>
            </w:pPr>
            <w:r w:rsidRPr="00796F5C">
              <w:rPr>
                <w:rFonts w:ascii="Arial" w:hAnsi="Arial" w:cs="Arial"/>
                <w:color w:val="000000"/>
                <w:sz w:val="20"/>
                <w:szCs w:val="20"/>
                <w:lang w:eastAsia="es-CO"/>
              </w:rPr>
              <w:t>Argentina</w:t>
            </w:r>
          </w:p>
        </w:tc>
        <w:tc>
          <w:tcPr>
            <w:tcW w:w="2194" w:type="dxa"/>
            <w:tcBorders>
              <w:top w:val="nil"/>
              <w:left w:val="nil"/>
              <w:bottom w:val="single" w:sz="4" w:space="0" w:color="auto"/>
              <w:right w:val="nil"/>
            </w:tcBorders>
            <w:shd w:val="clear" w:color="auto" w:fill="auto"/>
            <w:noWrap/>
            <w:vAlign w:val="bottom"/>
            <w:hideMark/>
          </w:tcPr>
          <w:p w14:paraId="00E12DE5" w14:textId="77777777" w:rsidR="00796F5C" w:rsidRPr="00796F5C" w:rsidRDefault="00796F5C" w:rsidP="002F047C">
            <w:pPr>
              <w:ind w:firstLine="709"/>
              <w:jc w:val="center"/>
              <w:rPr>
                <w:rFonts w:ascii="Arial" w:hAnsi="Arial" w:cs="Arial"/>
                <w:color w:val="000000"/>
                <w:sz w:val="20"/>
                <w:szCs w:val="20"/>
                <w:lang w:eastAsia="es-CO"/>
              </w:rPr>
            </w:pPr>
            <w:r w:rsidRPr="00796F5C">
              <w:rPr>
                <w:rFonts w:ascii="Arial" w:hAnsi="Arial" w:cs="Arial"/>
                <w:color w:val="000000"/>
                <w:sz w:val="20"/>
                <w:szCs w:val="20"/>
                <w:lang w:eastAsia="es-CO"/>
              </w:rPr>
              <w:t>12</w:t>
            </w:r>
          </w:p>
        </w:tc>
        <w:tc>
          <w:tcPr>
            <w:tcW w:w="2180" w:type="dxa"/>
            <w:tcBorders>
              <w:top w:val="nil"/>
              <w:left w:val="nil"/>
              <w:bottom w:val="single" w:sz="4" w:space="0" w:color="auto"/>
              <w:right w:val="nil"/>
            </w:tcBorders>
            <w:shd w:val="clear" w:color="auto" w:fill="auto"/>
            <w:noWrap/>
            <w:vAlign w:val="bottom"/>
            <w:hideMark/>
          </w:tcPr>
          <w:p w14:paraId="59AA52F3" w14:textId="77777777" w:rsidR="00796F5C" w:rsidRPr="00796F5C" w:rsidRDefault="00796F5C" w:rsidP="002F047C">
            <w:pPr>
              <w:ind w:firstLine="709"/>
              <w:rPr>
                <w:rFonts w:ascii="Arial" w:hAnsi="Arial" w:cs="Arial"/>
                <w:color w:val="000000"/>
                <w:sz w:val="20"/>
                <w:szCs w:val="20"/>
                <w:lang w:eastAsia="es-CO"/>
              </w:rPr>
            </w:pPr>
            <w:r w:rsidRPr="00796F5C">
              <w:rPr>
                <w:rFonts w:ascii="Arial" w:hAnsi="Arial" w:cs="Arial"/>
                <w:color w:val="000000"/>
                <w:sz w:val="20"/>
                <w:szCs w:val="20"/>
                <w:lang w:eastAsia="es-CO"/>
              </w:rPr>
              <w:t>Suiza</w:t>
            </w:r>
          </w:p>
        </w:tc>
        <w:tc>
          <w:tcPr>
            <w:tcW w:w="2194" w:type="dxa"/>
            <w:tcBorders>
              <w:top w:val="nil"/>
              <w:left w:val="nil"/>
              <w:bottom w:val="single" w:sz="4" w:space="0" w:color="auto"/>
              <w:right w:val="nil"/>
            </w:tcBorders>
            <w:shd w:val="clear" w:color="auto" w:fill="auto"/>
            <w:noWrap/>
            <w:vAlign w:val="bottom"/>
            <w:hideMark/>
          </w:tcPr>
          <w:p w14:paraId="763D2D49" w14:textId="77777777" w:rsidR="00796F5C" w:rsidRPr="00796F5C" w:rsidRDefault="00796F5C" w:rsidP="002F047C">
            <w:pPr>
              <w:ind w:firstLine="709"/>
              <w:jc w:val="center"/>
              <w:rPr>
                <w:rFonts w:ascii="Arial" w:hAnsi="Arial" w:cs="Arial"/>
                <w:color w:val="000000"/>
                <w:sz w:val="20"/>
                <w:szCs w:val="20"/>
                <w:lang w:eastAsia="es-CO"/>
              </w:rPr>
            </w:pPr>
            <w:r w:rsidRPr="00796F5C">
              <w:rPr>
                <w:rFonts w:ascii="Arial" w:hAnsi="Arial" w:cs="Arial"/>
                <w:color w:val="000000"/>
                <w:sz w:val="20"/>
                <w:szCs w:val="20"/>
                <w:lang w:eastAsia="es-CO"/>
              </w:rPr>
              <w:t>4</w:t>
            </w:r>
          </w:p>
        </w:tc>
      </w:tr>
    </w:tbl>
    <w:p w14:paraId="7C2B1E08" w14:textId="1D2C0C00" w:rsidR="00562FCB" w:rsidRPr="00562FCB" w:rsidRDefault="00562FCB" w:rsidP="00562FCB">
      <w:pPr>
        <w:spacing w:line="360" w:lineRule="auto"/>
        <w:ind w:firstLine="709"/>
        <w:jc w:val="center"/>
        <w:rPr>
          <w:rFonts w:ascii="Arial" w:hAnsi="Arial" w:cs="Arial"/>
          <w:sz w:val="20"/>
          <w:szCs w:val="20"/>
        </w:rPr>
      </w:pPr>
      <w:r w:rsidRPr="00562FCB">
        <w:rPr>
          <w:rFonts w:ascii="Arial" w:hAnsi="Arial" w:cs="Arial"/>
          <w:sz w:val="20"/>
          <w:szCs w:val="20"/>
        </w:rPr>
        <w:t xml:space="preserve">Fuente: Elaboración propia, con base en los resultados de </w:t>
      </w:r>
      <w:proofErr w:type="spellStart"/>
      <w:r w:rsidRPr="00562FCB">
        <w:rPr>
          <w:rFonts w:ascii="Arial" w:hAnsi="Arial" w:cs="Arial"/>
          <w:sz w:val="20"/>
          <w:szCs w:val="20"/>
        </w:rPr>
        <w:t>Scopus</w:t>
      </w:r>
      <w:proofErr w:type="spellEnd"/>
      <w:r w:rsidRPr="00562FCB">
        <w:rPr>
          <w:rFonts w:ascii="Arial" w:hAnsi="Arial" w:cs="Arial"/>
          <w:sz w:val="20"/>
          <w:szCs w:val="20"/>
        </w:rPr>
        <w:t>, 2024.</w:t>
      </w:r>
    </w:p>
    <w:p w14:paraId="145C0817" w14:textId="47CCD7DF" w:rsidR="00796F5C" w:rsidRDefault="00796F5C" w:rsidP="008C0B8F">
      <w:pPr>
        <w:spacing w:line="360" w:lineRule="auto"/>
        <w:jc w:val="both"/>
        <w:rPr>
          <w:rFonts w:ascii="Arial" w:hAnsi="Arial" w:cs="Arial"/>
          <w:color w:val="222222"/>
          <w:shd w:val="clear" w:color="auto" w:fill="FFFFFF"/>
        </w:rPr>
      </w:pPr>
    </w:p>
    <w:p w14:paraId="15E93BA8" w14:textId="77777777" w:rsidR="00514477" w:rsidRPr="00514477" w:rsidRDefault="00514477" w:rsidP="00514477">
      <w:pPr>
        <w:spacing w:line="360" w:lineRule="auto"/>
        <w:ind w:firstLine="709"/>
        <w:jc w:val="both"/>
        <w:rPr>
          <w:rFonts w:ascii="Arial" w:hAnsi="Arial" w:cs="Arial"/>
          <w:b/>
          <w:bCs/>
          <w:i/>
          <w:iCs/>
        </w:rPr>
      </w:pPr>
      <w:r w:rsidRPr="00514477">
        <w:rPr>
          <w:rFonts w:ascii="Arial" w:hAnsi="Arial" w:cs="Arial"/>
          <w:b/>
          <w:bCs/>
          <w:i/>
          <w:iCs/>
        </w:rPr>
        <w:t>Revistas más Importantes en el Campo de Estudio</w:t>
      </w:r>
    </w:p>
    <w:p w14:paraId="7DA9E503" w14:textId="77777777" w:rsidR="00514477" w:rsidRDefault="00514477" w:rsidP="00514477">
      <w:pPr>
        <w:spacing w:line="360" w:lineRule="auto"/>
        <w:jc w:val="both"/>
        <w:rPr>
          <w:rFonts w:ascii="Arial" w:hAnsi="Arial" w:cs="Arial"/>
        </w:rPr>
      </w:pPr>
    </w:p>
    <w:p w14:paraId="2FA255CD" w14:textId="418DF2D6" w:rsidR="00514477" w:rsidRPr="00514477" w:rsidRDefault="00514477" w:rsidP="00514477">
      <w:pPr>
        <w:spacing w:line="360" w:lineRule="auto"/>
        <w:jc w:val="both"/>
        <w:rPr>
          <w:rFonts w:ascii="Arial" w:hAnsi="Arial" w:cs="Arial"/>
        </w:rPr>
      </w:pPr>
      <w:r w:rsidRPr="00514477">
        <w:rPr>
          <w:rFonts w:ascii="Arial" w:hAnsi="Arial" w:cs="Arial"/>
        </w:rPr>
        <w:t xml:space="preserve">En la tabla 2 se presentan las 10 revistas más importantes en el campo de estudio de la Economía de la Salud en Colombia. Se encuentra en primer y segundo lugar la revista </w:t>
      </w:r>
      <w:proofErr w:type="spellStart"/>
      <w:r w:rsidRPr="00514477">
        <w:rPr>
          <w:rFonts w:ascii="Arial" w:hAnsi="Arial" w:cs="Arial"/>
        </w:rPr>
        <w:t>Pediatric</w:t>
      </w:r>
      <w:proofErr w:type="spellEnd"/>
      <w:r w:rsidRPr="00514477">
        <w:rPr>
          <w:rFonts w:ascii="Arial" w:hAnsi="Arial" w:cs="Arial"/>
        </w:rPr>
        <w:t xml:space="preserve"> </w:t>
      </w:r>
      <w:proofErr w:type="spellStart"/>
      <w:r w:rsidRPr="00514477">
        <w:rPr>
          <w:rFonts w:ascii="Arial" w:hAnsi="Arial" w:cs="Arial"/>
        </w:rPr>
        <w:t>Pulmonology</w:t>
      </w:r>
      <w:proofErr w:type="spellEnd"/>
      <w:r w:rsidRPr="00514477">
        <w:rPr>
          <w:rFonts w:ascii="Arial" w:hAnsi="Arial" w:cs="Arial"/>
        </w:rPr>
        <w:t xml:space="preserve">, y la revista </w:t>
      </w:r>
      <w:proofErr w:type="spellStart"/>
      <w:r w:rsidRPr="00514477">
        <w:rPr>
          <w:rFonts w:ascii="Arial" w:hAnsi="Arial" w:cs="Arial"/>
        </w:rPr>
        <w:t>Revista</w:t>
      </w:r>
      <w:proofErr w:type="spellEnd"/>
      <w:r w:rsidRPr="00514477">
        <w:rPr>
          <w:rFonts w:ascii="Arial" w:hAnsi="Arial" w:cs="Arial"/>
        </w:rPr>
        <w:t xml:space="preserve"> Panamericana de Salud Pública Pan American </w:t>
      </w:r>
      <w:proofErr w:type="spellStart"/>
      <w:r w:rsidRPr="00514477">
        <w:rPr>
          <w:rFonts w:ascii="Arial" w:hAnsi="Arial" w:cs="Arial"/>
        </w:rPr>
        <w:t>Journal</w:t>
      </w:r>
      <w:proofErr w:type="spellEnd"/>
      <w:r w:rsidRPr="00514477">
        <w:rPr>
          <w:rFonts w:ascii="Arial" w:hAnsi="Arial" w:cs="Arial"/>
        </w:rPr>
        <w:t xml:space="preserve"> </w:t>
      </w:r>
      <w:proofErr w:type="spellStart"/>
      <w:r w:rsidRPr="00514477">
        <w:rPr>
          <w:rFonts w:ascii="Arial" w:hAnsi="Arial" w:cs="Arial"/>
        </w:rPr>
        <w:t>Of</w:t>
      </w:r>
      <w:proofErr w:type="spellEnd"/>
      <w:r w:rsidRPr="00514477">
        <w:rPr>
          <w:rFonts w:ascii="Arial" w:hAnsi="Arial" w:cs="Arial"/>
        </w:rPr>
        <w:t xml:space="preserve"> </w:t>
      </w:r>
      <w:proofErr w:type="spellStart"/>
      <w:r w:rsidRPr="00514477">
        <w:rPr>
          <w:rFonts w:ascii="Arial" w:hAnsi="Arial" w:cs="Arial"/>
        </w:rPr>
        <w:t>Public</w:t>
      </w:r>
      <w:proofErr w:type="spellEnd"/>
      <w:r w:rsidRPr="00514477">
        <w:rPr>
          <w:rFonts w:ascii="Arial" w:hAnsi="Arial" w:cs="Arial"/>
        </w:rPr>
        <w:t xml:space="preserve"> </w:t>
      </w:r>
      <w:proofErr w:type="spellStart"/>
      <w:r w:rsidRPr="00514477">
        <w:rPr>
          <w:rFonts w:ascii="Arial" w:hAnsi="Arial" w:cs="Arial"/>
        </w:rPr>
        <w:t>Health</w:t>
      </w:r>
      <w:proofErr w:type="spellEnd"/>
      <w:r w:rsidRPr="00514477">
        <w:rPr>
          <w:rFonts w:ascii="Arial" w:hAnsi="Arial" w:cs="Arial"/>
        </w:rPr>
        <w:t xml:space="preserve">, ambas con 7 publicaciones, y de tercer lugar, la revista Expert </w:t>
      </w:r>
      <w:proofErr w:type="spellStart"/>
      <w:r w:rsidRPr="00514477">
        <w:rPr>
          <w:rFonts w:ascii="Arial" w:hAnsi="Arial" w:cs="Arial"/>
        </w:rPr>
        <w:t>Review</w:t>
      </w:r>
      <w:proofErr w:type="spellEnd"/>
      <w:r w:rsidRPr="00514477">
        <w:rPr>
          <w:rFonts w:ascii="Arial" w:hAnsi="Arial" w:cs="Arial"/>
        </w:rPr>
        <w:t xml:space="preserve"> </w:t>
      </w:r>
      <w:proofErr w:type="spellStart"/>
      <w:r w:rsidRPr="00514477">
        <w:rPr>
          <w:rFonts w:ascii="Arial" w:hAnsi="Arial" w:cs="Arial"/>
        </w:rPr>
        <w:t>Of</w:t>
      </w:r>
      <w:proofErr w:type="spellEnd"/>
      <w:r w:rsidRPr="00514477">
        <w:rPr>
          <w:rFonts w:ascii="Arial" w:hAnsi="Arial" w:cs="Arial"/>
        </w:rPr>
        <w:t xml:space="preserve"> </w:t>
      </w:r>
      <w:proofErr w:type="spellStart"/>
      <w:r w:rsidRPr="00514477">
        <w:rPr>
          <w:rFonts w:ascii="Arial" w:hAnsi="Arial" w:cs="Arial"/>
        </w:rPr>
        <w:t>Pharmacoeconomics</w:t>
      </w:r>
      <w:proofErr w:type="spellEnd"/>
      <w:r w:rsidRPr="00514477">
        <w:rPr>
          <w:rFonts w:ascii="Arial" w:hAnsi="Arial" w:cs="Arial"/>
        </w:rPr>
        <w:t xml:space="preserve"> And </w:t>
      </w:r>
      <w:proofErr w:type="spellStart"/>
      <w:r w:rsidRPr="00514477">
        <w:rPr>
          <w:rFonts w:ascii="Arial" w:hAnsi="Arial" w:cs="Arial"/>
        </w:rPr>
        <w:t>Outcomes</w:t>
      </w:r>
      <w:proofErr w:type="spellEnd"/>
      <w:r w:rsidRPr="00514477">
        <w:rPr>
          <w:rFonts w:ascii="Arial" w:hAnsi="Arial" w:cs="Arial"/>
        </w:rPr>
        <w:t xml:space="preserve"> </w:t>
      </w:r>
      <w:proofErr w:type="spellStart"/>
      <w:r w:rsidRPr="00514477">
        <w:rPr>
          <w:rFonts w:ascii="Arial" w:hAnsi="Arial" w:cs="Arial"/>
        </w:rPr>
        <w:t>Research</w:t>
      </w:r>
      <w:proofErr w:type="spellEnd"/>
      <w:r w:rsidRPr="00514477">
        <w:rPr>
          <w:rFonts w:ascii="Arial" w:hAnsi="Arial" w:cs="Arial"/>
        </w:rPr>
        <w:t>, que ha realizado 6 publicaciones en el área.</w:t>
      </w:r>
    </w:p>
    <w:p w14:paraId="01C2750A" w14:textId="1D465C91" w:rsidR="00514477" w:rsidRPr="00514477" w:rsidRDefault="00514477" w:rsidP="00514477">
      <w:pPr>
        <w:spacing w:line="360" w:lineRule="auto"/>
        <w:jc w:val="both"/>
        <w:rPr>
          <w:rFonts w:ascii="Arial" w:hAnsi="Arial" w:cs="Arial"/>
        </w:rPr>
      </w:pPr>
      <w:r w:rsidRPr="00514477">
        <w:rPr>
          <w:rFonts w:ascii="Arial" w:hAnsi="Arial" w:cs="Arial"/>
        </w:rPr>
        <w:lastRenderedPageBreak/>
        <w:t>En total, las revistas reúnen un total de 44 documentos relacionados al tema de estudio, cabe resaltar que 3 de estas revistas se encuentran en categoría Q1 y 4 revistas se encuentran en categoría Q2 según la escala de medición SJR (</w:t>
      </w:r>
      <w:proofErr w:type="spellStart"/>
      <w:r w:rsidRPr="00514477">
        <w:rPr>
          <w:rFonts w:ascii="Arial" w:hAnsi="Arial" w:cs="Arial"/>
        </w:rPr>
        <w:t>SCImago</w:t>
      </w:r>
      <w:proofErr w:type="spellEnd"/>
      <w:r w:rsidRPr="00514477">
        <w:rPr>
          <w:rFonts w:ascii="Arial" w:hAnsi="Arial" w:cs="Arial"/>
        </w:rPr>
        <w:t xml:space="preserve"> </w:t>
      </w:r>
      <w:proofErr w:type="spellStart"/>
      <w:r w:rsidRPr="00514477">
        <w:rPr>
          <w:rFonts w:ascii="Arial" w:hAnsi="Arial" w:cs="Arial"/>
        </w:rPr>
        <w:t>Journal</w:t>
      </w:r>
      <w:proofErr w:type="spellEnd"/>
      <w:r w:rsidRPr="00514477">
        <w:rPr>
          <w:rFonts w:ascii="Arial" w:hAnsi="Arial" w:cs="Arial"/>
        </w:rPr>
        <w:t xml:space="preserve"> Rank). El cálculo de este índice se realiza contabilizando el número de citas recibidas ponderando la importancia o prestigio de las revistas de las que proceden dichas citas.</w:t>
      </w:r>
    </w:p>
    <w:p w14:paraId="353017AE" w14:textId="77777777" w:rsidR="009174C3" w:rsidRDefault="009174C3" w:rsidP="00514477">
      <w:pPr>
        <w:spacing w:line="360" w:lineRule="auto"/>
        <w:jc w:val="both"/>
        <w:rPr>
          <w:rFonts w:ascii="Arial" w:hAnsi="Arial" w:cs="Arial"/>
        </w:rPr>
      </w:pPr>
    </w:p>
    <w:p w14:paraId="4E6F5AF3" w14:textId="1109347F" w:rsidR="00D86A91" w:rsidRDefault="00514477" w:rsidP="009174C3">
      <w:pPr>
        <w:spacing w:line="360" w:lineRule="auto"/>
        <w:jc w:val="both"/>
        <w:rPr>
          <w:rFonts w:ascii="Arial" w:hAnsi="Arial" w:cs="Arial"/>
          <w:b/>
          <w:bCs/>
          <w:sz w:val="20"/>
          <w:szCs w:val="20"/>
        </w:rPr>
      </w:pPr>
      <w:r w:rsidRPr="00514477">
        <w:rPr>
          <w:rFonts w:ascii="Arial" w:hAnsi="Arial" w:cs="Arial"/>
        </w:rPr>
        <w:t>Esto evidencia un notable interés en el estudio de la Economía de la Salud en Colombia y el impacto que estos documentos tienen en la comunidad científica a nivel mundial.</w:t>
      </w:r>
    </w:p>
    <w:p w14:paraId="077DA0CE" w14:textId="77777777" w:rsidR="003038CB" w:rsidRDefault="003038CB" w:rsidP="00576175">
      <w:pPr>
        <w:spacing w:line="360" w:lineRule="auto"/>
        <w:ind w:firstLine="709"/>
        <w:jc w:val="center"/>
        <w:rPr>
          <w:rFonts w:ascii="Arial" w:hAnsi="Arial" w:cs="Arial"/>
          <w:b/>
          <w:bCs/>
          <w:sz w:val="20"/>
          <w:szCs w:val="20"/>
        </w:rPr>
      </w:pPr>
    </w:p>
    <w:p w14:paraId="7E443DB6" w14:textId="02FEE401" w:rsidR="00576175" w:rsidRPr="00576175" w:rsidRDefault="00576175" w:rsidP="00576175">
      <w:pPr>
        <w:spacing w:line="360" w:lineRule="auto"/>
        <w:ind w:firstLine="709"/>
        <w:jc w:val="center"/>
        <w:rPr>
          <w:rFonts w:ascii="Arial" w:hAnsi="Arial" w:cs="Arial"/>
          <w:sz w:val="20"/>
          <w:szCs w:val="20"/>
        </w:rPr>
      </w:pPr>
      <w:r w:rsidRPr="00576175">
        <w:rPr>
          <w:rFonts w:ascii="Arial" w:hAnsi="Arial" w:cs="Arial"/>
          <w:b/>
          <w:bCs/>
          <w:sz w:val="20"/>
          <w:szCs w:val="20"/>
        </w:rPr>
        <w:t>Tabla 2. Revistas con mayor número de publicaciones</w:t>
      </w:r>
      <w:r w:rsidRPr="00416937">
        <w:rPr>
          <w:rFonts w:ascii="Arial" w:hAnsi="Arial" w:cs="Arial"/>
          <w:sz w:val="20"/>
          <w:szCs w:val="20"/>
        </w:rPr>
        <w:fldChar w:fldCharType="begin"/>
      </w:r>
      <w:r w:rsidRPr="00576175">
        <w:rPr>
          <w:rFonts w:ascii="Arial" w:hAnsi="Arial" w:cs="Arial"/>
          <w:sz w:val="20"/>
          <w:szCs w:val="20"/>
        </w:rPr>
        <w:instrText xml:space="preserve"> LINK Excel.Sheet.12 "C:\\Users\\OSCAR MARINO LOPEZ\\Documents\\UNIAJC - Decanato de Investigacion\\2024\\Graficos 7-3-24.xlsx" Revistas!F1C1:F11C3 \a \f 4 \h  \* MERGEFORMAT </w:instrText>
      </w:r>
      <w:r w:rsidRPr="00416937">
        <w:rPr>
          <w:rFonts w:ascii="Arial" w:hAnsi="Arial" w:cs="Arial"/>
          <w:sz w:val="20"/>
          <w:szCs w:val="20"/>
        </w:rPr>
        <w:fldChar w:fldCharType="separate"/>
      </w:r>
    </w:p>
    <w:tbl>
      <w:tblPr>
        <w:tblW w:w="7634" w:type="dxa"/>
        <w:tblCellMar>
          <w:left w:w="70" w:type="dxa"/>
          <w:right w:w="70" w:type="dxa"/>
        </w:tblCellMar>
        <w:tblLook w:val="04A0" w:firstRow="1" w:lastRow="0" w:firstColumn="1" w:lastColumn="0" w:noHBand="0" w:noVBand="1"/>
      </w:tblPr>
      <w:tblGrid>
        <w:gridCol w:w="5070"/>
        <w:gridCol w:w="2194"/>
        <w:gridCol w:w="1239"/>
      </w:tblGrid>
      <w:tr w:rsidR="00576175" w:rsidRPr="00B9742D" w14:paraId="49A0CB88" w14:textId="77777777" w:rsidTr="00B9742D">
        <w:trPr>
          <w:trHeight w:val="328"/>
        </w:trPr>
        <w:tc>
          <w:tcPr>
            <w:tcW w:w="5070" w:type="dxa"/>
            <w:tcBorders>
              <w:top w:val="single" w:sz="4" w:space="0" w:color="auto"/>
              <w:left w:val="nil"/>
              <w:bottom w:val="single" w:sz="4" w:space="0" w:color="auto"/>
              <w:right w:val="nil"/>
            </w:tcBorders>
            <w:shd w:val="clear" w:color="auto" w:fill="auto"/>
            <w:noWrap/>
            <w:vAlign w:val="center"/>
            <w:hideMark/>
          </w:tcPr>
          <w:p w14:paraId="1B0066EE" w14:textId="77777777" w:rsidR="00576175" w:rsidRPr="00B9742D" w:rsidRDefault="00576175" w:rsidP="002F047C">
            <w:pPr>
              <w:ind w:firstLine="709"/>
              <w:jc w:val="center"/>
              <w:rPr>
                <w:rFonts w:ascii="Arial" w:hAnsi="Arial" w:cs="Arial"/>
                <w:b/>
                <w:bCs/>
                <w:color w:val="000000"/>
                <w:sz w:val="20"/>
                <w:szCs w:val="20"/>
                <w:lang w:eastAsia="es-CO"/>
              </w:rPr>
            </w:pPr>
            <w:r w:rsidRPr="00B9742D">
              <w:rPr>
                <w:rFonts w:ascii="Arial" w:hAnsi="Arial" w:cs="Arial"/>
                <w:b/>
                <w:bCs/>
                <w:color w:val="000000"/>
                <w:sz w:val="20"/>
                <w:szCs w:val="20"/>
                <w:lang w:eastAsia="es-CO"/>
              </w:rPr>
              <w:t>Revista</w:t>
            </w:r>
          </w:p>
        </w:tc>
        <w:tc>
          <w:tcPr>
            <w:tcW w:w="1639" w:type="dxa"/>
            <w:tcBorders>
              <w:top w:val="single" w:sz="4" w:space="0" w:color="auto"/>
              <w:left w:val="nil"/>
              <w:bottom w:val="single" w:sz="4" w:space="0" w:color="auto"/>
              <w:right w:val="nil"/>
            </w:tcBorders>
            <w:shd w:val="clear" w:color="auto" w:fill="auto"/>
            <w:noWrap/>
            <w:vAlign w:val="center"/>
            <w:hideMark/>
          </w:tcPr>
          <w:p w14:paraId="79797D04" w14:textId="77777777" w:rsidR="00576175" w:rsidRPr="00B9742D" w:rsidRDefault="00576175" w:rsidP="002F047C">
            <w:pPr>
              <w:ind w:firstLine="709"/>
              <w:jc w:val="center"/>
              <w:rPr>
                <w:rFonts w:ascii="Arial" w:hAnsi="Arial" w:cs="Arial"/>
                <w:b/>
                <w:bCs/>
                <w:color w:val="000000"/>
                <w:sz w:val="20"/>
                <w:szCs w:val="20"/>
                <w:lang w:eastAsia="es-CO"/>
              </w:rPr>
            </w:pPr>
            <w:r w:rsidRPr="00B9742D">
              <w:rPr>
                <w:rFonts w:ascii="Arial" w:hAnsi="Arial" w:cs="Arial"/>
                <w:b/>
                <w:bCs/>
                <w:color w:val="000000"/>
                <w:sz w:val="20"/>
                <w:szCs w:val="20"/>
                <w:lang w:eastAsia="es-CO"/>
              </w:rPr>
              <w:t>Publicaciones</w:t>
            </w:r>
          </w:p>
        </w:tc>
        <w:tc>
          <w:tcPr>
            <w:tcW w:w="925" w:type="dxa"/>
            <w:tcBorders>
              <w:top w:val="single" w:sz="4" w:space="0" w:color="auto"/>
              <w:left w:val="nil"/>
              <w:bottom w:val="single" w:sz="4" w:space="0" w:color="auto"/>
              <w:right w:val="nil"/>
            </w:tcBorders>
            <w:shd w:val="clear" w:color="auto" w:fill="auto"/>
            <w:noWrap/>
            <w:vAlign w:val="center"/>
            <w:hideMark/>
          </w:tcPr>
          <w:p w14:paraId="44BE0A60" w14:textId="77777777" w:rsidR="00576175" w:rsidRPr="00B9742D" w:rsidRDefault="00576175" w:rsidP="002F047C">
            <w:pPr>
              <w:ind w:firstLine="709"/>
              <w:jc w:val="center"/>
              <w:rPr>
                <w:rFonts w:ascii="Arial" w:hAnsi="Arial" w:cs="Arial"/>
                <w:b/>
                <w:bCs/>
                <w:color w:val="000000"/>
                <w:sz w:val="20"/>
                <w:szCs w:val="20"/>
                <w:lang w:eastAsia="es-CO"/>
              </w:rPr>
            </w:pPr>
            <w:r w:rsidRPr="00B9742D">
              <w:rPr>
                <w:rFonts w:ascii="Arial" w:hAnsi="Arial" w:cs="Arial"/>
                <w:b/>
                <w:bCs/>
                <w:color w:val="000000"/>
                <w:sz w:val="20"/>
                <w:szCs w:val="20"/>
                <w:lang w:eastAsia="es-CO"/>
              </w:rPr>
              <w:t>SJR</w:t>
            </w:r>
          </w:p>
        </w:tc>
      </w:tr>
      <w:tr w:rsidR="00576175" w:rsidRPr="00B9742D" w14:paraId="2FCE64A3" w14:textId="77777777" w:rsidTr="00B9742D">
        <w:trPr>
          <w:trHeight w:val="285"/>
        </w:trPr>
        <w:tc>
          <w:tcPr>
            <w:tcW w:w="5070" w:type="dxa"/>
            <w:tcBorders>
              <w:top w:val="nil"/>
              <w:left w:val="nil"/>
              <w:bottom w:val="nil"/>
              <w:right w:val="nil"/>
            </w:tcBorders>
            <w:shd w:val="clear" w:color="auto" w:fill="auto"/>
            <w:noWrap/>
            <w:vAlign w:val="bottom"/>
            <w:hideMark/>
          </w:tcPr>
          <w:p w14:paraId="38AD0543" w14:textId="77777777" w:rsidR="00576175" w:rsidRPr="00B9742D" w:rsidRDefault="00576175" w:rsidP="002F047C">
            <w:pPr>
              <w:ind w:firstLine="709"/>
              <w:rPr>
                <w:rFonts w:ascii="Arial" w:hAnsi="Arial" w:cs="Arial"/>
                <w:color w:val="000000"/>
                <w:sz w:val="20"/>
                <w:szCs w:val="20"/>
                <w:lang w:eastAsia="es-CO"/>
              </w:rPr>
            </w:pPr>
            <w:proofErr w:type="spellStart"/>
            <w:r w:rsidRPr="00B9742D">
              <w:rPr>
                <w:rFonts w:ascii="Arial" w:hAnsi="Arial" w:cs="Arial"/>
                <w:color w:val="000000"/>
                <w:sz w:val="20"/>
                <w:szCs w:val="20"/>
                <w:lang w:eastAsia="es-CO"/>
              </w:rPr>
              <w:t>Pediatric</w:t>
            </w:r>
            <w:proofErr w:type="spellEnd"/>
            <w:r w:rsidRPr="00B9742D">
              <w:rPr>
                <w:rFonts w:ascii="Arial" w:hAnsi="Arial" w:cs="Arial"/>
                <w:color w:val="000000"/>
                <w:sz w:val="20"/>
                <w:szCs w:val="20"/>
                <w:lang w:eastAsia="es-CO"/>
              </w:rPr>
              <w:t xml:space="preserve"> </w:t>
            </w:r>
            <w:proofErr w:type="spellStart"/>
            <w:r w:rsidRPr="00B9742D">
              <w:rPr>
                <w:rFonts w:ascii="Arial" w:hAnsi="Arial" w:cs="Arial"/>
                <w:color w:val="000000"/>
                <w:sz w:val="20"/>
                <w:szCs w:val="20"/>
                <w:lang w:eastAsia="es-CO"/>
              </w:rPr>
              <w:t>Pulmonology</w:t>
            </w:r>
            <w:proofErr w:type="spellEnd"/>
          </w:p>
        </w:tc>
        <w:tc>
          <w:tcPr>
            <w:tcW w:w="1639" w:type="dxa"/>
            <w:tcBorders>
              <w:top w:val="nil"/>
              <w:left w:val="nil"/>
              <w:bottom w:val="nil"/>
              <w:right w:val="nil"/>
            </w:tcBorders>
            <w:shd w:val="clear" w:color="auto" w:fill="auto"/>
            <w:noWrap/>
            <w:vAlign w:val="center"/>
            <w:hideMark/>
          </w:tcPr>
          <w:p w14:paraId="60AFA18C"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7</w:t>
            </w:r>
          </w:p>
        </w:tc>
        <w:tc>
          <w:tcPr>
            <w:tcW w:w="925" w:type="dxa"/>
            <w:tcBorders>
              <w:top w:val="nil"/>
              <w:left w:val="nil"/>
              <w:bottom w:val="nil"/>
              <w:right w:val="nil"/>
            </w:tcBorders>
            <w:shd w:val="clear" w:color="auto" w:fill="auto"/>
            <w:noWrap/>
            <w:vAlign w:val="center"/>
            <w:hideMark/>
          </w:tcPr>
          <w:p w14:paraId="4CD55944"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Q1</w:t>
            </w:r>
          </w:p>
        </w:tc>
      </w:tr>
      <w:tr w:rsidR="00576175" w:rsidRPr="00B9742D" w14:paraId="31DA7145" w14:textId="77777777" w:rsidTr="00B9742D">
        <w:trPr>
          <w:trHeight w:val="285"/>
        </w:trPr>
        <w:tc>
          <w:tcPr>
            <w:tcW w:w="5070" w:type="dxa"/>
            <w:tcBorders>
              <w:top w:val="nil"/>
              <w:left w:val="nil"/>
              <w:bottom w:val="nil"/>
              <w:right w:val="nil"/>
            </w:tcBorders>
            <w:shd w:val="clear" w:color="auto" w:fill="auto"/>
            <w:noWrap/>
            <w:vAlign w:val="bottom"/>
            <w:hideMark/>
          </w:tcPr>
          <w:p w14:paraId="7F620484" w14:textId="77777777" w:rsidR="00B9742D" w:rsidRDefault="00576175" w:rsidP="002F047C">
            <w:pPr>
              <w:ind w:firstLine="709"/>
              <w:rPr>
                <w:rFonts w:ascii="Arial" w:hAnsi="Arial" w:cs="Arial"/>
                <w:color w:val="000000"/>
                <w:sz w:val="20"/>
                <w:szCs w:val="20"/>
                <w:lang w:eastAsia="es-CO"/>
              </w:rPr>
            </w:pPr>
            <w:r w:rsidRPr="00B9742D">
              <w:rPr>
                <w:rFonts w:ascii="Arial" w:hAnsi="Arial" w:cs="Arial"/>
                <w:color w:val="000000"/>
                <w:sz w:val="20"/>
                <w:szCs w:val="20"/>
                <w:lang w:eastAsia="es-CO"/>
              </w:rPr>
              <w:t xml:space="preserve">Revista Panamericana de Salud </w:t>
            </w:r>
            <w:proofErr w:type="spellStart"/>
            <w:r w:rsidRPr="00B9742D">
              <w:rPr>
                <w:rFonts w:ascii="Arial" w:hAnsi="Arial" w:cs="Arial"/>
                <w:color w:val="000000"/>
                <w:sz w:val="20"/>
                <w:szCs w:val="20"/>
                <w:lang w:eastAsia="es-CO"/>
              </w:rPr>
              <w:t>Publica</w:t>
            </w:r>
            <w:proofErr w:type="spellEnd"/>
            <w:r w:rsidRPr="00B9742D">
              <w:rPr>
                <w:rFonts w:ascii="Arial" w:hAnsi="Arial" w:cs="Arial"/>
                <w:color w:val="000000"/>
                <w:sz w:val="20"/>
                <w:szCs w:val="20"/>
                <w:lang w:eastAsia="es-CO"/>
              </w:rPr>
              <w:t xml:space="preserve"> Pan </w:t>
            </w:r>
            <w:r w:rsidR="00B9742D">
              <w:rPr>
                <w:rFonts w:ascii="Arial" w:hAnsi="Arial" w:cs="Arial"/>
                <w:color w:val="000000"/>
                <w:sz w:val="20"/>
                <w:szCs w:val="20"/>
                <w:lang w:eastAsia="es-CO"/>
              </w:rPr>
              <w:t xml:space="preserve">    </w:t>
            </w:r>
          </w:p>
          <w:p w14:paraId="1BF7A060" w14:textId="2D6E6694" w:rsidR="00576175" w:rsidRPr="00B9742D" w:rsidRDefault="00576175" w:rsidP="002F047C">
            <w:pPr>
              <w:ind w:firstLine="709"/>
              <w:rPr>
                <w:rFonts w:ascii="Arial" w:hAnsi="Arial" w:cs="Arial"/>
                <w:color w:val="000000"/>
                <w:sz w:val="20"/>
                <w:szCs w:val="20"/>
                <w:lang w:val="en-US" w:eastAsia="es-CO"/>
              </w:rPr>
            </w:pPr>
            <w:r w:rsidRPr="00B9742D">
              <w:rPr>
                <w:rFonts w:ascii="Arial" w:hAnsi="Arial" w:cs="Arial"/>
                <w:color w:val="000000"/>
                <w:sz w:val="20"/>
                <w:szCs w:val="20"/>
                <w:lang w:val="en-US" w:eastAsia="es-CO"/>
              </w:rPr>
              <w:t xml:space="preserve">American Journal </w:t>
            </w:r>
            <w:proofErr w:type="gramStart"/>
            <w:r w:rsidRPr="00B9742D">
              <w:rPr>
                <w:rFonts w:ascii="Arial" w:hAnsi="Arial" w:cs="Arial"/>
                <w:color w:val="000000"/>
                <w:sz w:val="20"/>
                <w:szCs w:val="20"/>
                <w:lang w:val="en-US" w:eastAsia="es-CO"/>
              </w:rPr>
              <w:t>Of</w:t>
            </w:r>
            <w:proofErr w:type="gramEnd"/>
            <w:r w:rsidRPr="00B9742D">
              <w:rPr>
                <w:rFonts w:ascii="Arial" w:hAnsi="Arial" w:cs="Arial"/>
                <w:color w:val="000000"/>
                <w:sz w:val="20"/>
                <w:szCs w:val="20"/>
                <w:lang w:val="en-US" w:eastAsia="es-CO"/>
              </w:rPr>
              <w:t xml:space="preserve"> Public Health</w:t>
            </w:r>
          </w:p>
        </w:tc>
        <w:tc>
          <w:tcPr>
            <w:tcW w:w="1639" w:type="dxa"/>
            <w:tcBorders>
              <w:top w:val="nil"/>
              <w:left w:val="nil"/>
              <w:bottom w:val="nil"/>
              <w:right w:val="nil"/>
            </w:tcBorders>
            <w:shd w:val="clear" w:color="auto" w:fill="auto"/>
            <w:noWrap/>
            <w:vAlign w:val="center"/>
            <w:hideMark/>
          </w:tcPr>
          <w:p w14:paraId="05D05094"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7</w:t>
            </w:r>
          </w:p>
        </w:tc>
        <w:tc>
          <w:tcPr>
            <w:tcW w:w="925" w:type="dxa"/>
            <w:tcBorders>
              <w:top w:val="nil"/>
              <w:left w:val="nil"/>
              <w:bottom w:val="nil"/>
              <w:right w:val="nil"/>
            </w:tcBorders>
            <w:shd w:val="clear" w:color="auto" w:fill="auto"/>
            <w:noWrap/>
            <w:vAlign w:val="center"/>
            <w:hideMark/>
          </w:tcPr>
          <w:p w14:paraId="23AFFF1B"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Q2</w:t>
            </w:r>
          </w:p>
        </w:tc>
      </w:tr>
      <w:tr w:rsidR="00576175" w:rsidRPr="00B9742D" w14:paraId="24722D19" w14:textId="77777777" w:rsidTr="00B9742D">
        <w:trPr>
          <w:trHeight w:val="285"/>
        </w:trPr>
        <w:tc>
          <w:tcPr>
            <w:tcW w:w="5070" w:type="dxa"/>
            <w:tcBorders>
              <w:top w:val="nil"/>
              <w:left w:val="nil"/>
              <w:bottom w:val="nil"/>
              <w:right w:val="nil"/>
            </w:tcBorders>
            <w:shd w:val="clear" w:color="auto" w:fill="auto"/>
            <w:noWrap/>
            <w:vAlign w:val="bottom"/>
            <w:hideMark/>
          </w:tcPr>
          <w:p w14:paraId="32B9A3A7" w14:textId="77777777" w:rsidR="00B9742D" w:rsidRDefault="00576175" w:rsidP="002F047C">
            <w:pPr>
              <w:ind w:firstLine="709"/>
              <w:rPr>
                <w:rFonts w:ascii="Arial" w:hAnsi="Arial" w:cs="Arial"/>
                <w:color w:val="000000"/>
                <w:sz w:val="20"/>
                <w:szCs w:val="20"/>
                <w:lang w:val="en-US" w:eastAsia="es-CO"/>
              </w:rPr>
            </w:pPr>
            <w:r w:rsidRPr="00B9742D">
              <w:rPr>
                <w:rFonts w:ascii="Arial" w:hAnsi="Arial" w:cs="Arial"/>
                <w:color w:val="000000"/>
                <w:sz w:val="20"/>
                <w:szCs w:val="20"/>
                <w:lang w:val="en-US" w:eastAsia="es-CO"/>
              </w:rPr>
              <w:t xml:space="preserve">Expert Review </w:t>
            </w:r>
            <w:proofErr w:type="gramStart"/>
            <w:r w:rsidRPr="00B9742D">
              <w:rPr>
                <w:rFonts w:ascii="Arial" w:hAnsi="Arial" w:cs="Arial"/>
                <w:color w:val="000000"/>
                <w:sz w:val="20"/>
                <w:szCs w:val="20"/>
                <w:lang w:val="en-US" w:eastAsia="es-CO"/>
              </w:rPr>
              <w:t>Of</w:t>
            </w:r>
            <w:proofErr w:type="gramEnd"/>
            <w:r w:rsidRPr="00B9742D">
              <w:rPr>
                <w:rFonts w:ascii="Arial" w:hAnsi="Arial" w:cs="Arial"/>
                <w:color w:val="000000"/>
                <w:sz w:val="20"/>
                <w:szCs w:val="20"/>
                <w:lang w:val="en-US" w:eastAsia="es-CO"/>
              </w:rPr>
              <w:t xml:space="preserve"> Pharmacoeconomics And </w:t>
            </w:r>
          </w:p>
          <w:p w14:paraId="24384254" w14:textId="6E544A77" w:rsidR="00576175" w:rsidRPr="00B9742D" w:rsidRDefault="00576175" w:rsidP="002F047C">
            <w:pPr>
              <w:ind w:firstLine="709"/>
              <w:rPr>
                <w:rFonts w:ascii="Arial" w:hAnsi="Arial" w:cs="Arial"/>
                <w:color w:val="000000"/>
                <w:sz w:val="20"/>
                <w:szCs w:val="20"/>
                <w:lang w:val="en-US" w:eastAsia="es-CO"/>
              </w:rPr>
            </w:pPr>
            <w:r w:rsidRPr="00B9742D">
              <w:rPr>
                <w:rFonts w:ascii="Arial" w:hAnsi="Arial" w:cs="Arial"/>
                <w:color w:val="000000"/>
                <w:sz w:val="20"/>
                <w:szCs w:val="20"/>
                <w:lang w:val="en-US" w:eastAsia="es-CO"/>
              </w:rPr>
              <w:t>Outcomes Research</w:t>
            </w:r>
          </w:p>
        </w:tc>
        <w:tc>
          <w:tcPr>
            <w:tcW w:w="1639" w:type="dxa"/>
            <w:tcBorders>
              <w:top w:val="nil"/>
              <w:left w:val="nil"/>
              <w:bottom w:val="nil"/>
              <w:right w:val="nil"/>
            </w:tcBorders>
            <w:shd w:val="clear" w:color="auto" w:fill="auto"/>
            <w:noWrap/>
            <w:vAlign w:val="center"/>
            <w:hideMark/>
          </w:tcPr>
          <w:p w14:paraId="1D555753"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6</w:t>
            </w:r>
          </w:p>
        </w:tc>
        <w:tc>
          <w:tcPr>
            <w:tcW w:w="925" w:type="dxa"/>
            <w:tcBorders>
              <w:top w:val="nil"/>
              <w:left w:val="nil"/>
              <w:bottom w:val="nil"/>
              <w:right w:val="nil"/>
            </w:tcBorders>
            <w:shd w:val="clear" w:color="auto" w:fill="auto"/>
            <w:noWrap/>
            <w:vAlign w:val="center"/>
            <w:hideMark/>
          </w:tcPr>
          <w:p w14:paraId="6E03D794"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Q2</w:t>
            </w:r>
          </w:p>
        </w:tc>
      </w:tr>
      <w:tr w:rsidR="00576175" w:rsidRPr="00B9742D" w14:paraId="1991041B" w14:textId="77777777" w:rsidTr="00B9742D">
        <w:trPr>
          <w:trHeight w:val="285"/>
        </w:trPr>
        <w:tc>
          <w:tcPr>
            <w:tcW w:w="5070" w:type="dxa"/>
            <w:tcBorders>
              <w:top w:val="nil"/>
              <w:left w:val="nil"/>
              <w:bottom w:val="nil"/>
              <w:right w:val="nil"/>
            </w:tcBorders>
            <w:shd w:val="clear" w:color="auto" w:fill="auto"/>
            <w:noWrap/>
            <w:vAlign w:val="bottom"/>
            <w:hideMark/>
          </w:tcPr>
          <w:p w14:paraId="4B38D3F3" w14:textId="77777777" w:rsidR="00576175" w:rsidRPr="00B9742D" w:rsidRDefault="00576175" w:rsidP="002F047C">
            <w:pPr>
              <w:ind w:firstLine="709"/>
              <w:rPr>
                <w:rFonts w:ascii="Arial" w:hAnsi="Arial" w:cs="Arial"/>
                <w:color w:val="000000"/>
                <w:sz w:val="20"/>
                <w:szCs w:val="20"/>
                <w:lang w:val="en-US" w:eastAsia="es-CO"/>
              </w:rPr>
            </w:pPr>
            <w:r w:rsidRPr="00B9742D">
              <w:rPr>
                <w:rFonts w:ascii="Arial" w:hAnsi="Arial" w:cs="Arial"/>
                <w:color w:val="000000"/>
                <w:sz w:val="20"/>
                <w:szCs w:val="20"/>
                <w:lang w:val="en-US" w:eastAsia="es-CO"/>
              </w:rPr>
              <w:t xml:space="preserve">Value </w:t>
            </w:r>
            <w:proofErr w:type="gramStart"/>
            <w:r w:rsidRPr="00B9742D">
              <w:rPr>
                <w:rFonts w:ascii="Arial" w:hAnsi="Arial" w:cs="Arial"/>
                <w:color w:val="000000"/>
                <w:sz w:val="20"/>
                <w:szCs w:val="20"/>
                <w:lang w:val="en-US" w:eastAsia="es-CO"/>
              </w:rPr>
              <w:t>In</w:t>
            </w:r>
            <w:proofErr w:type="gramEnd"/>
            <w:r w:rsidRPr="00B9742D">
              <w:rPr>
                <w:rFonts w:ascii="Arial" w:hAnsi="Arial" w:cs="Arial"/>
                <w:color w:val="000000"/>
                <w:sz w:val="20"/>
                <w:szCs w:val="20"/>
                <w:lang w:val="en-US" w:eastAsia="es-CO"/>
              </w:rPr>
              <w:t xml:space="preserve"> Health Regional Issues</w:t>
            </w:r>
          </w:p>
        </w:tc>
        <w:tc>
          <w:tcPr>
            <w:tcW w:w="1639" w:type="dxa"/>
            <w:tcBorders>
              <w:top w:val="nil"/>
              <w:left w:val="nil"/>
              <w:bottom w:val="nil"/>
              <w:right w:val="nil"/>
            </w:tcBorders>
            <w:shd w:val="clear" w:color="auto" w:fill="auto"/>
            <w:noWrap/>
            <w:vAlign w:val="center"/>
            <w:hideMark/>
          </w:tcPr>
          <w:p w14:paraId="5E27F023"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5</w:t>
            </w:r>
          </w:p>
        </w:tc>
        <w:tc>
          <w:tcPr>
            <w:tcW w:w="925" w:type="dxa"/>
            <w:tcBorders>
              <w:top w:val="nil"/>
              <w:left w:val="nil"/>
              <w:bottom w:val="nil"/>
              <w:right w:val="nil"/>
            </w:tcBorders>
            <w:shd w:val="clear" w:color="auto" w:fill="auto"/>
            <w:noWrap/>
            <w:vAlign w:val="center"/>
            <w:hideMark/>
          </w:tcPr>
          <w:p w14:paraId="3D3446E8"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Q2</w:t>
            </w:r>
          </w:p>
        </w:tc>
      </w:tr>
      <w:tr w:rsidR="00576175" w:rsidRPr="00B9742D" w14:paraId="11CB6845" w14:textId="77777777" w:rsidTr="00B9742D">
        <w:trPr>
          <w:trHeight w:val="285"/>
        </w:trPr>
        <w:tc>
          <w:tcPr>
            <w:tcW w:w="5070" w:type="dxa"/>
            <w:tcBorders>
              <w:top w:val="nil"/>
              <w:left w:val="nil"/>
              <w:bottom w:val="nil"/>
              <w:right w:val="nil"/>
            </w:tcBorders>
            <w:shd w:val="clear" w:color="auto" w:fill="auto"/>
            <w:noWrap/>
            <w:vAlign w:val="bottom"/>
            <w:hideMark/>
          </w:tcPr>
          <w:p w14:paraId="6B5740C5" w14:textId="77777777" w:rsidR="00576175" w:rsidRPr="00B9742D" w:rsidRDefault="00576175" w:rsidP="002F047C">
            <w:pPr>
              <w:ind w:firstLine="709"/>
              <w:rPr>
                <w:rFonts w:ascii="Arial" w:hAnsi="Arial" w:cs="Arial"/>
                <w:color w:val="000000"/>
                <w:sz w:val="20"/>
                <w:szCs w:val="20"/>
                <w:lang w:eastAsia="es-CO"/>
              </w:rPr>
            </w:pPr>
            <w:r w:rsidRPr="00B9742D">
              <w:rPr>
                <w:rFonts w:ascii="Arial" w:hAnsi="Arial" w:cs="Arial"/>
                <w:color w:val="000000"/>
                <w:sz w:val="20"/>
                <w:szCs w:val="20"/>
                <w:lang w:eastAsia="es-CO"/>
              </w:rPr>
              <w:t>Revista de Salud Publica</w:t>
            </w:r>
          </w:p>
        </w:tc>
        <w:tc>
          <w:tcPr>
            <w:tcW w:w="1639" w:type="dxa"/>
            <w:tcBorders>
              <w:top w:val="nil"/>
              <w:left w:val="nil"/>
              <w:bottom w:val="nil"/>
              <w:right w:val="nil"/>
            </w:tcBorders>
            <w:shd w:val="clear" w:color="auto" w:fill="auto"/>
            <w:noWrap/>
            <w:vAlign w:val="center"/>
            <w:hideMark/>
          </w:tcPr>
          <w:p w14:paraId="0D5CB1EB"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4</w:t>
            </w:r>
          </w:p>
        </w:tc>
        <w:tc>
          <w:tcPr>
            <w:tcW w:w="925" w:type="dxa"/>
            <w:tcBorders>
              <w:top w:val="nil"/>
              <w:left w:val="nil"/>
              <w:bottom w:val="nil"/>
              <w:right w:val="nil"/>
            </w:tcBorders>
            <w:shd w:val="clear" w:color="auto" w:fill="auto"/>
            <w:noWrap/>
            <w:vAlign w:val="center"/>
            <w:hideMark/>
          </w:tcPr>
          <w:p w14:paraId="38222AA9"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Q4</w:t>
            </w:r>
          </w:p>
        </w:tc>
      </w:tr>
      <w:tr w:rsidR="00576175" w:rsidRPr="00B9742D" w14:paraId="3E3D055E" w14:textId="77777777" w:rsidTr="00B9742D">
        <w:trPr>
          <w:trHeight w:val="285"/>
        </w:trPr>
        <w:tc>
          <w:tcPr>
            <w:tcW w:w="5070" w:type="dxa"/>
            <w:tcBorders>
              <w:top w:val="nil"/>
              <w:left w:val="nil"/>
              <w:bottom w:val="nil"/>
              <w:right w:val="nil"/>
            </w:tcBorders>
            <w:shd w:val="clear" w:color="auto" w:fill="auto"/>
            <w:noWrap/>
            <w:vAlign w:val="bottom"/>
            <w:hideMark/>
          </w:tcPr>
          <w:p w14:paraId="436BCE7F" w14:textId="77777777" w:rsidR="00576175" w:rsidRPr="00B9742D" w:rsidRDefault="00576175" w:rsidP="002F047C">
            <w:pPr>
              <w:ind w:firstLine="709"/>
              <w:rPr>
                <w:rFonts w:ascii="Arial" w:hAnsi="Arial" w:cs="Arial"/>
                <w:color w:val="000000"/>
                <w:sz w:val="20"/>
                <w:szCs w:val="20"/>
                <w:lang w:eastAsia="es-CO"/>
              </w:rPr>
            </w:pPr>
            <w:r w:rsidRPr="00B9742D">
              <w:rPr>
                <w:rFonts w:ascii="Arial" w:hAnsi="Arial" w:cs="Arial"/>
                <w:color w:val="000000"/>
                <w:sz w:val="20"/>
                <w:szCs w:val="20"/>
                <w:lang w:eastAsia="es-CO"/>
              </w:rPr>
              <w:t xml:space="preserve">BMC </w:t>
            </w:r>
            <w:proofErr w:type="spellStart"/>
            <w:r w:rsidRPr="00B9742D">
              <w:rPr>
                <w:rFonts w:ascii="Arial" w:hAnsi="Arial" w:cs="Arial"/>
                <w:color w:val="000000"/>
                <w:sz w:val="20"/>
                <w:szCs w:val="20"/>
                <w:lang w:eastAsia="es-CO"/>
              </w:rPr>
              <w:t>Pulmonary</w:t>
            </w:r>
            <w:proofErr w:type="spellEnd"/>
            <w:r w:rsidRPr="00B9742D">
              <w:rPr>
                <w:rFonts w:ascii="Arial" w:hAnsi="Arial" w:cs="Arial"/>
                <w:color w:val="000000"/>
                <w:sz w:val="20"/>
                <w:szCs w:val="20"/>
                <w:lang w:eastAsia="es-CO"/>
              </w:rPr>
              <w:t xml:space="preserve"> Medicine</w:t>
            </w:r>
          </w:p>
        </w:tc>
        <w:tc>
          <w:tcPr>
            <w:tcW w:w="1639" w:type="dxa"/>
            <w:tcBorders>
              <w:top w:val="nil"/>
              <w:left w:val="nil"/>
              <w:bottom w:val="nil"/>
              <w:right w:val="nil"/>
            </w:tcBorders>
            <w:shd w:val="clear" w:color="auto" w:fill="auto"/>
            <w:noWrap/>
            <w:vAlign w:val="center"/>
            <w:hideMark/>
          </w:tcPr>
          <w:p w14:paraId="19DDB727"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3</w:t>
            </w:r>
          </w:p>
        </w:tc>
        <w:tc>
          <w:tcPr>
            <w:tcW w:w="925" w:type="dxa"/>
            <w:tcBorders>
              <w:top w:val="nil"/>
              <w:left w:val="nil"/>
              <w:bottom w:val="nil"/>
              <w:right w:val="nil"/>
            </w:tcBorders>
            <w:shd w:val="clear" w:color="auto" w:fill="auto"/>
            <w:noWrap/>
            <w:vAlign w:val="center"/>
            <w:hideMark/>
          </w:tcPr>
          <w:p w14:paraId="69C824EA"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Q2</w:t>
            </w:r>
          </w:p>
        </w:tc>
      </w:tr>
      <w:tr w:rsidR="00576175" w:rsidRPr="00B9742D" w14:paraId="5AF2DDF6" w14:textId="77777777" w:rsidTr="00B9742D">
        <w:trPr>
          <w:trHeight w:val="285"/>
        </w:trPr>
        <w:tc>
          <w:tcPr>
            <w:tcW w:w="5070" w:type="dxa"/>
            <w:tcBorders>
              <w:top w:val="nil"/>
              <w:left w:val="nil"/>
              <w:bottom w:val="nil"/>
              <w:right w:val="nil"/>
            </w:tcBorders>
            <w:shd w:val="clear" w:color="auto" w:fill="auto"/>
            <w:noWrap/>
            <w:vAlign w:val="bottom"/>
            <w:hideMark/>
          </w:tcPr>
          <w:p w14:paraId="4603B141" w14:textId="77777777" w:rsidR="00576175" w:rsidRPr="00B9742D" w:rsidRDefault="00576175" w:rsidP="002F047C">
            <w:pPr>
              <w:ind w:firstLine="709"/>
              <w:rPr>
                <w:rFonts w:ascii="Arial" w:hAnsi="Arial" w:cs="Arial"/>
                <w:color w:val="000000"/>
                <w:sz w:val="20"/>
                <w:szCs w:val="20"/>
                <w:lang w:eastAsia="es-CO"/>
              </w:rPr>
            </w:pPr>
            <w:r w:rsidRPr="00B9742D">
              <w:rPr>
                <w:rFonts w:ascii="Arial" w:hAnsi="Arial" w:cs="Arial"/>
                <w:color w:val="000000"/>
                <w:sz w:val="20"/>
                <w:szCs w:val="20"/>
                <w:lang w:eastAsia="es-CO"/>
              </w:rPr>
              <w:t xml:space="preserve">BMJ Global </w:t>
            </w:r>
            <w:proofErr w:type="spellStart"/>
            <w:r w:rsidRPr="00B9742D">
              <w:rPr>
                <w:rFonts w:ascii="Arial" w:hAnsi="Arial" w:cs="Arial"/>
                <w:color w:val="000000"/>
                <w:sz w:val="20"/>
                <w:szCs w:val="20"/>
                <w:lang w:eastAsia="es-CO"/>
              </w:rPr>
              <w:t>Health</w:t>
            </w:r>
            <w:proofErr w:type="spellEnd"/>
          </w:p>
        </w:tc>
        <w:tc>
          <w:tcPr>
            <w:tcW w:w="1639" w:type="dxa"/>
            <w:tcBorders>
              <w:top w:val="nil"/>
              <w:left w:val="nil"/>
              <w:bottom w:val="nil"/>
              <w:right w:val="nil"/>
            </w:tcBorders>
            <w:shd w:val="clear" w:color="auto" w:fill="auto"/>
            <w:noWrap/>
            <w:vAlign w:val="center"/>
            <w:hideMark/>
          </w:tcPr>
          <w:p w14:paraId="16B3D6BE"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3</w:t>
            </w:r>
          </w:p>
        </w:tc>
        <w:tc>
          <w:tcPr>
            <w:tcW w:w="925" w:type="dxa"/>
            <w:tcBorders>
              <w:top w:val="nil"/>
              <w:left w:val="nil"/>
              <w:bottom w:val="nil"/>
              <w:right w:val="nil"/>
            </w:tcBorders>
            <w:shd w:val="clear" w:color="auto" w:fill="auto"/>
            <w:noWrap/>
            <w:vAlign w:val="center"/>
            <w:hideMark/>
          </w:tcPr>
          <w:p w14:paraId="0C41FF7C"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Q1</w:t>
            </w:r>
          </w:p>
        </w:tc>
      </w:tr>
      <w:tr w:rsidR="00576175" w:rsidRPr="00B9742D" w14:paraId="31713B62" w14:textId="77777777" w:rsidTr="00B9742D">
        <w:trPr>
          <w:trHeight w:val="285"/>
        </w:trPr>
        <w:tc>
          <w:tcPr>
            <w:tcW w:w="5070" w:type="dxa"/>
            <w:tcBorders>
              <w:top w:val="nil"/>
              <w:left w:val="nil"/>
              <w:bottom w:val="nil"/>
              <w:right w:val="nil"/>
            </w:tcBorders>
            <w:shd w:val="clear" w:color="auto" w:fill="auto"/>
            <w:noWrap/>
            <w:vAlign w:val="bottom"/>
            <w:hideMark/>
          </w:tcPr>
          <w:p w14:paraId="3239FCC3" w14:textId="77777777" w:rsidR="00576175" w:rsidRPr="00B9742D" w:rsidRDefault="00576175" w:rsidP="002F047C">
            <w:pPr>
              <w:ind w:firstLine="709"/>
              <w:rPr>
                <w:rFonts w:ascii="Arial" w:hAnsi="Arial" w:cs="Arial"/>
                <w:color w:val="000000"/>
                <w:sz w:val="20"/>
                <w:szCs w:val="20"/>
                <w:lang w:eastAsia="es-CO"/>
              </w:rPr>
            </w:pPr>
            <w:proofErr w:type="spellStart"/>
            <w:r w:rsidRPr="00B9742D">
              <w:rPr>
                <w:rFonts w:ascii="Arial" w:hAnsi="Arial" w:cs="Arial"/>
                <w:color w:val="000000"/>
                <w:sz w:val="20"/>
                <w:szCs w:val="20"/>
                <w:lang w:eastAsia="es-CO"/>
              </w:rPr>
              <w:t>Biomedica</w:t>
            </w:r>
            <w:proofErr w:type="spellEnd"/>
          </w:p>
        </w:tc>
        <w:tc>
          <w:tcPr>
            <w:tcW w:w="1639" w:type="dxa"/>
            <w:tcBorders>
              <w:top w:val="nil"/>
              <w:left w:val="nil"/>
              <w:bottom w:val="nil"/>
              <w:right w:val="nil"/>
            </w:tcBorders>
            <w:shd w:val="clear" w:color="auto" w:fill="auto"/>
            <w:noWrap/>
            <w:vAlign w:val="center"/>
            <w:hideMark/>
          </w:tcPr>
          <w:p w14:paraId="75A288DF"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3</w:t>
            </w:r>
          </w:p>
        </w:tc>
        <w:tc>
          <w:tcPr>
            <w:tcW w:w="925" w:type="dxa"/>
            <w:tcBorders>
              <w:top w:val="nil"/>
              <w:left w:val="nil"/>
              <w:bottom w:val="nil"/>
              <w:right w:val="nil"/>
            </w:tcBorders>
            <w:shd w:val="clear" w:color="auto" w:fill="auto"/>
            <w:noWrap/>
            <w:vAlign w:val="center"/>
            <w:hideMark/>
          </w:tcPr>
          <w:p w14:paraId="7769D083"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Q3</w:t>
            </w:r>
          </w:p>
        </w:tc>
      </w:tr>
      <w:tr w:rsidR="00576175" w:rsidRPr="00B9742D" w14:paraId="035EA1F1" w14:textId="77777777" w:rsidTr="00B9742D">
        <w:trPr>
          <w:trHeight w:val="285"/>
        </w:trPr>
        <w:tc>
          <w:tcPr>
            <w:tcW w:w="5070" w:type="dxa"/>
            <w:tcBorders>
              <w:top w:val="nil"/>
              <w:left w:val="nil"/>
              <w:bottom w:val="nil"/>
              <w:right w:val="nil"/>
            </w:tcBorders>
            <w:shd w:val="clear" w:color="auto" w:fill="auto"/>
            <w:noWrap/>
            <w:vAlign w:val="bottom"/>
            <w:hideMark/>
          </w:tcPr>
          <w:p w14:paraId="5FFFF9F0" w14:textId="77777777" w:rsidR="00576175" w:rsidRPr="00B9742D" w:rsidRDefault="00576175" w:rsidP="002F047C">
            <w:pPr>
              <w:ind w:firstLine="709"/>
              <w:rPr>
                <w:rFonts w:ascii="Arial" w:hAnsi="Arial" w:cs="Arial"/>
                <w:color w:val="000000"/>
                <w:sz w:val="20"/>
                <w:szCs w:val="20"/>
                <w:lang w:eastAsia="es-CO"/>
              </w:rPr>
            </w:pPr>
            <w:r w:rsidRPr="00B9742D">
              <w:rPr>
                <w:rFonts w:ascii="Arial" w:hAnsi="Arial" w:cs="Arial"/>
                <w:color w:val="000000"/>
                <w:sz w:val="20"/>
                <w:szCs w:val="20"/>
                <w:lang w:eastAsia="es-CO"/>
              </w:rPr>
              <w:t xml:space="preserve">Revista Gerencia y </w:t>
            </w:r>
            <w:proofErr w:type="spellStart"/>
            <w:r w:rsidRPr="00B9742D">
              <w:rPr>
                <w:rFonts w:ascii="Arial" w:hAnsi="Arial" w:cs="Arial"/>
                <w:color w:val="000000"/>
                <w:sz w:val="20"/>
                <w:szCs w:val="20"/>
                <w:lang w:eastAsia="es-CO"/>
              </w:rPr>
              <w:t>Politicas</w:t>
            </w:r>
            <w:proofErr w:type="spellEnd"/>
            <w:r w:rsidRPr="00B9742D">
              <w:rPr>
                <w:rFonts w:ascii="Arial" w:hAnsi="Arial" w:cs="Arial"/>
                <w:color w:val="000000"/>
                <w:sz w:val="20"/>
                <w:szCs w:val="20"/>
                <w:lang w:eastAsia="es-CO"/>
              </w:rPr>
              <w:t xml:space="preserve"> De Salud</w:t>
            </w:r>
          </w:p>
        </w:tc>
        <w:tc>
          <w:tcPr>
            <w:tcW w:w="1639" w:type="dxa"/>
            <w:tcBorders>
              <w:top w:val="nil"/>
              <w:left w:val="nil"/>
              <w:bottom w:val="nil"/>
              <w:right w:val="nil"/>
            </w:tcBorders>
            <w:shd w:val="clear" w:color="auto" w:fill="auto"/>
            <w:noWrap/>
            <w:vAlign w:val="center"/>
            <w:hideMark/>
          </w:tcPr>
          <w:p w14:paraId="7A245622"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3</w:t>
            </w:r>
          </w:p>
        </w:tc>
        <w:tc>
          <w:tcPr>
            <w:tcW w:w="925" w:type="dxa"/>
            <w:tcBorders>
              <w:top w:val="nil"/>
              <w:left w:val="nil"/>
              <w:bottom w:val="nil"/>
              <w:right w:val="nil"/>
            </w:tcBorders>
            <w:shd w:val="clear" w:color="auto" w:fill="auto"/>
            <w:noWrap/>
            <w:vAlign w:val="center"/>
            <w:hideMark/>
          </w:tcPr>
          <w:p w14:paraId="5F095068"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Q4</w:t>
            </w:r>
          </w:p>
        </w:tc>
      </w:tr>
      <w:tr w:rsidR="00576175" w:rsidRPr="00B9742D" w14:paraId="6CF4C781" w14:textId="77777777" w:rsidTr="00B9742D">
        <w:trPr>
          <w:trHeight w:val="285"/>
        </w:trPr>
        <w:tc>
          <w:tcPr>
            <w:tcW w:w="5070" w:type="dxa"/>
            <w:tcBorders>
              <w:top w:val="nil"/>
              <w:left w:val="nil"/>
              <w:bottom w:val="single" w:sz="4" w:space="0" w:color="auto"/>
              <w:right w:val="nil"/>
            </w:tcBorders>
            <w:shd w:val="clear" w:color="auto" w:fill="auto"/>
            <w:noWrap/>
            <w:vAlign w:val="bottom"/>
            <w:hideMark/>
          </w:tcPr>
          <w:p w14:paraId="60774D33" w14:textId="77777777" w:rsidR="00576175" w:rsidRPr="00B9742D" w:rsidRDefault="00576175" w:rsidP="002F047C">
            <w:pPr>
              <w:ind w:firstLine="709"/>
              <w:rPr>
                <w:rFonts w:ascii="Arial" w:hAnsi="Arial" w:cs="Arial"/>
                <w:color w:val="000000"/>
                <w:sz w:val="20"/>
                <w:szCs w:val="20"/>
                <w:lang w:eastAsia="es-CO"/>
              </w:rPr>
            </w:pPr>
            <w:proofErr w:type="spellStart"/>
            <w:r w:rsidRPr="00B9742D">
              <w:rPr>
                <w:rFonts w:ascii="Arial" w:hAnsi="Arial" w:cs="Arial"/>
                <w:color w:val="000000"/>
                <w:sz w:val="20"/>
                <w:szCs w:val="20"/>
                <w:lang w:eastAsia="es-CO"/>
              </w:rPr>
              <w:t>Vaccine</w:t>
            </w:r>
            <w:proofErr w:type="spellEnd"/>
          </w:p>
        </w:tc>
        <w:tc>
          <w:tcPr>
            <w:tcW w:w="1639" w:type="dxa"/>
            <w:tcBorders>
              <w:top w:val="nil"/>
              <w:left w:val="nil"/>
              <w:bottom w:val="single" w:sz="4" w:space="0" w:color="auto"/>
              <w:right w:val="nil"/>
            </w:tcBorders>
            <w:shd w:val="clear" w:color="auto" w:fill="auto"/>
            <w:noWrap/>
            <w:vAlign w:val="center"/>
            <w:hideMark/>
          </w:tcPr>
          <w:p w14:paraId="5BD995A3"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3</w:t>
            </w:r>
          </w:p>
        </w:tc>
        <w:tc>
          <w:tcPr>
            <w:tcW w:w="925" w:type="dxa"/>
            <w:tcBorders>
              <w:top w:val="nil"/>
              <w:left w:val="nil"/>
              <w:bottom w:val="single" w:sz="4" w:space="0" w:color="auto"/>
              <w:right w:val="nil"/>
            </w:tcBorders>
            <w:shd w:val="clear" w:color="auto" w:fill="auto"/>
            <w:noWrap/>
            <w:vAlign w:val="center"/>
            <w:hideMark/>
          </w:tcPr>
          <w:p w14:paraId="454E6E93" w14:textId="77777777" w:rsidR="00576175" w:rsidRPr="00B9742D" w:rsidRDefault="00576175" w:rsidP="002F047C">
            <w:pPr>
              <w:ind w:firstLine="709"/>
              <w:jc w:val="center"/>
              <w:rPr>
                <w:rFonts w:ascii="Arial" w:hAnsi="Arial" w:cs="Arial"/>
                <w:color w:val="000000"/>
                <w:sz w:val="20"/>
                <w:szCs w:val="20"/>
                <w:lang w:eastAsia="es-CO"/>
              </w:rPr>
            </w:pPr>
            <w:r w:rsidRPr="00B9742D">
              <w:rPr>
                <w:rFonts w:ascii="Arial" w:hAnsi="Arial" w:cs="Arial"/>
                <w:color w:val="000000"/>
                <w:sz w:val="20"/>
                <w:szCs w:val="20"/>
                <w:lang w:eastAsia="es-CO"/>
              </w:rPr>
              <w:t>Q1</w:t>
            </w:r>
          </w:p>
        </w:tc>
      </w:tr>
    </w:tbl>
    <w:p w14:paraId="0596925C" w14:textId="5F2B4CD7" w:rsidR="00576175" w:rsidRPr="00D86A91" w:rsidRDefault="00576175" w:rsidP="00576175">
      <w:pPr>
        <w:spacing w:line="360" w:lineRule="auto"/>
        <w:ind w:firstLine="709"/>
        <w:jc w:val="center"/>
        <w:rPr>
          <w:rFonts w:ascii="Arial" w:hAnsi="Arial" w:cs="Arial"/>
          <w:sz w:val="20"/>
          <w:szCs w:val="20"/>
        </w:rPr>
      </w:pPr>
      <w:r w:rsidRPr="00416937">
        <w:rPr>
          <w:rFonts w:cstheme="minorHAnsi"/>
        </w:rPr>
        <w:fldChar w:fldCharType="end"/>
      </w:r>
      <w:r w:rsidRPr="00D86A91">
        <w:rPr>
          <w:rFonts w:ascii="Arial" w:hAnsi="Arial" w:cs="Arial"/>
          <w:sz w:val="20"/>
          <w:szCs w:val="20"/>
        </w:rPr>
        <w:t xml:space="preserve">Fuente: Elaboración propia, con base en los resultados de </w:t>
      </w:r>
      <w:proofErr w:type="spellStart"/>
      <w:r w:rsidRPr="00D86A91">
        <w:rPr>
          <w:rFonts w:ascii="Arial" w:hAnsi="Arial" w:cs="Arial"/>
          <w:sz w:val="20"/>
          <w:szCs w:val="20"/>
        </w:rPr>
        <w:t>Scopus</w:t>
      </w:r>
      <w:proofErr w:type="spellEnd"/>
      <w:r w:rsidRPr="00D86A91">
        <w:rPr>
          <w:rFonts w:ascii="Arial" w:hAnsi="Arial" w:cs="Arial"/>
          <w:sz w:val="20"/>
          <w:szCs w:val="20"/>
        </w:rPr>
        <w:t xml:space="preserve"> y </w:t>
      </w:r>
      <w:proofErr w:type="spellStart"/>
      <w:r w:rsidRPr="00D86A91">
        <w:rPr>
          <w:rFonts w:ascii="Arial" w:hAnsi="Arial" w:cs="Arial"/>
          <w:sz w:val="20"/>
          <w:szCs w:val="20"/>
        </w:rPr>
        <w:t>Scimago</w:t>
      </w:r>
      <w:proofErr w:type="spellEnd"/>
      <w:r w:rsidRPr="00D86A91">
        <w:rPr>
          <w:rFonts w:ascii="Arial" w:hAnsi="Arial" w:cs="Arial"/>
          <w:sz w:val="20"/>
          <w:szCs w:val="20"/>
        </w:rPr>
        <w:t xml:space="preserve"> 2024</w:t>
      </w:r>
      <w:r w:rsidR="00D86A91">
        <w:rPr>
          <w:rFonts w:ascii="Arial" w:hAnsi="Arial" w:cs="Arial"/>
          <w:sz w:val="20"/>
          <w:szCs w:val="20"/>
        </w:rPr>
        <w:t>.</w:t>
      </w:r>
    </w:p>
    <w:p w14:paraId="7AE78737" w14:textId="77777777" w:rsidR="004B5BAF" w:rsidRPr="004B5BAF" w:rsidRDefault="004B5BAF" w:rsidP="005E0495">
      <w:pPr>
        <w:spacing w:line="360" w:lineRule="auto"/>
        <w:ind w:firstLine="709"/>
        <w:jc w:val="both"/>
        <w:rPr>
          <w:rFonts w:ascii="Arial" w:hAnsi="Arial" w:cs="Arial"/>
          <w:b/>
          <w:bCs/>
          <w:i/>
          <w:iCs/>
        </w:rPr>
      </w:pPr>
    </w:p>
    <w:p w14:paraId="244AE03A" w14:textId="24F58B23" w:rsidR="005E0495" w:rsidRPr="004B5BAF" w:rsidRDefault="005E0495" w:rsidP="005E0495">
      <w:pPr>
        <w:spacing w:line="360" w:lineRule="auto"/>
        <w:ind w:firstLine="709"/>
        <w:jc w:val="both"/>
        <w:rPr>
          <w:rFonts w:ascii="Arial" w:hAnsi="Arial" w:cs="Arial"/>
          <w:b/>
          <w:bCs/>
        </w:rPr>
      </w:pPr>
      <w:r w:rsidRPr="004B5BAF">
        <w:rPr>
          <w:rFonts w:ascii="Arial" w:hAnsi="Arial" w:cs="Arial"/>
          <w:b/>
          <w:bCs/>
          <w:i/>
          <w:iCs/>
        </w:rPr>
        <w:lastRenderedPageBreak/>
        <w:t>Instituciones con Mayor Productividad Académica</w:t>
      </w:r>
    </w:p>
    <w:p w14:paraId="3F7DFBA2" w14:textId="77777777" w:rsidR="004B5BAF" w:rsidRDefault="004B5BAF" w:rsidP="004B5BAF">
      <w:pPr>
        <w:spacing w:line="360" w:lineRule="auto"/>
        <w:jc w:val="both"/>
        <w:rPr>
          <w:rFonts w:ascii="Arial" w:hAnsi="Arial" w:cs="Arial"/>
        </w:rPr>
      </w:pPr>
    </w:p>
    <w:p w14:paraId="6788CC1D" w14:textId="4F7E688E" w:rsidR="005E0495" w:rsidRPr="004B5BAF" w:rsidRDefault="005E0495" w:rsidP="004B5BAF">
      <w:pPr>
        <w:spacing w:line="360" w:lineRule="auto"/>
        <w:jc w:val="both"/>
        <w:rPr>
          <w:rFonts w:ascii="Arial" w:hAnsi="Arial" w:cs="Arial"/>
        </w:rPr>
      </w:pPr>
      <w:r w:rsidRPr="004B5BAF">
        <w:rPr>
          <w:rFonts w:ascii="Arial" w:hAnsi="Arial" w:cs="Arial"/>
        </w:rPr>
        <w:t>Se presenta la tabla 3, en la cual se incluyen los resultados obtenidos acerca de las 8 instituciones con mayor influencia en el campo de estudio, por su número de publicaciones. Se encuentra en los primeros lugares la Universidad de Antioquia con 28 documentos, posteriormente, Universidad Nacional de Colombia con 14 documentos, y, en tercer lugar, Pontificia Universidad Javeriana con 9 documentos.</w:t>
      </w:r>
    </w:p>
    <w:p w14:paraId="060B5379" w14:textId="77777777" w:rsidR="005E0495" w:rsidRPr="004B5BAF" w:rsidRDefault="005E0495" w:rsidP="004B5BAF">
      <w:pPr>
        <w:spacing w:line="360" w:lineRule="auto"/>
        <w:jc w:val="both"/>
        <w:rPr>
          <w:rFonts w:ascii="Arial" w:hAnsi="Arial" w:cs="Arial"/>
        </w:rPr>
      </w:pPr>
      <w:r w:rsidRPr="004B5BAF">
        <w:rPr>
          <w:rFonts w:ascii="Arial" w:hAnsi="Arial" w:cs="Arial"/>
        </w:rPr>
        <w:t xml:space="preserve">Se destaca que 3 instituciones internacionales que aparecen entre las primeras. La Universidad de Chile, Pan American </w:t>
      </w:r>
      <w:proofErr w:type="spellStart"/>
      <w:r w:rsidRPr="004B5BAF">
        <w:rPr>
          <w:rFonts w:ascii="Arial" w:hAnsi="Arial" w:cs="Arial"/>
        </w:rPr>
        <w:t>Health</w:t>
      </w:r>
      <w:proofErr w:type="spellEnd"/>
      <w:r w:rsidRPr="004B5BAF">
        <w:rPr>
          <w:rFonts w:ascii="Arial" w:hAnsi="Arial" w:cs="Arial"/>
        </w:rPr>
        <w:t xml:space="preserve"> </w:t>
      </w:r>
      <w:proofErr w:type="spellStart"/>
      <w:r w:rsidRPr="004B5BAF">
        <w:rPr>
          <w:rFonts w:ascii="Arial" w:hAnsi="Arial" w:cs="Arial"/>
        </w:rPr>
        <w:t>Organization</w:t>
      </w:r>
      <w:proofErr w:type="spellEnd"/>
      <w:r w:rsidRPr="004B5BAF">
        <w:rPr>
          <w:rFonts w:ascii="Arial" w:hAnsi="Arial" w:cs="Arial"/>
        </w:rPr>
        <w:t xml:space="preserve"> y Harvard T.H. Chan </w:t>
      </w:r>
      <w:proofErr w:type="spellStart"/>
      <w:r w:rsidRPr="004B5BAF">
        <w:rPr>
          <w:rFonts w:ascii="Arial" w:hAnsi="Arial" w:cs="Arial"/>
        </w:rPr>
        <w:t>School</w:t>
      </w:r>
      <w:proofErr w:type="spellEnd"/>
      <w:r w:rsidRPr="004B5BAF">
        <w:rPr>
          <w:rFonts w:ascii="Arial" w:hAnsi="Arial" w:cs="Arial"/>
        </w:rPr>
        <w:t xml:space="preserve"> </w:t>
      </w:r>
      <w:proofErr w:type="spellStart"/>
      <w:r w:rsidRPr="004B5BAF">
        <w:rPr>
          <w:rFonts w:ascii="Arial" w:hAnsi="Arial" w:cs="Arial"/>
        </w:rPr>
        <w:t>of</w:t>
      </w:r>
      <w:proofErr w:type="spellEnd"/>
      <w:r w:rsidRPr="004B5BAF">
        <w:rPr>
          <w:rFonts w:ascii="Arial" w:hAnsi="Arial" w:cs="Arial"/>
        </w:rPr>
        <w:t xml:space="preserve"> </w:t>
      </w:r>
      <w:proofErr w:type="spellStart"/>
      <w:r w:rsidRPr="004B5BAF">
        <w:rPr>
          <w:rFonts w:ascii="Arial" w:hAnsi="Arial" w:cs="Arial"/>
        </w:rPr>
        <w:t>Public</w:t>
      </w:r>
      <w:proofErr w:type="spellEnd"/>
      <w:r w:rsidRPr="004B5BAF">
        <w:rPr>
          <w:rFonts w:ascii="Arial" w:hAnsi="Arial" w:cs="Arial"/>
        </w:rPr>
        <w:t xml:space="preserve"> </w:t>
      </w:r>
      <w:proofErr w:type="spellStart"/>
      <w:r w:rsidRPr="004B5BAF">
        <w:rPr>
          <w:rFonts w:ascii="Arial" w:hAnsi="Arial" w:cs="Arial"/>
        </w:rPr>
        <w:t>Health</w:t>
      </w:r>
      <w:proofErr w:type="spellEnd"/>
      <w:r w:rsidRPr="004B5BAF">
        <w:rPr>
          <w:rFonts w:ascii="Arial" w:hAnsi="Arial" w:cs="Arial"/>
        </w:rPr>
        <w:t xml:space="preserve"> todas con 5 publicaciones sobre el tema a estudio. Estos resultados indican la importancia que le dan otros países a la economía de la salud en Colombia. </w:t>
      </w:r>
    </w:p>
    <w:p w14:paraId="6DBAFB8D" w14:textId="1B2FCFE4" w:rsidR="00576175" w:rsidRPr="004B5BAF" w:rsidRDefault="005E0495" w:rsidP="004B5BAF">
      <w:pPr>
        <w:spacing w:line="360" w:lineRule="auto"/>
        <w:jc w:val="center"/>
        <w:rPr>
          <w:rFonts w:ascii="Arial" w:hAnsi="Arial" w:cs="Arial"/>
          <w:b/>
          <w:bCs/>
          <w:sz w:val="20"/>
          <w:szCs w:val="20"/>
        </w:rPr>
      </w:pPr>
      <w:r w:rsidRPr="004B5BAF">
        <w:rPr>
          <w:rFonts w:ascii="Arial" w:hAnsi="Arial" w:cs="Arial"/>
          <w:b/>
          <w:bCs/>
          <w:sz w:val="20"/>
          <w:szCs w:val="20"/>
        </w:rPr>
        <w:t>Tabla 3. Instituciones con Mayor productividad</w:t>
      </w:r>
    </w:p>
    <w:p w14:paraId="78F5DF84" w14:textId="742545FF" w:rsidR="002B623A" w:rsidRPr="004B5BAF" w:rsidRDefault="002B623A" w:rsidP="005E0495">
      <w:pPr>
        <w:spacing w:line="360" w:lineRule="auto"/>
        <w:jc w:val="both"/>
        <w:rPr>
          <w:rFonts w:ascii="Arial" w:hAnsi="Arial" w:cs="Arial"/>
          <w:color w:val="222222"/>
          <w:sz w:val="20"/>
          <w:szCs w:val="20"/>
          <w:shd w:val="clear" w:color="auto" w:fill="FFFFFF"/>
        </w:rPr>
      </w:pPr>
    </w:p>
    <w:tbl>
      <w:tblPr>
        <w:tblW w:w="6276" w:type="dxa"/>
        <w:jc w:val="center"/>
        <w:tblCellMar>
          <w:left w:w="70" w:type="dxa"/>
          <w:right w:w="70" w:type="dxa"/>
        </w:tblCellMar>
        <w:tblLook w:val="04A0" w:firstRow="1" w:lastRow="0" w:firstColumn="1" w:lastColumn="0" w:noHBand="0" w:noVBand="1"/>
      </w:tblPr>
      <w:tblGrid>
        <w:gridCol w:w="4480"/>
        <w:gridCol w:w="1796"/>
      </w:tblGrid>
      <w:tr w:rsidR="002B623A" w:rsidRPr="004B5BAF" w14:paraId="37CBED5B" w14:textId="77777777" w:rsidTr="002B623A">
        <w:trPr>
          <w:trHeight w:val="360"/>
          <w:jc w:val="center"/>
        </w:trPr>
        <w:tc>
          <w:tcPr>
            <w:tcW w:w="4480" w:type="dxa"/>
            <w:tcBorders>
              <w:top w:val="single" w:sz="4" w:space="0" w:color="auto"/>
              <w:left w:val="nil"/>
              <w:bottom w:val="single" w:sz="4" w:space="0" w:color="auto"/>
              <w:right w:val="nil"/>
            </w:tcBorders>
            <w:shd w:val="clear" w:color="auto" w:fill="auto"/>
            <w:noWrap/>
            <w:vAlign w:val="center"/>
            <w:hideMark/>
          </w:tcPr>
          <w:p w14:paraId="06F899BD" w14:textId="77777777" w:rsidR="002B623A" w:rsidRPr="004B5BAF" w:rsidRDefault="002B623A" w:rsidP="002F047C">
            <w:pPr>
              <w:ind w:firstLine="709"/>
              <w:jc w:val="center"/>
              <w:rPr>
                <w:rFonts w:ascii="Arial" w:hAnsi="Arial" w:cs="Arial"/>
                <w:b/>
                <w:bCs/>
                <w:color w:val="000000"/>
                <w:sz w:val="20"/>
                <w:szCs w:val="20"/>
                <w:lang w:eastAsia="es-CO"/>
              </w:rPr>
            </w:pPr>
            <w:r w:rsidRPr="004B5BAF">
              <w:rPr>
                <w:rFonts w:ascii="Arial" w:hAnsi="Arial" w:cs="Arial"/>
                <w:b/>
                <w:bCs/>
                <w:color w:val="000000"/>
                <w:sz w:val="20"/>
                <w:szCs w:val="20"/>
                <w:lang w:eastAsia="es-CO"/>
              </w:rPr>
              <w:t xml:space="preserve">Universidad </w:t>
            </w:r>
          </w:p>
        </w:tc>
        <w:tc>
          <w:tcPr>
            <w:tcW w:w="1796" w:type="dxa"/>
            <w:tcBorders>
              <w:top w:val="single" w:sz="4" w:space="0" w:color="auto"/>
              <w:left w:val="nil"/>
              <w:bottom w:val="single" w:sz="4" w:space="0" w:color="auto"/>
              <w:right w:val="nil"/>
            </w:tcBorders>
            <w:shd w:val="clear" w:color="auto" w:fill="auto"/>
            <w:noWrap/>
            <w:vAlign w:val="center"/>
            <w:hideMark/>
          </w:tcPr>
          <w:p w14:paraId="0A2E930C" w14:textId="437AEF79" w:rsidR="002B623A" w:rsidRPr="004B5BAF" w:rsidRDefault="00251912" w:rsidP="002F047C">
            <w:pPr>
              <w:ind w:firstLine="709"/>
              <w:jc w:val="center"/>
              <w:rPr>
                <w:rFonts w:ascii="Arial" w:hAnsi="Arial" w:cs="Arial"/>
                <w:b/>
                <w:bCs/>
                <w:color w:val="000000"/>
                <w:sz w:val="20"/>
                <w:szCs w:val="20"/>
                <w:lang w:eastAsia="es-CO"/>
              </w:rPr>
            </w:pPr>
            <w:r w:rsidRPr="004B5BAF">
              <w:rPr>
                <w:rFonts w:ascii="Arial" w:hAnsi="Arial" w:cs="Arial"/>
                <w:b/>
                <w:bCs/>
                <w:color w:val="000000"/>
                <w:sz w:val="20"/>
                <w:szCs w:val="20"/>
                <w:lang w:eastAsia="es-CO"/>
              </w:rPr>
              <w:t>Artículos</w:t>
            </w:r>
          </w:p>
        </w:tc>
      </w:tr>
      <w:tr w:rsidR="002B623A" w:rsidRPr="004B5BAF" w14:paraId="22D12F6C" w14:textId="77777777" w:rsidTr="002B623A">
        <w:trPr>
          <w:trHeight w:val="300"/>
          <w:jc w:val="center"/>
        </w:trPr>
        <w:tc>
          <w:tcPr>
            <w:tcW w:w="4480" w:type="dxa"/>
            <w:tcBorders>
              <w:top w:val="nil"/>
              <w:left w:val="nil"/>
              <w:bottom w:val="nil"/>
              <w:right w:val="nil"/>
            </w:tcBorders>
            <w:shd w:val="clear" w:color="auto" w:fill="auto"/>
            <w:noWrap/>
            <w:vAlign w:val="bottom"/>
            <w:hideMark/>
          </w:tcPr>
          <w:p w14:paraId="255D862A" w14:textId="77777777" w:rsidR="002B623A" w:rsidRPr="004B5BAF" w:rsidRDefault="002B623A" w:rsidP="002F047C">
            <w:pPr>
              <w:ind w:firstLine="709"/>
              <w:rPr>
                <w:rFonts w:ascii="Arial" w:hAnsi="Arial" w:cs="Arial"/>
                <w:color w:val="000000"/>
                <w:sz w:val="20"/>
                <w:szCs w:val="20"/>
                <w:lang w:eastAsia="es-CO"/>
              </w:rPr>
            </w:pPr>
            <w:r w:rsidRPr="004B5BAF">
              <w:rPr>
                <w:rFonts w:ascii="Arial" w:hAnsi="Arial" w:cs="Arial"/>
                <w:color w:val="000000"/>
                <w:sz w:val="20"/>
                <w:szCs w:val="20"/>
                <w:lang w:eastAsia="es-CO"/>
              </w:rPr>
              <w:t>Universidad de Antioquia</w:t>
            </w:r>
          </w:p>
        </w:tc>
        <w:tc>
          <w:tcPr>
            <w:tcW w:w="1796" w:type="dxa"/>
            <w:tcBorders>
              <w:top w:val="nil"/>
              <w:left w:val="nil"/>
              <w:bottom w:val="nil"/>
              <w:right w:val="nil"/>
            </w:tcBorders>
            <w:shd w:val="clear" w:color="auto" w:fill="auto"/>
            <w:noWrap/>
            <w:vAlign w:val="center"/>
            <w:hideMark/>
          </w:tcPr>
          <w:p w14:paraId="0FF0C563" w14:textId="77777777" w:rsidR="002B623A" w:rsidRPr="004B5BAF" w:rsidRDefault="002B623A" w:rsidP="002F047C">
            <w:pPr>
              <w:ind w:firstLine="709"/>
              <w:jc w:val="center"/>
              <w:rPr>
                <w:rFonts w:ascii="Arial" w:hAnsi="Arial" w:cs="Arial"/>
                <w:color w:val="000000"/>
                <w:sz w:val="20"/>
                <w:szCs w:val="20"/>
                <w:lang w:eastAsia="es-CO"/>
              </w:rPr>
            </w:pPr>
            <w:r w:rsidRPr="004B5BAF">
              <w:rPr>
                <w:rFonts w:ascii="Arial" w:hAnsi="Arial" w:cs="Arial"/>
                <w:color w:val="000000"/>
                <w:sz w:val="20"/>
                <w:szCs w:val="20"/>
                <w:lang w:eastAsia="es-CO"/>
              </w:rPr>
              <w:t>28</w:t>
            </w:r>
          </w:p>
        </w:tc>
      </w:tr>
      <w:tr w:rsidR="002B623A" w:rsidRPr="004B5BAF" w14:paraId="1385C096" w14:textId="77777777" w:rsidTr="002B623A">
        <w:trPr>
          <w:trHeight w:val="300"/>
          <w:jc w:val="center"/>
        </w:trPr>
        <w:tc>
          <w:tcPr>
            <w:tcW w:w="4480" w:type="dxa"/>
            <w:tcBorders>
              <w:top w:val="nil"/>
              <w:left w:val="nil"/>
              <w:bottom w:val="nil"/>
              <w:right w:val="nil"/>
            </w:tcBorders>
            <w:shd w:val="clear" w:color="auto" w:fill="auto"/>
            <w:noWrap/>
            <w:vAlign w:val="bottom"/>
            <w:hideMark/>
          </w:tcPr>
          <w:p w14:paraId="4E150E83" w14:textId="77777777" w:rsidR="002B623A" w:rsidRPr="004B5BAF" w:rsidRDefault="002B623A" w:rsidP="002F047C">
            <w:pPr>
              <w:ind w:firstLine="709"/>
              <w:rPr>
                <w:rFonts w:ascii="Arial" w:hAnsi="Arial" w:cs="Arial"/>
                <w:color w:val="000000"/>
                <w:sz w:val="20"/>
                <w:szCs w:val="20"/>
                <w:lang w:eastAsia="es-CO"/>
              </w:rPr>
            </w:pPr>
            <w:r w:rsidRPr="004B5BAF">
              <w:rPr>
                <w:rFonts w:ascii="Arial" w:hAnsi="Arial" w:cs="Arial"/>
                <w:color w:val="000000"/>
                <w:sz w:val="20"/>
                <w:szCs w:val="20"/>
                <w:lang w:eastAsia="es-CO"/>
              </w:rPr>
              <w:t>Universidad Nacional de Colombia</w:t>
            </w:r>
          </w:p>
        </w:tc>
        <w:tc>
          <w:tcPr>
            <w:tcW w:w="1796" w:type="dxa"/>
            <w:tcBorders>
              <w:top w:val="nil"/>
              <w:left w:val="nil"/>
              <w:bottom w:val="nil"/>
              <w:right w:val="nil"/>
            </w:tcBorders>
            <w:shd w:val="clear" w:color="auto" w:fill="auto"/>
            <w:noWrap/>
            <w:vAlign w:val="center"/>
            <w:hideMark/>
          </w:tcPr>
          <w:p w14:paraId="18DA8DFC" w14:textId="77777777" w:rsidR="002B623A" w:rsidRPr="004B5BAF" w:rsidRDefault="002B623A" w:rsidP="002F047C">
            <w:pPr>
              <w:ind w:firstLine="709"/>
              <w:jc w:val="center"/>
              <w:rPr>
                <w:rFonts w:ascii="Arial" w:hAnsi="Arial" w:cs="Arial"/>
                <w:color w:val="000000"/>
                <w:sz w:val="20"/>
                <w:szCs w:val="20"/>
                <w:lang w:eastAsia="es-CO"/>
              </w:rPr>
            </w:pPr>
            <w:r w:rsidRPr="004B5BAF">
              <w:rPr>
                <w:rFonts w:ascii="Arial" w:hAnsi="Arial" w:cs="Arial"/>
                <w:color w:val="000000"/>
                <w:sz w:val="20"/>
                <w:szCs w:val="20"/>
                <w:lang w:eastAsia="es-CO"/>
              </w:rPr>
              <w:t>19</w:t>
            </w:r>
          </w:p>
        </w:tc>
      </w:tr>
      <w:tr w:rsidR="002B623A" w:rsidRPr="004B5BAF" w14:paraId="5F219887" w14:textId="77777777" w:rsidTr="002B623A">
        <w:trPr>
          <w:trHeight w:val="300"/>
          <w:jc w:val="center"/>
        </w:trPr>
        <w:tc>
          <w:tcPr>
            <w:tcW w:w="4480" w:type="dxa"/>
            <w:tcBorders>
              <w:top w:val="nil"/>
              <w:left w:val="nil"/>
              <w:bottom w:val="nil"/>
              <w:right w:val="nil"/>
            </w:tcBorders>
            <w:shd w:val="clear" w:color="auto" w:fill="auto"/>
            <w:noWrap/>
            <w:vAlign w:val="bottom"/>
            <w:hideMark/>
          </w:tcPr>
          <w:p w14:paraId="0D39EB46" w14:textId="77777777" w:rsidR="002B623A" w:rsidRPr="004B5BAF" w:rsidRDefault="002B623A" w:rsidP="002F047C">
            <w:pPr>
              <w:ind w:firstLine="709"/>
              <w:rPr>
                <w:rFonts w:ascii="Arial" w:hAnsi="Arial" w:cs="Arial"/>
                <w:color w:val="000000"/>
                <w:sz w:val="20"/>
                <w:szCs w:val="20"/>
                <w:lang w:eastAsia="es-CO"/>
              </w:rPr>
            </w:pPr>
            <w:r w:rsidRPr="004B5BAF">
              <w:rPr>
                <w:rFonts w:ascii="Arial" w:hAnsi="Arial" w:cs="Arial"/>
                <w:color w:val="000000"/>
                <w:sz w:val="20"/>
                <w:szCs w:val="20"/>
                <w:lang w:eastAsia="es-CO"/>
              </w:rPr>
              <w:t>Pontificia Universidad Javeriana</w:t>
            </w:r>
          </w:p>
        </w:tc>
        <w:tc>
          <w:tcPr>
            <w:tcW w:w="1796" w:type="dxa"/>
            <w:tcBorders>
              <w:top w:val="nil"/>
              <w:left w:val="nil"/>
              <w:bottom w:val="nil"/>
              <w:right w:val="nil"/>
            </w:tcBorders>
            <w:shd w:val="clear" w:color="auto" w:fill="auto"/>
            <w:noWrap/>
            <w:vAlign w:val="center"/>
            <w:hideMark/>
          </w:tcPr>
          <w:p w14:paraId="0203996D" w14:textId="77777777" w:rsidR="002B623A" w:rsidRPr="004B5BAF" w:rsidRDefault="002B623A" w:rsidP="002F047C">
            <w:pPr>
              <w:ind w:firstLine="709"/>
              <w:jc w:val="center"/>
              <w:rPr>
                <w:rFonts w:ascii="Arial" w:hAnsi="Arial" w:cs="Arial"/>
                <w:color w:val="000000"/>
                <w:sz w:val="20"/>
                <w:szCs w:val="20"/>
                <w:lang w:eastAsia="es-CO"/>
              </w:rPr>
            </w:pPr>
            <w:r w:rsidRPr="004B5BAF">
              <w:rPr>
                <w:rFonts w:ascii="Arial" w:hAnsi="Arial" w:cs="Arial"/>
                <w:color w:val="000000"/>
                <w:sz w:val="20"/>
                <w:szCs w:val="20"/>
                <w:lang w:eastAsia="es-CO"/>
              </w:rPr>
              <w:t>9</w:t>
            </w:r>
          </w:p>
        </w:tc>
      </w:tr>
      <w:tr w:rsidR="002B623A" w:rsidRPr="004B5BAF" w14:paraId="32607344" w14:textId="77777777" w:rsidTr="002B623A">
        <w:trPr>
          <w:trHeight w:val="300"/>
          <w:jc w:val="center"/>
        </w:trPr>
        <w:tc>
          <w:tcPr>
            <w:tcW w:w="4480" w:type="dxa"/>
            <w:tcBorders>
              <w:top w:val="nil"/>
              <w:left w:val="nil"/>
              <w:bottom w:val="nil"/>
              <w:right w:val="nil"/>
            </w:tcBorders>
            <w:shd w:val="clear" w:color="auto" w:fill="auto"/>
            <w:noWrap/>
            <w:vAlign w:val="bottom"/>
            <w:hideMark/>
          </w:tcPr>
          <w:p w14:paraId="26E55A26" w14:textId="77777777" w:rsidR="002B623A" w:rsidRPr="004B5BAF" w:rsidRDefault="002B623A" w:rsidP="002F047C">
            <w:pPr>
              <w:ind w:firstLine="709"/>
              <w:rPr>
                <w:rFonts w:ascii="Arial" w:hAnsi="Arial" w:cs="Arial"/>
                <w:color w:val="000000"/>
                <w:sz w:val="20"/>
                <w:szCs w:val="20"/>
                <w:lang w:eastAsia="es-CO"/>
              </w:rPr>
            </w:pPr>
            <w:r w:rsidRPr="004B5BAF">
              <w:rPr>
                <w:rFonts w:ascii="Arial" w:hAnsi="Arial" w:cs="Arial"/>
                <w:color w:val="000000"/>
                <w:sz w:val="20"/>
                <w:szCs w:val="20"/>
                <w:lang w:eastAsia="es-CO"/>
              </w:rPr>
              <w:t>Universidad El Bosque</w:t>
            </w:r>
          </w:p>
        </w:tc>
        <w:tc>
          <w:tcPr>
            <w:tcW w:w="1796" w:type="dxa"/>
            <w:tcBorders>
              <w:top w:val="nil"/>
              <w:left w:val="nil"/>
              <w:bottom w:val="nil"/>
              <w:right w:val="nil"/>
            </w:tcBorders>
            <w:shd w:val="clear" w:color="auto" w:fill="auto"/>
            <w:noWrap/>
            <w:vAlign w:val="center"/>
            <w:hideMark/>
          </w:tcPr>
          <w:p w14:paraId="47C02BE3" w14:textId="77777777" w:rsidR="002B623A" w:rsidRPr="004B5BAF" w:rsidRDefault="002B623A" w:rsidP="002F047C">
            <w:pPr>
              <w:ind w:firstLine="709"/>
              <w:jc w:val="center"/>
              <w:rPr>
                <w:rFonts w:ascii="Arial" w:hAnsi="Arial" w:cs="Arial"/>
                <w:color w:val="000000"/>
                <w:sz w:val="20"/>
                <w:szCs w:val="20"/>
                <w:lang w:eastAsia="es-CO"/>
              </w:rPr>
            </w:pPr>
            <w:r w:rsidRPr="004B5BAF">
              <w:rPr>
                <w:rFonts w:ascii="Arial" w:hAnsi="Arial" w:cs="Arial"/>
                <w:color w:val="000000"/>
                <w:sz w:val="20"/>
                <w:szCs w:val="20"/>
                <w:lang w:eastAsia="es-CO"/>
              </w:rPr>
              <w:t>8</w:t>
            </w:r>
          </w:p>
        </w:tc>
      </w:tr>
      <w:tr w:rsidR="002B623A" w:rsidRPr="004B5BAF" w14:paraId="694CA2F3" w14:textId="77777777" w:rsidTr="002B623A">
        <w:trPr>
          <w:trHeight w:val="300"/>
          <w:jc w:val="center"/>
        </w:trPr>
        <w:tc>
          <w:tcPr>
            <w:tcW w:w="4480" w:type="dxa"/>
            <w:tcBorders>
              <w:top w:val="nil"/>
              <w:left w:val="nil"/>
              <w:bottom w:val="nil"/>
              <w:right w:val="nil"/>
            </w:tcBorders>
            <w:shd w:val="clear" w:color="auto" w:fill="auto"/>
            <w:noWrap/>
            <w:vAlign w:val="bottom"/>
            <w:hideMark/>
          </w:tcPr>
          <w:p w14:paraId="3932BC57" w14:textId="77777777" w:rsidR="002B623A" w:rsidRPr="004B5BAF" w:rsidRDefault="002B623A" w:rsidP="002F047C">
            <w:pPr>
              <w:ind w:firstLine="709"/>
              <w:rPr>
                <w:rFonts w:ascii="Arial" w:hAnsi="Arial" w:cs="Arial"/>
                <w:color w:val="000000"/>
                <w:sz w:val="20"/>
                <w:szCs w:val="20"/>
                <w:lang w:eastAsia="es-CO"/>
              </w:rPr>
            </w:pPr>
            <w:r w:rsidRPr="004B5BAF">
              <w:rPr>
                <w:rFonts w:ascii="Arial" w:hAnsi="Arial" w:cs="Arial"/>
                <w:color w:val="000000"/>
                <w:sz w:val="20"/>
                <w:szCs w:val="20"/>
                <w:lang w:eastAsia="es-CO"/>
              </w:rPr>
              <w:t>Universidad de Chile</w:t>
            </w:r>
          </w:p>
        </w:tc>
        <w:tc>
          <w:tcPr>
            <w:tcW w:w="1796" w:type="dxa"/>
            <w:tcBorders>
              <w:top w:val="nil"/>
              <w:left w:val="nil"/>
              <w:bottom w:val="nil"/>
              <w:right w:val="nil"/>
            </w:tcBorders>
            <w:shd w:val="clear" w:color="auto" w:fill="auto"/>
            <w:noWrap/>
            <w:vAlign w:val="center"/>
            <w:hideMark/>
          </w:tcPr>
          <w:p w14:paraId="6A7017C4" w14:textId="77777777" w:rsidR="002B623A" w:rsidRPr="004B5BAF" w:rsidRDefault="002B623A" w:rsidP="002F047C">
            <w:pPr>
              <w:ind w:firstLine="709"/>
              <w:jc w:val="center"/>
              <w:rPr>
                <w:rFonts w:ascii="Arial" w:hAnsi="Arial" w:cs="Arial"/>
                <w:color w:val="000000"/>
                <w:sz w:val="20"/>
                <w:szCs w:val="20"/>
                <w:lang w:eastAsia="es-CO"/>
              </w:rPr>
            </w:pPr>
            <w:r w:rsidRPr="004B5BAF">
              <w:rPr>
                <w:rFonts w:ascii="Arial" w:hAnsi="Arial" w:cs="Arial"/>
                <w:color w:val="000000"/>
                <w:sz w:val="20"/>
                <w:szCs w:val="20"/>
                <w:lang w:eastAsia="es-CO"/>
              </w:rPr>
              <w:t>5</w:t>
            </w:r>
          </w:p>
        </w:tc>
      </w:tr>
      <w:tr w:rsidR="002B623A" w:rsidRPr="004B5BAF" w14:paraId="51B8102A" w14:textId="77777777" w:rsidTr="002B623A">
        <w:trPr>
          <w:trHeight w:val="300"/>
          <w:jc w:val="center"/>
        </w:trPr>
        <w:tc>
          <w:tcPr>
            <w:tcW w:w="4480" w:type="dxa"/>
            <w:tcBorders>
              <w:top w:val="nil"/>
              <w:left w:val="nil"/>
              <w:bottom w:val="nil"/>
              <w:right w:val="nil"/>
            </w:tcBorders>
            <w:shd w:val="clear" w:color="auto" w:fill="auto"/>
            <w:noWrap/>
            <w:vAlign w:val="bottom"/>
            <w:hideMark/>
          </w:tcPr>
          <w:p w14:paraId="3C1441EF" w14:textId="77777777" w:rsidR="002B623A" w:rsidRPr="004B5BAF" w:rsidRDefault="002B623A" w:rsidP="002F047C">
            <w:pPr>
              <w:ind w:firstLine="709"/>
              <w:rPr>
                <w:rFonts w:ascii="Arial" w:hAnsi="Arial" w:cs="Arial"/>
                <w:color w:val="000000"/>
                <w:sz w:val="20"/>
                <w:szCs w:val="20"/>
                <w:lang w:eastAsia="es-CO"/>
              </w:rPr>
            </w:pPr>
            <w:r w:rsidRPr="004B5BAF">
              <w:rPr>
                <w:rFonts w:ascii="Arial" w:hAnsi="Arial" w:cs="Arial"/>
                <w:color w:val="000000"/>
                <w:sz w:val="20"/>
                <w:szCs w:val="20"/>
                <w:lang w:eastAsia="es-CO"/>
              </w:rPr>
              <w:t xml:space="preserve">Pan American </w:t>
            </w:r>
            <w:proofErr w:type="spellStart"/>
            <w:r w:rsidRPr="004B5BAF">
              <w:rPr>
                <w:rFonts w:ascii="Arial" w:hAnsi="Arial" w:cs="Arial"/>
                <w:color w:val="000000"/>
                <w:sz w:val="20"/>
                <w:szCs w:val="20"/>
                <w:lang w:eastAsia="es-CO"/>
              </w:rPr>
              <w:t>Health</w:t>
            </w:r>
            <w:proofErr w:type="spellEnd"/>
            <w:r w:rsidRPr="004B5BAF">
              <w:rPr>
                <w:rFonts w:ascii="Arial" w:hAnsi="Arial" w:cs="Arial"/>
                <w:color w:val="000000"/>
                <w:sz w:val="20"/>
                <w:szCs w:val="20"/>
                <w:lang w:eastAsia="es-CO"/>
              </w:rPr>
              <w:t xml:space="preserve"> </w:t>
            </w:r>
            <w:proofErr w:type="spellStart"/>
            <w:r w:rsidRPr="004B5BAF">
              <w:rPr>
                <w:rFonts w:ascii="Arial" w:hAnsi="Arial" w:cs="Arial"/>
                <w:color w:val="000000"/>
                <w:sz w:val="20"/>
                <w:szCs w:val="20"/>
                <w:lang w:eastAsia="es-CO"/>
              </w:rPr>
              <w:t>Organization</w:t>
            </w:r>
            <w:proofErr w:type="spellEnd"/>
          </w:p>
        </w:tc>
        <w:tc>
          <w:tcPr>
            <w:tcW w:w="1796" w:type="dxa"/>
            <w:tcBorders>
              <w:top w:val="nil"/>
              <w:left w:val="nil"/>
              <w:bottom w:val="nil"/>
              <w:right w:val="nil"/>
            </w:tcBorders>
            <w:shd w:val="clear" w:color="auto" w:fill="auto"/>
            <w:noWrap/>
            <w:vAlign w:val="center"/>
            <w:hideMark/>
          </w:tcPr>
          <w:p w14:paraId="703238C0" w14:textId="77777777" w:rsidR="002B623A" w:rsidRPr="004B5BAF" w:rsidRDefault="002B623A" w:rsidP="002F047C">
            <w:pPr>
              <w:ind w:firstLine="709"/>
              <w:jc w:val="center"/>
              <w:rPr>
                <w:rFonts w:ascii="Arial" w:hAnsi="Arial" w:cs="Arial"/>
                <w:color w:val="000000"/>
                <w:sz w:val="20"/>
                <w:szCs w:val="20"/>
                <w:lang w:eastAsia="es-CO"/>
              </w:rPr>
            </w:pPr>
            <w:r w:rsidRPr="004B5BAF">
              <w:rPr>
                <w:rFonts w:ascii="Arial" w:hAnsi="Arial" w:cs="Arial"/>
                <w:color w:val="000000"/>
                <w:sz w:val="20"/>
                <w:szCs w:val="20"/>
                <w:lang w:eastAsia="es-CO"/>
              </w:rPr>
              <w:t>5</w:t>
            </w:r>
          </w:p>
        </w:tc>
      </w:tr>
      <w:tr w:rsidR="002B623A" w:rsidRPr="004B5BAF" w14:paraId="75B535F2" w14:textId="77777777" w:rsidTr="002B623A">
        <w:trPr>
          <w:trHeight w:val="300"/>
          <w:jc w:val="center"/>
        </w:trPr>
        <w:tc>
          <w:tcPr>
            <w:tcW w:w="4480" w:type="dxa"/>
            <w:tcBorders>
              <w:top w:val="nil"/>
              <w:left w:val="nil"/>
              <w:bottom w:val="nil"/>
              <w:right w:val="nil"/>
            </w:tcBorders>
            <w:shd w:val="clear" w:color="auto" w:fill="auto"/>
            <w:noWrap/>
            <w:vAlign w:val="bottom"/>
            <w:hideMark/>
          </w:tcPr>
          <w:p w14:paraId="24AC5EF6" w14:textId="77777777" w:rsidR="00CD2678" w:rsidRPr="004B5BAF" w:rsidRDefault="002B623A" w:rsidP="002F047C">
            <w:pPr>
              <w:ind w:firstLine="709"/>
              <w:rPr>
                <w:rFonts w:ascii="Arial" w:hAnsi="Arial" w:cs="Arial"/>
                <w:color w:val="000000"/>
                <w:sz w:val="20"/>
                <w:szCs w:val="20"/>
                <w:lang w:val="en-US" w:eastAsia="es-CO"/>
              </w:rPr>
            </w:pPr>
            <w:r w:rsidRPr="004B5BAF">
              <w:rPr>
                <w:rFonts w:ascii="Arial" w:hAnsi="Arial" w:cs="Arial"/>
                <w:color w:val="000000"/>
                <w:sz w:val="20"/>
                <w:szCs w:val="20"/>
                <w:lang w:val="en-US" w:eastAsia="es-CO"/>
              </w:rPr>
              <w:t xml:space="preserve">Harvard T.H. Chan School of Public </w:t>
            </w:r>
            <w:r w:rsidR="00CD2678" w:rsidRPr="004B5BAF">
              <w:rPr>
                <w:rFonts w:ascii="Arial" w:hAnsi="Arial" w:cs="Arial"/>
                <w:color w:val="000000"/>
                <w:sz w:val="20"/>
                <w:szCs w:val="20"/>
                <w:lang w:val="en-US" w:eastAsia="es-CO"/>
              </w:rPr>
              <w:t xml:space="preserve"> </w:t>
            </w:r>
          </w:p>
          <w:p w14:paraId="1D510330" w14:textId="21B12A31" w:rsidR="002B623A" w:rsidRPr="004B5BAF" w:rsidRDefault="002B623A" w:rsidP="002F047C">
            <w:pPr>
              <w:ind w:firstLine="709"/>
              <w:rPr>
                <w:rFonts w:ascii="Arial" w:hAnsi="Arial" w:cs="Arial"/>
                <w:color w:val="000000"/>
                <w:sz w:val="20"/>
                <w:szCs w:val="20"/>
                <w:lang w:val="en-US" w:eastAsia="es-CO"/>
              </w:rPr>
            </w:pPr>
            <w:r w:rsidRPr="004B5BAF">
              <w:rPr>
                <w:rFonts w:ascii="Arial" w:hAnsi="Arial" w:cs="Arial"/>
                <w:color w:val="000000"/>
                <w:sz w:val="20"/>
                <w:szCs w:val="20"/>
                <w:lang w:val="en-US" w:eastAsia="es-CO"/>
              </w:rPr>
              <w:t>Health</w:t>
            </w:r>
          </w:p>
        </w:tc>
        <w:tc>
          <w:tcPr>
            <w:tcW w:w="1796" w:type="dxa"/>
            <w:tcBorders>
              <w:top w:val="nil"/>
              <w:left w:val="nil"/>
              <w:bottom w:val="nil"/>
              <w:right w:val="nil"/>
            </w:tcBorders>
            <w:shd w:val="clear" w:color="auto" w:fill="auto"/>
            <w:noWrap/>
            <w:vAlign w:val="center"/>
            <w:hideMark/>
          </w:tcPr>
          <w:p w14:paraId="47F3F971" w14:textId="77777777" w:rsidR="002B623A" w:rsidRPr="004B5BAF" w:rsidRDefault="002B623A" w:rsidP="002F047C">
            <w:pPr>
              <w:ind w:firstLine="709"/>
              <w:jc w:val="center"/>
              <w:rPr>
                <w:rFonts w:ascii="Arial" w:hAnsi="Arial" w:cs="Arial"/>
                <w:color w:val="000000"/>
                <w:sz w:val="20"/>
                <w:szCs w:val="20"/>
                <w:lang w:eastAsia="es-CO"/>
              </w:rPr>
            </w:pPr>
            <w:r w:rsidRPr="004B5BAF">
              <w:rPr>
                <w:rFonts w:ascii="Arial" w:hAnsi="Arial" w:cs="Arial"/>
                <w:color w:val="000000"/>
                <w:sz w:val="20"/>
                <w:szCs w:val="20"/>
                <w:lang w:eastAsia="es-CO"/>
              </w:rPr>
              <w:t>5</w:t>
            </w:r>
          </w:p>
        </w:tc>
      </w:tr>
      <w:tr w:rsidR="002B623A" w:rsidRPr="004B5BAF" w14:paraId="10645B90" w14:textId="77777777" w:rsidTr="002B623A">
        <w:trPr>
          <w:trHeight w:val="300"/>
          <w:jc w:val="center"/>
        </w:trPr>
        <w:tc>
          <w:tcPr>
            <w:tcW w:w="4480" w:type="dxa"/>
            <w:tcBorders>
              <w:top w:val="nil"/>
              <w:left w:val="nil"/>
              <w:bottom w:val="single" w:sz="4" w:space="0" w:color="auto"/>
              <w:right w:val="nil"/>
            </w:tcBorders>
            <w:shd w:val="clear" w:color="auto" w:fill="auto"/>
            <w:noWrap/>
            <w:vAlign w:val="bottom"/>
            <w:hideMark/>
          </w:tcPr>
          <w:p w14:paraId="43E37335" w14:textId="77777777" w:rsidR="002B623A" w:rsidRPr="004B5BAF" w:rsidRDefault="002B623A" w:rsidP="002F047C">
            <w:pPr>
              <w:ind w:firstLine="709"/>
              <w:rPr>
                <w:rFonts w:ascii="Arial" w:hAnsi="Arial" w:cs="Arial"/>
                <w:color w:val="000000"/>
                <w:sz w:val="20"/>
                <w:szCs w:val="20"/>
                <w:lang w:eastAsia="es-CO"/>
              </w:rPr>
            </w:pPr>
            <w:r w:rsidRPr="004B5BAF">
              <w:rPr>
                <w:rFonts w:ascii="Arial" w:hAnsi="Arial" w:cs="Arial"/>
                <w:color w:val="000000"/>
                <w:sz w:val="20"/>
                <w:szCs w:val="20"/>
                <w:lang w:eastAsia="es-CO"/>
              </w:rPr>
              <w:t>Instituto Nacional de Salud Publica</w:t>
            </w:r>
          </w:p>
        </w:tc>
        <w:tc>
          <w:tcPr>
            <w:tcW w:w="1796" w:type="dxa"/>
            <w:tcBorders>
              <w:top w:val="nil"/>
              <w:left w:val="nil"/>
              <w:bottom w:val="single" w:sz="4" w:space="0" w:color="auto"/>
              <w:right w:val="nil"/>
            </w:tcBorders>
            <w:shd w:val="clear" w:color="auto" w:fill="auto"/>
            <w:noWrap/>
            <w:vAlign w:val="center"/>
            <w:hideMark/>
          </w:tcPr>
          <w:p w14:paraId="07C7A07C" w14:textId="77777777" w:rsidR="002B623A" w:rsidRPr="004B5BAF" w:rsidRDefault="002B623A" w:rsidP="002F047C">
            <w:pPr>
              <w:ind w:firstLine="709"/>
              <w:jc w:val="center"/>
              <w:rPr>
                <w:rFonts w:ascii="Arial" w:hAnsi="Arial" w:cs="Arial"/>
                <w:color w:val="000000"/>
                <w:sz w:val="20"/>
                <w:szCs w:val="20"/>
                <w:lang w:eastAsia="es-CO"/>
              </w:rPr>
            </w:pPr>
            <w:r w:rsidRPr="004B5BAF">
              <w:rPr>
                <w:rFonts w:ascii="Arial" w:hAnsi="Arial" w:cs="Arial"/>
                <w:color w:val="000000"/>
                <w:sz w:val="20"/>
                <w:szCs w:val="20"/>
                <w:lang w:eastAsia="es-CO"/>
              </w:rPr>
              <w:t>4</w:t>
            </w:r>
          </w:p>
        </w:tc>
      </w:tr>
    </w:tbl>
    <w:p w14:paraId="4326429C" w14:textId="2496512D" w:rsidR="002B623A" w:rsidRPr="004B5BAF" w:rsidRDefault="002B623A" w:rsidP="002B623A">
      <w:pPr>
        <w:spacing w:line="360" w:lineRule="auto"/>
        <w:ind w:firstLine="709"/>
        <w:jc w:val="center"/>
        <w:rPr>
          <w:rFonts w:ascii="Arial" w:hAnsi="Arial" w:cs="Arial"/>
          <w:sz w:val="20"/>
          <w:szCs w:val="20"/>
        </w:rPr>
      </w:pPr>
      <w:r w:rsidRPr="004B5BAF">
        <w:rPr>
          <w:rFonts w:ascii="Arial" w:hAnsi="Arial" w:cs="Arial"/>
          <w:sz w:val="20"/>
          <w:szCs w:val="20"/>
        </w:rPr>
        <w:t xml:space="preserve">Fuente: Elaboración propia, con base en los resultados de </w:t>
      </w:r>
      <w:proofErr w:type="spellStart"/>
      <w:r w:rsidRPr="004B5BAF">
        <w:rPr>
          <w:rFonts w:ascii="Arial" w:hAnsi="Arial" w:cs="Arial"/>
          <w:sz w:val="20"/>
          <w:szCs w:val="20"/>
        </w:rPr>
        <w:t>Scopus</w:t>
      </w:r>
      <w:proofErr w:type="spellEnd"/>
      <w:r w:rsidR="004B5BAF">
        <w:rPr>
          <w:rFonts w:ascii="Arial" w:hAnsi="Arial" w:cs="Arial"/>
          <w:sz w:val="20"/>
          <w:szCs w:val="20"/>
        </w:rPr>
        <w:t>,</w:t>
      </w:r>
      <w:r w:rsidRPr="004B5BAF">
        <w:rPr>
          <w:rFonts w:ascii="Arial" w:hAnsi="Arial" w:cs="Arial"/>
          <w:sz w:val="20"/>
          <w:szCs w:val="20"/>
        </w:rPr>
        <w:t xml:space="preserve"> 2024</w:t>
      </w:r>
      <w:r w:rsidR="004B5BAF">
        <w:rPr>
          <w:rFonts w:ascii="Arial" w:hAnsi="Arial" w:cs="Arial"/>
          <w:sz w:val="20"/>
          <w:szCs w:val="20"/>
        </w:rPr>
        <w:t>.</w:t>
      </w:r>
    </w:p>
    <w:p w14:paraId="534DCDB3" w14:textId="77777777" w:rsidR="005B4B06" w:rsidRPr="005B4B06" w:rsidRDefault="005B4B06" w:rsidP="005B4B06">
      <w:pPr>
        <w:spacing w:line="360" w:lineRule="auto"/>
        <w:ind w:firstLine="709"/>
        <w:jc w:val="both"/>
        <w:rPr>
          <w:rFonts w:ascii="Arial" w:hAnsi="Arial" w:cs="Arial"/>
          <w:bCs/>
          <w:iCs/>
        </w:rPr>
      </w:pPr>
    </w:p>
    <w:p w14:paraId="06E47199" w14:textId="2024657A" w:rsidR="005B4B06" w:rsidRPr="005B4B06" w:rsidRDefault="005B4B06" w:rsidP="005B4B06">
      <w:pPr>
        <w:spacing w:line="360" w:lineRule="auto"/>
        <w:ind w:firstLine="709"/>
        <w:jc w:val="both"/>
        <w:rPr>
          <w:rFonts w:ascii="Arial" w:hAnsi="Arial" w:cs="Arial"/>
          <w:b/>
          <w:bCs/>
          <w:i/>
          <w:iCs/>
        </w:rPr>
      </w:pPr>
      <w:r w:rsidRPr="005B4B06">
        <w:rPr>
          <w:rFonts w:ascii="Arial" w:hAnsi="Arial" w:cs="Arial"/>
          <w:b/>
          <w:bCs/>
          <w:i/>
          <w:iCs/>
        </w:rPr>
        <w:lastRenderedPageBreak/>
        <w:t xml:space="preserve">Autores más </w:t>
      </w:r>
      <w:r w:rsidR="001E7C80">
        <w:rPr>
          <w:rFonts w:ascii="Arial" w:hAnsi="Arial" w:cs="Arial"/>
          <w:b/>
          <w:bCs/>
          <w:i/>
          <w:iCs/>
        </w:rPr>
        <w:t>p</w:t>
      </w:r>
      <w:r w:rsidRPr="005B4B06">
        <w:rPr>
          <w:rFonts w:ascii="Arial" w:hAnsi="Arial" w:cs="Arial"/>
          <w:b/>
          <w:bCs/>
          <w:i/>
          <w:iCs/>
        </w:rPr>
        <w:t>roductivos</w:t>
      </w:r>
    </w:p>
    <w:p w14:paraId="27048D88" w14:textId="77777777" w:rsidR="005B4B06" w:rsidRPr="005B4B06" w:rsidRDefault="005B4B06" w:rsidP="005B4B06">
      <w:pPr>
        <w:spacing w:line="360" w:lineRule="auto"/>
        <w:ind w:firstLine="709"/>
        <w:jc w:val="both"/>
        <w:rPr>
          <w:rFonts w:ascii="Arial" w:hAnsi="Arial" w:cs="Arial"/>
        </w:rPr>
      </w:pPr>
    </w:p>
    <w:p w14:paraId="04E6A9DE" w14:textId="6AD92244" w:rsidR="005B4B06" w:rsidRPr="005B4B06" w:rsidRDefault="005B4B06" w:rsidP="005B4B06">
      <w:pPr>
        <w:spacing w:line="360" w:lineRule="auto"/>
        <w:jc w:val="both"/>
        <w:rPr>
          <w:rFonts w:ascii="Arial" w:hAnsi="Arial" w:cs="Arial"/>
        </w:rPr>
      </w:pPr>
      <w:r w:rsidRPr="005B4B06">
        <w:rPr>
          <w:rFonts w:ascii="Arial" w:hAnsi="Arial" w:cs="Arial"/>
        </w:rPr>
        <w:t xml:space="preserve">Por medio de las métricas de </w:t>
      </w:r>
      <w:proofErr w:type="spellStart"/>
      <w:r w:rsidRPr="005B4B06">
        <w:rPr>
          <w:rFonts w:ascii="Arial" w:hAnsi="Arial" w:cs="Arial"/>
        </w:rPr>
        <w:t>Scopus</w:t>
      </w:r>
      <w:proofErr w:type="spellEnd"/>
      <w:r w:rsidRPr="005B4B06">
        <w:rPr>
          <w:rFonts w:ascii="Arial" w:hAnsi="Arial" w:cs="Arial"/>
        </w:rPr>
        <w:t xml:space="preserve">, se construye la tabla 4 en donde se presentan los autores con mayor cantidad de artículos científicos publicados sobre la economía de la salud en Colombia. Buendía, Jefferson Antonio, de la Universidad de Antioquia, Medellín, Colombia, encabeza la lista con 15 artículos publicados. En su trabajo más citado (1730), Buendía, sobre la Carga Global de Enfermedades (GBD), tuvo como objetivo proporcionar una medición estandarizada e integral de estas métricas a nivel global, regional y nacional. Los resultados del estudio sobre el accidente cerebrovascular y sus tipos patológicos, incluida información sobre su incidencia, prevalencia, mortalidad, discapacidad, factores de riesgo y tendencias epidemiológicas, son importantes para la planificación de la atención del accidente cerebrovascular y la asignación de recursos basada en evidencia </w:t>
      </w:r>
      <w:r w:rsidRPr="005B4B06">
        <w:rPr>
          <w:rFonts w:ascii="Arial" w:hAnsi="Arial" w:cs="Arial"/>
        </w:rPr>
        <w:fldChar w:fldCharType="begin"/>
      </w:r>
      <w:r w:rsidRPr="005B4B06">
        <w:rPr>
          <w:rFonts w:ascii="Arial" w:hAnsi="Arial" w:cs="Arial"/>
        </w:rPr>
        <w:instrText xml:space="preserve"> ADDIN ZOTERO_ITEM CSL_CITATION {"citationID":"NesVzXuH","properties":{"formattedCitation":"(Buendia et\\uc0\\u160{}al., 2023)","plainCitation":"(Buendia et al., 2023)","dontUpdate":true,"noteIndex":0},"citationItems":[{"id":379,"uris":["http://zotero.org/users/local/2poXFmzI/items/RHBX7E9P"],"itemData":{"id":379,"type":"article-journal","abstract":"Introduction: Despite the increasing evidence supporting the efficacy of ambrisentan and bosentan in improving functional classes among pediatric patients with pulmonary arterial hypertension (PAH), there is a lack of information regarding their cost implications. Therefore, the objective of this study is to assess the cost-utility of bosentan compared to ambrisentan for the treatment of pediatric patients with PAH in Colombia. Methods: We employed a Markov model to estimate the costs and quality-adjusted life-years (QALYs) associated with the use of ambrisentan or bosentan in pediatric patients diagnosed with pulmonary arterial hypertension (PAH). To ensure the reliability of our findings, we conducted sensitivity analyses to assess the robustness of the model. In our cost-effectiveness analysis, we evaluated the outcomes at a willingness-to-pay (WTP) threshold of US$5,180. Results: The expected annual cost per patient receiving ambrisentan was estimated to be $16,055 (95% CI 15,937 –16,172), while for bosentan it was $14,503 (95% CI 14,489 –14,615). The QALYs per person estimated for ambrisentan were 0.39 (95% CI 0.381–0.382), whereas for bosentan it was 0.40 (95% CI 0.401–0.403). Conclusion: Our economic evaluation shows that ambrisentan is not cost-effective regarding bosentan to in treating pulmonary arterial hypertension in C. © 2023 Informa UK Limited, trading as Taylor &amp; Francis Group.","archive":"Scopus","container-title":"Expert Review of Pharmacoeconomics and Outcomes Research","DOI":"10.1080/14737167.2023.2233698","ISSN":"14737167 (ISSN)","issue":"8","journalAbbreviation":"Expert Rev. Pharmacoecon. Outcomes Res.","language":"English","note":"publisher: Taylor and Francis Ltd.","page":"967-973","title":"Cost-utility of ambrisentan and bosentan for pediatric pulmonary arterial hypertension","volume":"23","author":[{"family":"Buendia","given":"J.A."},{"family":"Patino","given":"D.G."},{"family":"Lindarte","given":"E.F."}],"issued":{"date-parts":[["2023"]]}}}],"schema":"https://github.com/citation-style-language/schema/raw/master/csl-citation.json"} </w:instrText>
      </w:r>
      <w:r w:rsidRPr="005B4B06">
        <w:rPr>
          <w:rFonts w:ascii="Arial" w:hAnsi="Arial" w:cs="Arial"/>
        </w:rPr>
        <w:fldChar w:fldCharType="separate"/>
      </w:r>
      <w:r w:rsidRPr="005B4B06">
        <w:rPr>
          <w:rFonts w:ascii="Arial" w:hAnsi="Arial" w:cs="Arial"/>
        </w:rPr>
        <w:t>(Buendía et al., 2023)</w:t>
      </w:r>
      <w:r w:rsidRPr="005B4B06">
        <w:rPr>
          <w:rFonts w:ascii="Arial" w:hAnsi="Arial" w:cs="Arial"/>
        </w:rPr>
        <w:fldChar w:fldCharType="end"/>
      </w:r>
      <w:r w:rsidRPr="005B4B06">
        <w:rPr>
          <w:rFonts w:ascii="Arial" w:hAnsi="Arial" w:cs="Arial"/>
        </w:rPr>
        <w:t>.</w:t>
      </w:r>
    </w:p>
    <w:p w14:paraId="2BFC6B0F" w14:textId="77777777" w:rsidR="005B4B06" w:rsidRDefault="005B4B06" w:rsidP="005B4B06">
      <w:pPr>
        <w:spacing w:line="360" w:lineRule="auto"/>
        <w:jc w:val="both"/>
        <w:rPr>
          <w:rFonts w:ascii="Arial" w:hAnsi="Arial" w:cs="Arial"/>
        </w:rPr>
      </w:pPr>
    </w:p>
    <w:p w14:paraId="200F4E5E" w14:textId="60941527" w:rsidR="005B4B06" w:rsidRPr="005B4B06" w:rsidRDefault="005B4B06" w:rsidP="005B4B06">
      <w:pPr>
        <w:spacing w:line="360" w:lineRule="auto"/>
        <w:jc w:val="both"/>
        <w:rPr>
          <w:rFonts w:ascii="Arial" w:hAnsi="Arial" w:cs="Arial"/>
        </w:rPr>
      </w:pPr>
      <w:r w:rsidRPr="005B4B06">
        <w:rPr>
          <w:rFonts w:ascii="Arial" w:hAnsi="Arial" w:cs="Arial"/>
        </w:rPr>
        <w:t xml:space="preserve">En segundo lugar, se encuentra Patino, Diana Guerrero, de la Universidad de Antioquia, Medellín, Colombia, con 8 manuscritos sobre el tema. En su estudio más citado (17), Patino, tuvo como propósito analizar los gastos médicos vinculados a las hospitalizaciones por bronquiolitis provocada por el virus sincitial respiratorio en niños menores de 2 años en Colombia. Se llegó a la conclusión de que esta infección representa una elevado carga económica para el sistema de salud en el país </w:t>
      </w:r>
      <w:r w:rsidRPr="005B4B06">
        <w:rPr>
          <w:rFonts w:ascii="Arial" w:hAnsi="Arial" w:cs="Arial"/>
        </w:rPr>
        <w:fldChar w:fldCharType="begin"/>
      </w:r>
      <w:r w:rsidRPr="005B4B06">
        <w:rPr>
          <w:rFonts w:ascii="Arial" w:hAnsi="Arial" w:cs="Arial"/>
        </w:rPr>
        <w:instrText xml:space="preserve"> ADDIN ZOTERO_ITEM CSL_CITATION {"citationID":"4pkzp7gy","properties":{"formattedCitation":"(Buend\\uc0\\u237{}a &amp; Pati\\uc0\\u241{}o, 2021)","plainCitation":"(Buendía &amp; Patiño, 2021)","noteIndex":0},"citationItems":[{"id":1004,"uris":["http://zotero.org/users/local/2poXFmzI/items/8CD7SMZD"],"itemData":{"id":1004,"type":"article-journal","container-title":"PharmacoEconomics - Open","DOI":"10.1007/s41669-020-00218-7","ISSN":"2509-4262, 2509-4254","issue":"1","journalAbbreviation":"PharmacoEconomics Open","language":"en","page":"71-76","source":"DOI.org (Crossref)","title":"Costs of Respiratory Syncytial Virus Hospitalizations in Colombia","volume":"5","author":[{"family":"Buendía","given":"Jefferson Antonio"},{"family":"Patiño","given":"Diana Guerrero"}],"issued":{"date-parts":[["2021",3]]}}}],"schema":"https://github.com/citation-style-language/schema/raw/master/csl-citation.json"} </w:instrText>
      </w:r>
      <w:r w:rsidRPr="005B4B06">
        <w:rPr>
          <w:rFonts w:ascii="Arial" w:hAnsi="Arial" w:cs="Arial"/>
        </w:rPr>
        <w:fldChar w:fldCharType="separate"/>
      </w:r>
      <w:r w:rsidRPr="005B4B06">
        <w:rPr>
          <w:rFonts w:ascii="Arial" w:hAnsi="Arial" w:cs="Arial"/>
        </w:rPr>
        <w:t>(Buendía &amp; Patiño, 2021)</w:t>
      </w:r>
      <w:r w:rsidRPr="005B4B06">
        <w:rPr>
          <w:rFonts w:ascii="Arial" w:hAnsi="Arial" w:cs="Arial"/>
        </w:rPr>
        <w:fldChar w:fldCharType="end"/>
      </w:r>
      <w:r w:rsidRPr="005B4B06">
        <w:rPr>
          <w:rFonts w:ascii="Arial" w:hAnsi="Arial" w:cs="Arial"/>
        </w:rPr>
        <w:t>.</w:t>
      </w:r>
    </w:p>
    <w:p w14:paraId="6702FA58" w14:textId="77777777" w:rsidR="005B4B06" w:rsidRDefault="005B4B06" w:rsidP="005B4B06">
      <w:pPr>
        <w:spacing w:line="360" w:lineRule="auto"/>
        <w:jc w:val="both"/>
        <w:rPr>
          <w:rFonts w:ascii="Arial" w:hAnsi="Arial" w:cs="Arial"/>
        </w:rPr>
      </w:pPr>
    </w:p>
    <w:p w14:paraId="063E1FC7" w14:textId="0DA3FBE3" w:rsidR="005B4B06" w:rsidRPr="005B4B06" w:rsidRDefault="005B4B06" w:rsidP="005B4B06">
      <w:pPr>
        <w:spacing w:line="360" w:lineRule="auto"/>
        <w:jc w:val="both"/>
        <w:rPr>
          <w:rFonts w:ascii="Arial" w:hAnsi="Arial" w:cs="Arial"/>
        </w:rPr>
      </w:pPr>
      <w:r w:rsidRPr="005B4B06">
        <w:rPr>
          <w:rFonts w:ascii="Arial" w:hAnsi="Arial" w:cs="Arial"/>
        </w:rPr>
        <w:lastRenderedPageBreak/>
        <w:t xml:space="preserve">Finalmente, se encuentra Rodríguez-Martínez, Carlos E., de la Universidad Nacional de Colombia, San </w:t>
      </w:r>
      <w:proofErr w:type="spellStart"/>
      <w:r w:rsidRPr="005B4B06">
        <w:rPr>
          <w:rFonts w:ascii="Arial" w:hAnsi="Arial" w:cs="Arial"/>
        </w:rPr>
        <w:t>Andres</w:t>
      </w:r>
      <w:proofErr w:type="spellEnd"/>
      <w:r w:rsidRPr="005B4B06">
        <w:rPr>
          <w:rFonts w:ascii="Arial" w:hAnsi="Arial" w:cs="Arial"/>
        </w:rPr>
        <w:t xml:space="preserve">, Colombia, quien se ubica en tercer lugar con 7 documentos sobre el tema en </w:t>
      </w:r>
      <w:proofErr w:type="spellStart"/>
      <w:r w:rsidRPr="005B4B06">
        <w:rPr>
          <w:rFonts w:ascii="Arial" w:hAnsi="Arial" w:cs="Arial"/>
        </w:rPr>
        <w:t>Scopus</w:t>
      </w:r>
      <w:proofErr w:type="spellEnd"/>
      <w:r w:rsidRPr="005B4B06">
        <w:rPr>
          <w:rFonts w:ascii="Arial" w:hAnsi="Arial" w:cs="Arial"/>
        </w:rPr>
        <w:t xml:space="preserve"> y se destaca su índice H de 23 superior a los otros autores. En su documento más citado (186), realiza una revisión sistemática para resumir los principales hallazgos sobre los factores de riesgo y protectores del asma infantil, con búsqueda en base de datos académicas reconocidas. Los resultados del estudio sugieren efectos causales de leves a moderados de ciertos comportamientos modificables o exposiciones durante el embarazo, el período perinatal o posnatal </w:t>
      </w:r>
      <w:r w:rsidRPr="005B4B06">
        <w:rPr>
          <w:rFonts w:ascii="Arial" w:hAnsi="Arial" w:cs="Arial"/>
        </w:rPr>
        <w:fldChar w:fldCharType="begin"/>
      </w:r>
      <w:r w:rsidRPr="005B4B06">
        <w:rPr>
          <w:rFonts w:ascii="Arial" w:hAnsi="Arial" w:cs="Arial"/>
        </w:rPr>
        <w:instrText xml:space="preserve"> ADDIN ZOTERO_ITEM CSL_CITATION {"citationID":"Ssve5kcP","properties":{"formattedCitation":"(Castro-Rodriguez et\\uc0\\u160{}al., 2016)","plainCitation":"(Castro-Rodriguez et al., 2016)","dontUpdate":true,"noteIndex":0},"citationItems":[{"id":1006,"uris":["http://zotero.org/users/local/2poXFmzI/items/CRRJA7QK"],"itemData":{"id":1006,"type":"article-journal","container-title":"The Journal of Allergy and Clinical Immunology: In Practice","DOI":"10.1016/j.jaip.2016.05.003","ISSN":"22132198","issue":"6","journalAbbreviation":"The Journal of Allergy and Clinical Immunology: In Practice","language":"en","page":"1111-1122","source":"DOI.org (Crossref)","title":"Risk and Protective Factors for Childhood Asthma: What Is the Evidence?","title-short":"Risk and Protective Factors for Childhood Asthma","volume":"4","author":[{"family":"Castro-Rodriguez","given":"Jose A."},{"family":"Forno","given":"Erick"},{"family":"Rodriguez-Martinez","given":"Carlos E."},{"family":"Celedón","given":"Juan C."}],"issued":{"date-parts":[["2016",11]]}}}],"schema":"https://github.com/citation-style-language/schema/raw/master/csl-citation.json"} </w:instrText>
      </w:r>
      <w:r w:rsidRPr="005B4B06">
        <w:rPr>
          <w:rFonts w:ascii="Arial" w:hAnsi="Arial" w:cs="Arial"/>
        </w:rPr>
        <w:fldChar w:fldCharType="separate"/>
      </w:r>
      <w:r w:rsidRPr="005B4B06">
        <w:rPr>
          <w:rFonts w:ascii="Arial" w:hAnsi="Arial" w:cs="Arial"/>
        </w:rPr>
        <w:t>(Castro-Rodríguez et al., 2016)</w:t>
      </w:r>
      <w:r w:rsidRPr="005B4B06">
        <w:rPr>
          <w:rFonts w:ascii="Arial" w:hAnsi="Arial" w:cs="Arial"/>
        </w:rPr>
        <w:fldChar w:fldCharType="end"/>
      </w:r>
      <w:r w:rsidRPr="005B4B06">
        <w:rPr>
          <w:rFonts w:ascii="Arial" w:hAnsi="Arial" w:cs="Arial"/>
        </w:rPr>
        <w:t>.</w:t>
      </w:r>
    </w:p>
    <w:p w14:paraId="4D78F8B6" w14:textId="77777777" w:rsidR="00655CB0" w:rsidRDefault="00655CB0" w:rsidP="005B4B06">
      <w:pPr>
        <w:spacing w:line="360" w:lineRule="auto"/>
        <w:jc w:val="center"/>
        <w:rPr>
          <w:rFonts w:ascii="Arial" w:hAnsi="Arial" w:cs="Arial"/>
          <w:b/>
          <w:bCs/>
        </w:rPr>
      </w:pPr>
    </w:p>
    <w:p w14:paraId="54FB4C7C" w14:textId="35DF8DCB" w:rsidR="002B623A" w:rsidRDefault="005B4B06" w:rsidP="005B4B06">
      <w:pPr>
        <w:spacing w:line="360" w:lineRule="auto"/>
        <w:jc w:val="center"/>
        <w:rPr>
          <w:rFonts w:ascii="Arial" w:hAnsi="Arial" w:cs="Arial"/>
          <w:b/>
          <w:bCs/>
          <w:sz w:val="20"/>
          <w:szCs w:val="20"/>
        </w:rPr>
      </w:pPr>
      <w:r w:rsidRPr="00655CB0">
        <w:rPr>
          <w:rFonts w:ascii="Arial" w:hAnsi="Arial" w:cs="Arial"/>
          <w:b/>
          <w:bCs/>
          <w:sz w:val="20"/>
          <w:szCs w:val="20"/>
        </w:rPr>
        <w:t>Tabla 4. Autores más productivos</w:t>
      </w:r>
    </w:p>
    <w:p w14:paraId="5C4F7E95" w14:textId="70B81229" w:rsidR="00C33A53" w:rsidRDefault="00C33A53" w:rsidP="005B4B06">
      <w:pPr>
        <w:spacing w:line="360" w:lineRule="auto"/>
        <w:jc w:val="center"/>
        <w:rPr>
          <w:rFonts w:ascii="Arial" w:hAnsi="Arial" w:cs="Arial"/>
          <w:b/>
          <w:bCs/>
          <w:sz w:val="20"/>
          <w:szCs w:val="20"/>
        </w:rPr>
      </w:pPr>
    </w:p>
    <w:tbl>
      <w:tblPr>
        <w:tblW w:w="8342" w:type="dxa"/>
        <w:jc w:val="center"/>
        <w:tblCellMar>
          <w:left w:w="70" w:type="dxa"/>
          <w:right w:w="70" w:type="dxa"/>
        </w:tblCellMar>
        <w:tblLook w:val="04A0" w:firstRow="1" w:lastRow="0" w:firstColumn="1" w:lastColumn="0" w:noHBand="0" w:noVBand="1"/>
      </w:tblPr>
      <w:tblGrid>
        <w:gridCol w:w="2820"/>
        <w:gridCol w:w="1838"/>
        <w:gridCol w:w="2194"/>
        <w:gridCol w:w="1490"/>
      </w:tblGrid>
      <w:tr w:rsidR="00C33A53" w:rsidRPr="00C33A53" w14:paraId="5C864548" w14:textId="77777777" w:rsidTr="00CD6E79">
        <w:trPr>
          <w:trHeight w:val="300"/>
          <w:jc w:val="center"/>
        </w:trPr>
        <w:tc>
          <w:tcPr>
            <w:tcW w:w="2820" w:type="dxa"/>
            <w:tcBorders>
              <w:top w:val="single" w:sz="4" w:space="0" w:color="auto"/>
              <w:left w:val="nil"/>
              <w:bottom w:val="single" w:sz="4" w:space="0" w:color="auto"/>
              <w:right w:val="nil"/>
            </w:tcBorders>
            <w:shd w:val="clear" w:color="auto" w:fill="auto"/>
            <w:noWrap/>
            <w:vAlign w:val="center"/>
            <w:hideMark/>
          </w:tcPr>
          <w:p w14:paraId="4C26B114" w14:textId="77777777" w:rsidR="00C33A53" w:rsidRPr="00C33A53" w:rsidRDefault="00C33A53" w:rsidP="002F047C">
            <w:pPr>
              <w:ind w:firstLine="709"/>
              <w:jc w:val="center"/>
              <w:rPr>
                <w:rFonts w:ascii="Arial" w:hAnsi="Arial" w:cs="Arial"/>
                <w:b/>
                <w:bCs/>
                <w:color w:val="000000"/>
                <w:sz w:val="20"/>
                <w:szCs w:val="20"/>
                <w:lang w:val="es-CO" w:eastAsia="es-CO"/>
              </w:rPr>
            </w:pPr>
            <w:r w:rsidRPr="00C33A53">
              <w:rPr>
                <w:rFonts w:ascii="Arial" w:hAnsi="Arial" w:cs="Arial"/>
                <w:b/>
                <w:bCs/>
                <w:color w:val="000000"/>
                <w:sz w:val="20"/>
                <w:szCs w:val="20"/>
                <w:lang w:val="es-CO" w:eastAsia="es-CO"/>
              </w:rPr>
              <w:t>Autor</w:t>
            </w:r>
          </w:p>
        </w:tc>
        <w:tc>
          <w:tcPr>
            <w:tcW w:w="1838" w:type="dxa"/>
            <w:tcBorders>
              <w:top w:val="single" w:sz="4" w:space="0" w:color="auto"/>
              <w:left w:val="nil"/>
              <w:bottom w:val="single" w:sz="4" w:space="0" w:color="auto"/>
              <w:right w:val="nil"/>
            </w:tcBorders>
          </w:tcPr>
          <w:p w14:paraId="626BC32C" w14:textId="77777777" w:rsidR="00C33A53" w:rsidRPr="00C33A53" w:rsidRDefault="00C33A53" w:rsidP="002F047C">
            <w:pPr>
              <w:ind w:firstLine="709"/>
              <w:jc w:val="center"/>
              <w:rPr>
                <w:rFonts w:ascii="Arial" w:hAnsi="Arial" w:cs="Arial"/>
                <w:b/>
                <w:bCs/>
                <w:color w:val="000000"/>
                <w:sz w:val="20"/>
                <w:szCs w:val="20"/>
                <w:lang w:val="es-CO" w:eastAsia="es-CO"/>
              </w:rPr>
            </w:pPr>
          </w:p>
        </w:tc>
        <w:tc>
          <w:tcPr>
            <w:tcW w:w="2194" w:type="dxa"/>
            <w:tcBorders>
              <w:top w:val="single" w:sz="4" w:space="0" w:color="auto"/>
              <w:left w:val="nil"/>
              <w:bottom w:val="single" w:sz="4" w:space="0" w:color="auto"/>
              <w:right w:val="nil"/>
            </w:tcBorders>
            <w:shd w:val="clear" w:color="auto" w:fill="auto"/>
            <w:noWrap/>
            <w:vAlign w:val="center"/>
            <w:hideMark/>
          </w:tcPr>
          <w:p w14:paraId="036433AC" w14:textId="7BFE3608" w:rsidR="00C33A53" w:rsidRPr="00C33A53" w:rsidRDefault="00C33A53" w:rsidP="002F047C">
            <w:pPr>
              <w:ind w:firstLine="709"/>
              <w:jc w:val="center"/>
              <w:rPr>
                <w:rFonts w:ascii="Arial" w:hAnsi="Arial" w:cs="Arial"/>
                <w:b/>
                <w:bCs/>
                <w:color w:val="000000"/>
                <w:sz w:val="20"/>
                <w:szCs w:val="20"/>
                <w:lang w:val="es-CO" w:eastAsia="es-CO"/>
              </w:rPr>
            </w:pPr>
            <w:r w:rsidRPr="00C33A53">
              <w:rPr>
                <w:rFonts w:ascii="Arial" w:hAnsi="Arial" w:cs="Arial"/>
                <w:b/>
                <w:bCs/>
                <w:color w:val="000000"/>
                <w:sz w:val="20"/>
                <w:szCs w:val="20"/>
                <w:lang w:val="es-CO" w:eastAsia="es-CO"/>
              </w:rPr>
              <w:t>Publicaciones</w:t>
            </w:r>
          </w:p>
        </w:tc>
        <w:tc>
          <w:tcPr>
            <w:tcW w:w="1490" w:type="dxa"/>
            <w:tcBorders>
              <w:top w:val="single" w:sz="4" w:space="0" w:color="auto"/>
              <w:left w:val="nil"/>
              <w:bottom w:val="single" w:sz="4" w:space="0" w:color="auto"/>
              <w:right w:val="nil"/>
            </w:tcBorders>
            <w:shd w:val="clear" w:color="auto" w:fill="auto"/>
            <w:noWrap/>
            <w:vAlign w:val="center"/>
            <w:hideMark/>
          </w:tcPr>
          <w:p w14:paraId="361EF413" w14:textId="79170988" w:rsidR="00C33A53" w:rsidRPr="00C33A53" w:rsidRDefault="00C04AC7" w:rsidP="00C04AC7">
            <w:pPr>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     </w:t>
            </w:r>
            <w:r w:rsidR="00492FCD">
              <w:rPr>
                <w:rFonts w:ascii="Arial" w:hAnsi="Arial" w:cs="Arial"/>
                <w:b/>
                <w:bCs/>
                <w:color w:val="000000"/>
                <w:sz w:val="20"/>
                <w:szCs w:val="20"/>
                <w:lang w:val="es-CO" w:eastAsia="es-CO"/>
              </w:rPr>
              <w:t xml:space="preserve"> </w:t>
            </w:r>
            <w:r>
              <w:rPr>
                <w:rFonts w:ascii="Arial" w:hAnsi="Arial" w:cs="Arial"/>
                <w:b/>
                <w:bCs/>
                <w:color w:val="000000"/>
                <w:sz w:val="20"/>
                <w:szCs w:val="20"/>
                <w:lang w:val="es-CO" w:eastAsia="es-CO"/>
              </w:rPr>
              <w:t xml:space="preserve">    </w:t>
            </w:r>
            <w:r w:rsidR="008F6810" w:rsidRPr="00C33A53">
              <w:rPr>
                <w:rFonts w:ascii="Arial" w:hAnsi="Arial" w:cs="Arial"/>
                <w:b/>
                <w:bCs/>
                <w:color w:val="000000"/>
                <w:sz w:val="20"/>
                <w:szCs w:val="20"/>
                <w:lang w:val="es-CO" w:eastAsia="es-CO"/>
              </w:rPr>
              <w:t>Índice</w:t>
            </w:r>
            <w:r>
              <w:rPr>
                <w:rFonts w:ascii="Arial" w:hAnsi="Arial" w:cs="Arial"/>
                <w:b/>
                <w:bCs/>
                <w:color w:val="000000"/>
                <w:sz w:val="20"/>
                <w:szCs w:val="20"/>
                <w:lang w:val="es-CO" w:eastAsia="es-CO"/>
              </w:rPr>
              <w:t xml:space="preserve"> H</w:t>
            </w:r>
            <w:r w:rsidR="008F6810">
              <w:rPr>
                <w:rFonts w:ascii="Arial" w:hAnsi="Arial" w:cs="Arial"/>
                <w:b/>
                <w:bCs/>
                <w:color w:val="000000"/>
                <w:sz w:val="20"/>
                <w:szCs w:val="20"/>
                <w:lang w:val="es-CO" w:eastAsia="es-CO"/>
              </w:rPr>
              <w:t xml:space="preserve"> </w:t>
            </w:r>
          </w:p>
        </w:tc>
      </w:tr>
      <w:tr w:rsidR="00C33A53" w:rsidRPr="00C33A53" w14:paraId="35438CD7" w14:textId="77777777" w:rsidTr="00CD6E79">
        <w:trPr>
          <w:trHeight w:val="300"/>
          <w:jc w:val="center"/>
        </w:trPr>
        <w:tc>
          <w:tcPr>
            <w:tcW w:w="2820" w:type="dxa"/>
            <w:tcBorders>
              <w:top w:val="nil"/>
              <w:left w:val="nil"/>
              <w:bottom w:val="nil"/>
              <w:right w:val="nil"/>
            </w:tcBorders>
            <w:shd w:val="clear" w:color="auto" w:fill="auto"/>
            <w:noWrap/>
            <w:vAlign w:val="bottom"/>
            <w:hideMark/>
          </w:tcPr>
          <w:p w14:paraId="721238AF" w14:textId="77777777" w:rsidR="00C33A53" w:rsidRDefault="00C33A53" w:rsidP="002F047C">
            <w:pPr>
              <w:ind w:firstLine="709"/>
              <w:rPr>
                <w:rFonts w:ascii="Arial" w:hAnsi="Arial" w:cs="Arial"/>
                <w:color w:val="000000"/>
                <w:sz w:val="20"/>
                <w:szCs w:val="20"/>
                <w:lang w:val="es-CO" w:eastAsia="es-CO"/>
              </w:rPr>
            </w:pPr>
            <w:r w:rsidRPr="00C33A53">
              <w:rPr>
                <w:rFonts w:ascii="Arial" w:hAnsi="Arial" w:cs="Arial"/>
                <w:color w:val="000000"/>
                <w:sz w:val="20"/>
                <w:szCs w:val="20"/>
                <w:lang w:val="es-CO" w:eastAsia="es-CO"/>
              </w:rPr>
              <w:t xml:space="preserve">Buendía, Jefferson </w:t>
            </w:r>
            <w:r>
              <w:rPr>
                <w:rFonts w:ascii="Arial" w:hAnsi="Arial" w:cs="Arial"/>
                <w:color w:val="000000"/>
                <w:sz w:val="20"/>
                <w:szCs w:val="20"/>
                <w:lang w:val="es-CO" w:eastAsia="es-CO"/>
              </w:rPr>
              <w:t xml:space="preserve"> </w:t>
            </w:r>
          </w:p>
          <w:p w14:paraId="261CC6D5" w14:textId="758B0A2C" w:rsidR="00C33A53" w:rsidRPr="00C33A53" w:rsidRDefault="00C33A53" w:rsidP="002F047C">
            <w:pPr>
              <w:ind w:firstLine="709"/>
              <w:rPr>
                <w:rFonts w:ascii="Arial" w:hAnsi="Arial" w:cs="Arial"/>
                <w:color w:val="000000"/>
                <w:sz w:val="20"/>
                <w:szCs w:val="20"/>
                <w:lang w:val="es-CO" w:eastAsia="es-CO"/>
              </w:rPr>
            </w:pPr>
            <w:r w:rsidRPr="00C33A53">
              <w:rPr>
                <w:rFonts w:ascii="Arial" w:hAnsi="Arial" w:cs="Arial"/>
                <w:color w:val="000000"/>
                <w:sz w:val="20"/>
                <w:szCs w:val="20"/>
                <w:lang w:val="es-CO" w:eastAsia="es-CO"/>
              </w:rPr>
              <w:t>Antonio</w:t>
            </w:r>
          </w:p>
        </w:tc>
        <w:tc>
          <w:tcPr>
            <w:tcW w:w="1838" w:type="dxa"/>
            <w:tcBorders>
              <w:top w:val="nil"/>
              <w:left w:val="nil"/>
              <w:bottom w:val="nil"/>
              <w:right w:val="nil"/>
            </w:tcBorders>
          </w:tcPr>
          <w:p w14:paraId="269B5811" w14:textId="77777777" w:rsidR="00C33A53" w:rsidRPr="00C33A53" w:rsidRDefault="00C33A53" w:rsidP="002F047C">
            <w:pPr>
              <w:ind w:firstLine="709"/>
              <w:jc w:val="center"/>
              <w:rPr>
                <w:rFonts w:ascii="Arial" w:hAnsi="Arial" w:cs="Arial"/>
                <w:color w:val="000000"/>
                <w:sz w:val="20"/>
                <w:szCs w:val="20"/>
                <w:lang w:val="es-CO" w:eastAsia="es-CO"/>
              </w:rPr>
            </w:pPr>
          </w:p>
        </w:tc>
        <w:tc>
          <w:tcPr>
            <w:tcW w:w="2194" w:type="dxa"/>
            <w:tcBorders>
              <w:top w:val="nil"/>
              <w:left w:val="nil"/>
              <w:bottom w:val="nil"/>
              <w:right w:val="nil"/>
            </w:tcBorders>
            <w:shd w:val="clear" w:color="auto" w:fill="auto"/>
            <w:noWrap/>
            <w:vAlign w:val="center"/>
            <w:hideMark/>
          </w:tcPr>
          <w:p w14:paraId="39048D88" w14:textId="5B2B48F9" w:rsidR="00C33A53" w:rsidRPr="00C33A53" w:rsidRDefault="00C33A53" w:rsidP="002F047C">
            <w:pPr>
              <w:ind w:firstLine="709"/>
              <w:jc w:val="center"/>
              <w:rPr>
                <w:rFonts w:ascii="Arial" w:hAnsi="Arial" w:cs="Arial"/>
                <w:color w:val="000000"/>
                <w:sz w:val="20"/>
                <w:szCs w:val="20"/>
                <w:lang w:val="es-CO" w:eastAsia="es-CO"/>
              </w:rPr>
            </w:pPr>
            <w:r w:rsidRPr="00C33A53">
              <w:rPr>
                <w:rFonts w:ascii="Arial" w:hAnsi="Arial" w:cs="Arial"/>
                <w:color w:val="000000"/>
                <w:sz w:val="20"/>
                <w:szCs w:val="20"/>
                <w:lang w:val="es-CO" w:eastAsia="es-CO"/>
              </w:rPr>
              <w:t>15</w:t>
            </w:r>
          </w:p>
        </w:tc>
        <w:tc>
          <w:tcPr>
            <w:tcW w:w="1490" w:type="dxa"/>
            <w:tcBorders>
              <w:top w:val="nil"/>
              <w:left w:val="nil"/>
              <w:bottom w:val="nil"/>
              <w:right w:val="nil"/>
            </w:tcBorders>
            <w:shd w:val="clear" w:color="auto" w:fill="auto"/>
            <w:noWrap/>
            <w:vAlign w:val="center"/>
            <w:hideMark/>
          </w:tcPr>
          <w:p w14:paraId="7EB65E10" w14:textId="77777777" w:rsidR="00C33A53" w:rsidRPr="00C33A53" w:rsidRDefault="00C33A53" w:rsidP="002F047C">
            <w:pPr>
              <w:ind w:firstLine="709"/>
              <w:jc w:val="center"/>
              <w:rPr>
                <w:rFonts w:ascii="Arial" w:hAnsi="Arial" w:cs="Arial"/>
                <w:color w:val="000000"/>
                <w:sz w:val="20"/>
                <w:szCs w:val="20"/>
                <w:lang w:val="es-CO" w:eastAsia="es-CO"/>
              </w:rPr>
            </w:pPr>
            <w:r w:rsidRPr="00C33A53">
              <w:rPr>
                <w:rFonts w:ascii="Arial" w:hAnsi="Arial" w:cs="Arial"/>
                <w:color w:val="000000"/>
                <w:sz w:val="20"/>
                <w:szCs w:val="20"/>
                <w:lang w:val="es-CO" w:eastAsia="es-CO"/>
              </w:rPr>
              <w:t>15</w:t>
            </w:r>
          </w:p>
        </w:tc>
      </w:tr>
      <w:tr w:rsidR="00C33A53" w:rsidRPr="00C33A53" w14:paraId="7BD6DB2A" w14:textId="77777777" w:rsidTr="00CD6E79">
        <w:trPr>
          <w:trHeight w:val="300"/>
          <w:jc w:val="center"/>
        </w:trPr>
        <w:tc>
          <w:tcPr>
            <w:tcW w:w="2820" w:type="dxa"/>
            <w:tcBorders>
              <w:top w:val="nil"/>
              <w:left w:val="nil"/>
              <w:bottom w:val="nil"/>
              <w:right w:val="nil"/>
            </w:tcBorders>
            <w:shd w:val="clear" w:color="auto" w:fill="auto"/>
            <w:noWrap/>
            <w:vAlign w:val="bottom"/>
            <w:hideMark/>
          </w:tcPr>
          <w:p w14:paraId="176C46B2" w14:textId="77777777" w:rsidR="00C33A53" w:rsidRDefault="00C33A53" w:rsidP="002F047C">
            <w:pPr>
              <w:ind w:firstLine="709"/>
              <w:rPr>
                <w:rFonts w:ascii="Arial" w:hAnsi="Arial" w:cs="Arial"/>
                <w:color w:val="000000"/>
                <w:sz w:val="20"/>
                <w:szCs w:val="20"/>
                <w:lang w:val="es-CO" w:eastAsia="es-CO"/>
              </w:rPr>
            </w:pPr>
            <w:r w:rsidRPr="00C33A53">
              <w:rPr>
                <w:rFonts w:ascii="Arial" w:hAnsi="Arial" w:cs="Arial"/>
                <w:color w:val="000000"/>
                <w:sz w:val="20"/>
                <w:szCs w:val="20"/>
                <w:lang w:val="es-CO" w:eastAsia="es-CO"/>
              </w:rPr>
              <w:t xml:space="preserve">Patino, Diana </w:t>
            </w:r>
          </w:p>
          <w:p w14:paraId="7B7EE5D9" w14:textId="401597C5" w:rsidR="00C33A53" w:rsidRPr="00C33A53" w:rsidRDefault="00C33A53" w:rsidP="002F047C">
            <w:pPr>
              <w:ind w:firstLine="709"/>
              <w:rPr>
                <w:rFonts w:ascii="Arial" w:hAnsi="Arial" w:cs="Arial"/>
                <w:color w:val="000000"/>
                <w:sz w:val="20"/>
                <w:szCs w:val="20"/>
                <w:lang w:val="es-CO" w:eastAsia="es-CO"/>
              </w:rPr>
            </w:pPr>
            <w:r w:rsidRPr="00C33A53">
              <w:rPr>
                <w:rFonts w:ascii="Arial" w:hAnsi="Arial" w:cs="Arial"/>
                <w:color w:val="000000"/>
                <w:sz w:val="20"/>
                <w:szCs w:val="20"/>
                <w:lang w:val="es-CO" w:eastAsia="es-CO"/>
              </w:rPr>
              <w:t>Guerrero</w:t>
            </w:r>
          </w:p>
        </w:tc>
        <w:tc>
          <w:tcPr>
            <w:tcW w:w="1838" w:type="dxa"/>
            <w:tcBorders>
              <w:top w:val="nil"/>
              <w:left w:val="nil"/>
              <w:bottom w:val="nil"/>
              <w:right w:val="nil"/>
            </w:tcBorders>
          </w:tcPr>
          <w:p w14:paraId="5F6C2020" w14:textId="77777777" w:rsidR="00C33A53" w:rsidRPr="00C33A53" w:rsidRDefault="00C33A53" w:rsidP="002F047C">
            <w:pPr>
              <w:ind w:firstLine="709"/>
              <w:jc w:val="center"/>
              <w:rPr>
                <w:rFonts w:ascii="Arial" w:hAnsi="Arial" w:cs="Arial"/>
                <w:color w:val="000000"/>
                <w:sz w:val="20"/>
                <w:szCs w:val="20"/>
                <w:lang w:val="es-CO" w:eastAsia="es-CO"/>
              </w:rPr>
            </w:pPr>
          </w:p>
        </w:tc>
        <w:tc>
          <w:tcPr>
            <w:tcW w:w="2194" w:type="dxa"/>
            <w:tcBorders>
              <w:top w:val="nil"/>
              <w:left w:val="nil"/>
              <w:bottom w:val="nil"/>
              <w:right w:val="nil"/>
            </w:tcBorders>
            <w:shd w:val="clear" w:color="auto" w:fill="auto"/>
            <w:noWrap/>
            <w:vAlign w:val="center"/>
            <w:hideMark/>
          </w:tcPr>
          <w:p w14:paraId="4E44BC8D" w14:textId="308E5553" w:rsidR="00C33A53" w:rsidRPr="00C33A53" w:rsidRDefault="00C33A53" w:rsidP="002F047C">
            <w:pPr>
              <w:ind w:firstLine="709"/>
              <w:jc w:val="center"/>
              <w:rPr>
                <w:rFonts w:ascii="Arial" w:hAnsi="Arial" w:cs="Arial"/>
                <w:color w:val="000000"/>
                <w:sz w:val="20"/>
                <w:szCs w:val="20"/>
                <w:lang w:val="es-CO" w:eastAsia="es-CO"/>
              </w:rPr>
            </w:pPr>
            <w:r w:rsidRPr="00C33A53">
              <w:rPr>
                <w:rFonts w:ascii="Arial" w:hAnsi="Arial" w:cs="Arial"/>
                <w:color w:val="000000"/>
                <w:sz w:val="20"/>
                <w:szCs w:val="20"/>
                <w:lang w:val="es-CO" w:eastAsia="es-CO"/>
              </w:rPr>
              <w:t>8</w:t>
            </w:r>
          </w:p>
        </w:tc>
        <w:tc>
          <w:tcPr>
            <w:tcW w:w="1490" w:type="dxa"/>
            <w:tcBorders>
              <w:top w:val="nil"/>
              <w:left w:val="nil"/>
              <w:bottom w:val="nil"/>
              <w:right w:val="nil"/>
            </w:tcBorders>
            <w:shd w:val="clear" w:color="auto" w:fill="auto"/>
            <w:noWrap/>
            <w:vAlign w:val="center"/>
            <w:hideMark/>
          </w:tcPr>
          <w:p w14:paraId="3E025DD7" w14:textId="77777777" w:rsidR="00C33A53" w:rsidRPr="00C33A53" w:rsidRDefault="00C33A53" w:rsidP="002F047C">
            <w:pPr>
              <w:ind w:firstLine="709"/>
              <w:jc w:val="center"/>
              <w:rPr>
                <w:rFonts w:ascii="Arial" w:hAnsi="Arial" w:cs="Arial"/>
                <w:color w:val="000000"/>
                <w:sz w:val="20"/>
                <w:szCs w:val="20"/>
                <w:lang w:val="es-CO" w:eastAsia="es-CO"/>
              </w:rPr>
            </w:pPr>
            <w:r w:rsidRPr="00C33A53">
              <w:rPr>
                <w:rFonts w:ascii="Arial" w:hAnsi="Arial" w:cs="Arial"/>
                <w:color w:val="000000"/>
                <w:sz w:val="20"/>
                <w:szCs w:val="20"/>
                <w:lang w:val="es-CO" w:eastAsia="es-CO"/>
              </w:rPr>
              <w:t>6</w:t>
            </w:r>
          </w:p>
        </w:tc>
      </w:tr>
      <w:tr w:rsidR="00C33A53" w:rsidRPr="00C33A53" w14:paraId="36403C23" w14:textId="77777777" w:rsidTr="00CD6E79">
        <w:trPr>
          <w:trHeight w:val="300"/>
          <w:jc w:val="center"/>
        </w:trPr>
        <w:tc>
          <w:tcPr>
            <w:tcW w:w="2820" w:type="dxa"/>
            <w:tcBorders>
              <w:top w:val="nil"/>
              <w:left w:val="nil"/>
              <w:bottom w:val="nil"/>
              <w:right w:val="nil"/>
            </w:tcBorders>
            <w:shd w:val="clear" w:color="auto" w:fill="auto"/>
            <w:noWrap/>
            <w:vAlign w:val="bottom"/>
            <w:hideMark/>
          </w:tcPr>
          <w:p w14:paraId="61A10699" w14:textId="77777777" w:rsidR="00C33A53" w:rsidRDefault="00C33A53" w:rsidP="002F047C">
            <w:pPr>
              <w:ind w:firstLine="709"/>
              <w:rPr>
                <w:rFonts w:ascii="Arial" w:hAnsi="Arial" w:cs="Arial"/>
                <w:color w:val="000000"/>
                <w:sz w:val="20"/>
                <w:szCs w:val="20"/>
                <w:lang w:val="es-CO" w:eastAsia="es-CO"/>
              </w:rPr>
            </w:pPr>
            <w:r w:rsidRPr="00C33A53">
              <w:rPr>
                <w:rFonts w:ascii="Arial" w:hAnsi="Arial" w:cs="Arial"/>
                <w:color w:val="000000"/>
                <w:sz w:val="20"/>
                <w:szCs w:val="20"/>
                <w:lang w:val="es-CO" w:eastAsia="es-CO"/>
              </w:rPr>
              <w:t xml:space="preserve">Rodríguez-Martínez, </w:t>
            </w:r>
          </w:p>
          <w:p w14:paraId="7CA2E732" w14:textId="2FE0E43F" w:rsidR="00C33A53" w:rsidRPr="00C33A53" w:rsidRDefault="00C33A53" w:rsidP="002F047C">
            <w:pPr>
              <w:ind w:firstLine="709"/>
              <w:rPr>
                <w:rFonts w:ascii="Arial" w:hAnsi="Arial" w:cs="Arial"/>
                <w:color w:val="000000"/>
                <w:sz w:val="20"/>
                <w:szCs w:val="20"/>
                <w:lang w:val="es-CO" w:eastAsia="es-CO"/>
              </w:rPr>
            </w:pPr>
            <w:r w:rsidRPr="00C33A53">
              <w:rPr>
                <w:rFonts w:ascii="Arial" w:hAnsi="Arial" w:cs="Arial"/>
                <w:color w:val="000000"/>
                <w:sz w:val="20"/>
                <w:szCs w:val="20"/>
                <w:lang w:val="es-CO" w:eastAsia="es-CO"/>
              </w:rPr>
              <w:t>Carlos E.</w:t>
            </w:r>
          </w:p>
        </w:tc>
        <w:tc>
          <w:tcPr>
            <w:tcW w:w="1838" w:type="dxa"/>
            <w:tcBorders>
              <w:top w:val="nil"/>
              <w:left w:val="nil"/>
              <w:bottom w:val="nil"/>
              <w:right w:val="nil"/>
            </w:tcBorders>
          </w:tcPr>
          <w:p w14:paraId="311FDA29" w14:textId="77777777" w:rsidR="00C33A53" w:rsidRPr="00C33A53" w:rsidRDefault="00C33A53" w:rsidP="002F047C">
            <w:pPr>
              <w:ind w:firstLine="709"/>
              <w:jc w:val="center"/>
              <w:rPr>
                <w:rFonts w:ascii="Arial" w:hAnsi="Arial" w:cs="Arial"/>
                <w:color w:val="000000"/>
                <w:sz w:val="20"/>
                <w:szCs w:val="20"/>
                <w:lang w:val="es-CO" w:eastAsia="es-CO"/>
              </w:rPr>
            </w:pPr>
          </w:p>
        </w:tc>
        <w:tc>
          <w:tcPr>
            <w:tcW w:w="2194" w:type="dxa"/>
            <w:tcBorders>
              <w:top w:val="nil"/>
              <w:left w:val="nil"/>
              <w:bottom w:val="nil"/>
              <w:right w:val="nil"/>
            </w:tcBorders>
            <w:shd w:val="clear" w:color="auto" w:fill="auto"/>
            <w:noWrap/>
            <w:vAlign w:val="center"/>
            <w:hideMark/>
          </w:tcPr>
          <w:p w14:paraId="108C5CA2" w14:textId="521956B2" w:rsidR="00C33A53" w:rsidRPr="00C33A53" w:rsidRDefault="00C33A53" w:rsidP="002F047C">
            <w:pPr>
              <w:ind w:firstLine="709"/>
              <w:jc w:val="center"/>
              <w:rPr>
                <w:rFonts w:ascii="Arial" w:hAnsi="Arial" w:cs="Arial"/>
                <w:color w:val="000000"/>
                <w:sz w:val="20"/>
                <w:szCs w:val="20"/>
                <w:lang w:val="es-CO" w:eastAsia="es-CO"/>
              </w:rPr>
            </w:pPr>
            <w:r w:rsidRPr="00C33A53">
              <w:rPr>
                <w:rFonts w:ascii="Arial" w:hAnsi="Arial" w:cs="Arial"/>
                <w:color w:val="000000"/>
                <w:sz w:val="20"/>
                <w:szCs w:val="20"/>
                <w:lang w:val="es-CO" w:eastAsia="es-CO"/>
              </w:rPr>
              <w:t>7</w:t>
            </w:r>
          </w:p>
        </w:tc>
        <w:tc>
          <w:tcPr>
            <w:tcW w:w="1490" w:type="dxa"/>
            <w:tcBorders>
              <w:top w:val="nil"/>
              <w:left w:val="nil"/>
              <w:bottom w:val="nil"/>
              <w:right w:val="nil"/>
            </w:tcBorders>
            <w:shd w:val="clear" w:color="auto" w:fill="auto"/>
            <w:noWrap/>
            <w:vAlign w:val="center"/>
            <w:hideMark/>
          </w:tcPr>
          <w:p w14:paraId="73CA62E1" w14:textId="77777777" w:rsidR="00C33A53" w:rsidRPr="00C33A53" w:rsidRDefault="00C33A53" w:rsidP="002F047C">
            <w:pPr>
              <w:ind w:firstLine="709"/>
              <w:jc w:val="center"/>
              <w:rPr>
                <w:rFonts w:ascii="Arial" w:hAnsi="Arial" w:cs="Arial"/>
                <w:color w:val="000000"/>
                <w:sz w:val="20"/>
                <w:szCs w:val="20"/>
                <w:lang w:val="es-CO" w:eastAsia="es-CO"/>
              </w:rPr>
            </w:pPr>
            <w:r w:rsidRPr="00C33A53">
              <w:rPr>
                <w:rFonts w:ascii="Arial" w:hAnsi="Arial" w:cs="Arial"/>
                <w:color w:val="000000"/>
                <w:sz w:val="20"/>
                <w:szCs w:val="20"/>
                <w:lang w:val="es-CO" w:eastAsia="es-CO"/>
              </w:rPr>
              <w:t>23</w:t>
            </w:r>
          </w:p>
        </w:tc>
      </w:tr>
      <w:tr w:rsidR="00C33A53" w:rsidRPr="00C33A53" w14:paraId="119A5B14" w14:textId="77777777" w:rsidTr="00CD6E79">
        <w:trPr>
          <w:trHeight w:val="300"/>
          <w:jc w:val="center"/>
        </w:trPr>
        <w:tc>
          <w:tcPr>
            <w:tcW w:w="2820" w:type="dxa"/>
            <w:tcBorders>
              <w:top w:val="nil"/>
              <w:left w:val="nil"/>
              <w:bottom w:val="nil"/>
              <w:right w:val="nil"/>
            </w:tcBorders>
            <w:shd w:val="clear" w:color="auto" w:fill="auto"/>
            <w:noWrap/>
            <w:vAlign w:val="bottom"/>
            <w:hideMark/>
          </w:tcPr>
          <w:p w14:paraId="4B39CE1E" w14:textId="77777777" w:rsidR="00C33A53" w:rsidRDefault="00C33A53" w:rsidP="002F047C">
            <w:pPr>
              <w:ind w:firstLine="709"/>
              <w:rPr>
                <w:rFonts w:ascii="Arial" w:hAnsi="Arial" w:cs="Arial"/>
                <w:color w:val="000000"/>
                <w:sz w:val="20"/>
                <w:szCs w:val="20"/>
                <w:lang w:val="es-CO" w:eastAsia="es-CO"/>
              </w:rPr>
            </w:pPr>
            <w:r w:rsidRPr="00C33A53">
              <w:rPr>
                <w:rFonts w:ascii="Arial" w:hAnsi="Arial" w:cs="Arial"/>
                <w:color w:val="000000"/>
                <w:sz w:val="20"/>
                <w:szCs w:val="20"/>
                <w:lang w:val="es-CO" w:eastAsia="es-CO"/>
              </w:rPr>
              <w:t xml:space="preserve">Lindarte, Erika </w:t>
            </w:r>
          </w:p>
          <w:p w14:paraId="594FE1DB" w14:textId="798700E2" w:rsidR="00C33A53" w:rsidRPr="00C33A53" w:rsidRDefault="00C33A53" w:rsidP="002F047C">
            <w:pPr>
              <w:ind w:firstLine="709"/>
              <w:rPr>
                <w:rFonts w:ascii="Arial" w:hAnsi="Arial" w:cs="Arial"/>
                <w:color w:val="000000"/>
                <w:sz w:val="20"/>
                <w:szCs w:val="20"/>
                <w:lang w:val="es-CO" w:eastAsia="es-CO"/>
              </w:rPr>
            </w:pPr>
            <w:r w:rsidRPr="00C33A53">
              <w:rPr>
                <w:rFonts w:ascii="Arial" w:hAnsi="Arial" w:cs="Arial"/>
                <w:color w:val="000000"/>
                <w:sz w:val="20"/>
                <w:szCs w:val="20"/>
                <w:lang w:val="es-CO" w:eastAsia="es-CO"/>
              </w:rPr>
              <w:t>Fernanda</w:t>
            </w:r>
          </w:p>
        </w:tc>
        <w:tc>
          <w:tcPr>
            <w:tcW w:w="1838" w:type="dxa"/>
            <w:tcBorders>
              <w:top w:val="nil"/>
              <w:left w:val="nil"/>
              <w:bottom w:val="nil"/>
              <w:right w:val="nil"/>
            </w:tcBorders>
          </w:tcPr>
          <w:p w14:paraId="7A959D8F" w14:textId="77777777" w:rsidR="00C33A53" w:rsidRPr="00C33A53" w:rsidRDefault="00C33A53" w:rsidP="002F047C">
            <w:pPr>
              <w:ind w:firstLine="709"/>
              <w:jc w:val="center"/>
              <w:rPr>
                <w:rFonts w:ascii="Arial" w:hAnsi="Arial" w:cs="Arial"/>
                <w:color w:val="000000"/>
                <w:sz w:val="20"/>
                <w:szCs w:val="20"/>
                <w:lang w:val="es-CO" w:eastAsia="es-CO"/>
              </w:rPr>
            </w:pPr>
          </w:p>
        </w:tc>
        <w:tc>
          <w:tcPr>
            <w:tcW w:w="2194" w:type="dxa"/>
            <w:tcBorders>
              <w:top w:val="nil"/>
              <w:left w:val="nil"/>
              <w:bottom w:val="nil"/>
              <w:right w:val="nil"/>
            </w:tcBorders>
            <w:shd w:val="clear" w:color="auto" w:fill="auto"/>
            <w:noWrap/>
            <w:vAlign w:val="center"/>
            <w:hideMark/>
          </w:tcPr>
          <w:p w14:paraId="689871E9" w14:textId="2E011529" w:rsidR="00C33A53" w:rsidRPr="00C33A53" w:rsidRDefault="00C33A53" w:rsidP="002F047C">
            <w:pPr>
              <w:ind w:firstLine="709"/>
              <w:jc w:val="center"/>
              <w:rPr>
                <w:rFonts w:ascii="Arial" w:hAnsi="Arial" w:cs="Arial"/>
                <w:color w:val="000000"/>
                <w:sz w:val="20"/>
                <w:szCs w:val="20"/>
                <w:lang w:val="es-CO" w:eastAsia="es-CO"/>
              </w:rPr>
            </w:pPr>
            <w:r w:rsidRPr="00C33A53">
              <w:rPr>
                <w:rFonts w:ascii="Arial" w:hAnsi="Arial" w:cs="Arial"/>
                <w:color w:val="000000"/>
                <w:sz w:val="20"/>
                <w:szCs w:val="20"/>
                <w:lang w:val="es-CO" w:eastAsia="es-CO"/>
              </w:rPr>
              <w:t>6</w:t>
            </w:r>
          </w:p>
        </w:tc>
        <w:tc>
          <w:tcPr>
            <w:tcW w:w="1490" w:type="dxa"/>
            <w:tcBorders>
              <w:top w:val="nil"/>
              <w:left w:val="nil"/>
              <w:bottom w:val="nil"/>
              <w:right w:val="nil"/>
            </w:tcBorders>
            <w:shd w:val="clear" w:color="auto" w:fill="auto"/>
            <w:noWrap/>
            <w:vAlign w:val="center"/>
            <w:hideMark/>
          </w:tcPr>
          <w:p w14:paraId="3B56F24E" w14:textId="77777777" w:rsidR="00C33A53" w:rsidRPr="00C33A53" w:rsidRDefault="00C33A53" w:rsidP="002F047C">
            <w:pPr>
              <w:ind w:firstLine="709"/>
              <w:jc w:val="center"/>
              <w:rPr>
                <w:rFonts w:ascii="Arial" w:hAnsi="Arial" w:cs="Arial"/>
                <w:color w:val="000000"/>
                <w:sz w:val="20"/>
                <w:szCs w:val="20"/>
                <w:lang w:val="es-CO" w:eastAsia="es-CO"/>
              </w:rPr>
            </w:pPr>
            <w:r w:rsidRPr="00C33A53">
              <w:rPr>
                <w:rFonts w:ascii="Arial" w:hAnsi="Arial" w:cs="Arial"/>
                <w:color w:val="000000"/>
                <w:sz w:val="20"/>
                <w:szCs w:val="20"/>
                <w:lang w:val="es-CO" w:eastAsia="es-CO"/>
              </w:rPr>
              <w:t>1</w:t>
            </w:r>
          </w:p>
        </w:tc>
      </w:tr>
      <w:tr w:rsidR="00C33A53" w:rsidRPr="00C33A53" w14:paraId="4BD16DE6" w14:textId="77777777" w:rsidTr="00CD6E79">
        <w:trPr>
          <w:trHeight w:val="300"/>
          <w:jc w:val="center"/>
        </w:trPr>
        <w:tc>
          <w:tcPr>
            <w:tcW w:w="2820" w:type="dxa"/>
            <w:tcBorders>
              <w:top w:val="nil"/>
              <w:left w:val="nil"/>
              <w:bottom w:val="single" w:sz="4" w:space="0" w:color="auto"/>
              <w:right w:val="nil"/>
            </w:tcBorders>
            <w:shd w:val="clear" w:color="auto" w:fill="auto"/>
            <w:noWrap/>
            <w:vAlign w:val="bottom"/>
            <w:hideMark/>
          </w:tcPr>
          <w:p w14:paraId="762F359A" w14:textId="77777777" w:rsidR="00C33A53" w:rsidRDefault="00C33A53" w:rsidP="002F047C">
            <w:pPr>
              <w:ind w:firstLine="709"/>
              <w:rPr>
                <w:rFonts w:ascii="Arial" w:hAnsi="Arial" w:cs="Arial"/>
                <w:color w:val="000000"/>
                <w:sz w:val="20"/>
                <w:szCs w:val="20"/>
                <w:lang w:val="es-CO" w:eastAsia="es-CO"/>
              </w:rPr>
            </w:pPr>
            <w:r w:rsidRPr="00C33A53">
              <w:rPr>
                <w:rFonts w:ascii="Arial" w:hAnsi="Arial" w:cs="Arial"/>
                <w:color w:val="000000"/>
                <w:sz w:val="20"/>
                <w:szCs w:val="20"/>
                <w:lang w:val="es-CO" w:eastAsia="es-CO"/>
              </w:rPr>
              <w:t xml:space="preserve">Sossa-Briceño, </w:t>
            </w:r>
          </w:p>
          <w:p w14:paraId="69A4BF57" w14:textId="03A54405" w:rsidR="00C33A53" w:rsidRPr="00C33A53" w:rsidRDefault="00C33A53" w:rsidP="002F047C">
            <w:pPr>
              <w:ind w:firstLine="709"/>
              <w:rPr>
                <w:rFonts w:ascii="Arial" w:hAnsi="Arial" w:cs="Arial"/>
                <w:color w:val="000000"/>
                <w:sz w:val="20"/>
                <w:szCs w:val="20"/>
                <w:lang w:val="es-CO" w:eastAsia="es-CO"/>
              </w:rPr>
            </w:pPr>
            <w:r w:rsidRPr="00C33A53">
              <w:rPr>
                <w:rFonts w:ascii="Arial" w:hAnsi="Arial" w:cs="Arial"/>
                <w:color w:val="000000"/>
                <w:sz w:val="20"/>
                <w:szCs w:val="20"/>
                <w:lang w:val="es-CO" w:eastAsia="es-CO"/>
              </w:rPr>
              <w:t>Mónica P.</w:t>
            </w:r>
          </w:p>
        </w:tc>
        <w:tc>
          <w:tcPr>
            <w:tcW w:w="1838" w:type="dxa"/>
            <w:tcBorders>
              <w:top w:val="nil"/>
              <w:left w:val="nil"/>
              <w:bottom w:val="single" w:sz="4" w:space="0" w:color="auto"/>
              <w:right w:val="nil"/>
            </w:tcBorders>
          </w:tcPr>
          <w:p w14:paraId="6786C4BA" w14:textId="77777777" w:rsidR="00C33A53" w:rsidRPr="00C33A53" w:rsidRDefault="00C33A53" w:rsidP="002F047C">
            <w:pPr>
              <w:ind w:firstLine="709"/>
              <w:jc w:val="center"/>
              <w:rPr>
                <w:rFonts w:ascii="Arial" w:hAnsi="Arial" w:cs="Arial"/>
                <w:color w:val="000000"/>
                <w:sz w:val="20"/>
                <w:szCs w:val="20"/>
                <w:lang w:val="es-CO" w:eastAsia="es-CO"/>
              </w:rPr>
            </w:pPr>
          </w:p>
        </w:tc>
        <w:tc>
          <w:tcPr>
            <w:tcW w:w="2194" w:type="dxa"/>
            <w:tcBorders>
              <w:top w:val="nil"/>
              <w:left w:val="nil"/>
              <w:bottom w:val="single" w:sz="4" w:space="0" w:color="auto"/>
              <w:right w:val="nil"/>
            </w:tcBorders>
            <w:shd w:val="clear" w:color="auto" w:fill="auto"/>
            <w:noWrap/>
            <w:vAlign w:val="center"/>
            <w:hideMark/>
          </w:tcPr>
          <w:p w14:paraId="704D6BD5" w14:textId="58CA64B8" w:rsidR="00C33A53" w:rsidRPr="00C33A53" w:rsidRDefault="00C33A53" w:rsidP="002F047C">
            <w:pPr>
              <w:ind w:firstLine="709"/>
              <w:jc w:val="center"/>
              <w:rPr>
                <w:rFonts w:ascii="Arial" w:hAnsi="Arial" w:cs="Arial"/>
                <w:color w:val="000000"/>
                <w:sz w:val="20"/>
                <w:szCs w:val="20"/>
                <w:lang w:val="es-CO" w:eastAsia="es-CO"/>
              </w:rPr>
            </w:pPr>
            <w:r w:rsidRPr="00C33A53">
              <w:rPr>
                <w:rFonts w:ascii="Arial" w:hAnsi="Arial" w:cs="Arial"/>
                <w:color w:val="000000"/>
                <w:sz w:val="20"/>
                <w:szCs w:val="20"/>
                <w:lang w:val="es-CO" w:eastAsia="es-CO"/>
              </w:rPr>
              <w:t>4</w:t>
            </w:r>
          </w:p>
        </w:tc>
        <w:tc>
          <w:tcPr>
            <w:tcW w:w="1490" w:type="dxa"/>
            <w:tcBorders>
              <w:top w:val="nil"/>
              <w:left w:val="nil"/>
              <w:bottom w:val="single" w:sz="4" w:space="0" w:color="auto"/>
              <w:right w:val="nil"/>
            </w:tcBorders>
            <w:shd w:val="clear" w:color="auto" w:fill="auto"/>
            <w:noWrap/>
            <w:vAlign w:val="center"/>
            <w:hideMark/>
          </w:tcPr>
          <w:p w14:paraId="652EB48D" w14:textId="77777777" w:rsidR="00C33A53" w:rsidRPr="00C33A53" w:rsidRDefault="00C33A53" w:rsidP="002F047C">
            <w:pPr>
              <w:ind w:firstLine="709"/>
              <w:jc w:val="center"/>
              <w:rPr>
                <w:rFonts w:ascii="Arial" w:hAnsi="Arial" w:cs="Arial"/>
                <w:color w:val="000000"/>
                <w:sz w:val="20"/>
                <w:szCs w:val="20"/>
                <w:lang w:val="es-CO" w:eastAsia="es-CO"/>
              </w:rPr>
            </w:pPr>
            <w:r w:rsidRPr="00C33A53">
              <w:rPr>
                <w:rFonts w:ascii="Arial" w:hAnsi="Arial" w:cs="Arial"/>
                <w:color w:val="000000"/>
                <w:sz w:val="20"/>
                <w:szCs w:val="20"/>
                <w:lang w:val="es-CO" w:eastAsia="es-CO"/>
              </w:rPr>
              <w:t>15</w:t>
            </w:r>
          </w:p>
        </w:tc>
      </w:tr>
    </w:tbl>
    <w:p w14:paraId="6BE800F6" w14:textId="3E79D939" w:rsidR="00CD6E79" w:rsidRPr="00CD6E79" w:rsidRDefault="00CD6E79" w:rsidP="00CD6E79">
      <w:pPr>
        <w:spacing w:line="360" w:lineRule="auto"/>
        <w:ind w:firstLine="709"/>
        <w:jc w:val="center"/>
        <w:rPr>
          <w:rFonts w:ascii="Arial" w:hAnsi="Arial" w:cs="Arial"/>
          <w:sz w:val="20"/>
          <w:szCs w:val="20"/>
        </w:rPr>
      </w:pPr>
      <w:r w:rsidRPr="00CD6E79">
        <w:rPr>
          <w:rFonts w:ascii="Arial" w:hAnsi="Arial" w:cs="Arial"/>
          <w:sz w:val="20"/>
          <w:szCs w:val="20"/>
        </w:rPr>
        <w:t xml:space="preserve">Fuente: Elaboración propia, con base en los resultados de </w:t>
      </w:r>
      <w:proofErr w:type="spellStart"/>
      <w:r w:rsidRPr="00CD6E79">
        <w:rPr>
          <w:rFonts w:ascii="Arial" w:hAnsi="Arial" w:cs="Arial"/>
          <w:sz w:val="20"/>
          <w:szCs w:val="20"/>
        </w:rPr>
        <w:t>Scopus</w:t>
      </w:r>
      <w:proofErr w:type="spellEnd"/>
      <w:r w:rsidRPr="00CD6E79">
        <w:rPr>
          <w:rFonts w:ascii="Arial" w:hAnsi="Arial" w:cs="Arial"/>
          <w:sz w:val="20"/>
          <w:szCs w:val="20"/>
        </w:rPr>
        <w:t>, 2024.</w:t>
      </w:r>
    </w:p>
    <w:p w14:paraId="416F384B" w14:textId="77777777" w:rsidR="001E64FE" w:rsidRDefault="001E64FE" w:rsidP="006F0707">
      <w:pPr>
        <w:spacing w:line="360" w:lineRule="auto"/>
        <w:ind w:firstLine="709"/>
        <w:jc w:val="both"/>
        <w:rPr>
          <w:rFonts w:ascii="Arial" w:hAnsi="Arial" w:cs="Arial"/>
          <w:b/>
          <w:bCs/>
          <w:i/>
          <w:iCs/>
        </w:rPr>
      </w:pPr>
    </w:p>
    <w:p w14:paraId="4B610B1A" w14:textId="77777777" w:rsidR="001E64FE" w:rsidRDefault="001E64FE" w:rsidP="006F0707">
      <w:pPr>
        <w:spacing w:line="360" w:lineRule="auto"/>
        <w:ind w:firstLine="709"/>
        <w:jc w:val="both"/>
        <w:rPr>
          <w:rFonts w:ascii="Arial" w:hAnsi="Arial" w:cs="Arial"/>
          <w:b/>
          <w:bCs/>
          <w:i/>
          <w:iCs/>
        </w:rPr>
      </w:pPr>
    </w:p>
    <w:p w14:paraId="77F70FBF" w14:textId="77777777" w:rsidR="001E64FE" w:rsidRDefault="001E64FE" w:rsidP="006F0707">
      <w:pPr>
        <w:spacing w:line="360" w:lineRule="auto"/>
        <w:ind w:firstLine="709"/>
        <w:jc w:val="both"/>
        <w:rPr>
          <w:rFonts w:ascii="Arial" w:hAnsi="Arial" w:cs="Arial"/>
          <w:b/>
          <w:bCs/>
          <w:i/>
          <w:iCs/>
        </w:rPr>
      </w:pPr>
    </w:p>
    <w:p w14:paraId="6D1B317F" w14:textId="77777777" w:rsidR="001E64FE" w:rsidRDefault="001E64FE" w:rsidP="006F0707">
      <w:pPr>
        <w:spacing w:line="360" w:lineRule="auto"/>
        <w:ind w:firstLine="709"/>
        <w:jc w:val="both"/>
        <w:rPr>
          <w:rFonts w:ascii="Arial" w:hAnsi="Arial" w:cs="Arial"/>
          <w:b/>
          <w:bCs/>
          <w:i/>
          <w:iCs/>
        </w:rPr>
      </w:pPr>
    </w:p>
    <w:p w14:paraId="65AC37F0" w14:textId="5C240686" w:rsidR="006F0707" w:rsidRPr="00C67D90" w:rsidRDefault="006F0707" w:rsidP="006F0707">
      <w:pPr>
        <w:spacing w:line="360" w:lineRule="auto"/>
        <w:ind w:firstLine="709"/>
        <w:jc w:val="both"/>
        <w:rPr>
          <w:rFonts w:ascii="Arial" w:hAnsi="Arial" w:cs="Arial"/>
          <w:b/>
          <w:bCs/>
        </w:rPr>
      </w:pPr>
      <w:r w:rsidRPr="00C67D90">
        <w:rPr>
          <w:rFonts w:ascii="Arial" w:hAnsi="Arial" w:cs="Arial"/>
          <w:b/>
          <w:bCs/>
          <w:i/>
          <w:iCs/>
        </w:rPr>
        <w:lastRenderedPageBreak/>
        <w:t xml:space="preserve">Artículos más </w:t>
      </w:r>
      <w:r w:rsidR="001E7C80" w:rsidRPr="00C67D90">
        <w:rPr>
          <w:rFonts w:ascii="Arial" w:hAnsi="Arial" w:cs="Arial"/>
          <w:b/>
          <w:bCs/>
          <w:i/>
          <w:iCs/>
        </w:rPr>
        <w:t>c</w:t>
      </w:r>
      <w:r w:rsidRPr="00C67D90">
        <w:rPr>
          <w:rFonts w:ascii="Arial" w:hAnsi="Arial" w:cs="Arial"/>
          <w:b/>
          <w:bCs/>
          <w:i/>
          <w:iCs/>
        </w:rPr>
        <w:t>itados</w:t>
      </w:r>
    </w:p>
    <w:p w14:paraId="4E88AADB" w14:textId="77777777" w:rsidR="00C67D90" w:rsidRDefault="00C67D90" w:rsidP="00C67D90">
      <w:pPr>
        <w:spacing w:line="360" w:lineRule="auto"/>
        <w:jc w:val="both"/>
        <w:rPr>
          <w:rFonts w:ascii="Arial" w:hAnsi="Arial" w:cs="Arial"/>
        </w:rPr>
      </w:pPr>
    </w:p>
    <w:p w14:paraId="74CCAAD6" w14:textId="77777777" w:rsidR="00033525" w:rsidRDefault="006F0707" w:rsidP="00C67D90">
      <w:pPr>
        <w:spacing w:line="360" w:lineRule="auto"/>
        <w:jc w:val="both"/>
        <w:rPr>
          <w:rFonts w:ascii="Arial" w:hAnsi="Arial" w:cs="Arial"/>
        </w:rPr>
      </w:pPr>
      <w:r w:rsidRPr="00C67D90">
        <w:rPr>
          <w:rFonts w:ascii="Arial" w:hAnsi="Arial" w:cs="Arial"/>
        </w:rPr>
        <w:t xml:space="preserve">A continuación, en la tabla 5 se presentan los trabajos sobre la economía de la salud en Colombia con el mayor número de citaciones, en primer lugar, se encuentra el estudio realizado por Bonilla et al (2015), el cual registra 221 citaciones. </w:t>
      </w:r>
    </w:p>
    <w:p w14:paraId="4EFF0006" w14:textId="77777777" w:rsidR="00033525" w:rsidRDefault="00033525" w:rsidP="00C67D90">
      <w:pPr>
        <w:spacing w:line="360" w:lineRule="auto"/>
        <w:jc w:val="both"/>
        <w:rPr>
          <w:rFonts w:ascii="Arial" w:hAnsi="Arial" w:cs="Arial"/>
        </w:rPr>
      </w:pPr>
    </w:p>
    <w:p w14:paraId="1AEAE1E8" w14:textId="6AC2D1FE" w:rsidR="006F0707" w:rsidRPr="00C67D90" w:rsidRDefault="006F0707" w:rsidP="00C67D90">
      <w:pPr>
        <w:spacing w:line="360" w:lineRule="auto"/>
        <w:jc w:val="both"/>
        <w:rPr>
          <w:rFonts w:ascii="Arial" w:hAnsi="Arial" w:cs="Arial"/>
          <w:highlight w:val="yellow"/>
        </w:rPr>
      </w:pPr>
      <w:r w:rsidRPr="00C67D90">
        <w:rPr>
          <w:rFonts w:ascii="Arial" w:hAnsi="Arial" w:cs="Arial"/>
        </w:rPr>
        <w:t xml:space="preserve">En este escrito, los autores utilizan la base de datos Web </w:t>
      </w:r>
      <w:proofErr w:type="spellStart"/>
      <w:r w:rsidRPr="00C67D90">
        <w:rPr>
          <w:rFonts w:ascii="Arial" w:hAnsi="Arial" w:cs="Arial"/>
        </w:rPr>
        <w:t>of</w:t>
      </w:r>
      <w:proofErr w:type="spellEnd"/>
      <w:r w:rsidRPr="00C67D90">
        <w:rPr>
          <w:rFonts w:ascii="Arial" w:hAnsi="Arial" w:cs="Arial"/>
        </w:rPr>
        <w:t xml:space="preserve"> </w:t>
      </w:r>
      <w:proofErr w:type="spellStart"/>
      <w:r w:rsidRPr="00C67D90">
        <w:rPr>
          <w:rFonts w:ascii="Arial" w:hAnsi="Arial" w:cs="Arial"/>
        </w:rPr>
        <w:t>Science</w:t>
      </w:r>
      <w:proofErr w:type="spellEnd"/>
      <w:r w:rsidRPr="00C67D90">
        <w:rPr>
          <w:rFonts w:ascii="Arial" w:hAnsi="Arial" w:cs="Arial"/>
        </w:rPr>
        <w:t xml:space="preserve"> para recopilar información y proporcionar varios indicadores bibliométricos, incluido el número total de publicaciones y citas, y el índice h. Los resultados indican que Brasil, México, Chile, Argentina y Colombia son los únicos países con un número significativo de publicaciones en economía en Web </w:t>
      </w:r>
      <w:proofErr w:type="spellStart"/>
      <w:r w:rsidRPr="00C67D90">
        <w:rPr>
          <w:rFonts w:ascii="Arial" w:hAnsi="Arial" w:cs="Arial"/>
        </w:rPr>
        <w:t>of</w:t>
      </w:r>
      <w:proofErr w:type="spellEnd"/>
      <w:r w:rsidRPr="00C67D90">
        <w:rPr>
          <w:rFonts w:ascii="Arial" w:hAnsi="Arial" w:cs="Arial"/>
        </w:rPr>
        <w:t xml:space="preserve"> </w:t>
      </w:r>
      <w:proofErr w:type="spellStart"/>
      <w:r w:rsidRPr="00C67D90">
        <w:rPr>
          <w:rFonts w:ascii="Arial" w:hAnsi="Arial" w:cs="Arial"/>
        </w:rPr>
        <w:t>Science</w:t>
      </w:r>
      <w:proofErr w:type="spellEnd"/>
      <w:r w:rsidRPr="00C67D90">
        <w:rPr>
          <w:rFonts w:ascii="Arial" w:hAnsi="Arial" w:cs="Arial"/>
        </w:rPr>
        <w:t xml:space="preserve">, Aunque Costa Rica y Uruguay también muestran resultados considerables en términos de per cápita. La evolución anual muestra un aumento significativo en los últimos 5 años que parece continuar en el futuro, posiblemente apuntando a alcanzar estándares similares a los de los países más competitivos del mundo </w:t>
      </w:r>
      <w:r w:rsidRPr="00C67D90">
        <w:rPr>
          <w:rFonts w:ascii="Arial" w:hAnsi="Arial" w:cs="Arial"/>
        </w:rPr>
        <w:fldChar w:fldCharType="begin"/>
      </w:r>
      <w:r w:rsidRPr="00C67D90">
        <w:rPr>
          <w:rFonts w:ascii="Arial" w:hAnsi="Arial" w:cs="Arial"/>
        </w:rPr>
        <w:instrText xml:space="preserve"> ADDIN ZOTERO_ITEM CSL_CITATION {"citationID":"VuAG7Rms","properties":{"formattedCitation":"(Bonilla et\\uc0\\u160{}al., 2015)","plainCitation":"(Bonilla et al., 2015)","noteIndex":0},"citationItems":[{"id":324,"uris":["http://zotero.org/users/local/2poXFmzI/items/F34P7BUH"],"itemData":{"id":324,"type":"article-journal","container-title":"Scientometrics","DOI":"10.1007/s11192-015-1747-7","ISSN":"0138-9130, 1588-2861","issue":"2","journalAbbreviation":"Scientometrics","language":"en","page":"1239-1252","source":"DOI.org (Crossref)","title":"Economics in Latin America: a bibliometric analysis","title-short":"Economics in Latin America","volume":"105","author":[{"family":"Bonilla","given":"Claudio A."},{"family":"Merigó","given":"José M."},{"family":"Torres-Abad","given":"Carolina"}],"issued":{"date-parts":[["2015",11]]}}}],"schema":"https://github.com/citation-style-language/schema/raw/master/csl-citation.json"} </w:instrText>
      </w:r>
      <w:r w:rsidRPr="00C67D90">
        <w:rPr>
          <w:rFonts w:ascii="Arial" w:hAnsi="Arial" w:cs="Arial"/>
        </w:rPr>
        <w:fldChar w:fldCharType="separate"/>
      </w:r>
      <w:r w:rsidRPr="00C67D90">
        <w:rPr>
          <w:rFonts w:ascii="Arial" w:hAnsi="Arial" w:cs="Arial"/>
        </w:rPr>
        <w:t>(Bonilla et al., 2015)</w:t>
      </w:r>
      <w:r w:rsidRPr="00C67D90">
        <w:rPr>
          <w:rFonts w:ascii="Arial" w:hAnsi="Arial" w:cs="Arial"/>
        </w:rPr>
        <w:fldChar w:fldCharType="end"/>
      </w:r>
      <w:r w:rsidRPr="00C67D90">
        <w:rPr>
          <w:rFonts w:ascii="Arial" w:hAnsi="Arial" w:cs="Arial"/>
        </w:rPr>
        <w:t>.</w:t>
      </w:r>
    </w:p>
    <w:p w14:paraId="27FE670E" w14:textId="77777777" w:rsidR="00C67D90" w:rsidRDefault="00C67D90" w:rsidP="00C67D90">
      <w:pPr>
        <w:spacing w:line="360" w:lineRule="auto"/>
        <w:jc w:val="both"/>
        <w:rPr>
          <w:rFonts w:ascii="Arial" w:hAnsi="Arial" w:cs="Arial"/>
        </w:rPr>
      </w:pPr>
    </w:p>
    <w:p w14:paraId="3FE95474" w14:textId="6C0F74BD" w:rsidR="006F0707" w:rsidRPr="00C67D90" w:rsidRDefault="006F0707" w:rsidP="00C67D90">
      <w:pPr>
        <w:spacing w:line="360" w:lineRule="auto"/>
        <w:jc w:val="both"/>
        <w:rPr>
          <w:rFonts w:ascii="Arial" w:hAnsi="Arial" w:cs="Arial"/>
          <w:highlight w:val="yellow"/>
        </w:rPr>
      </w:pPr>
      <w:r w:rsidRPr="00C67D90">
        <w:rPr>
          <w:rFonts w:ascii="Arial" w:hAnsi="Arial" w:cs="Arial"/>
        </w:rPr>
        <w:t xml:space="preserve">Ocupa el segundo lugar con 116 citaciones, el documento de García et al (2020) allí, se analizó el contexto y las respuestas iniciales de ocho países latinoamericanos seleccionados sobre la atención del </w:t>
      </w:r>
      <w:proofErr w:type="spellStart"/>
      <w:r w:rsidRPr="00C67D90">
        <w:rPr>
          <w:rFonts w:ascii="Arial" w:hAnsi="Arial" w:cs="Arial"/>
        </w:rPr>
        <w:t>covid</w:t>
      </w:r>
      <w:proofErr w:type="spellEnd"/>
      <w:r w:rsidRPr="00C67D90">
        <w:rPr>
          <w:rFonts w:ascii="Arial" w:hAnsi="Arial" w:cs="Arial"/>
        </w:rPr>
        <w:t xml:space="preserve"> 19, incluidas similitudes y diferencias en medidas de salud pública, económicas y fiscales, y brinda reflexiones sobre lo que funcionó y lo que no funcionó y qué esperar en el futuro </w:t>
      </w:r>
      <w:r w:rsidRPr="00C67D90">
        <w:rPr>
          <w:rFonts w:ascii="Arial" w:hAnsi="Arial" w:cs="Arial"/>
        </w:rPr>
        <w:fldChar w:fldCharType="begin"/>
      </w:r>
      <w:r w:rsidRPr="00C67D90">
        <w:rPr>
          <w:rFonts w:ascii="Arial" w:hAnsi="Arial" w:cs="Arial"/>
        </w:rPr>
        <w:instrText xml:space="preserve"> ADDIN ZOTERO_ITEM CSL_CITATION {"citationID":"wcpaybwz","properties":{"formattedCitation":"(Garcia et\\uc0\\u160{}al., 2020)","plainCitation":"(Garcia et al., 2020)","dontUpdate":true,"noteIndex":0},"citationItems":[{"id":581,"uris":["http://zotero.org/users/local/2poXFmzI/items/MJN9MRN4"],"itemData":{"id":581,"type":"article-journal","abstract":"Effective management of a pandemic due to a respiratory virus requires public health capacity for a coordinated response for mandatory restrictions, large-scale testing to identify infected individuals, capacity to isolate infected cases and track and test contacts, and health services for those infected who require hospitalization. Because of contextual and socioeconomic factors, it has been hard for Latin America to confront this epidemic. In this article, we discuss the context and the initial responses of eight selected Latin American countries, including similarities and differences in public health, economic, and fiscal measures, and provide reflections on what worked and what did not work and what to expect moving forward. Copyright © 2020 by The American Society of Tropical Medicine and Hygiene","archive":"Scopus","container-title":"American Journal of Tropical Medicine and Hygiene","DOI":"10.4269/ajtmh.20-0765","ISSN":"00029637 (ISSN)","issue":"5","journalAbbreviation":"Am. J. Trop. Med. Hyg.","language":"English","note":"publisher: American Society of Tropical Medicine and Hygiene","page":"1765-1772","title":"COVID-19 Response in Latin America","volume":"103","author":[{"family":"Garcia","given":"P.J."},{"family":"Alarcón","given":"A."},{"family":"Bayer","given":"A."},{"family":"Buss","given":"P."},{"family":"Guerra","given":"G."},{"family":"Ribeiro","given":"H."},{"family":"Rojas","given":"K."},{"family":"Saenz","given":"R."},{"family":"Snyder","given":"N.S.","non-dropping-particle":"de"},{"family":"Solimano","given":"G."},{"family":"Torres","given":"R."},{"family":"Tobar","given":"S."},{"family":"Tuesca","given":"R."},{"family":"Vargas","given":"G."},{"family":"Atun","given":"R."}],"issued":{"date-parts":[["2020"]]}}}],"schema":"https://github.com/citation-style-language/schema/raw/master/csl-citation.json"} </w:instrText>
      </w:r>
      <w:r w:rsidRPr="00C67D90">
        <w:rPr>
          <w:rFonts w:ascii="Arial" w:hAnsi="Arial" w:cs="Arial"/>
        </w:rPr>
        <w:fldChar w:fldCharType="separate"/>
      </w:r>
      <w:r w:rsidRPr="00C67D90">
        <w:rPr>
          <w:rFonts w:ascii="Arial" w:hAnsi="Arial" w:cs="Arial"/>
        </w:rPr>
        <w:t>(García et al., 2020)</w:t>
      </w:r>
      <w:r w:rsidRPr="00C67D90">
        <w:rPr>
          <w:rFonts w:ascii="Arial" w:hAnsi="Arial" w:cs="Arial"/>
        </w:rPr>
        <w:fldChar w:fldCharType="end"/>
      </w:r>
      <w:r w:rsidRPr="00C67D90">
        <w:rPr>
          <w:rFonts w:ascii="Arial" w:hAnsi="Arial" w:cs="Arial"/>
        </w:rPr>
        <w:t>.</w:t>
      </w:r>
    </w:p>
    <w:p w14:paraId="7559B171" w14:textId="65C4493E" w:rsidR="006F0707" w:rsidRPr="00C67D90" w:rsidRDefault="006F0707" w:rsidP="00C67D90">
      <w:pPr>
        <w:spacing w:line="360" w:lineRule="auto"/>
        <w:jc w:val="both"/>
        <w:rPr>
          <w:rFonts w:ascii="Arial" w:hAnsi="Arial" w:cs="Arial"/>
        </w:rPr>
      </w:pPr>
      <w:r w:rsidRPr="00C67D90">
        <w:rPr>
          <w:rFonts w:ascii="Arial" w:hAnsi="Arial" w:cs="Arial"/>
        </w:rPr>
        <w:lastRenderedPageBreak/>
        <w:t xml:space="preserve">En tercer lugar, aparece el trabajo de Borrajo et al (2007), este documento cuenta con 106 citaciones y explora el tamizaje neonatal en América Latina a principios del siglo XXI. Destacándose que actualmente, el hipotiroidismo congénito (HC) es la enfermedad más ampliamente detectada, seguida de la fenilcetonuria, con programas NBS organizados para HC en 14 países </w:t>
      </w:r>
      <w:r w:rsidRPr="00C67D90">
        <w:rPr>
          <w:rFonts w:ascii="Arial" w:hAnsi="Arial" w:cs="Arial"/>
        </w:rPr>
        <w:fldChar w:fldCharType="begin"/>
      </w:r>
      <w:r w:rsidRPr="00C67D90">
        <w:rPr>
          <w:rFonts w:ascii="Arial" w:hAnsi="Arial" w:cs="Arial"/>
        </w:rPr>
        <w:instrText xml:space="preserve"> ADDIN ZOTERO_ITEM CSL_CITATION {"citationID":"uEPAypXz","properties":{"formattedCitation":"(Borrajo, 2007)","plainCitation":"(Borrajo, 2007)","noteIndex":0},"citationItems":[{"id":541,"uris":["http://zotero.org/users/local/2poXFmzI/items/TXHJKTGT"],"itemData":{"id":541,"type":"paper-conference","abstract":"Newborn screening (NBS) in Latin America took its first steps in the mid-1970s. Nevertheless, many years elapsed before it achieved its integration within the public health care system and its systematic and continuous implementation under a programme structure. Latin American countries can be characterized not only by their great geographic, demographic, ethnic, economic and health system diversity, but also by their heterogeneity in NBS activities, which gives rise to variation in degree of organization: countries with optimal fulfilment (Cuba, Costa Rica, Chile, Uruguay); others rapidly expanding their coverage (Brazil, Mexico, Argentina); some others in a recent implementation phase (Colombia, Paraguay, Venezuela, Nicaragua, Peru); others with minimal, isolated and non-organized activities (Guatemala, Dominican Republic, Bolivia, Panama, Ecuador); and finally others without any NBS activities at all (El Salvador, Honduras, Haiti). Despite this disparity, a sustained and significant growth in NBS activities has become evident during the last decade, highlighted by implementation of new programmes, increase in coverage, expansion of NBS panels, increasing involvement of governmental and public health authorities, and integration of NBS teams through scientific societies and External Quality Assurance Schemes. Currently, congenital hypothyroidism (CH) is the most widely screened disease, followed by phenylketonuria, with organized NBS programmes for CH in 14 countries. Other diseases usually included in NBS programmes are screened in a lower rate. Every year, around 11.2 million infants are born in Latin America. During 2005, 49.3% of newborns were screened for CH, indicating that around 5.7 million newborns still did not have access to the benefits of NBS. © SSIEM and Springer 2007.","archive":"Scopus","container-title":"J. Inherit. Metab. Dis.","DOI":"10.1007/s10545-007-0669-9","event-title":"Journal of Inherited Metabolic Disease","ISBN":"15732665 (ISSN)","language":"English","note":"issue: 4\njournalAbbreviation: J. Inherit. Metab. Dis.","page":"466-481","title":"Newborn screening in Latin America at the beginning of the 21st century","URL":"https://www.scopus.com/inward/record.uri?eid=2-s2.0-34548481991&amp;doi=10.1007%2fs10545-007-0669-9&amp;partnerID=40&amp;md5=073e3e398cc0a973a5b085c4243e26d0","volume":"30","author":[{"family":"Borrajo","given":"G.J.C."}],"issued":{"date-parts":[["2007"]]}}}],"schema":"https://github.com/citation-style-language/schema/raw/master/csl-citation.json"} </w:instrText>
      </w:r>
      <w:r w:rsidRPr="00C67D90">
        <w:rPr>
          <w:rFonts w:ascii="Arial" w:hAnsi="Arial" w:cs="Arial"/>
        </w:rPr>
        <w:fldChar w:fldCharType="separate"/>
      </w:r>
      <w:r w:rsidRPr="00C67D90">
        <w:rPr>
          <w:rFonts w:ascii="Arial" w:hAnsi="Arial" w:cs="Arial"/>
        </w:rPr>
        <w:t>(Borrajo, 2007)</w:t>
      </w:r>
      <w:r w:rsidRPr="00C67D90">
        <w:rPr>
          <w:rFonts w:ascii="Arial" w:hAnsi="Arial" w:cs="Arial"/>
        </w:rPr>
        <w:fldChar w:fldCharType="end"/>
      </w:r>
      <w:r w:rsidRPr="00C67D90">
        <w:rPr>
          <w:rFonts w:ascii="Arial" w:hAnsi="Arial" w:cs="Arial"/>
        </w:rPr>
        <w:t>.</w:t>
      </w:r>
    </w:p>
    <w:p w14:paraId="6D02E8AD" w14:textId="77777777" w:rsidR="00567046" w:rsidRDefault="00567046" w:rsidP="00C67D90">
      <w:pPr>
        <w:spacing w:line="360" w:lineRule="auto"/>
        <w:jc w:val="both"/>
        <w:rPr>
          <w:rFonts w:ascii="Arial" w:hAnsi="Arial" w:cs="Arial"/>
        </w:rPr>
      </w:pPr>
    </w:p>
    <w:p w14:paraId="0CF92AF3" w14:textId="727E294A" w:rsidR="006F0707" w:rsidRPr="00C67D90" w:rsidRDefault="006F0707" w:rsidP="00C67D90">
      <w:pPr>
        <w:spacing w:line="360" w:lineRule="auto"/>
        <w:jc w:val="both"/>
        <w:rPr>
          <w:rFonts w:ascii="Arial" w:hAnsi="Arial" w:cs="Arial"/>
        </w:rPr>
      </w:pPr>
      <w:r w:rsidRPr="00C67D90">
        <w:rPr>
          <w:rFonts w:ascii="Arial" w:hAnsi="Arial" w:cs="Arial"/>
        </w:rPr>
        <w:t xml:space="preserve">En cuarto lugar, se encuentra el artículo de Murphy (2020), con 83 citaciones, el  estudio ha estado recopilo datos sobre el gasto en salud de hogares con Enfermedades No Transmisibles – ENT en 18 países, mostrando que la protección financiera de los costos de atención médica para las personas con ENT es inadecuado, particularmente en los países de ingresos bajos y medios </w:t>
      </w:r>
      <w:r w:rsidRPr="00C67D90">
        <w:rPr>
          <w:rFonts w:ascii="Arial" w:hAnsi="Arial" w:cs="Arial"/>
        </w:rPr>
        <w:fldChar w:fldCharType="begin"/>
      </w:r>
      <w:r w:rsidRPr="00C67D90">
        <w:rPr>
          <w:rFonts w:ascii="Arial" w:hAnsi="Arial" w:cs="Arial"/>
        </w:rPr>
        <w:instrText xml:space="preserve"> ADDIN ZOTERO_ITEM CSL_CITATION {"citationID":"Wh8Lhzjn","properties":{"formattedCitation":"(Murphy et\\uc0\\u160{}al., 2020)","plainCitation":"(Murphy et al., 2020)","noteIndex":0},"citationItems":[{"id":533,"uris":["http://zotero.org/users/local/2poXFmzI/items/WPGS6S2P"],"itemData":{"id":533,"type":"article-journal","abstract":"Background Non-communicable diseases (NCDs) are the leading cause of death globally. In 2014, the United Nations committed to reducing premature mortality from NCDs, including by reducing the burden of healthcare costs. Since 2014, the Prospective Urban and Rural Epidemiology (PURE) Study has been collecting health expenditure data from households with NCDs in 18 countries. Methods Using data from the PURE Study, we estimated risk of catastrophic health spending and impoverishment among households with at least one person with NCDs (cardiovascular disease, diabetes, kidney disease, cancer and respiratory diseases; n=17 435), with hypertension only (a leading risk factor for NCDs; n=11 831) or with neither (n=22 654) by country income group: high-income countries (Canada and Sweden), upper middle income countries (UMICs: Brazil, Chile, Malaysia, Poland, South Africa and Turkey), lower middle income countries (LMICs: the Philippines, Colombia, India, Iran and the Occupied Palestinian Territory) and low-income countries (LICs: Bangladesh, Pakistan, Zimbabwe and Tanzania) and China. Results The prevalence of catastrophic spending and impoverishment is highest among households with NCDs in LMICs and China. After adjusting for covariates that might drive health expenditure, the absolute risk of catastrophic spending is higher in households with NCDs compared with no NCDs in LMICs (risk difference=1.71%; 95% CI 0.75 to 2.67), UMICs (0.82%; 95% CI 0.37 to 1.27) and China (7.52%; 95% CI 5.88 to 9.16). A similar pattern is observed in UMICs and China for impoverishment. A high proportion of those with NCDs in LICs, especially women (38.7% compared with 12.6% in men), reported not taking medication due to costs. Conclusions Our findings show that financial protection from healthcare costs for people with NCDs is inadequate, particularly in LMICs and China. While the burden of NCD care may appear greatest in LMICs and China, the burden in LICs may be masked by care foregone due to costs. The high proportion of women reporting foregone care due to cost may in part explain gender inequality in treatment of NCDs. © Author(s) (or their employer(s)) 2020. Re-use permitted under CC BY. Published by BMJ.","archive":"Scopus","container-title":"BMJ Global Health","DOI":"10.1136/bmjgh-2019-002040","ISSN":"20597908 (ISSN)","issue":"2","journalAbbreviation":"BMJ Glob. Health","language":"English","note":"publisher: BMJ Publishing Group","title":"The household economic burden of non-communicable diseases in 18 countries","URL":"https://www.scopus.com/inward/record.uri?eid=2-s2.0-85079695231&amp;doi=10.1136%2fbmjgh-2019-002040&amp;partnerID=40&amp;md5=217fbcecc6cf54268215c0c9cb5f8a68","volume":"5","author":[{"family":"Murphy","given":"A."},{"family":"Palafox","given":"B."},{"family":"Walli-Attaei","given":"M."},{"family":"Powell-Jackson","given":"T."},{"family":"Rangarajan","given":"S."},{"family":"Alhabib","given":"K.F."},{"family":"Avezum","given":"A.J."},{"family":"Calik","given":"K.B.T."},{"family":"Chifamba","given":"J."},{"family":"Choudhury","given":"T."},{"family":"Dagenais","given":"G."},{"family":"Dans","given":"A.L."},{"family":"Gupta","given":"R."},{"family":"Iqbal","given":"R."},{"family":"Kaur","given":"M."},{"family":"Kelishadi","given":"R."},{"family":"Khatib","given":"R."},{"family":"Kruger","given":"I.M."},{"family":"Kutty","given":"V.R."},{"family":"Lear","given":"S.A."},{"family":"Li","given":"W."},{"family":"Lopez-Jaramillo","given":"P."},{"family":"Mohan","given":"V."},{"family":"Mony","given":"P.K."},{"family":"Orlandini","given":"A."},{"family":"Rosengren","given":"A."},{"family":"Rosnah","given":"I."},{"family":"Seron","given":"P."},{"family":"Teo","given":"K."},{"family":"Tse","given":"L.A."},{"family":"Tsolekile","given":"L."},{"family":"Wang","given":"Y."},{"family":"Wielgosz","given":"A."},{"family":"Yan","given":"R."},{"family":"Yeates","given":"K.E."},{"family":"Yusoff","given":"K."},{"family":"Zatonska","given":"K."},{"family":"Hanson","given":"K."},{"family":"Yusuf","given":"S."},{"family":"McKee","given":"M."}],"issued":{"date-parts":[["2020"]]}}}],"schema":"https://github.com/citation-style-language/schema/raw/master/csl-citation.json"} </w:instrText>
      </w:r>
      <w:r w:rsidRPr="00C67D90">
        <w:rPr>
          <w:rFonts w:ascii="Arial" w:hAnsi="Arial" w:cs="Arial"/>
        </w:rPr>
        <w:fldChar w:fldCharType="separate"/>
      </w:r>
      <w:r w:rsidRPr="00C67D90">
        <w:rPr>
          <w:rFonts w:ascii="Arial" w:hAnsi="Arial" w:cs="Arial"/>
        </w:rPr>
        <w:t>(Murphy et al., 2020)</w:t>
      </w:r>
      <w:r w:rsidRPr="00C67D90">
        <w:rPr>
          <w:rFonts w:ascii="Arial" w:hAnsi="Arial" w:cs="Arial"/>
        </w:rPr>
        <w:fldChar w:fldCharType="end"/>
      </w:r>
      <w:r w:rsidRPr="00C67D90">
        <w:rPr>
          <w:rFonts w:ascii="Arial" w:hAnsi="Arial" w:cs="Arial"/>
        </w:rPr>
        <w:t>.</w:t>
      </w:r>
    </w:p>
    <w:p w14:paraId="3EF6D33D" w14:textId="77777777" w:rsidR="00C67D90" w:rsidRDefault="00C67D90" w:rsidP="00C67D90">
      <w:pPr>
        <w:spacing w:line="360" w:lineRule="auto"/>
        <w:jc w:val="both"/>
        <w:rPr>
          <w:rFonts w:ascii="Arial" w:hAnsi="Arial" w:cs="Arial"/>
        </w:rPr>
      </w:pPr>
    </w:p>
    <w:p w14:paraId="428CB3F2" w14:textId="77777777" w:rsidR="00033525" w:rsidRDefault="006F0707" w:rsidP="00C67D90">
      <w:pPr>
        <w:spacing w:line="360" w:lineRule="auto"/>
        <w:jc w:val="both"/>
        <w:rPr>
          <w:rFonts w:ascii="Arial" w:hAnsi="Arial" w:cs="Arial"/>
        </w:rPr>
      </w:pPr>
      <w:r w:rsidRPr="00C67D90">
        <w:rPr>
          <w:rFonts w:ascii="Arial" w:hAnsi="Arial" w:cs="Arial"/>
        </w:rPr>
        <w:t xml:space="preserve">En el quinto lugar, con 82 citas, se encuentra el documento de Iglesias (2005), el cual investigó el uso de estudios de Evaluación Económica (EE) en el proceso de toma de decisiones dentro del sistema de salud de nueve países latinoamericanos y tres europeos. El objetivo era identificar las oportunidades, obstáculos y cambios necesarios para facilitar la introducción de la EE como una herramienta formal en los procesos de toma de decisiones en el ámbito de la atención sanitaria en América Latina. </w:t>
      </w:r>
    </w:p>
    <w:p w14:paraId="7419EFD8" w14:textId="77777777" w:rsidR="00033525" w:rsidRDefault="00033525" w:rsidP="00C67D90">
      <w:pPr>
        <w:spacing w:line="360" w:lineRule="auto"/>
        <w:jc w:val="both"/>
        <w:rPr>
          <w:rFonts w:ascii="Arial" w:hAnsi="Arial" w:cs="Arial"/>
        </w:rPr>
      </w:pPr>
    </w:p>
    <w:p w14:paraId="4DF15929" w14:textId="2AE025E1" w:rsidR="006F0707" w:rsidRPr="00C67D90" w:rsidRDefault="006F0707" w:rsidP="00C67D90">
      <w:pPr>
        <w:spacing w:line="360" w:lineRule="auto"/>
        <w:jc w:val="both"/>
        <w:rPr>
          <w:rFonts w:ascii="Arial" w:hAnsi="Arial" w:cs="Arial"/>
        </w:rPr>
      </w:pPr>
      <w:r w:rsidRPr="00C67D90">
        <w:rPr>
          <w:rFonts w:ascii="Arial" w:hAnsi="Arial" w:cs="Arial"/>
        </w:rPr>
        <w:t xml:space="preserve">El estudio concluyó que para incorporar la evaluación económica en los sistemas de salud es necesario contar con recursos y habilidades adecuadas para llevar a </w:t>
      </w:r>
      <w:r w:rsidRPr="00C67D90">
        <w:rPr>
          <w:rFonts w:ascii="Arial" w:hAnsi="Arial" w:cs="Arial"/>
        </w:rPr>
        <w:lastRenderedPageBreak/>
        <w:t xml:space="preserve">cabo una EE de alta calidad, y que es fundamental modificar los procedimientos de toma de decisiones para incluir enfoques basados ​​en evidencia </w:t>
      </w:r>
      <w:r w:rsidRPr="00C67D90">
        <w:rPr>
          <w:rFonts w:ascii="Arial" w:hAnsi="Arial" w:cs="Arial"/>
        </w:rPr>
        <w:fldChar w:fldCharType="begin"/>
      </w:r>
      <w:r w:rsidRPr="00C67D90">
        <w:rPr>
          <w:rFonts w:ascii="Arial" w:hAnsi="Arial" w:cs="Arial"/>
        </w:rPr>
        <w:instrText xml:space="preserve"> ADDIN ZOTERO_ITEM CSL_CITATION {"citationID":"SgVc2Zcv","properties":{"formattedCitation":"(Iglesias et\\uc0\\u160{}al., 2005)","plainCitation":"(Iglesias et al., 2005)","noteIndex":0},"citationItems":[{"id":435,"uris":["http://zotero.org/users/local/2poXFmzI/items/2999EABK"],"itemData":{"id":435,"type":"article-journal","abstract":"Objectives: The use of economic evaluation studies (EE) in the decision-making process within the health-care system of nine Latin American (LA) and three European countries was investigated. The aim was to identify the opportunities, obstacles, and changes needed to facilitate the introduction of EE as a formal tool in health-care decision-making processes in LA. Methods: A comparative study was conducted based on existing literature and information provided through a questionnaire applied to decision makers in Argentina, Brazil, Colombia, Cuba, Mexico, Nicaragua, Peru, Portugal Spain, United Kingdom, Uruguay, and Venezuela. Systematic electronic searches of HEED, NHS EED, and LILACS were conducted to identify published economic evaluation studies in LA from 1982 onward. Results: There is relatively little evidence of the conduct and use of EE within the health care systems in LA. Electronic searches retrieved 554 records; however, only 93 were EE. In the nine LA participating countries, broad allocation of health-care resources is primarily based on political criteria, historical records, geographical areas, and specific groups of patients and diseases. Public-health provision and inclusion of services in health-insurance package are responsibilities of the Ministry of Health. Decisions regarding the purchase of medicines are primarily made through public tenders, and mainly based on differences in clinical efficacy and the price of health technologies of interest. Conclusions: To expedite the process of incorporating EE as a formal tool to inform decision-making processes within the health-care systems in LA countries, two main conditions need to be fulfilled. First, adequate resources and skills need to be available to conduct EE of good quality. Second, decision-making procedures need to be modified to accommodate \"evidence-based\" approaches such as EE.","archive":"Scopus","container-title":"International Journal of Technology Assessment in Health Care","DOI":"10.1017/S0266462305050014","ISSN":"02664623 (ISSN)","issue":"1","journalAbbreviation":"Int. J. Technol. Assess. Health Care","language":"English","note":"publisher: Cambridge University Press","page":"1-14","title":"Health-care decision-making processes in Latin America: Problems and prospects for the use of economic evaluation","volume":"21","author":[{"family":"Iglesias","given":"C.P."},{"family":"Drummond","given":"M.F."},{"family":"Rovira","given":"J."}],"issued":{"date-parts":[["2005"]]}}}],"schema":"https://github.com/citation-style-language/schema/raw/master/csl-citation.json"} </w:instrText>
      </w:r>
      <w:r w:rsidRPr="00C67D90">
        <w:rPr>
          <w:rFonts w:ascii="Arial" w:hAnsi="Arial" w:cs="Arial"/>
        </w:rPr>
        <w:fldChar w:fldCharType="separate"/>
      </w:r>
      <w:r w:rsidRPr="00C67D90">
        <w:rPr>
          <w:rFonts w:ascii="Arial" w:hAnsi="Arial" w:cs="Arial"/>
        </w:rPr>
        <w:t>(Iglesias et al., 2005)</w:t>
      </w:r>
      <w:r w:rsidRPr="00C67D90">
        <w:rPr>
          <w:rFonts w:ascii="Arial" w:hAnsi="Arial" w:cs="Arial"/>
        </w:rPr>
        <w:fldChar w:fldCharType="end"/>
      </w:r>
      <w:r w:rsidRPr="00C67D90">
        <w:rPr>
          <w:rFonts w:ascii="Arial" w:hAnsi="Arial" w:cs="Arial"/>
        </w:rPr>
        <w:t>.</w:t>
      </w:r>
    </w:p>
    <w:p w14:paraId="7366E3B3" w14:textId="77777777" w:rsidR="003038CB" w:rsidRDefault="003038CB" w:rsidP="006F0707">
      <w:pPr>
        <w:spacing w:line="360" w:lineRule="auto"/>
        <w:jc w:val="center"/>
        <w:rPr>
          <w:rFonts w:ascii="Arial" w:hAnsi="Arial" w:cs="Arial"/>
          <w:b/>
          <w:bCs/>
          <w:sz w:val="20"/>
          <w:szCs w:val="20"/>
        </w:rPr>
      </w:pPr>
    </w:p>
    <w:p w14:paraId="5003BF23" w14:textId="798EB947" w:rsidR="006F0707" w:rsidRDefault="006F0707" w:rsidP="006F0707">
      <w:pPr>
        <w:spacing w:line="360" w:lineRule="auto"/>
        <w:jc w:val="center"/>
        <w:rPr>
          <w:rFonts w:ascii="Arial" w:hAnsi="Arial" w:cs="Arial"/>
          <w:b/>
          <w:bCs/>
          <w:sz w:val="20"/>
          <w:szCs w:val="20"/>
        </w:rPr>
      </w:pPr>
      <w:r w:rsidRPr="00C67D90">
        <w:rPr>
          <w:rFonts w:ascii="Arial" w:hAnsi="Arial" w:cs="Arial"/>
          <w:b/>
          <w:bCs/>
          <w:sz w:val="20"/>
          <w:szCs w:val="20"/>
        </w:rPr>
        <w:t xml:space="preserve">Tabla 5. Documentos con el </w:t>
      </w:r>
      <w:r w:rsidR="00C67D90">
        <w:rPr>
          <w:rFonts w:ascii="Arial" w:hAnsi="Arial" w:cs="Arial"/>
          <w:b/>
          <w:bCs/>
          <w:sz w:val="20"/>
          <w:szCs w:val="20"/>
        </w:rPr>
        <w:t>m</w:t>
      </w:r>
      <w:r w:rsidRPr="00C67D90">
        <w:rPr>
          <w:rFonts w:ascii="Arial" w:hAnsi="Arial" w:cs="Arial"/>
          <w:b/>
          <w:bCs/>
          <w:sz w:val="20"/>
          <w:szCs w:val="20"/>
        </w:rPr>
        <w:t xml:space="preserve">ayor </w:t>
      </w:r>
      <w:r w:rsidR="00C67D90">
        <w:rPr>
          <w:rFonts w:ascii="Arial" w:hAnsi="Arial" w:cs="Arial"/>
          <w:b/>
          <w:bCs/>
          <w:sz w:val="20"/>
          <w:szCs w:val="20"/>
        </w:rPr>
        <w:t>n</w:t>
      </w:r>
      <w:r w:rsidRPr="00C67D90">
        <w:rPr>
          <w:rFonts w:ascii="Arial" w:hAnsi="Arial" w:cs="Arial"/>
          <w:b/>
          <w:bCs/>
          <w:sz w:val="20"/>
          <w:szCs w:val="20"/>
        </w:rPr>
        <w:t>úmero de citaciones</w:t>
      </w:r>
    </w:p>
    <w:p w14:paraId="76B05BD4" w14:textId="77777777" w:rsidR="00010FBB" w:rsidRPr="00C67D90" w:rsidRDefault="00010FBB" w:rsidP="006F0707">
      <w:pPr>
        <w:spacing w:line="360" w:lineRule="auto"/>
        <w:jc w:val="center"/>
        <w:rPr>
          <w:rFonts w:ascii="Arial" w:hAnsi="Arial" w:cs="Arial"/>
          <w:b/>
          <w:bCs/>
          <w:sz w:val="20"/>
          <w:szCs w:val="20"/>
        </w:rPr>
      </w:pPr>
    </w:p>
    <w:tbl>
      <w:tblPr>
        <w:tblW w:w="10798" w:type="dxa"/>
        <w:jc w:val="center"/>
        <w:tblCellMar>
          <w:left w:w="70" w:type="dxa"/>
          <w:right w:w="70" w:type="dxa"/>
        </w:tblCellMar>
        <w:tblLook w:val="04A0" w:firstRow="1" w:lastRow="0" w:firstColumn="1" w:lastColumn="0" w:noHBand="0" w:noVBand="1"/>
      </w:tblPr>
      <w:tblGrid>
        <w:gridCol w:w="3320"/>
        <w:gridCol w:w="2161"/>
        <w:gridCol w:w="1294"/>
        <w:gridCol w:w="2840"/>
        <w:gridCol w:w="1183"/>
      </w:tblGrid>
      <w:tr w:rsidR="009731DB" w:rsidRPr="009731DB" w14:paraId="347856B1" w14:textId="77777777" w:rsidTr="001A6625">
        <w:trPr>
          <w:trHeight w:val="360"/>
          <w:jc w:val="center"/>
        </w:trPr>
        <w:tc>
          <w:tcPr>
            <w:tcW w:w="3320" w:type="dxa"/>
            <w:tcBorders>
              <w:top w:val="single" w:sz="4" w:space="0" w:color="auto"/>
              <w:left w:val="nil"/>
              <w:bottom w:val="single" w:sz="4" w:space="0" w:color="auto"/>
              <w:right w:val="nil"/>
            </w:tcBorders>
            <w:shd w:val="clear" w:color="auto" w:fill="auto"/>
            <w:noWrap/>
            <w:vAlign w:val="center"/>
            <w:hideMark/>
          </w:tcPr>
          <w:p w14:paraId="36C5126E" w14:textId="65B9570F" w:rsidR="009731DB" w:rsidRPr="009731DB" w:rsidRDefault="00010FBB" w:rsidP="002F047C">
            <w:pPr>
              <w:ind w:firstLine="709"/>
              <w:jc w:val="center"/>
              <w:rPr>
                <w:rFonts w:ascii="Arial" w:hAnsi="Arial" w:cs="Arial"/>
                <w:b/>
                <w:bCs/>
                <w:color w:val="000000"/>
                <w:sz w:val="20"/>
                <w:szCs w:val="20"/>
                <w:lang w:eastAsia="es-CO"/>
              </w:rPr>
            </w:pPr>
            <w:r w:rsidRPr="009731DB">
              <w:rPr>
                <w:rFonts w:ascii="Arial" w:hAnsi="Arial" w:cs="Arial"/>
                <w:b/>
                <w:bCs/>
                <w:color w:val="000000"/>
                <w:sz w:val="20"/>
                <w:szCs w:val="20"/>
                <w:lang w:eastAsia="es-CO"/>
              </w:rPr>
              <w:t>Título</w:t>
            </w:r>
            <w:r w:rsidR="009731DB" w:rsidRPr="009731DB">
              <w:rPr>
                <w:rFonts w:ascii="Arial" w:hAnsi="Arial" w:cs="Arial"/>
                <w:b/>
                <w:bCs/>
                <w:color w:val="000000"/>
                <w:sz w:val="20"/>
                <w:szCs w:val="20"/>
                <w:lang w:eastAsia="es-CO"/>
              </w:rPr>
              <w:t xml:space="preserve"> del Articulo </w:t>
            </w:r>
          </w:p>
        </w:tc>
        <w:tc>
          <w:tcPr>
            <w:tcW w:w="2161" w:type="dxa"/>
            <w:tcBorders>
              <w:top w:val="single" w:sz="4" w:space="0" w:color="auto"/>
              <w:left w:val="nil"/>
              <w:bottom w:val="single" w:sz="4" w:space="0" w:color="auto"/>
              <w:right w:val="nil"/>
            </w:tcBorders>
            <w:shd w:val="clear" w:color="auto" w:fill="auto"/>
            <w:noWrap/>
            <w:vAlign w:val="center"/>
            <w:hideMark/>
          </w:tcPr>
          <w:p w14:paraId="4160D1B7" w14:textId="77777777" w:rsidR="009731DB" w:rsidRPr="009731DB" w:rsidRDefault="009731DB" w:rsidP="002F047C">
            <w:pPr>
              <w:ind w:firstLine="709"/>
              <w:jc w:val="center"/>
              <w:rPr>
                <w:rFonts w:ascii="Arial" w:hAnsi="Arial" w:cs="Arial"/>
                <w:b/>
                <w:bCs/>
                <w:color w:val="000000"/>
                <w:sz w:val="20"/>
                <w:szCs w:val="20"/>
                <w:lang w:eastAsia="es-CO"/>
              </w:rPr>
            </w:pPr>
            <w:r w:rsidRPr="009731DB">
              <w:rPr>
                <w:rFonts w:ascii="Arial" w:hAnsi="Arial" w:cs="Arial"/>
                <w:b/>
                <w:bCs/>
                <w:color w:val="000000"/>
                <w:sz w:val="20"/>
                <w:szCs w:val="20"/>
                <w:lang w:eastAsia="es-CO"/>
              </w:rPr>
              <w:t>Revista</w:t>
            </w:r>
          </w:p>
        </w:tc>
        <w:tc>
          <w:tcPr>
            <w:tcW w:w="1294" w:type="dxa"/>
            <w:tcBorders>
              <w:top w:val="single" w:sz="4" w:space="0" w:color="auto"/>
              <w:left w:val="nil"/>
              <w:bottom w:val="single" w:sz="4" w:space="0" w:color="auto"/>
              <w:right w:val="nil"/>
            </w:tcBorders>
            <w:shd w:val="clear" w:color="auto" w:fill="auto"/>
            <w:noWrap/>
            <w:vAlign w:val="center"/>
            <w:hideMark/>
          </w:tcPr>
          <w:p w14:paraId="3A5A2575" w14:textId="77777777" w:rsidR="009731DB" w:rsidRPr="009731DB" w:rsidRDefault="009731DB" w:rsidP="002F047C">
            <w:pPr>
              <w:ind w:firstLine="709"/>
              <w:jc w:val="center"/>
              <w:rPr>
                <w:rFonts w:ascii="Arial" w:hAnsi="Arial" w:cs="Arial"/>
                <w:b/>
                <w:bCs/>
                <w:color w:val="000000"/>
                <w:sz w:val="20"/>
                <w:szCs w:val="20"/>
                <w:lang w:eastAsia="es-CO"/>
              </w:rPr>
            </w:pPr>
            <w:r w:rsidRPr="009731DB">
              <w:rPr>
                <w:rFonts w:ascii="Arial" w:hAnsi="Arial" w:cs="Arial"/>
                <w:b/>
                <w:bCs/>
                <w:color w:val="000000"/>
                <w:sz w:val="20"/>
                <w:szCs w:val="20"/>
                <w:lang w:eastAsia="es-CO"/>
              </w:rPr>
              <w:t xml:space="preserve">Año </w:t>
            </w:r>
          </w:p>
        </w:tc>
        <w:tc>
          <w:tcPr>
            <w:tcW w:w="2840" w:type="dxa"/>
            <w:tcBorders>
              <w:top w:val="single" w:sz="4" w:space="0" w:color="auto"/>
              <w:left w:val="nil"/>
              <w:bottom w:val="single" w:sz="4" w:space="0" w:color="auto"/>
              <w:right w:val="nil"/>
            </w:tcBorders>
            <w:shd w:val="clear" w:color="auto" w:fill="auto"/>
            <w:noWrap/>
            <w:vAlign w:val="center"/>
            <w:hideMark/>
          </w:tcPr>
          <w:p w14:paraId="2F5BDA63" w14:textId="77777777" w:rsidR="009731DB" w:rsidRPr="009731DB" w:rsidRDefault="009731DB" w:rsidP="002F047C">
            <w:pPr>
              <w:ind w:firstLine="709"/>
              <w:jc w:val="center"/>
              <w:rPr>
                <w:rFonts w:ascii="Arial" w:hAnsi="Arial" w:cs="Arial"/>
                <w:b/>
                <w:bCs/>
                <w:color w:val="000000"/>
                <w:sz w:val="20"/>
                <w:szCs w:val="20"/>
                <w:lang w:eastAsia="es-CO"/>
              </w:rPr>
            </w:pPr>
            <w:r w:rsidRPr="009731DB">
              <w:rPr>
                <w:rFonts w:ascii="Arial" w:hAnsi="Arial" w:cs="Arial"/>
                <w:b/>
                <w:bCs/>
                <w:color w:val="000000"/>
                <w:sz w:val="20"/>
                <w:szCs w:val="20"/>
                <w:lang w:eastAsia="es-CO"/>
              </w:rPr>
              <w:t>Autor (Es)</w:t>
            </w:r>
          </w:p>
        </w:tc>
        <w:tc>
          <w:tcPr>
            <w:tcW w:w="1183" w:type="dxa"/>
            <w:tcBorders>
              <w:top w:val="single" w:sz="4" w:space="0" w:color="auto"/>
              <w:left w:val="nil"/>
              <w:bottom w:val="single" w:sz="4" w:space="0" w:color="auto"/>
              <w:right w:val="nil"/>
            </w:tcBorders>
            <w:shd w:val="clear" w:color="auto" w:fill="auto"/>
            <w:noWrap/>
            <w:vAlign w:val="center"/>
            <w:hideMark/>
          </w:tcPr>
          <w:p w14:paraId="71D5DC7B" w14:textId="08526207" w:rsidR="009731DB" w:rsidRPr="009731DB" w:rsidRDefault="00010FBB" w:rsidP="00010FBB">
            <w:pPr>
              <w:rPr>
                <w:rFonts w:ascii="Arial" w:hAnsi="Arial" w:cs="Arial"/>
                <w:b/>
                <w:bCs/>
                <w:color w:val="000000"/>
                <w:sz w:val="20"/>
                <w:szCs w:val="20"/>
                <w:lang w:eastAsia="es-CO"/>
              </w:rPr>
            </w:pPr>
            <w:r>
              <w:rPr>
                <w:rFonts w:ascii="Arial" w:hAnsi="Arial" w:cs="Arial"/>
                <w:b/>
                <w:bCs/>
                <w:color w:val="000000"/>
                <w:sz w:val="20"/>
                <w:szCs w:val="20"/>
                <w:lang w:eastAsia="es-CO"/>
              </w:rPr>
              <w:t xml:space="preserve">   </w:t>
            </w:r>
            <w:r w:rsidR="009731DB" w:rsidRPr="009731DB">
              <w:rPr>
                <w:rFonts w:ascii="Arial" w:hAnsi="Arial" w:cs="Arial"/>
                <w:b/>
                <w:bCs/>
                <w:color w:val="000000"/>
                <w:sz w:val="20"/>
                <w:szCs w:val="20"/>
                <w:lang w:eastAsia="es-CO"/>
              </w:rPr>
              <w:t xml:space="preserve"> N° Citas</w:t>
            </w:r>
          </w:p>
        </w:tc>
      </w:tr>
      <w:tr w:rsidR="009731DB" w:rsidRPr="009731DB" w14:paraId="10AA0AF8" w14:textId="77777777" w:rsidTr="001A6625">
        <w:trPr>
          <w:trHeight w:val="555"/>
          <w:jc w:val="center"/>
        </w:trPr>
        <w:tc>
          <w:tcPr>
            <w:tcW w:w="3320" w:type="dxa"/>
            <w:tcBorders>
              <w:top w:val="nil"/>
              <w:left w:val="nil"/>
              <w:bottom w:val="nil"/>
              <w:right w:val="nil"/>
            </w:tcBorders>
            <w:shd w:val="clear" w:color="auto" w:fill="auto"/>
            <w:vAlign w:val="center"/>
            <w:hideMark/>
          </w:tcPr>
          <w:p w14:paraId="07A28F75" w14:textId="77777777" w:rsidR="009731DB" w:rsidRPr="009731DB" w:rsidRDefault="009731DB" w:rsidP="003D72C8">
            <w:pPr>
              <w:jc w:val="both"/>
              <w:rPr>
                <w:rFonts w:ascii="Arial" w:hAnsi="Arial" w:cs="Arial"/>
                <w:color w:val="000000"/>
                <w:sz w:val="20"/>
                <w:szCs w:val="20"/>
                <w:lang w:val="en-US" w:eastAsia="es-CO"/>
              </w:rPr>
            </w:pPr>
            <w:r w:rsidRPr="009731DB">
              <w:rPr>
                <w:rFonts w:ascii="Arial" w:hAnsi="Arial" w:cs="Arial"/>
                <w:color w:val="000000"/>
                <w:sz w:val="20"/>
                <w:szCs w:val="20"/>
                <w:lang w:val="en-US" w:eastAsia="es-CO"/>
              </w:rPr>
              <w:t>Economics in Latin America: a bibliometric analysis</w:t>
            </w:r>
          </w:p>
        </w:tc>
        <w:tc>
          <w:tcPr>
            <w:tcW w:w="2161" w:type="dxa"/>
            <w:tcBorders>
              <w:top w:val="nil"/>
              <w:left w:val="nil"/>
              <w:bottom w:val="nil"/>
              <w:right w:val="nil"/>
            </w:tcBorders>
            <w:shd w:val="clear" w:color="auto" w:fill="auto"/>
            <w:vAlign w:val="center"/>
            <w:hideMark/>
          </w:tcPr>
          <w:p w14:paraId="0266361A" w14:textId="77777777" w:rsidR="009731DB" w:rsidRPr="009731DB" w:rsidRDefault="009731DB" w:rsidP="002F047C">
            <w:pPr>
              <w:ind w:firstLine="709"/>
              <w:jc w:val="center"/>
              <w:rPr>
                <w:rFonts w:ascii="Arial" w:hAnsi="Arial" w:cs="Arial"/>
                <w:color w:val="000000"/>
                <w:sz w:val="20"/>
                <w:szCs w:val="20"/>
                <w:lang w:val="es-CO" w:eastAsia="es-CO"/>
              </w:rPr>
            </w:pPr>
            <w:proofErr w:type="spellStart"/>
            <w:r w:rsidRPr="009731DB">
              <w:rPr>
                <w:rFonts w:ascii="Arial" w:hAnsi="Arial" w:cs="Arial"/>
                <w:color w:val="000000"/>
                <w:sz w:val="20"/>
                <w:szCs w:val="20"/>
                <w:lang w:eastAsia="es-CO"/>
              </w:rPr>
              <w:t>Scientometrics</w:t>
            </w:r>
            <w:proofErr w:type="spellEnd"/>
            <w:r w:rsidRPr="009731DB">
              <w:rPr>
                <w:rFonts w:ascii="Arial" w:hAnsi="Arial" w:cs="Arial"/>
                <w:color w:val="000000"/>
                <w:sz w:val="20"/>
                <w:szCs w:val="20"/>
                <w:lang w:eastAsia="es-CO"/>
              </w:rPr>
              <w:t xml:space="preserve"> </w:t>
            </w:r>
            <w:proofErr w:type="gramStart"/>
            <w:r w:rsidRPr="009731DB">
              <w:rPr>
                <w:rFonts w:ascii="Arial" w:hAnsi="Arial" w:cs="Arial"/>
                <w:color w:val="000000"/>
                <w:sz w:val="20"/>
                <w:szCs w:val="20"/>
                <w:lang w:eastAsia="es-CO"/>
              </w:rPr>
              <w:t>105 ,</w:t>
            </w:r>
            <w:proofErr w:type="gramEnd"/>
            <w:r w:rsidRPr="009731DB">
              <w:rPr>
                <w:rFonts w:ascii="Arial" w:hAnsi="Arial" w:cs="Arial"/>
                <w:color w:val="000000"/>
                <w:sz w:val="20"/>
                <w:szCs w:val="20"/>
                <w:lang w:eastAsia="es-CO"/>
              </w:rPr>
              <w:t xml:space="preserve"> 1239-1252 (2015</w:t>
            </w:r>
            <w:r w:rsidRPr="009731DB">
              <w:rPr>
                <w:rFonts w:ascii="Arial" w:hAnsi="Arial" w:cs="Arial"/>
                <w:color w:val="000000"/>
                <w:sz w:val="20"/>
                <w:szCs w:val="20"/>
                <w:lang w:val="es-CO" w:eastAsia="es-CO"/>
              </w:rPr>
              <w:t>)</w:t>
            </w:r>
          </w:p>
        </w:tc>
        <w:tc>
          <w:tcPr>
            <w:tcW w:w="1294" w:type="dxa"/>
            <w:tcBorders>
              <w:top w:val="nil"/>
              <w:left w:val="nil"/>
              <w:bottom w:val="nil"/>
              <w:right w:val="nil"/>
            </w:tcBorders>
            <w:shd w:val="clear" w:color="auto" w:fill="auto"/>
            <w:noWrap/>
            <w:vAlign w:val="center"/>
            <w:hideMark/>
          </w:tcPr>
          <w:p w14:paraId="26363892" w14:textId="77777777" w:rsidR="009731DB" w:rsidRPr="009731DB" w:rsidRDefault="009731DB" w:rsidP="002F047C">
            <w:pPr>
              <w:ind w:firstLine="709"/>
              <w:jc w:val="center"/>
              <w:rPr>
                <w:rFonts w:ascii="Arial" w:hAnsi="Arial" w:cs="Arial"/>
                <w:color w:val="000000"/>
                <w:sz w:val="20"/>
                <w:szCs w:val="20"/>
                <w:lang w:eastAsia="es-CO"/>
              </w:rPr>
            </w:pPr>
            <w:r w:rsidRPr="009731DB">
              <w:rPr>
                <w:rFonts w:ascii="Arial" w:hAnsi="Arial" w:cs="Arial"/>
                <w:color w:val="000000"/>
                <w:sz w:val="20"/>
                <w:szCs w:val="20"/>
                <w:lang w:eastAsia="es-CO"/>
              </w:rPr>
              <w:t>2015</w:t>
            </w:r>
          </w:p>
        </w:tc>
        <w:tc>
          <w:tcPr>
            <w:tcW w:w="2840" w:type="dxa"/>
            <w:tcBorders>
              <w:top w:val="nil"/>
              <w:left w:val="nil"/>
              <w:bottom w:val="nil"/>
              <w:right w:val="nil"/>
            </w:tcBorders>
            <w:shd w:val="clear" w:color="auto" w:fill="auto"/>
            <w:vAlign w:val="center"/>
            <w:hideMark/>
          </w:tcPr>
          <w:p w14:paraId="09250A91" w14:textId="77777777" w:rsidR="009731DB" w:rsidRPr="009731DB" w:rsidRDefault="009731DB" w:rsidP="002F047C">
            <w:pPr>
              <w:ind w:firstLine="709"/>
              <w:jc w:val="both"/>
              <w:rPr>
                <w:rFonts w:ascii="Arial" w:hAnsi="Arial" w:cs="Arial"/>
                <w:color w:val="000000"/>
                <w:sz w:val="20"/>
                <w:szCs w:val="20"/>
                <w:lang w:eastAsia="es-CO"/>
              </w:rPr>
            </w:pPr>
            <w:r w:rsidRPr="009731DB">
              <w:rPr>
                <w:rFonts w:ascii="Arial" w:hAnsi="Arial" w:cs="Arial"/>
                <w:color w:val="000000"/>
                <w:sz w:val="20"/>
                <w:szCs w:val="20"/>
                <w:lang w:eastAsia="es-CO"/>
              </w:rPr>
              <w:t xml:space="preserve">Bonilla, CA, </w:t>
            </w:r>
            <w:proofErr w:type="spellStart"/>
            <w:r w:rsidRPr="009731DB">
              <w:rPr>
                <w:rFonts w:ascii="Arial" w:hAnsi="Arial" w:cs="Arial"/>
                <w:color w:val="000000"/>
                <w:sz w:val="20"/>
                <w:szCs w:val="20"/>
                <w:lang w:eastAsia="es-CO"/>
              </w:rPr>
              <w:t>Merigó</w:t>
            </w:r>
            <w:proofErr w:type="spellEnd"/>
            <w:r w:rsidRPr="009731DB">
              <w:rPr>
                <w:rFonts w:ascii="Arial" w:hAnsi="Arial" w:cs="Arial"/>
                <w:color w:val="000000"/>
                <w:sz w:val="20"/>
                <w:szCs w:val="20"/>
                <w:lang w:eastAsia="es-CO"/>
              </w:rPr>
              <w:t xml:space="preserve">, JM &amp; Torres-Abad, C. </w:t>
            </w:r>
          </w:p>
        </w:tc>
        <w:tc>
          <w:tcPr>
            <w:tcW w:w="1183" w:type="dxa"/>
            <w:tcBorders>
              <w:top w:val="nil"/>
              <w:left w:val="nil"/>
              <w:bottom w:val="nil"/>
              <w:right w:val="nil"/>
            </w:tcBorders>
            <w:shd w:val="clear" w:color="auto" w:fill="auto"/>
            <w:noWrap/>
            <w:vAlign w:val="center"/>
            <w:hideMark/>
          </w:tcPr>
          <w:p w14:paraId="6D1318C4" w14:textId="77777777" w:rsidR="009731DB" w:rsidRPr="009731DB" w:rsidRDefault="009731DB" w:rsidP="002F047C">
            <w:pPr>
              <w:ind w:firstLine="709"/>
              <w:jc w:val="center"/>
              <w:rPr>
                <w:rFonts w:ascii="Arial" w:hAnsi="Arial" w:cs="Arial"/>
                <w:color w:val="000000"/>
                <w:sz w:val="20"/>
                <w:szCs w:val="20"/>
                <w:lang w:eastAsia="es-CO"/>
              </w:rPr>
            </w:pPr>
            <w:r w:rsidRPr="009731DB">
              <w:rPr>
                <w:rFonts w:ascii="Arial" w:hAnsi="Arial" w:cs="Arial"/>
                <w:color w:val="000000"/>
                <w:sz w:val="20"/>
                <w:szCs w:val="20"/>
                <w:lang w:eastAsia="es-CO"/>
              </w:rPr>
              <w:t>221</w:t>
            </w:r>
          </w:p>
        </w:tc>
      </w:tr>
      <w:tr w:rsidR="009731DB" w:rsidRPr="009731DB" w14:paraId="6FB3F005" w14:textId="77777777" w:rsidTr="001A6625">
        <w:trPr>
          <w:trHeight w:val="1680"/>
          <w:jc w:val="center"/>
        </w:trPr>
        <w:tc>
          <w:tcPr>
            <w:tcW w:w="3320" w:type="dxa"/>
            <w:tcBorders>
              <w:top w:val="nil"/>
              <w:left w:val="nil"/>
              <w:bottom w:val="nil"/>
              <w:right w:val="nil"/>
            </w:tcBorders>
            <w:shd w:val="clear" w:color="auto" w:fill="auto"/>
            <w:vAlign w:val="center"/>
            <w:hideMark/>
          </w:tcPr>
          <w:p w14:paraId="667397FE" w14:textId="77777777" w:rsidR="009731DB" w:rsidRPr="009731DB" w:rsidRDefault="009731DB" w:rsidP="003D72C8">
            <w:pPr>
              <w:jc w:val="both"/>
              <w:rPr>
                <w:rFonts w:ascii="Arial" w:hAnsi="Arial" w:cs="Arial"/>
                <w:color w:val="000000"/>
                <w:sz w:val="20"/>
                <w:szCs w:val="20"/>
                <w:lang w:val="en-US" w:eastAsia="es-CO"/>
              </w:rPr>
            </w:pPr>
            <w:r w:rsidRPr="009731DB">
              <w:rPr>
                <w:rFonts w:ascii="Arial" w:hAnsi="Arial" w:cs="Arial"/>
                <w:color w:val="000000"/>
                <w:sz w:val="20"/>
                <w:szCs w:val="20"/>
                <w:lang w:val="en-US" w:eastAsia="es-CO"/>
              </w:rPr>
              <w:t>COVID-19 Response in Latin America</w:t>
            </w:r>
          </w:p>
        </w:tc>
        <w:tc>
          <w:tcPr>
            <w:tcW w:w="2161" w:type="dxa"/>
            <w:tcBorders>
              <w:top w:val="nil"/>
              <w:left w:val="nil"/>
              <w:bottom w:val="nil"/>
              <w:right w:val="nil"/>
            </w:tcBorders>
            <w:shd w:val="clear" w:color="auto" w:fill="auto"/>
            <w:vAlign w:val="center"/>
            <w:hideMark/>
          </w:tcPr>
          <w:p w14:paraId="7B9AEB8C" w14:textId="77777777" w:rsidR="009731DB" w:rsidRPr="009731DB" w:rsidRDefault="009731DB" w:rsidP="002F047C">
            <w:pPr>
              <w:ind w:firstLine="709"/>
              <w:jc w:val="center"/>
              <w:rPr>
                <w:rFonts w:ascii="Arial" w:hAnsi="Arial" w:cs="Arial"/>
                <w:color w:val="000000"/>
                <w:sz w:val="20"/>
                <w:szCs w:val="20"/>
                <w:lang w:val="en-US" w:eastAsia="es-CO"/>
              </w:rPr>
            </w:pPr>
            <w:r w:rsidRPr="009731DB">
              <w:rPr>
                <w:rFonts w:ascii="Arial" w:hAnsi="Arial" w:cs="Arial"/>
                <w:color w:val="000000"/>
                <w:sz w:val="20"/>
                <w:szCs w:val="20"/>
                <w:lang w:val="en-US" w:eastAsia="es-CO"/>
              </w:rPr>
              <w:t>American Journal of Tropical Medicine and Hygiene, 103(5), pp. 1765–1772</w:t>
            </w:r>
          </w:p>
        </w:tc>
        <w:tc>
          <w:tcPr>
            <w:tcW w:w="1294" w:type="dxa"/>
            <w:tcBorders>
              <w:top w:val="nil"/>
              <w:left w:val="nil"/>
              <w:bottom w:val="nil"/>
              <w:right w:val="nil"/>
            </w:tcBorders>
            <w:shd w:val="clear" w:color="auto" w:fill="auto"/>
            <w:noWrap/>
            <w:vAlign w:val="center"/>
            <w:hideMark/>
          </w:tcPr>
          <w:p w14:paraId="014B58DE" w14:textId="77777777" w:rsidR="009731DB" w:rsidRPr="009731DB" w:rsidRDefault="009731DB" w:rsidP="002F047C">
            <w:pPr>
              <w:ind w:firstLine="709"/>
              <w:jc w:val="center"/>
              <w:rPr>
                <w:rFonts w:ascii="Arial" w:hAnsi="Arial" w:cs="Arial"/>
                <w:color w:val="000000"/>
                <w:sz w:val="20"/>
                <w:szCs w:val="20"/>
                <w:lang w:eastAsia="es-CO"/>
              </w:rPr>
            </w:pPr>
            <w:r w:rsidRPr="009731DB">
              <w:rPr>
                <w:rFonts w:ascii="Arial" w:hAnsi="Arial" w:cs="Arial"/>
                <w:color w:val="000000"/>
                <w:sz w:val="20"/>
                <w:szCs w:val="20"/>
                <w:lang w:eastAsia="es-CO"/>
              </w:rPr>
              <w:t>2020</w:t>
            </w:r>
          </w:p>
        </w:tc>
        <w:tc>
          <w:tcPr>
            <w:tcW w:w="2840" w:type="dxa"/>
            <w:tcBorders>
              <w:top w:val="nil"/>
              <w:left w:val="nil"/>
              <w:bottom w:val="nil"/>
              <w:right w:val="nil"/>
            </w:tcBorders>
            <w:shd w:val="clear" w:color="auto" w:fill="auto"/>
            <w:vAlign w:val="center"/>
            <w:hideMark/>
          </w:tcPr>
          <w:p w14:paraId="429CEBA1" w14:textId="77777777" w:rsidR="009731DB" w:rsidRPr="009731DB" w:rsidRDefault="009731DB" w:rsidP="002F047C">
            <w:pPr>
              <w:ind w:firstLine="709"/>
              <w:jc w:val="both"/>
              <w:rPr>
                <w:rFonts w:ascii="Arial" w:hAnsi="Arial" w:cs="Arial"/>
                <w:color w:val="000000"/>
                <w:sz w:val="20"/>
                <w:szCs w:val="20"/>
                <w:lang w:eastAsia="es-CO"/>
              </w:rPr>
            </w:pPr>
            <w:r w:rsidRPr="009731DB">
              <w:rPr>
                <w:rFonts w:ascii="Arial" w:hAnsi="Arial" w:cs="Arial"/>
                <w:color w:val="000000"/>
                <w:sz w:val="20"/>
                <w:szCs w:val="20"/>
                <w:lang w:eastAsia="es-CO"/>
              </w:rPr>
              <w:t xml:space="preserve">Patricia J. </w:t>
            </w:r>
            <w:proofErr w:type="spellStart"/>
            <w:r w:rsidRPr="009731DB">
              <w:rPr>
                <w:rFonts w:ascii="Arial" w:hAnsi="Arial" w:cs="Arial"/>
                <w:color w:val="000000"/>
                <w:sz w:val="20"/>
                <w:szCs w:val="20"/>
                <w:lang w:eastAsia="es-CO"/>
              </w:rPr>
              <w:t>Garcia</w:t>
            </w:r>
            <w:proofErr w:type="spellEnd"/>
            <w:r w:rsidRPr="009731DB">
              <w:rPr>
                <w:rFonts w:ascii="Arial" w:hAnsi="Arial" w:cs="Arial"/>
                <w:color w:val="000000"/>
                <w:sz w:val="20"/>
                <w:szCs w:val="20"/>
                <w:lang w:eastAsia="es-CO"/>
              </w:rPr>
              <w:t xml:space="preserve">, Alex Alarcón, Angela Bayer, Paulo </w:t>
            </w:r>
            <w:proofErr w:type="spellStart"/>
            <w:r w:rsidRPr="009731DB">
              <w:rPr>
                <w:rFonts w:ascii="Arial" w:hAnsi="Arial" w:cs="Arial"/>
                <w:color w:val="000000"/>
                <w:sz w:val="20"/>
                <w:szCs w:val="20"/>
                <w:lang w:eastAsia="es-CO"/>
              </w:rPr>
              <w:t>Buss</w:t>
            </w:r>
            <w:proofErr w:type="spellEnd"/>
            <w:r w:rsidRPr="009731DB">
              <w:rPr>
                <w:rFonts w:ascii="Arial" w:hAnsi="Arial" w:cs="Arial"/>
                <w:color w:val="000000"/>
                <w:sz w:val="20"/>
                <w:szCs w:val="20"/>
                <w:lang w:eastAsia="es-CO"/>
              </w:rPr>
              <w:t xml:space="preserve">, German Guerra, Helena Ribeiro, Karol Rojas, Rocío </w:t>
            </w:r>
            <w:proofErr w:type="spellStart"/>
            <w:r w:rsidRPr="009731DB">
              <w:rPr>
                <w:rFonts w:ascii="Arial" w:hAnsi="Arial" w:cs="Arial"/>
                <w:color w:val="000000"/>
                <w:sz w:val="20"/>
                <w:szCs w:val="20"/>
                <w:lang w:eastAsia="es-CO"/>
              </w:rPr>
              <w:t>Saenz</w:t>
            </w:r>
            <w:proofErr w:type="spellEnd"/>
            <w:r w:rsidRPr="009731DB">
              <w:rPr>
                <w:rFonts w:ascii="Arial" w:hAnsi="Arial" w:cs="Arial"/>
                <w:color w:val="000000"/>
                <w:sz w:val="20"/>
                <w:szCs w:val="20"/>
                <w:lang w:eastAsia="es-CO"/>
              </w:rPr>
              <w:t xml:space="preserve">, Nelly Salgado de </w:t>
            </w:r>
            <w:proofErr w:type="spellStart"/>
            <w:r w:rsidRPr="009731DB">
              <w:rPr>
                <w:rFonts w:ascii="Arial" w:hAnsi="Arial" w:cs="Arial"/>
                <w:color w:val="000000"/>
                <w:sz w:val="20"/>
                <w:szCs w:val="20"/>
                <w:lang w:eastAsia="es-CO"/>
              </w:rPr>
              <w:t>Snyder</w:t>
            </w:r>
            <w:proofErr w:type="spellEnd"/>
            <w:r w:rsidRPr="009731DB">
              <w:rPr>
                <w:rFonts w:ascii="Arial" w:hAnsi="Arial" w:cs="Arial"/>
                <w:color w:val="000000"/>
                <w:sz w:val="20"/>
                <w:szCs w:val="20"/>
                <w:lang w:eastAsia="es-CO"/>
              </w:rPr>
              <w:t xml:space="preserve">, Giorgio Solimano, Rubén Torres, Sebastián Tobar, Rafael </w:t>
            </w:r>
            <w:proofErr w:type="spellStart"/>
            <w:r w:rsidRPr="009731DB">
              <w:rPr>
                <w:rFonts w:ascii="Arial" w:hAnsi="Arial" w:cs="Arial"/>
                <w:color w:val="000000"/>
                <w:sz w:val="20"/>
                <w:szCs w:val="20"/>
                <w:lang w:eastAsia="es-CO"/>
              </w:rPr>
              <w:t>Tuesca</w:t>
            </w:r>
            <w:proofErr w:type="spellEnd"/>
            <w:r w:rsidRPr="009731DB">
              <w:rPr>
                <w:rFonts w:ascii="Arial" w:hAnsi="Arial" w:cs="Arial"/>
                <w:color w:val="000000"/>
                <w:sz w:val="20"/>
                <w:szCs w:val="20"/>
                <w:lang w:eastAsia="es-CO"/>
              </w:rPr>
              <w:t xml:space="preserve">, Gilma Vargas and </w:t>
            </w:r>
            <w:proofErr w:type="spellStart"/>
            <w:r w:rsidRPr="009731DB">
              <w:rPr>
                <w:rFonts w:ascii="Arial" w:hAnsi="Arial" w:cs="Arial"/>
                <w:color w:val="000000"/>
                <w:sz w:val="20"/>
                <w:szCs w:val="20"/>
                <w:lang w:eastAsia="es-CO"/>
              </w:rPr>
              <w:t>Rifat</w:t>
            </w:r>
            <w:proofErr w:type="spellEnd"/>
            <w:r w:rsidRPr="009731DB">
              <w:rPr>
                <w:rFonts w:ascii="Arial" w:hAnsi="Arial" w:cs="Arial"/>
                <w:color w:val="000000"/>
                <w:sz w:val="20"/>
                <w:szCs w:val="20"/>
                <w:lang w:eastAsia="es-CO"/>
              </w:rPr>
              <w:t xml:space="preserve"> </w:t>
            </w:r>
            <w:proofErr w:type="spellStart"/>
            <w:r w:rsidRPr="009731DB">
              <w:rPr>
                <w:rFonts w:ascii="Arial" w:hAnsi="Arial" w:cs="Arial"/>
                <w:color w:val="000000"/>
                <w:sz w:val="20"/>
                <w:szCs w:val="20"/>
                <w:lang w:eastAsia="es-CO"/>
              </w:rPr>
              <w:t>Atun</w:t>
            </w:r>
            <w:proofErr w:type="spellEnd"/>
          </w:p>
        </w:tc>
        <w:tc>
          <w:tcPr>
            <w:tcW w:w="1183" w:type="dxa"/>
            <w:tcBorders>
              <w:top w:val="nil"/>
              <w:left w:val="nil"/>
              <w:bottom w:val="nil"/>
              <w:right w:val="nil"/>
            </w:tcBorders>
            <w:shd w:val="clear" w:color="auto" w:fill="auto"/>
            <w:noWrap/>
            <w:vAlign w:val="center"/>
            <w:hideMark/>
          </w:tcPr>
          <w:p w14:paraId="1908550F" w14:textId="77777777" w:rsidR="009731DB" w:rsidRPr="009731DB" w:rsidRDefault="009731DB" w:rsidP="002F047C">
            <w:pPr>
              <w:ind w:firstLine="709"/>
              <w:jc w:val="center"/>
              <w:rPr>
                <w:rFonts w:ascii="Arial" w:hAnsi="Arial" w:cs="Arial"/>
                <w:color w:val="000000"/>
                <w:sz w:val="20"/>
                <w:szCs w:val="20"/>
                <w:lang w:eastAsia="es-CO"/>
              </w:rPr>
            </w:pPr>
            <w:r w:rsidRPr="009731DB">
              <w:rPr>
                <w:rFonts w:ascii="Arial" w:hAnsi="Arial" w:cs="Arial"/>
                <w:color w:val="000000"/>
                <w:sz w:val="20"/>
                <w:szCs w:val="20"/>
                <w:lang w:eastAsia="es-CO"/>
              </w:rPr>
              <w:t>116</w:t>
            </w:r>
          </w:p>
        </w:tc>
      </w:tr>
      <w:tr w:rsidR="009731DB" w:rsidRPr="009731DB" w14:paraId="78BA9BD4" w14:textId="77777777" w:rsidTr="001A6625">
        <w:trPr>
          <w:trHeight w:val="720"/>
          <w:jc w:val="center"/>
        </w:trPr>
        <w:tc>
          <w:tcPr>
            <w:tcW w:w="3320" w:type="dxa"/>
            <w:tcBorders>
              <w:top w:val="nil"/>
              <w:left w:val="nil"/>
              <w:bottom w:val="nil"/>
              <w:right w:val="nil"/>
            </w:tcBorders>
            <w:shd w:val="clear" w:color="auto" w:fill="auto"/>
            <w:vAlign w:val="center"/>
            <w:hideMark/>
          </w:tcPr>
          <w:p w14:paraId="650BEC45" w14:textId="77777777" w:rsidR="009731DB" w:rsidRPr="009731DB" w:rsidRDefault="009731DB" w:rsidP="003D72C8">
            <w:pPr>
              <w:jc w:val="both"/>
              <w:rPr>
                <w:rFonts w:ascii="Arial" w:hAnsi="Arial" w:cs="Arial"/>
                <w:color w:val="000000"/>
                <w:sz w:val="20"/>
                <w:szCs w:val="20"/>
                <w:lang w:val="en-US" w:eastAsia="es-CO"/>
              </w:rPr>
            </w:pPr>
            <w:r w:rsidRPr="009731DB">
              <w:rPr>
                <w:rFonts w:ascii="Arial" w:hAnsi="Arial" w:cs="Arial"/>
                <w:color w:val="000000"/>
                <w:sz w:val="20"/>
                <w:szCs w:val="20"/>
                <w:lang w:val="en-US" w:eastAsia="es-CO"/>
              </w:rPr>
              <w:t>Newborn screening in Latin America at the beginning of the 21st century</w:t>
            </w:r>
          </w:p>
        </w:tc>
        <w:tc>
          <w:tcPr>
            <w:tcW w:w="2161" w:type="dxa"/>
            <w:tcBorders>
              <w:top w:val="nil"/>
              <w:left w:val="nil"/>
              <w:bottom w:val="nil"/>
              <w:right w:val="nil"/>
            </w:tcBorders>
            <w:shd w:val="clear" w:color="auto" w:fill="auto"/>
            <w:vAlign w:val="center"/>
            <w:hideMark/>
          </w:tcPr>
          <w:p w14:paraId="15740808" w14:textId="77777777" w:rsidR="009731DB" w:rsidRPr="009731DB" w:rsidRDefault="009731DB" w:rsidP="002F047C">
            <w:pPr>
              <w:ind w:firstLine="709"/>
              <w:jc w:val="center"/>
              <w:rPr>
                <w:rFonts w:ascii="Arial" w:hAnsi="Arial" w:cs="Arial"/>
                <w:color w:val="000000"/>
                <w:sz w:val="20"/>
                <w:szCs w:val="20"/>
                <w:lang w:val="en-US" w:eastAsia="es-CO"/>
              </w:rPr>
            </w:pPr>
            <w:r w:rsidRPr="009731DB">
              <w:rPr>
                <w:rFonts w:ascii="Arial" w:hAnsi="Arial" w:cs="Arial"/>
                <w:color w:val="000000"/>
                <w:sz w:val="20"/>
                <w:szCs w:val="20"/>
                <w:lang w:val="en-US" w:eastAsia="es-CO"/>
              </w:rPr>
              <w:t>Journal of Inherited Metabolic Disease, 30(4), pp. 466–481</w:t>
            </w:r>
          </w:p>
        </w:tc>
        <w:tc>
          <w:tcPr>
            <w:tcW w:w="1294" w:type="dxa"/>
            <w:tcBorders>
              <w:top w:val="nil"/>
              <w:left w:val="nil"/>
              <w:bottom w:val="nil"/>
              <w:right w:val="nil"/>
            </w:tcBorders>
            <w:shd w:val="clear" w:color="auto" w:fill="auto"/>
            <w:noWrap/>
            <w:vAlign w:val="center"/>
            <w:hideMark/>
          </w:tcPr>
          <w:p w14:paraId="1F64E324" w14:textId="77777777" w:rsidR="009731DB" w:rsidRPr="009731DB" w:rsidRDefault="009731DB" w:rsidP="002F047C">
            <w:pPr>
              <w:ind w:firstLine="709"/>
              <w:jc w:val="center"/>
              <w:rPr>
                <w:rFonts w:ascii="Arial" w:hAnsi="Arial" w:cs="Arial"/>
                <w:color w:val="000000"/>
                <w:sz w:val="20"/>
                <w:szCs w:val="20"/>
                <w:lang w:eastAsia="es-CO"/>
              </w:rPr>
            </w:pPr>
            <w:r w:rsidRPr="009731DB">
              <w:rPr>
                <w:rFonts w:ascii="Arial" w:hAnsi="Arial" w:cs="Arial"/>
                <w:color w:val="000000"/>
                <w:sz w:val="20"/>
                <w:szCs w:val="20"/>
                <w:lang w:eastAsia="es-CO"/>
              </w:rPr>
              <w:t>2007</w:t>
            </w:r>
          </w:p>
        </w:tc>
        <w:tc>
          <w:tcPr>
            <w:tcW w:w="2840" w:type="dxa"/>
            <w:tcBorders>
              <w:top w:val="nil"/>
              <w:left w:val="nil"/>
              <w:bottom w:val="nil"/>
              <w:right w:val="nil"/>
            </w:tcBorders>
            <w:shd w:val="clear" w:color="auto" w:fill="auto"/>
            <w:vAlign w:val="center"/>
            <w:hideMark/>
          </w:tcPr>
          <w:p w14:paraId="7C6A9372" w14:textId="77777777" w:rsidR="009731DB" w:rsidRPr="009731DB" w:rsidRDefault="009731DB" w:rsidP="002F047C">
            <w:pPr>
              <w:ind w:firstLine="709"/>
              <w:jc w:val="both"/>
              <w:rPr>
                <w:rFonts w:ascii="Arial" w:hAnsi="Arial" w:cs="Arial"/>
                <w:color w:val="000000"/>
                <w:sz w:val="20"/>
                <w:szCs w:val="20"/>
                <w:lang w:eastAsia="es-CO"/>
              </w:rPr>
            </w:pPr>
            <w:r w:rsidRPr="009731DB">
              <w:rPr>
                <w:rFonts w:ascii="Arial" w:hAnsi="Arial" w:cs="Arial"/>
                <w:color w:val="000000"/>
                <w:sz w:val="20"/>
                <w:szCs w:val="20"/>
                <w:lang w:eastAsia="es-CO"/>
              </w:rPr>
              <w:t>Borrajo, Gustavo J.C.</w:t>
            </w:r>
          </w:p>
        </w:tc>
        <w:tc>
          <w:tcPr>
            <w:tcW w:w="1183" w:type="dxa"/>
            <w:tcBorders>
              <w:top w:val="nil"/>
              <w:left w:val="nil"/>
              <w:bottom w:val="nil"/>
              <w:right w:val="nil"/>
            </w:tcBorders>
            <w:shd w:val="clear" w:color="auto" w:fill="auto"/>
            <w:noWrap/>
            <w:vAlign w:val="center"/>
            <w:hideMark/>
          </w:tcPr>
          <w:p w14:paraId="1FA78589" w14:textId="77777777" w:rsidR="009731DB" w:rsidRPr="009731DB" w:rsidRDefault="009731DB" w:rsidP="002F047C">
            <w:pPr>
              <w:ind w:firstLine="709"/>
              <w:jc w:val="center"/>
              <w:rPr>
                <w:rFonts w:ascii="Arial" w:hAnsi="Arial" w:cs="Arial"/>
                <w:color w:val="000000"/>
                <w:sz w:val="20"/>
                <w:szCs w:val="20"/>
                <w:lang w:eastAsia="es-CO"/>
              </w:rPr>
            </w:pPr>
            <w:r w:rsidRPr="009731DB">
              <w:rPr>
                <w:rFonts w:ascii="Arial" w:hAnsi="Arial" w:cs="Arial"/>
                <w:color w:val="000000"/>
                <w:sz w:val="20"/>
                <w:szCs w:val="20"/>
                <w:lang w:eastAsia="es-CO"/>
              </w:rPr>
              <w:t>106</w:t>
            </w:r>
          </w:p>
        </w:tc>
      </w:tr>
      <w:tr w:rsidR="009731DB" w:rsidRPr="009731DB" w14:paraId="26D6B944" w14:textId="77777777" w:rsidTr="001A6625">
        <w:trPr>
          <w:trHeight w:val="480"/>
          <w:jc w:val="center"/>
        </w:trPr>
        <w:tc>
          <w:tcPr>
            <w:tcW w:w="3320" w:type="dxa"/>
            <w:tcBorders>
              <w:top w:val="nil"/>
              <w:left w:val="nil"/>
              <w:bottom w:val="nil"/>
              <w:right w:val="nil"/>
            </w:tcBorders>
            <w:shd w:val="clear" w:color="auto" w:fill="auto"/>
            <w:vAlign w:val="center"/>
            <w:hideMark/>
          </w:tcPr>
          <w:p w14:paraId="29F903A9" w14:textId="77777777" w:rsidR="009731DB" w:rsidRPr="009731DB" w:rsidRDefault="009731DB" w:rsidP="003D72C8">
            <w:pPr>
              <w:jc w:val="both"/>
              <w:rPr>
                <w:rFonts w:ascii="Arial" w:hAnsi="Arial" w:cs="Arial"/>
                <w:color w:val="000000"/>
                <w:sz w:val="20"/>
                <w:szCs w:val="20"/>
                <w:lang w:val="en-US" w:eastAsia="es-CO"/>
              </w:rPr>
            </w:pPr>
            <w:r w:rsidRPr="009731DB">
              <w:rPr>
                <w:rFonts w:ascii="Arial" w:hAnsi="Arial" w:cs="Arial"/>
                <w:color w:val="000000"/>
                <w:sz w:val="20"/>
                <w:szCs w:val="20"/>
                <w:lang w:val="en-US" w:eastAsia="es-CO"/>
              </w:rPr>
              <w:t>The household economic burden of non-communicable diseases in 18 countries</w:t>
            </w:r>
          </w:p>
        </w:tc>
        <w:tc>
          <w:tcPr>
            <w:tcW w:w="2161" w:type="dxa"/>
            <w:tcBorders>
              <w:top w:val="nil"/>
              <w:left w:val="nil"/>
              <w:bottom w:val="nil"/>
              <w:right w:val="nil"/>
            </w:tcBorders>
            <w:shd w:val="clear" w:color="auto" w:fill="auto"/>
            <w:vAlign w:val="center"/>
            <w:hideMark/>
          </w:tcPr>
          <w:p w14:paraId="510E36BF" w14:textId="77777777" w:rsidR="009731DB" w:rsidRPr="009731DB" w:rsidRDefault="009731DB" w:rsidP="002F047C">
            <w:pPr>
              <w:ind w:firstLine="709"/>
              <w:jc w:val="center"/>
              <w:rPr>
                <w:rFonts w:ascii="Arial" w:hAnsi="Arial" w:cs="Arial"/>
                <w:color w:val="000000"/>
                <w:sz w:val="20"/>
                <w:szCs w:val="20"/>
                <w:lang w:eastAsia="es-CO"/>
              </w:rPr>
            </w:pPr>
            <w:r w:rsidRPr="009731DB">
              <w:rPr>
                <w:rFonts w:ascii="Arial" w:hAnsi="Arial" w:cs="Arial"/>
                <w:color w:val="000000"/>
                <w:sz w:val="20"/>
                <w:szCs w:val="20"/>
                <w:lang w:eastAsia="es-CO"/>
              </w:rPr>
              <w:t xml:space="preserve">BMJ Global </w:t>
            </w:r>
            <w:proofErr w:type="spellStart"/>
            <w:r w:rsidRPr="009731DB">
              <w:rPr>
                <w:rFonts w:ascii="Arial" w:hAnsi="Arial" w:cs="Arial"/>
                <w:color w:val="000000"/>
                <w:sz w:val="20"/>
                <w:szCs w:val="20"/>
                <w:lang w:eastAsia="es-CO"/>
              </w:rPr>
              <w:t>Health</w:t>
            </w:r>
            <w:proofErr w:type="spellEnd"/>
            <w:r w:rsidRPr="009731DB">
              <w:rPr>
                <w:rFonts w:ascii="Arial" w:hAnsi="Arial" w:cs="Arial"/>
                <w:color w:val="000000"/>
                <w:sz w:val="20"/>
                <w:szCs w:val="20"/>
                <w:lang w:eastAsia="es-CO"/>
              </w:rPr>
              <w:t>, 5(2), e002040</w:t>
            </w:r>
          </w:p>
        </w:tc>
        <w:tc>
          <w:tcPr>
            <w:tcW w:w="1294" w:type="dxa"/>
            <w:tcBorders>
              <w:top w:val="nil"/>
              <w:left w:val="nil"/>
              <w:bottom w:val="nil"/>
              <w:right w:val="nil"/>
            </w:tcBorders>
            <w:shd w:val="clear" w:color="auto" w:fill="auto"/>
            <w:noWrap/>
            <w:vAlign w:val="center"/>
            <w:hideMark/>
          </w:tcPr>
          <w:p w14:paraId="29571AC0" w14:textId="77777777" w:rsidR="009731DB" w:rsidRPr="009731DB" w:rsidRDefault="009731DB" w:rsidP="002F047C">
            <w:pPr>
              <w:ind w:firstLine="709"/>
              <w:jc w:val="center"/>
              <w:rPr>
                <w:rFonts w:ascii="Arial" w:hAnsi="Arial" w:cs="Arial"/>
                <w:color w:val="000000"/>
                <w:sz w:val="20"/>
                <w:szCs w:val="20"/>
                <w:lang w:eastAsia="es-CO"/>
              </w:rPr>
            </w:pPr>
            <w:r w:rsidRPr="009731DB">
              <w:rPr>
                <w:rFonts w:ascii="Arial" w:hAnsi="Arial" w:cs="Arial"/>
                <w:color w:val="000000"/>
                <w:sz w:val="20"/>
                <w:szCs w:val="20"/>
                <w:lang w:eastAsia="es-CO"/>
              </w:rPr>
              <w:t>2020</w:t>
            </w:r>
          </w:p>
        </w:tc>
        <w:tc>
          <w:tcPr>
            <w:tcW w:w="2840" w:type="dxa"/>
            <w:tcBorders>
              <w:top w:val="nil"/>
              <w:left w:val="nil"/>
              <w:bottom w:val="nil"/>
              <w:right w:val="nil"/>
            </w:tcBorders>
            <w:shd w:val="clear" w:color="auto" w:fill="auto"/>
            <w:vAlign w:val="center"/>
            <w:hideMark/>
          </w:tcPr>
          <w:p w14:paraId="0DA9F7AB" w14:textId="77777777" w:rsidR="009731DB" w:rsidRPr="009731DB" w:rsidRDefault="009731DB" w:rsidP="002F047C">
            <w:pPr>
              <w:ind w:firstLine="709"/>
              <w:jc w:val="both"/>
              <w:rPr>
                <w:rFonts w:ascii="Arial" w:hAnsi="Arial" w:cs="Arial"/>
                <w:color w:val="000000"/>
                <w:sz w:val="20"/>
                <w:szCs w:val="20"/>
                <w:lang w:val="en-US" w:eastAsia="es-CO"/>
              </w:rPr>
            </w:pPr>
            <w:r w:rsidRPr="009731DB">
              <w:rPr>
                <w:rFonts w:ascii="Arial" w:hAnsi="Arial" w:cs="Arial"/>
                <w:color w:val="000000"/>
                <w:sz w:val="20"/>
                <w:szCs w:val="20"/>
                <w:lang w:val="en-US" w:eastAsia="es-CO"/>
              </w:rPr>
              <w:t xml:space="preserve">Murphy, A., Palafox, </w:t>
            </w:r>
            <w:proofErr w:type="gramStart"/>
            <w:r w:rsidRPr="009731DB">
              <w:rPr>
                <w:rFonts w:ascii="Arial" w:hAnsi="Arial" w:cs="Arial"/>
                <w:color w:val="000000"/>
                <w:sz w:val="20"/>
                <w:szCs w:val="20"/>
                <w:lang w:val="en-US" w:eastAsia="es-CO"/>
              </w:rPr>
              <w:t>B.,</w:t>
            </w:r>
            <w:proofErr w:type="spellStart"/>
            <w:r w:rsidRPr="009731DB">
              <w:rPr>
                <w:rFonts w:ascii="Arial" w:hAnsi="Arial" w:cs="Arial"/>
                <w:color w:val="000000"/>
                <w:sz w:val="20"/>
                <w:szCs w:val="20"/>
                <w:lang w:val="en-US" w:eastAsia="es-CO"/>
              </w:rPr>
              <w:t>Walli</w:t>
            </w:r>
            <w:proofErr w:type="gramEnd"/>
            <w:r w:rsidRPr="009731DB">
              <w:rPr>
                <w:rFonts w:ascii="Arial" w:hAnsi="Arial" w:cs="Arial"/>
                <w:color w:val="000000"/>
                <w:sz w:val="20"/>
                <w:szCs w:val="20"/>
                <w:lang w:val="en-US" w:eastAsia="es-CO"/>
              </w:rPr>
              <w:t>-Attaei</w:t>
            </w:r>
            <w:proofErr w:type="spellEnd"/>
            <w:r w:rsidRPr="009731DB">
              <w:rPr>
                <w:rFonts w:ascii="Arial" w:hAnsi="Arial" w:cs="Arial"/>
                <w:color w:val="000000"/>
                <w:sz w:val="20"/>
                <w:szCs w:val="20"/>
                <w:lang w:val="en-US" w:eastAsia="es-CO"/>
              </w:rPr>
              <w:t>, M., ...Yusuf, S., McKee, M.</w:t>
            </w:r>
          </w:p>
        </w:tc>
        <w:tc>
          <w:tcPr>
            <w:tcW w:w="1183" w:type="dxa"/>
            <w:tcBorders>
              <w:top w:val="nil"/>
              <w:left w:val="nil"/>
              <w:bottom w:val="nil"/>
              <w:right w:val="nil"/>
            </w:tcBorders>
            <w:shd w:val="clear" w:color="auto" w:fill="auto"/>
            <w:noWrap/>
            <w:vAlign w:val="center"/>
            <w:hideMark/>
          </w:tcPr>
          <w:p w14:paraId="4C8F0C46" w14:textId="77777777" w:rsidR="009731DB" w:rsidRPr="009731DB" w:rsidRDefault="009731DB" w:rsidP="002F047C">
            <w:pPr>
              <w:ind w:firstLine="709"/>
              <w:jc w:val="center"/>
              <w:rPr>
                <w:rFonts w:ascii="Arial" w:hAnsi="Arial" w:cs="Arial"/>
                <w:color w:val="000000"/>
                <w:sz w:val="20"/>
                <w:szCs w:val="20"/>
                <w:lang w:eastAsia="es-CO"/>
              </w:rPr>
            </w:pPr>
            <w:r w:rsidRPr="009731DB">
              <w:rPr>
                <w:rFonts w:ascii="Arial" w:hAnsi="Arial" w:cs="Arial"/>
                <w:color w:val="000000"/>
                <w:sz w:val="20"/>
                <w:szCs w:val="20"/>
                <w:lang w:eastAsia="es-CO"/>
              </w:rPr>
              <w:t>83</w:t>
            </w:r>
          </w:p>
        </w:tc>
      </w:tr>
      <w:tr w:rsidR="009731DB" w:rsidRPr="009731DB" w14:paraId="7DC7A656" w14:textId="77777777" w:rsidTr="001A6625">
        <w:trPr>
          <w:trHeight w:val="960"/>
          <w:jc w:val="center"/>
        </w:trPr>
        <w:tc>
          <w:tcPr>
            <w:tcW w:w="3320" w:type="dxa"/>
            <w:tcBorders>
              <w:top w:val="nil"/>
              <w:left w:val="nil"/>
              <w:bottom w:val="single" w:sz="4" w:space="0" w:color="auto"/>
              <w:right w:val="nil"/>
            </w:tcBorders>
            <w:shd w:val="clear" w:color="auto" w:fill="auto"/>
            <w:vAlign w:val="center"/>
            <w:hideMark/>
          </w:tcPr>
          <w:p w14:paraId="168E2565" w14:textId="77777777" w:rsidR="009731DB" w:rsidRPr="009731DB" w:rsidRDefault="009731DB" w:rsidP="003D72C8">
            <w:pPr>
              <w:jc w:val="both"/>
              <w:rPr>
                <w:rFonts w:ascii="Arial" w:hAnsi="Arial" w:cs="Arial"/>
                <w:color w:val="000000"/>
                <w:sz w:val="20"/>
                <w:szCs w:val="20"/>
                <w:lang w:val="en-US" w:eastAsia="es-CO"/>
              </w:rPr>
            </w:pPr>
            <w:r w:rsidRPr="009731DB">
              <w:rPr>
                <w:rFonts w:ascii="Arial" w:hAnsi="Arial" w:cs="Arial"/>
                <w:color w:val="000000"/>
                <w:sz w:val="20"/>
                <w:szCs w:val="20"/>
                <w:lang w:val="en-US" w:eastAsia="es-CO"/>
              </w:rPr>
              <w:t>Health-care decision-making processes in Latin America: Problems and prospects for the use of economic evaluation</w:t>
            </w:r>
          </w:p>
        </w:tc>
        <w:tc>
          <w:tcPr>
            <w:tcW w:w="2161" w:type="dxa"/>
            <w:tcBorders>
              <w:top w:val="nil"/>
              <w:left w:val="nil"/>
              <w:bottom w:val="single" w:sz="4" w:space="0" w:color="auto"/>
              <w:right w:val="nil"/>
            </w:tcBorders>
            <w:shd w:val="clear" w:color="auto" w:fill="auto"/>
            <w:vAlign w:val="center"/>
            <w:hideMark/>
          </w:tcPr>
          <w:p w14:paraId="663D564D" w14:textId="77777777" w:rsidR="009731DB" w:rsidRPr="009731DB" w:rsidRDefault="009731DB" w:rsidP="002F047C">
            <w:pPr>
              <w:ind w:firstLine="709"/>
              <w:jc w:val="center"/>
              <w:rPr>
                <w:rFonts w:ascii="Arial" w:hAnsi="Arial" w:cs="Arial"/>
                <w:color w:val="000000"/>
                <w:sz w:val="20"/>
                <w:szCs w:val="20"/>
                <w:lang w:val="en-US" w:eastAsia="es-CO"/>
              </w:rPr>
            </w:pPr>
            <w:r w:rsidRPr="009731DB">
              <w:rPr>
                <w:rFonts w:ascii="Arial" w:hAnsi="Arial" w:cs="Arial"/>
                <w:color w:val="000000"/>
                <w:sz w:val="20"/>
                <w:szCs w:val="20"/>
                <w:lang w:val="en-US" w:eastAsia="es-CO"/>
              </w:rPr>
              <w:t>International Journal of Technology Assessment in Health Care, 21(1), pp. 1–14</w:t>
            </w:r>
          </w:p>
        </w:tc>
        <w:tc>
          <w:tcPr>
            <w:tcW w:w="1294" w:type="dxa"/>
            <w:tcBorders>
              <w:top w:val="nil"/>
              <w:left w:val="nil"/>
              <w:bottom w:val="single" w:sz="4" w:space="0" w:color="auto"/>
              <w:right w:val="nil"/>
            </w:tcBorders>
            <w:shd w:val="clear" w:color="auto" w:fill="auto"/>
            <w:noWrap/>
            <w:vAlign w:val="center"/>
            <w:hideMark/>
          </w:tcPr>
          <w:p w14:paraId="5A24B42B" w14:textId="77777777" w:rsidR="009731DB" w:rsidRPr="009731DB" w:rsidRDefault="009731DB" w:rsidP="002F047C">
            <w:pPr>
              <w:ind w:firstLine="709"/>
              <w:jc w:val="center"/>
              <w:rPr>
                <w:rFonts w:ascii="Arial" w:hAnsi="Arial" w:cs="Arial"/>
                <w:color w:val="000000"/>
                <w:sz w:val="20"/>
                <w:szCs w:val="20"/>
                <w:lang w:eastAsia="es-CO"/>
              </w:rPr>
            </w:pPr>
            <w:r w:rsidRPr="009731DB">
              <w:rPr>
                <w:rFonts w:ascii="Arial" w:hAnsi="Arial" w:cs="Arial"/>
                <w:color w:val="000000"/>
                <w:sz w:val="20"/>
                <w:szCs w:val="20"/>
                <w:lang w:eastAsia="es-CO"/>
              </w:rPr>
              <w:t>2005</w:t>
            </w:r>
          </w:p>
        </w:tc>
        <w:tc>
          <w:tcPr>
            <w:tcW w:w="2840" w:type="dxa"/>
            <w:tcBorders>
              <w:top w:val="nil"/>
              <w:left w:val="nil"/>
              <w:bottom w:val="single" w:sz="4" w:space="0" w:color="auto"/>
              <w:right w:val="nil"/>
            </w:tcBorders>
            <w:shd w:val="clear" w:color="auto" w:fill="auto"/>
            <w:vAlign w:val="center"/>
            <w:hideMark/>
          </w:tcPr>
          <w:p w14:paraId="4D20BA8D" w14:textId="77777777" w:rsidR="009731DB" w:rsidRPr="009731DB" w:rsidRDefault="009731DB" w:rsidP="002F047C">
            <w:pPr>
              <w:ind w:firstLine="709"/>
              <w:jc w:val="both"/>
              <w:rPr>
                <w:rFonts w:ascii="Arial" w:hAnsi="Arial" w:cs="Arial"/>
                <w:color w:val="000000"/>
                <w:sz w:val="20"/>
                <w:szCs w:val="20"/>
                <w:lang w:eastAsia="es-CO"/>
              </w:rPr>
            </w:pPr>
            <w:r w:rsidRPr="009731DB">
              <w:rPr>
                <w:rFonts w:ascii="Arial" w:hAnsi="Arial" w:cs="Arial"/>
                <w:color w:val="000000"/>
                <w:sz w:val="20"/>
                <w:szCs w:val="20"/>
                <w:lang w:eastAsia="es-CO"/>
              </w:rPr>
              <w:t>Iglesias, C.P., Drummond, M.F., Rovira, J.</w:t>
            </w:r>
          </w:p>
        </w:tc>
        <w:tc>
          <w:tcPr>
            <w:tcW w:w="1183" w:type="dxa"/>
            <w:tcBorders>
              <w:top w:val="nil"/>
              <w:left w:val="nil"/>
              <w:bottom w:val="single" w:sz="4" w:space="0" w:color="auto"/>
              <w:right w:val="nil"/>
            </w:tcBorders>
            <w:shd w:val="clear" w:color="auto" w:fill="auto"/>
            <w:noWrap/>
            <w:vAlign w:val="center"/>
            <w:hideMark/>
          </w:tcPr>
          <w:p w14:paraId="7BA18065" w14:textId="77777777" w:rsidR="009731DB" w:rsidRPr="009731DB" w:rsidRDefault="009731DB" w:rsidP="002F047C">
            <w:pPr>
              <w:ind w:firstLine="709"/>
              <w:jc w:val="center"/>
              <w:rPr>
                <w:rFonts w:ascii="Arial" w:hAnsi="Arial" w:cs="Arial"/>
                <w:color w:val="000000"/>
                <w:sz w:val="20"/>
                <w:szCs w:val="20"/>
                <w:lang w:eastAsia="es-CO"/>
              </w:rPr>
            </w:pPr>
            <w:r w:rsidRPr="009731DB">
              <w:rPr>
                <w:rFonts w:ascii="Arial" w:hAnsi="Arial" w:cs="Arial"/>
                <w:color w:val="000000"/>
                <w:sz w:val="20"/>
                <w:szCs w:val="20"/>
                <w:lang w:eastAsia="es-CO"/>
              </w:rPr>
              <w:t>82</w:t>
            </w:r>
          </w:p>
        </w:tc>
      </w:tr>
    </w:tbl>
    <w:p w14:paraId="62FC17F6" w14:textId="4F7BBD35" w:rsidR="001A6625" w:rsidRPr="001A6625" w:rsidRDefault="001A6625" w:rsidP="001A6625">
      <w:pPr>
        <w:spacing w:line="360" w:lineRule="auto"/>
        <w:ind w:firstLine="709"/>
        <w:jc w:val="center"/>
        <w:rPr>
          <w:rFonts w:ascii="Arial" w:hAnsi="Arial" w:cs="Arial"/>
          <w:sz w:val="20"/>
          <w:szCs w:val="20"/>
        </w:rPr>
      </w:pPr>
      <w:r w:rsidRPr="001A6625">
        <w:rPr>
          <w:rFonts w:ascii="Arial" w:hAnsi="Arial" w:cs="Arial"/>
          <w:sz w:val="20"/>
          <w:szCs w:val="20"/>
        </w:rPr>
        <w:t xml:space="preserve">Fuente: Elaboración propia, con base en los resultados de </w:t>
      </w:r>
      <w:proofErr w:type="spellStart"/>
      <w:r w:rsidRPr="001A6625">
        <w:rPr>
          <w:rFonts w:ascii="Arial" w:hAnsi="Arial" w:cs="Arial"/>
          <w:sz w:val="20"/>
          <w:szCs w:val="20"/>
        </w:rPr>
        <w:t>Scopus</w:t>
      </w:r>
      <w:proofErr w:type="spellEnd"/>
      <w:r w:rsidRPr="001A6625">
        <w:rPr>
          <w:rFonts w:ascii="Arial" w:hAnsi="Arial" w:cs="Arial"/>
          <w:sz w:val="20"/>
          <w:szCs w:val="20"/>
        </w:rPr>
        <w:t>, 2024</w:t>
      </w:r>
      <w:r>
        <w:rPr>
          <w:rFonts w:ascii="Arial" w:hAnsi="Arial" w:cs="Arial"/>
          <w:sz w:val="20"/>
          <w:szCs w:val="20"/>
        </w:rPr>
        <w:t>.</w:t>
      </w:r>
    </w:p>
    <w:p w14:paraId="1849457D" w14:textId="1D57BD2A" w:rsidR="00655CB0" w:rsidRPr="00C11D99" w:rsidRDefault="00655CB0" w:rsidP="005B4B06">
      <w:pPr>
        <w:spacing w:line="360" w:lineRule="auto"/>
        <w:jc w:val="center"/>
        <w:rPr>
          <w:rFonts w:ascii="Arial" w:hAnsi="Arial" w:cs="Arial"/>
          <w:color w:val="222222"/>
          <w:shd w:val="clear" w:color="auto" w:fill="FFFFFF"/>
        </w:rPr>
      </w:pPr>
    </w:p>
    <w:p w14:paraId="1275968B" w14:textId="77777777" w:rsidR="00567046" w:rsidRDefault="00567046" w:rsidP="00450AEF">
      <w:pPr>
        <w:spacing w:line="360" w:lineRule="auto"/>
        <w:ind w:firstLine="709"/>
        <w:jc w:val="both"/>
        <w:rPr>
          <w:rFonts w:ascii="Arial" w:hAnsi="Arial" w:cs="Arial"/>
          <w:b/>
          <w:bCs/>
          <w:i/>
        </w:rPr>
      </w:pPr>
    </w:p>
    <w:p w14:paraId="441BB78D" w14:textId="441D1362" w:rsidR="00450AEF" w:rsidRPr="002841FB" w:rsidRDefault="00450AEF" w:rsidP="00450AEF">
      <w:pPr>
        <w:spacing w:line="360" w:lineRule="auto"/>
        <w:ind w:firstLine="709"/>
        <w:jc w:val="both"/>
        <w:rPr>
          <w:rFonts w:ascii="Arial" w:hAnsi="Arial" w:cs="Arial"/>
          <w:b/>
          <w:bCs/>
          <w:i/>
        </w:rPr>
      </w:pPr>
      <w:r w:rsidRPr="002841FB">
        <w:rPr>
          <w:rFonts w:ascii="Arial" w:hAnsi="Arial" w:cs="Arial"/>
          <w:b/>
          <w:bCs/>
          <w:i/>
        </w:rPr>
        <w:lastRenderedPageBreak/>
        <w:t xml:space="preserve">Redes </w:t>
      </w:r>
      <w:r w:rsidR="000232B5">
        <w:rPr>
          <w:rFonts w:ascii="Arial" w:hAnsi="Arial" w:cs="Arial"/>
          <w:b/>
          <w:bCs/>
          <w:i/>
        </w:rPr>
        <w:t>b</w:t>
      </w:r>
      <w:r w:rsidRPr="002841FB">
        <w:rPr>
          <w:rFonts w:ascii="Arial" w:hAnsi="Arial" w:cs="Arial"/>
          <w:b/>
          <w:bCs/>
          <w:i/>
        </w:rPr>
        <w:t>ibliométricas</w:t>
      </w:r>
    </w:p>
    <w:p w14:paraId="3D0CBF95" w14:textId="77777777" w:rsidR="00B233CD" w:rsidRPr="00C11D99" w:rsidRDefault="00B233CD" w:rsidP="00450AEF">
      <w:pPr>
        <w:spacing w:line="360" w:lineRule="auto"/>
        <w:ind w:firstLine="709"/>
        <w:jc w:val="both"/>
        <w:rPr>
          <w:rFonts w:ascii="Arial" w:hAnsi="Arial" w:cs="Arial"/>
          <w:b/>
          <w:bCs/>
          <w:sz w:val="20"/>
          <w:szCs w:val="20"/>
        </w:rPr>
      </w:pPr>
    </w:p>
    <w:p w14:paraId="765D7622" w14:textId="069E4661" w:rsidR="00450AEF" w:rsidRPr="00C11D99" w:rsidRDefault="00450AEF" w:rsidP="00450AEF">
      <w:pPr>
        <w:spacing w:line="360" w:lineRule="auto"/>
        <w:ind w:firstLine="709"/>
        <w:jc w:val="both"/>
        <w:rPr>
          <w:rFonts w:ascii="Arial" w:hAnsi="Arial" w:cs="Arial"/>
          <w:b/>
          <w:bCs/>
        </w:rPr>
      </w:pPr>
      <w:r w:rsidRPr="00C11D99">
        <w:rPr>
          <w:rFonts w:ascii="Arial" w:hAnsi="Arial" w:cs="Arial"/>
          <w:b/>
          <w:bCs/>
        </w:rPr>
        <w:t xml:space="preserve">Red de </w:t>
      </w:r>
      <w:r w:rsidR="000232B5">
        <w:rPr>
          <w:rFonts w:ascii="Arial" w:hAnsi="Arial" w:cs="Arial"/>
          <w:b/>
          <w:bCs/>
        </w:rPr>
        <w:t>c</w:t>
      </w:r>
      <w:r w:rsidRPr="00C11D99">
        <w:rPr>
          <w:rFonts w:ascii="Arial" w:hAnsi="Arial" w:cs="Arial"/>
          <w:b/>
          <w:bCs/>
        </w:rPr>
        <w:t>oautoría</w:t>
      </w:r>
    </w:p>
    <w:p w14:paraId="7582A217" w14:textId="77777777" w:rsidR="007A7C23" w:rsidRPr="00C11D99" w:rsidRDefault="007A7C23" w:rsidP="00450AEF">
      <w:pPr>
        <w:spacing w:line="360" w:lineRule="auto"/>
        <w:ind w:firstLine="709"/>
        <w:jc w:val="both"/>
        <w:rPr>
          <w:rFonts w:ascii="Arial" w:hAnsi="Arial" w:cs="Arial"/>
          <w:b/>
          <w:bCs/>
          <w:sz w:val="20"/>
          <w:szCs w:val="20"/>
        </w:rPr>
      </w:pPr>
    </w:p>
    <w:p w14:paraId="7A89F55A" w14:textId="77777777" w:rsidR="00450AEF" w:rsidRPr="00905724" w:rsidRDefault="00450AEF" w:rsidP="00905724">
      <w:pPr>
        <w:spacing w:line="360" w:lineRule="auto"/>
        <w:jc w:val="both"/>
        <w:rPr>
          <w:rFonts w:ascii="Arial" w:hAnsi="Arial" w:cs="Arial"/>
        </w:rPr>
      </w:pPr>
      <w:r w:rsidRPr="00905724">
        <w:rPr>
          <w:rFonts w:ascii="Arial" w:hAnsi="Arial" w:cs="Arial"/>
        </w:rPr>
        <w:t xml:space="preserve">Se registraron en total 5 autores que han participado en las publicaciones de los artículos sobre economía de la salud en Colombia (Gráfico 2). Entre ellos Jefferson Antonio Buendía (15) de la Universidad de Antioquia quien en sus dos artículos publicados con mayores citaciones: “Global, regional, and </w:t>
      </w:r>
      <w:proofErr w:type="spellStart"/>
      <w:r w:rsidRPr="00905724">
        <w:rPr>
          <w:rFonts w:ascii="Arial" w:hAnsi="Arial" w:cs="Arial"/>
        </w:rPr>
        <w:t>national</w:t>
      </w:r>
      <w:proofErr w:type="spellEnd"/>
      <w:r w:rsidRPr="00905724">
        <w:rPr>
          <w:rFonts w:ascii="Arial" w:hAnsi="Arial" w:cs="Arial"/>
        </w:rPr>
        <w:t xml:space="preserve"> </w:t>
      </w:r>
      <w:proofErr w:type="spellStart"/>
      <w:r w:rsidRPr="00905724">
        <w:rPr>
          <w:rFonts w:ascii="Arial" w:hAnsi="Arial" w:cs="Arial"/>
        </w:rPr>
        <w:t>burden</w:t>
      </w:r>
      <w:proofErr w:type="spellEnd"/>
      <w:r w:rsidRPr="00905724">
        <w:rPr>
          <w:rFonts w:ascii="Arial" w:hAnsi="Arial" w:cs="Arial"/>
        </w:rPr>
        <w:t xml:space="preserve"> </w:t>
      </w:r>
      <w:proofErr w:type="spellStart"/>
      <w:r w:rsidRPr="00905724">
        <w:rPr>
          <w:rFonts w:ascii="Arial" w:hAnsi="Arial" w:cs="Arial"/>
        </w:rPr>
        <w:t>of</w:t>
      </w:r>
      <w:proofErr w:type="spellEnd"/>
      <w:r w:rsidRPr="00905724">
        <w:rPr>
          <w:rFonts w:ascii="Arial" w:hAnsi="Arial" w:cs="Arial"/>
        </w:rPr>
        <w:t xml:space="preserve"> </w:t>
      </w:r>
      <w:proofErr w:type="spellStart"/>
      <w:r w:rsidRPr="00905724">
        <w:rPr>
          <w:rFonts w:ascii="Arial" w:hAnsi="Arial" w:cs="Arial"/>
        </w:rPr>
        <w:t>stroke</w:t>
      </w:r>
      <w:proofErr w:type="spellEnd"/>
      <w:r w:rsidRPr="00905724">
        <w:rPr>
          <w:rFonts w:ascii="Arial" w:hAnsi="Arial" w:cs="Arial"/>
        </w:rPr>
        <w:t xml:space="preserve"> and </w:t>
      </w:r>
      <w:proofErr w:type="spellStart"/>
      <w:r w:rsidRPr="00905724">
        <w:rPr>
          <w:rFonts w:ascii="Arial" w:hAnsi="Arial" w:cs="Arial"/>
        </w:rPr>
        <w:t>its</w:t>
      </w:r>
      <w:proofErr w:type="spellEnd"/>
      <w:r w:rsidRPr="00905724">
        <w:rPr>
          <w:rFonts w:ascii="Arial" w:hAnsi="Arial" w:cs="Arial"/>
        </w:rPr>
        <w:t xml:space="preserve"> </w:t>
      </w:r>
      <w:proofErr w:type="spellStart"/>
      <w:r w:rsidRPr="00905724">
        <w:rPr>
          <w:rFonts w:ascii="Arial" w:hAnsi="Arial" w:cs="Arial"/>
        </w:rPr>
        <w:t>risk</w:t>
      </w:r>
      <w:proofErr w:type="spellEnd"/>
      <w:r w:rsidRPr="00905724">
        <w:rPr>
          <w:rFonts w:ascii="Arial" w:hAnsi="Arial" w:cs="Arial"/>
        </w:rPr>
        <w:t xml:space="preserve"> </w:t>
      </w:r>
      <w:proofErr w:type="spellStart"/>
      <w:r w:rsidRPr="00905724">
        <w:rPr>
          <w:rFonts w:ascii="Arial" w:hAnsi="Arial" w:cs="Arial"/>
        </w:rPr>
        <w:t>factors</w:t>
      </w:r>
      <w:proofErr w:type="spellEnd"/>
      <w:r w:rsidRPr="00905724">
        <w:rPr>
          <w:rFonts w:ascii="Arial" w:hAnsi="Arial" w:cs="Arial"/>
        </w:rPr>
        <w:t>, 1990–2019” con 3736 citas y “</w:t>
      </w:r>
      <w:proofErr w:type="spellStart"/>
      <w:r w:rsidRPr="00905724">
        <w:rPr>
          <w:rFonts w:ascii="Arial" w:hAnsi="Arial" w:cs="Arial"/>
        </w:rPr>
        <w:t>Cancer</w:t>
      </w:r>
      <w:proofErr w:type="spellEnd"/>
      <w:r w:rsidRPr="00905724">
        <w:rPr>
          <w:rFonts w:ascii="Arial" w:hAnsi="Arial" w:cs="Arial"/>
        </w:rPr>
        <w:t xml:space="preserve"> </w:t>
      </w:r>
      <w:proofErr w:type="spellStart"/>
      <w:r w:rsidRPr="00905724">
        <w:rPr>
          <w:rFonts w:ascii="Arial" w:hAnsi="Arial" w:cs="Arial"/>
        </w:rPr>
        <w:t>Incidence</w:t>
      </w:r>
      <w:proofErr w:type="spellEnd"/>
      <w:r w:rsidRPr="00905724">
        <w:rPr>
          <w:rFonts w:ascii="Arial" w:hAnsi="Arial" w:cs="Arial"/>
        </w:rPr>
        <w:t xml:space="preserve">, </w:t>
      </w:r>
      <w:proofErr w:type="spellStart"/>
      <w:r w:rsidRPr="00905724">
        <w:rPr>
          <w:rFonts w:ascii="Arial" w:hAnsi="Arial" w:cs="Arial"/>
        </w:rPr>
        <w:t>Mortality</w:t>
      </w:r>
      <w:proofErr w:type="spellEnd"/>
      <w:r w:rsidRPr="00905724">
        <w:rPr>
          <w:rFonts w:ascii="Arial" w:hAnsi="Arial" w:cs="Arial"/>
        </w:rPr>
        <w:t xml:space="preserve">, </w:t>
      </w:r>
      <w:proofErr w:type="spellStart"/>
      <w:r w:rsidRPr="00905724">
        <w:rPr>
          <w:rFonts w:ascii="Arial" w:hAnsi="Arial" w:cs="Arial"/>
        </w:rPr>
        <w:t>Years</w:t>
      </w:r>
      <w:proofErr w:type="spellEnd"/>
      <w:r w:rsidRPr="00905724">
        <w:rPr>
          <w:rFonts w:ascii="Arial" w:hAnsi="Arial" w:cs="Arial"/>
        </w:rPr>
        <w:t xml:space="preserve"> </w:t>
      </w:r>
      <w:proofErr w:type="spellStart"/>
      <w:r w:rsidRPr="00905724">
        <w:rPr>
          <w:rFonts w:ascii="Arial" w:hAnsi="Arial" w:cs="Arial"/>
        </w:rPr>
        <w:t>of</w:t>
      </w:r>
      <w:proofErr w:type="spellEnd"/>
      <w:r w:rsidRPr="00905724">
        <w:rPr>
          <w:rFonts w:ascii="Arial" w:hAnsi="Arial" w:cs="Arial"/>
        </w:rPr>
        <w:t xml:space="preserve"> </w:t>
      </w:r>
      <w:proofErr w:type="spellStart"/>
      <w:r w:rsidRPr="00905724">
        <w:rPr>
          <w:rFonts w:ascii="Arial" w:hAnsi="Arial" w:cs="Arial"/>
        </w:rPr>
        <w:t>Life</w:t>
      </w:r>
      <w:proofErr w:type="spellEnd"/>
      <w:r w:rsidRPr="00905724">
        <w:rPr>
          <w:rFonts w:ascii="Arial" w:hAnsi="Arial" w:cs="Arial"/>
        </w:rPr>
        <w:t xml:space="preserve"> </w:t>
      </w:r>
      <w:proofErr w:type="spellStart"/>
      <w:r w:rsidRPr="00905724">
        <w:rPr>
          <w:rFonts w:ascii="Arial" w:hAnsi="Arial" w:cs="Arial"/>
        </w:rPr>
        <w:t>Lost</w:t>
      </w:r>
      <w:proofErr w:type="spellEnd"/>
      <w:r w:rsidRPr="00905724">
        <w:rPr>
          <w:rFonts w:ascii="Arial" w:hAnsi="Arial" w:cs="Arial"/>
        </w:rPr>
        <w:t xml:space="preserve">, </w:t>
      </w:r>
      <w:proofErr w:type="spellStart"/>
      <w:r w:rsidRPr="00905724">
        <w:rPr>
          <w:rFonts w:ascii="Arial" w:hAnsi="Arial" w:cs="Arial"/>
        </w:rPr>
        <w:t>Years</w:t>
      </w:r>
      <w:proofErr w:type="spellEnd"/>
      <w:r w:rsidRPr="00905724">
        <w:rPr>
          <w:rFonts w:ascii="Arial" w:hAnsi="Arial" w:cs="Arial"/>
        </w:rPr>
        <w:t xml:space="preserve"> </w:t>
      </w:r>
      <w:proofErr w:type="spellStart"/>
      <w:r w:rsidRPr="00905724">
        <w:rPr>
          <w:rFonts w:ascii="Arial" w:hAnsi="Arial" w:cs="Arial"/>
        </w:rPr>
        <w:t>Lived</w:t>
      </w:r>
      <w:proofErr w:type="spellEnd"/>
      <w:r w:rsidRPr="00905724">
        <w:rPr>
          <w:rFonts w:ascii="Arial" w:hAnsi="Arial" w:cs="Arial"/>
        </w:rPr>
        <w:t xml:space="preserve"> </w:t>
      </w:r>
      <w:proofErr w:type="spellStart"/>
      <w:r w:rsidRPr="00905724">
        <w:rPr>
          <w:rFonts w:ascii="Arial" w:hAnsi="Arial" w:cs="Arial"/>
        </w:rPr>
        <w:t>With</w:t>
      </w:r>
      <w:proofErr w:type="spellEnd"/>
      <w:r w:rsidRPr="00905724">
        <w:rPr>
          <w:rFonts w:ascii="Arial" w:hAnsi="Arial" w:cs="Arial"/>
        </w:rPr>
        <w:t xml:space="preserve"> </w:t>
      </w:r>
      <w:proofErr w:type="spellStart"/>
      <w:r w:rsidRPr="00905724">
        <w:rPr>
          <w:rFonts w:ascii="Arial" w:hAnsi="Arial" w:cs="Arial"/>
        </w:rPr>
        <w:t>Disability</w:t>
      </w:r>
      <w:proofErr w:type="spellEnd"/>
      <w:r w:rsidRPr="00905724">
        <w:rPr>
          <w:rFonts w:ascii="Arial" w:hAnsi="Arial" w:cs="Arial"/>
        </w:rPr>
        <w:t xml:space="preserve">, and </w:t>
      </w:r>
      <w:proofErr w:type="spellStart"/>
      <w:r w:rsidRPr="00905724">
        <w:rPr>
          <w:rFonts w:ascii="Arial" w:hAnsi="Arial" w:cs="Arial"/>
        </w:rPr>
        <w:t>Disability-Adjusted</w:t>
      </w:r>
      <w:proofErr w:type="spellEnd"/>
      <w:r w:rsidRPr="00905724">
        <w:rPr>
          <w:rFonts w:ascii="Arial" w:hAnsi="Arial" w:cs="Arial"/>
        </w:rPr>
        <w:t xml:space="preserve"> </w:t>
      </w:r>
      <w:proofErr w:type="spellStart"/>
      <w:r w:rsidRPr="00905724">
        <w:rPr>
          <w:rFonts w:ascii="Arial" w:hAnsi="Arial" w:cs="Arial"/>
        </w:rPr>
        <w:t>Life</w:t>
      </w:r>
      <w:proofErr w:type="spellEnd"/>
      <w:r w:rsidRPr="00905724">
        <w:rPr>
          <w:rFonts w:ascii="Arial" w:hAnsi="Arial" w:cs="Arial"/>
        </w:rPr>
        <w:t xml:space="preserve"> </w:t>
      </w:r>
      <w:proofErr w:type="spellStart"/>
      <w:r w:rsidRPr="00905724">
        <w:rPr>
          <w:rFonts w:ascii="Arial" w:hAnsi="Arial" w:cs="Arial"/>
        </w:rPr>
        <w:t>Years</w:t>
      </w:r>
      <w:proofErr w:type="spellEnd"/>
      <w:r w:rsidRPr="00905724">
        <w:rPr>
          <w:rFonts w:ascii="Arial" w:hAnsi="Arial" w:cs="Arial"/>
        </w:rPr>
        <w:t xml:space="preserve"> </w:t>
      </w:r>
      <w:proofErr w:type="spellStart"/>
      <w:r w:rsidRPr="00905724">
        <w:rPr>
          <w:rFonts w:ascii="Arial" w:hAnsi="Arial" w:cs="Arial"/>
        </w:rPr>
        <w:t>for</w:t>
      </w:r>
      <w:proofErr w:type="spellEnd"/>
      <w:r w:rsidRPr="00905724">
        <w:rPr>
          <w:rFonts w:ascii="Arial" w:hAnsi="Arial" w:cs="Arial"/>
        </w:rPr>
        <w:t xml:space="preserve"> 29 </w:t>
      </w:r>
      <w:proofErr w:type="spellStart"/>
      <w:r w:rsidRPr="00905724">
        <w:rPr>
          <w:rFonts w:ascii="Arial" w:hAnsi="Arial" w:cs="Arial"/>
        </w:rPr>
        <w:t>Cancer</w:t>
      </w:r>
      <w:proofErr w:type="spellEnd"/>
      <w:r w:rsidRPr="00905724">
        <w:rPr>
          <w:rFonts w:ascii="Arial" w:hAnsi="Arial" w:cs="Arial"/>
        </w:rPr>
        <w:t xml:space="preserve"> </w:t>
      </w:r>
      <w:proofErr w:type="spellStart"/>
      <w:r w:rsidRPr="00905724">
        <w:rPr>
          <w:rFonts w:ascii="Arial" w:hAnsi="Arial" w:cs="Arial"/>
        </w:rPr>
        <w:t>Groups</w:t>
      </w:r>
      <w:proofErr w:type="spellEnd"/>
      <w:r w:rsidRPr="00905724">
        <w:rPr>
          <w:rFonts w:ascii="Arial" w:hAnsi="Arial" w:cs="Arial"/>
        </w:rPr>
        <w:t xml:space="preserve"> </w:t>
      </w:r>
      <w:proofErr w:type="spellStart"/>
      <w:r w:rsidRPr="00905724">
        <w:rPr>
          <w:rFonts w:ascii="Arial" w:hAnsi="Arial" w:cs="Arial"/>
        </w:rPr>
        <w:t>From</w:t>
      </w:r>
      <w:proofErr w:type="spellEnd"/>
      <w:r w:rsidRPr="00905724">
        <w:rPr>
          <w:rFonts w:ascii="Arial" w:hAnsi="Arial" w:cs="Arial"/>
        </w:rPr>
        <w:t xml:space="preserve"> 2010 </w:t>
      </w:r>
      <w:proofErr w:type="spellStart"/>
      <w:r w:rsidRPr="00905724">
        <w:rPr>
          <w:rFonts w:ascii="Arial" w:hAnsi="Arial" w:cs="Arial"/>
        </w:rPr>
        <w:t>to</w:t>
      </w:r>
      <w:proofErr w:type="spellEnd"/>
      <w:r w:rsidRPr="00905724">
        <w:rPr>
          <w:rFonts w:ascii="Arial" w:hAnsi="Arial" w:cs="Arial"/>
        </w:rPr>
        <w:t xml:space="preserve"> 2019” con 913 citas, centran su investigación en la carga de la enfermedad y los factores de riesgo de las enfermedad cerebrovascular y el  cáncer</w:t>
      </w:r>
      <w:r w:rsidRPr="00905724">
        <w:rPr>
          <w:rFonts w:ascii="Arial" w:hAnsi="Arial" w:cs="Arial"/>
          <w:color w:val="FF0000"/>
        </w:rPr>
        <w:t xml:space="preserve"> </w:t>
      </w:r>
      <w:r w:rsidRPr="00905724">
        <w:rPr>
          <w:rFonts w:ascii="Arial" w:hAnsi="Arial" w:cs="Arial"/>
        </w:rPr>
        <w:t xml:space="preserve">respectivamente </w:t>
      </w:r>
      <w:r w:rsidRPr="00905724">
        <w:rPr>
          <w:rFonts w:ascii="Arial" w:hAnsi="Arial" w:cs="Arial"/>
        </w:rPr>
        <w:fldChar w:fldCharType="begin"/>
      </w:r>
      <w:r w:rsidRPr="00905724">
        <w:rPr>
          <w:rFonts w:ascii="Arial" w:hAnsi="Arial" w:cs="Arial"/>
        </w:rPr>
        <w:instrText xml:space="preserve"> ADDIN ZOTERO_ITEM CSL_CITATION {"citationID":"6p1M5AHf","properties":{"formattedCitation":"(Feigin et\\uc0\\u160{}al., 2021; Global Burden of Disease 2019 Cancer Collaboration, 2022)","plainCitation":"(Feigin et al., 2021; Global Burden of Disease 2019 Cancer Collaboration, 2022)","noteIndex":0},"citationItems":[{"id":1002,"uris":["http://zotero.org/users/local/2poXFmzI/items/FS3ZRHEH"],"itemData":{"id":1002,"type":"article-journal","container-title":"The Lancet Neurology","DOI":"10.1016/S1474-4422(21)00252-0","ISSN":"14744422","issue":"10","journalAbbreviation":"The Lancet Neurology","language":"en","page":"795-820","source":"DOI.org (Crossref)","title":"Global, regional, and national burden of stroke and its risk factors, 1990–2019: a systematic analysis for the Global Burden of Disease Study 2019","title-short":"Global, regional, and national burden of stroke and its risk factors, 1990–2019","volume":"20","author":[{"family":"Feigin","given":"Valery L"},{"family":"Stark","given":"Benjamin A"},{"family":"Johnson","given":"Catherine Owens"},{"family":"Roth","given":"Gregory A"},{"family":"Bisignano","given":"Catherine"},{"family":"Abady","given":"Gdiom Gebreheat"},{"family":"Abbasifard","given":"Mitra"},{"family":"Abbasi-Kangevari","given":"Mohsen"},{"family":"Abd-Allah","given":"Foad"},{"family":"Abedi","given":"Vida"},{"family":"Abualhasan","given":"Ahmed"},{"family":"Abu-Rmeileh","given":"Niveen Me"},{"family":"Abushouk","given":"Abdelrahman I"},{"family":"Adebayo","given":"Oladimeji M"},{"family":"Agarwal","given":"Gina"},{"family":"Agasthi","given":"Pradyumna"},{"family":"Ahinkorah","given":"Bright Opoku"},{"family":"Ahmad","given":"Sohail"},{"family":"Ahmadi","given":"Sepideh"},{"family":"Ahmed Salih","given":"Yusra"},{"family":"Aji","given":"Budi"},{"family":"Akbarpour","given":"Samaneh"},{"family":"Akinyemi","given":"Rufus Olusola"},{"family":"Al Hamad","given":"Hanadi"},{"family":"Alahdab","given":"Fares"},{"family":"Alif","given":"Sheikh Mohammad"},{"family":"Alipour","given":"Vahid"},{"family":"Aljunid","given":"Syed Mohamed"},{"family":"Almustanyir","given":"Sami"},{"family":"Al-Raddadi","given":"Rajaa M"},{"family":"Al-Shahi Salman","given":"Rustam"},{"family":"Alvis-Guzman","given":"Nelson"},{"family":"Ancuceanu","given":"Robert"},{"family":"Anderlini","given":"Deanna"},{"family":"Anderson","given":"Jason A"},{"family":"Ansar","given":"Adnan"},{"family":"Antonazzo","given":"Ippazio Cosimo"},{"family":"Arabloo","given":"Jalal"},{"family":"Ärnlöv","given":"Johan"},{"family":"Artanti","given":"Kurnia Dwi"},{"family":"Aryan","given":"Zahra"},{"family":"Asgari","given":"Samaneh"},{"family":"Ashraf","given":"Tahira"},{"family":"Athar","given":"Mohammad"},{"family":"Atreya","given":"Alok"},{"family":"Ausloos","given":"Marcel"},{"family":"Baig","given":"Atif Amin"},{"family":"Baltatu","given":"Ovidiu Constantin"},{"family":"Banach","given":"Maciej"},{"family":"Barboza","given":"Miguel A"},{"family":"Barker-Collo","given":"Suzanne Lyn"},{"family":"Bärnighausen","given":"Till Winfried"},{"family":"Barone","given":"Mark Thomaz Ugliara"},{"family":"Basu","given":"Sanjay"},{"family":"Bazmandegan","given":"Gholamreza"},{"family":"Beghi","given":"Ettore"},{"family":"Beheshti","given":"Mahya"},{"family":"Béjot","given":"Yannick"},{"family":"Bell","given":"Arielle Wilder"},{"family":"Bennett","given":"Derrick A"},{"family":"Bensenor","given":"Isabela M"},{"family":"Bezabhe","given":"Woldesellassie Mequanint"},{"family":"Bezabih","given":"Yihienew Mequanint"},{"family":"Bhagavathula","given":"Akshaya Srikanth"},{"family":"Bhardwaj","given":"Pankaj"},{"family":"Bhattacharyya","given":"Krittika"},{"family":"Bijani","given":"Ali"},{"family":"Bikbov","given":"Boris"},{"family":"Birhanu","given":"Mulugeta M"},{"family":"Boloor","given":"Archith"},{"family":"Bonny","given":"Aime"},{"family":"Brauer","given":"Michael"},{"family":"Brenner","given":"Hermann"},{"family":"Bryazka","given":"Dana"},{"family":"Butt","given":"Zahid A"},{"family":"Caetano Dos Santos","given":"Florentino Luciano"},{"family":"Campos-Nonato","given":"Ismael R"},{"family":"Cantu-Brito","given":"Carlos"},{"family":"Carrero","given":"Juan J"},{"family":"Castañeda-Orjuela","given":"Carlos A"},{"family":"Catapano","given":"Alberico L"},{"family":"Chakraborty","given":"Promit Ananyo"},{"family":"Charan","given":"Jaykaran"},{"family":"Choudhari","given":"Sonali Gajanan"},{"family":"Chowdhury","given":"Enayet Karim"},{"family":"Chu","given":"Dinh-Toi"},{"family":"Chung","given":"Sheng-Chia"},{"family":"Colozza","given":"David"},{"family":"Costa","given":"Vera Marisa"},{"family":"Costanzo","given":"Simona"},{"family":"Criqui","given":"Michael H"},{"family":"Dadras","given":"Omid"},{"family":"Dagnew","given":"Baye"},{"family":"Dai","given":"Xiaochen"},{"family":"Dalal","given":"Koustuv"},{"family":"Damasceno","given":"Albertino Antonio Moura"},{"family":"D'Amico","given":"Emanuele"},{"family":"Dandona","given":"Lalit"},{"family":"Dandona","given":"Rakhi"},{"family":"Darega Gela","given":"Jiregna"},{"family":"Davletov","given":"Kairat"},{"family":"De La Cruz-Góngora","given":"Vanessa"},{"family":"Desai","given":"Rupak"},{"family":"Dhamnetiya","given":"Deepak"},{"family":"Dharmaratne","given":"Samath Dhamminda"},{"family":"Dhimal","given":"Mandira Lamichhane"},{"family":"Dhimal","given":"Meghnath"},{"family":"Diaz","given":"Daniel"},{"family":"Dichgans","given":"Martin"},{"family":"Dokova","given":"Klara"},{"family":"Doshi","given":"Rajkumar"},{"family":"Douiri","given":"Abdel"},{"family":"Duncan","given":"Bruce B"},{"family":"Eftekharzadeh","given":"Sahar"},{"family":"Ekholuenetale","given":"Michael"},{"family":"El Nahas","given":"Nevine"},{"family":"Elgendy","given":"Islam Y"},{"family":"Elhadi","given":"Muhammed"},{"family":"El-Jaafary","given":"Shaimaa I"},{"family":"Endres","given":"Matthias"},{"family":"Endries","given":"Aman Yesuf"},{"family":"Erku","given":"Daniel Asfaw"},{"family":"Faraon","given":"Emerito Jose A"},{"family":"Farooque","given":"Umar"},{"family":"Farzadfar","given":"Farshad"},{"family":"Feroze","given":"Abdullah Hamid"},{"family":"Filip","given":"Irina"},{"family":"Fischer","given":"Florian"},{"family":"Flood","given":"David"},{"family":"Gad","given":"Mohamed M"},{"family":"Gaidhane","given":"Shilpa"},{"family":"Ghanei Gheshlagh","given":"Reza"},{"family":"Ghashghaee","given":"Ahmad"},{"family":"Ghith","given":"Nermin"},{"family":"Ghozali","given":"Ghozali"},{"family":"Ghozy","given":"Sherief"},{"family":"Gialluisi","given":"Alessandro"},{"family":"Giampaoli","given":"Simona"},{"family":"Gilani","given":"Syed Amir"},{"family":"Gill","given":"Paramjit Singh"},{"family":"Gnedovskaya","given":"Elena V"},{"family":"Golechha","given":"Mahaveer"},{"family":"Goulart","given":"Alessandra C"},{"family":"Guo","given":"Yuming"},{"family":"Gupta","given":"Rajeev"},{"family":"Gupta","given":"Veer Bala"},{"family":"Gupta","given":"Vivek Kumar"},{"family":"Gyanwali","given":"Pradip"},{"family":"Hafezi-Nejad","given":"Nima"},{"family":"Hamidi","given":"Samer"},{"family":"Hanif","given":"Asif"},{"family":"Hankey","given":"Graeme J"},{"family":"Hargono","given":"Arief"},{"family":"Hashi","given":"Abdiwahab"},{"family":"Hassan","given":"Treska S"},{"family":"Hassen","given":"Hamid Yimam"},{"family":"Havmoeller","given":"Rasmus J"},{"family":"Hay","given":"Simon I"},{"family":"Hayat","given":"Khezar"},{"family":"Hegazy","given":"Mohamed I"},{"family":"Herteliu","given":"Claudiu"},{"family":"Holla","given":"Ramesh"},{"family":"Hostiuc","given":"Sorin"},{"family":"Househ","given":"Mowafa"},{"family":"Huang","given":"Junjie"},{"family":"Humayun","given":"Ayesha"},{"family":"Hwang","given":"Bing-Fang"},{"family":"Iacoviello","given":"Licia"},{"family":"Iavicoli","given":"Ivo"},{"family":"Ibitoye","given":"Segun Emmanuel"},{"family":"Ilesanmi","given":"Olayinka Stephen"},{"family":"Ilic","given":"Irena M"},{"family":"Ilic","given":"Milena D"},{"family":"Iqbal","given":"Usman"},{"family":"Irvani","given":"Seyed Sina Naghibi"},{"family":"Islam","given":"Sheikh Mohammed Shariful"},{"family":"Ismail","given":"Nahlah Elkudssiah"},{"family":"Iso","given":"Hiroyasu"},{"family":"Isola","given":"Gaetano"},{"family":"Iwagami","given":"Masao"},{"family":"Jacob","given":"Louis"},{"family":"Jain","given":"Vardhmaan"},{"family":"Jang","given":"Sung-In"},{"family":"Jayapal","given":"Sathish Kumar"},{"family":"Jayaram","given":"Shubha"},{"family":"Jayawardena","given":"Ranil"},{"family":"Jeemon","given":"Panniyammakal"},{"family":"Jha","given":"Ravi Prakash"},{"family":"Johnson","given":"Walter D"},{"family":"Jonas","given":"Jost B"},{"family":"Joseph","given":"Nitin"},{"family":"Jozwiak","given":"Jacek Jerzy"},{"family":"Jürisson","given":"Mikk"},{"family":"Kalani","given":"Rizwan"},{"family":"Kalhor","given":"Rohollah"},{"family":"Kalkonde","given":"Yogeshwar"},{"family":"Kamath","given":"Ashwin"},{"family":"Kamiab","given":"Zahra"},{"family":"Kanchan","given":"Tanuj"},{"family":"Kandel","given":"Himal"},{"family":"Karch","given":"André"},{"family":"Katoto","given":"Patrick Dmc"},{"family":"Kayode","given":"Gbenga A"},{"family":"Keshavarz","given":"Pedram"},{"family":"Khader","given":"Yousef Saleh"},{"family":"Khan","given":"Ejaz Ahmad"},{"family":"Khan","given":"Imteyaz A"},{"family":"Khan","given":"Maseer"},{"family":"Khan","given":"Moien Ab"},{"family":"Khatib","given":"Mahalaqua Nazli"},{"family":"Khubchandani","given":"Jagdish"},{"family":"Kim","given":"Gyu Ri"},{"family":"Kim","given":"Min Seo"},{"family":"Kim","given":"Yun Jin"},{"family":"Kisa","given":"Adnan"},{"family":"Kisa","given":"Sezer"},{"family":"Kivimäki","given":"Mika"},{"family":"Kolte","given":"Dhaval"},{"family":"Koolivand","given":"Ali"},{"family":"Koulmane Laxminarayana","given":"Sindhura Lakshmi"},{"family":"Koyanagi","given":"Ai"},{"family":"Krishan","given":"Kewal"},{"family":"Krishnamoorthy","given":"Vijay"},{"family":"Krishnamurthi","given":"Rita V"},{"family":"Kumar","given":"G Anil"},{"family":"Kusuma","given":"Dian"},{"family":"La Vecchia","given":"Carlo"},{"family":"Lacey","given":"Ben"},{"family":"Lak","given":"Hassan Mehmood"},{"family":"Lallukka","given":"Tea"},{"family":"Lasrado","given":"Savita"},{"family":"Lavados","given":"Pablo M"},{"family":"Leonardi","given":"Matilde"},{"family":"Li","given":"Bingyu"},{"family":"Li","given":"Shanshan"},{"family":"Lin","given":"Hualiang"},{"family":"Lin","given":"Ro-Ting"},{"family":"Liu","given":"Xuefeng"},{"family":"Lo","given":"Warren David"},{"family":"Lorkowski","given":"Stefan"},{"family":"Lucchetti","given":"Giancarlo"},{"family":"Lutzky Saute","given":"Ricardo"},{"family":"Magdy Abd El Razek","given":"Hassan"},{"family":"Magnani","given":"Francesca Giulia"},{"family":"Mahajan","given":"Preetam Bhalchandra"},{"family":"Majeed","given":"Azeem"},{"family":"Makki","given":"Alaa"},{"family":"Malekzadeh","given":"Reza"},{"family":"Malik","given":"Ahmad Azam"},{"family":"Manafi","given":"Navid"},{"family":"Mansournia","given":"Mohammad Ali"},{"family":"Mantovani","given":"Lorenzo Giovanni"},{"family":"Martini","given":"Santi"},{"family":"Mazzaglia","given":"Giampiero"},{"family":"Mehndiratta","given":"Man Mohan"},{"family":"Menezes","given":"Ritesh G"},{"family":"Meretoja","given":"Atte"},{"family":"Mersha","given":"Amanual Getnet"},{"family":"Miao Jonasson","given":"Junmei"},{"family":"Miazgowski","given":"Bartosz"},{"family":"Miazgowski","given":"Tomasz"},{"family":"Michalek","given":"Irmina Maria"},{"family":"Mirrakhimov","given":"Erkin M"},{"family":"Mohammad","given":"Yousef"},{"family":"Mohammadian-Hafshejani","given":"Abdollah"},{"family":"Mohammed","given":"Shafiu"},{"family":"Mokdad","given":"Ali H"},{"family":"Mokhayeri","given":"Yaser"},{"family":"Molokhia","given":"Mariam"},{"family":"Moni","given":"Mohammad Ali"},{"family":"Montasir","given":"Ahmed Al"},{"family":"Moradzadeh","given":"Rahmatollah"},{"family":"Morawska","given":"Lidia"},{"family":"Morze","given":"Jakub"},{"family":"Muruet","given":"Walter"},{"family":"Musa","given":"Kamarul Imran"},{"family":"Nagarajan","given":"Ahamarshan Jayaraman"},{"family":"Naghavi","given":"Mohsen"},{"family":"Narasimha Swamy","given":"Sreenivas"},{"family":"Nascimento","given":"Bruno Ramos"},{"family":"Negoi","given":"Ruxandra Irina"},{"family":"Neupane Kandel","given":"Sandhya"},{"family":"Nguyen","given":"Trang Huyen"},{"family":"Norrving","given":"Bo"},{"family":"Noubiap","given":"Jean Jacques"},{"family":"Nwatah","given":"Vincent Ebuka"},{"family":"Oancea","given":"Bogdan"},{"family":"Odukoya","given":"Oluwakemi Ololade"},{"family":"Olagunju","given":"Andrew T"},{"family":"Orru","given":"Hans"},{"family":"Owolabi","given":"Mayowa O"},{"family":"Padubidri","given":"Jagadish Rao"},{"family":"Pana","given":"Adrian"},{"family":"Parekh","given":"Tarang"},{"family":"Park","given":"Eun-Cheol"},{"family":"Pashazadeh Kan","given":"Fatemeh"},{"family":"Pathak","given":"Mona"},{"family":"Peres","given":"Mario F P"},{"family":"Perianayagam","given":"Arokiasamy"},{"family":"Pham","given":"Truong-Minh"},{"family":"Piradov","given":"Michael A"},{"family":"Podder","given":"Vivek"},{"family":"Polinder","given":"Suzanne"},{"family":"Postma","given":"Maarten J"},{"family":"Pourshams","given":"Akram"},{"family":"Radfar","given":"Amir"},{"family":"Rafiei","given":"Alireza"},{"family":"Raggi","given":"Alberto"},{"family":"Rahim","given":"Fakher"},{"family":"Rahimi-Movaghar","given":"Vafa"},{"family":"Rahman","given":"Mosiur"},{"family":"Rahman","given":"Muhammad Aziz"},{"family":"Rahmani","given":"Amir Masoud"},{"family":"Rajai","given":"Nazanin"},{"family":"Ranasinghe","given":"Priyanga"},{"family":"Rao","given":"Chythra R"},{"family":"Rao","given":"Sowmya J"},{"family":"Rathi","given":"Priya"},{"family":"Rawaf","given":"David Laith"},{"family":"Rawaf","given":"Salman"},{"family":"Reitsma","given":"Marissa B"},{"family":"Renjith","given":"Vishnu"},{"family":"Renzaho","given":"Andre M N"},{"family":"Rezapour","given":"Aziz"},{"family":"Rodriguez","given":"Jefferson Antonio Buendia"},{"family":"Roever","given":"Leonardo"},{"family":"Romoli","given":"Michele"},{"family":"Rynkiewicz","given":"Andrzej"},{"family":"Sacco","given":"Simona"},{"family":"Sadeghi","given":"Masoumeh"},{"family":"Saeedi Moghaddam","given":"Sahar"},{"family":"Sahebkar","given":"Amirhossein"},{"family":"Saif-Ur-Rahman","given":"Km"},{"family":"Salah","given":"Rehab"},{"family":"Samaei","given":"Mehrnoosh"},{"family":"Samy","given":"Abdallah M"},{"family":"Santos","given":"Itamar S"},{"family":"Santric-Milicevic","given":"Milena M"},{"family":"Sarrafzadegan","given":"Nizal"},{"family":"Sathian","given":"Brijesh"},{"family":"Sattin","given":"Davide"},{"family":"Schiavolin","given":"Silvia"},{"family":"Schlaich","given":"Markus P"},{"family":"Schmidt","given":"Maria Inês"},{"family":"Schutte","given":"Aletta Elisabeth"},{"family":"Sepanlou","given":"Sadaf G"},{"family":"Seylani","given":"Allen"},{"family":"Sha","given":"Feng"},{"family":"Shahabi","given":"Saeed"},{"family":"Shaikh","given":"Masood Ali"},{"family":"Shannawaz","given":"Mohammed"},{"family":"Shawon","given":"Md Shajedur Rahman"},{"family":"Sheikh","given":"Aziz"},{"family":"Sheikhbahaei","given":"Sara"},{"family":"Shibuya","given":"Kenji"},{"family":"Siabani","given":"Soraya"},{"family":"Silva","given":"Diego Augusto Santos"},{"family":"Singh","given":"Jasvinder A"},{"family":"Singh","given":"Jitendra Kumar"},{"family":"Skryabin","given":"Valentin Yurievich"},{"family":"Skryabina","given":"Anna Aleksandrovna"},{"family":"Sobaih","given":"Badr Hasan"},{"family":"Stortecky","given":"Stefan"},{"family":"Stranges","given":"Saverio"},{"family":"Tadesse","given":"Eyayou Girma"},{"family":"Tarigan","given":"Ingan Ukur"},{"family":"Temsah","given":"Mohamad-Hani"},{"family":"Teuschl","given":"Yvonne"},{"family":"Thrift","given":"Amanda G"},{"family":"Tonelli","given":"Marcello"},{"family":"Tovani-Palone","given":"Marcos Roberto"},{"family":"Tran","given":"Bach Xuan"},{"family":"Tripathi","given":"Manjari"},{"family":"Tsegaye","given":"Gebiyaw Wudie"},{"family":"Ullah","given":"Anayat"},{"family":"Unim","given":"Brigid"},{"family":"Unnikrishnan","given":"Bhaskaran"},{"family":"Vakilian","given":"Alireza"},{"family":"Valadan Tahbaz","given":"Sahel"},{"family":"Vasankari","given":"Tommi Juhani"},{"family":"Venketasubramanian","given":"Narayanaswamy"},{"family":"Vervoort","given":"Dominique"},{"family":"Vo","given":"Bay"},{"family":"Volovici","given":"Victor"},{"family":"Vosoughi","given":"Kia"},{"family":"Vu","given":"Giang Thu"},{"family":"Vu","given":"Linh Gia"},{"family":"Wafa","given":"Hatem A"},{"family":"Waheed","given":"Yasir"},{"family":"Wang","given":"Yanzhong"},{"family":"Wijeratne","given":"Tissa"},{"family":"Winkler","given":"Andrea Sylvia"},{"family":"Wolfe","given":"Charles D A"},{"family":"Woodward","given":"Mark"},{"family":"Wu","given":"Jason H"},{"family":"Wulf Hanson","given":"Sarah"},{"family":"Xu","given":"Xiaoyue"},{"family":"Yadav","given":"Lalit"},{"family":"Yadollahpour","given":"Ali"},{"family":"Yahyazadeh Jabbari","given":"Seyed Hossein"},{"family":"Yamagishi","given":"Kazumasa"},{"family":"Yatsuya","given":"Hiroshi"},{"family":"Yonemoto","given":"Naohiro"},{"family":"Yu","given":"Chuanhua"},{"family":"Yunusa","given":"Ismaeel"},{"family":"Zaman","given":"Muhammed Shahriar"},{"family":"Zaman","given":"Sojib Bin"},{"family":"Zamanian","given":"Maryam"},{"family":"Zand","given":"Ramin"},{"family":"Zandifar","given":"Alireza"},{"family":"Zastrozhin","given":"Mikhail Sergeevich"},{"family":"Zastrozhina","given":"Anasthasia"},{"family":"Zhang","given":"Yunquan"},{"family":"Zhang","given":"Zhi-Jiang"},{"family":"Zhong","given":"Chenwen"},{"family":"Zuniga","given":"Yves Miel H"},{"family":"Murray","given":"Christopher J L"}],"issued":{"date-parts":[["2021",10]]}}},{"id":1016,"uris":["http://zotero.org/users/local/2poXFmzI/items/KENMQXEZ"],"itemData":{"id":1016,"type":"article-journal","abstract":"The Global Burden of Diseases, Injuries, and Risk Factors Study 2019 (GBD 2019) provided systematic estimates of incidence, morbidity, and mortality to inform local and international efforts toward reducing cancer burden.To estimate cancer burden and trends globally for 204 countries and territories and by Sociodemographic Index (SDI) quintiles from 2010 to 2019.The GBD 2019 estimation methods were used to describe cancer incidence, mortality, years lived with disability, years of life lost, and disability-adjusted life years (DALYs) in 2019 and over the past decade. Estimates are also provided by quintiles of the SDI, a composite measure of educational attainment, income per capita, and total fertility rate for those younger than 25 years. Estimates include 95% uncertainty intervals (UIs).In 2019, there were an estimated 23.6 million (95% UI, 22.2-24.9 million) new cancer cases (17.2 million when excluding nonmelanoma skin cancer) and 10.0 million (95% UI, 9.36-10.6 million) cancer deaths globally, with an estimated 250 million (235-264 million) DALYs due to cancer. Since 2010, these represented a 26.3% (95% UI, 20.3%-32.3%) increase in new cases, a 20.9% (95% UI, 14.2%-27.6%) increase in deaths, and a 16.0% (95% UI, 9.3%-22.8%) increase in DALYs. Among 22 groups of diseases and injuries in the GBD 2019 study, cancer was second only to cardiovascular diseases for the number of deaths, years of life lost, and DALYs globally in 2019. Cancer burden differed across SDI quintiles. The proportion of years lived with disability that contributed to DALYs increased with SDI, ranging from 1.4% (1.1%-1.8%) in the low SDI quintile to 5.7% (4.2%-7.1%) in the high SDI quintile. While the high SDI quintile had the highest number of new cases in 2019, the middle SDI quintile had the highest number of cancer deaths and DALYs. From 2010 to 2019, the largest percentage increase in the numbers of cases and deaths occurred in the low and low-middle SDI quintiles.The results of this systematic analysis suggest that the global burden of cancer is substantial and growing, with burden differing by SDI. These results provide comprehensive and comparable estimates that can potentially inform efforts toward equitable cancer control around the world.","container-title":"JAMA Oncology","DOI":"10.1001/jamaoncol.2021.6987","ISSN":"2374-2437","issue":"3","journalAbbreviation":"JAMA Oncology","page":"420-444","title":"Cancer Incidence, Mortality, Years of Life Lost, Years Lived With Disability, and Disability-Adjusted Life Years for 29 Cancer Groups From 2010 to 2019: A Systematic Analysis for the Global Burden of Disease Study 2019","volume":"8","author":[{"literal":"Global Burden of Disease 2019 Cancer Collaboration"}],"issued":{"date-parts":[["2022",3,1]]}}}],"schema":"https://github.com/citation-style-language/schema/raw/master/csl-citation.json"} </w:instrText>
      </w:r>
      <w:r w:rsidRPr="00905724">
        <w:rPr>
          <w:rFonts w:ascii="Arial" w:hAnsi="Arial" w:cs="Arial"/>
        </w:rPr>
        <w:fldChar w:fldCharType="separate"/>
      </w:r>
      <w:r w:rsidRPr="00905724">
        <w:rPr>
          <w:rFonts w:ascii="Arial" w:hAnsi="Arial" w:cs="Arial"/>
        </w:rPr>
        <w:t>(Feigin et al., 2021; Global Burden of Disease 2019 Cancer Collaboration, 2022)</w:t>
      </w:r>
      <w:r w:rsidRPr="00905724">
        <w:rPr>
          <w:rFonts w:ascii="Arial" w:hAnsi="Arial" w:cs="Arial"/>
        </w:rPr>
        <w:fldChar w:fldCharType="end"/>
      </w:r>
      <w:r w:rsidRPr="00905724">
        <w:rPr>
          <w:rFonts w:ascii="Arial" w:hAnsi="Arial" w:cs="Arial"/>
        </w:rPr>
        <w:t>. Los otros 4 autores son Patino, Diana Guerrero (13), Rodríguez-Martínez, Carlos E. (7), Lindarte, Erika Fernanda (6), Sossa-Briceño, Mónica P. (4) y una fuerza total de cinco enlaces.</w:t>
      </w:r>
    </w:p>
    <w:p w14:paraId="4A00B2D3" w14:textId="42CD4AAD" w:rsidR="00655CB0" w:rsidRPr="00524C06" w:rsidRDefault="00655CB0" w:rsidP="00450AEF">
      <w:pPr>
        <w:spacing w:line="360" w:lineRule="auto"/>
        <w:jc w:val="both"/>
        <w:rPr>
          <w:rFonts w:ascii="Arial" w:hAnsi="Arial" w:cs="Arial"/>
          <w:color w:val="222222"/>
          <w:shd w:val="clear" w:color="auto" w:fill="FFFFFF"/>
        </w:rPr>
      </w:pPr>
    </w:p>
    <w:p w14:paraId="3DFFF5C2" w14:textId="77777777" w:rsidR="00567046" w:rsidRDefault="00567046" w:rsidP="00524C06">
      <w:pPr>
        <w:spacing w:line="360" w:lineRule="auto"/>
        <w:ind w:firstLine="709"/>
        <w:jc w:val="center"/>
        <w:rPr>
          <w:rFonts w:ascii="Arial" w:hAnsi="Arial" w:cs="Arial"/>
          <w:b/>
          <w:bCs/>
          <w:sz w:val="20"/>
          <w:szCs w:val="20"/>
        </w:rPr>
      </w:pPr>
    </w:p>
    <w:p w14:paraId="245C20C7" w14:textId="77777777" w:rsidR="00567046" w:rsidRDefault="00567046" w:rsidP="00524C06">
      <w:pPr>
        <w:spacing w:line="360" w:lineRule="auto"/>
        <w:ind w:firstLine="709"/>
        <w:jc w:val="center"/>
        <w:rPr>
          <w:rFonts w:ascii="Arial" w:hAnsi="Arial" w:cs="Arial"/>
          <w:b/>
          <w:bCs/>
          <w:sz w:val="20"/>
          <w:szCs w:val="20"/>
        </w:rPr>
      </w:pPr>
    </w:p>
    <w:p w14:paraId="3E9F6B11" w14:textId="77777777" w:rsidR="00567046" w:rsidRDefault="00567046" w:rsidP="00524C06">
      <w:pPr>
        <w:spacing w:line="360" w:lineRule="auto"/>
        <w:ind w:firstLine="709"/>
        <w:jc w:val="center"/>
        <w:rPr>
          <w:rFonts w:ascii="Arial" w:hAnsi="Arial" w:cs="Arial"/>
          <w:b/>
          <w:bCs/>
          <w:sz w:val="20"/>
          <w:szCs w:val="20"/>
        </w:rPr>
      </w:pPr>
    </w:p>
    <w:p w14:paraId="6BFBF03A" w14:textId="77777777" w:rsidR="00567046" w:rsidRDefault="00567046" w:rsidP="00524C06">
      <w:pPr>
        <w:spacing w:line="360" w:lineRule="auto"/>
        <w:ind w:firstLine="709"/>
        <w:jc w:val="center"/>
        <w:rPr>
          <w:rFonts w:ascii="Arial" w:hAnsi="Arial" w:cs="Arial"/>
          <w:b/>
          <w:bCs/>
          <w:sz w:val="20"/>
          <w:szCs w:val="20"/>
        </w:rPr>
      </w:pPr>
    </w:p>
    <w:p w14:paraId="7E198767" w14:textId="77777777" w:rsidR="00567046" w:rsidRDefault="00567046" w:rsidP="00524C06">
      <w:pPr>
        <w:spacing w:line="360" w:lineRule="auto"/>
        <w:ind w:firstLine="709"/>
        <w:jc w:val="center"/>
        <w:rPr>
          <w:rFonts w:ascii="Arial" w:hAnsi="Arial" w:cs="Arial"/>
          <w:b/>
          <w:bCs/>
          <w:sz w:val="20"/>
          <w:szCs w:val="20"/>
        </w:rPr>
      </w:pPr>
    </w:p>
    <w:p w14:paraId="42C83EFE" w14:textId="77777777" w:rsidR="00567046" w:rsidRDefault="00567046" w:rsidP="00524C06">
      <w:pPr>
        <w:spacing w:line="360" w:lineRule="auto"/>
        <w:ind w:firstLine="709"/>
        <w:jc w:val="center"/>
        <w:rPr>
          <w:rFonts w:ascii="Arial" w:hAnsi="Arial" w:cs="Arial"/>
          <w:b/>
          <w:bCs/>
          <w:sz w:val="20"/>
          <w:szCs w:val="20"/>
        </w:rPr>
      </w:pPr>
    </w:p>
    <w:p w14:paraId="107C0F08" w14:textId="77777777" w:rsidR="00567046" w:rsidRDefault="00567046" w:rsidP="00524C06">
      <w:pPr>
        <w:spacing w:line="360" w:lineRule="auto"/>
        <w:ind w:firstLine="709"/>
        <w:jc w:val="center"/>
        <w:rPr>
          <w:rFonts w:ascii="Arial" w:hAnsi="Arial" w:cs="Arial"/>
          <w:b/>
          <w:bCs/>
          <w:sz w:val="20"/>
          <w:szCs w:val="20"/>
        </w:rPr>
      </w:pPr>
    </w:p>
    <w:p w14:paraId="2506E133" w14:textId="1725640D" w:rsidR="00524C06" w:rsidRPr="00524C06" w:rsidRDefault="00524C06" w:rsidP="00524C06">
      <w:pPr>
        <w:spacing w:line="360" w:lineRule="auto"/>
        <w:ind w:firstLine="709"/>
        <w:jc w:val="center"/>
        <w:rPr>
          <w:rFonts w:ascii="Arial" w:hAnsi="Arial" w:cs="Arial"/>
          <w:sz w:val="20"/>
          <w:szCs w:val="20"/>
        </w:rPr>
      </w:pPr>
      <w:r w:rsidRPr="00524C06">
        <w:rPr>
          <w:rFonts w:ascii="Arial" w:hAnsi="Arial" w:cs="Arial"/>
          <w:b/>
          <w:bCs/>
          <w:sz w:val="20"/>
          <w:szCs w:val="20"/>
        </w:rPr>
        <w:lastRenderedPageBreak/>
        <w:t xml:space="preserve">Gráfico 2. Red de </w:t>
      </w:r>
      <w:r w:rsidR="009D405E">
        <w:rPr>
          <w:rFonts w:ascii="Arial" w:hAnsi="Arial" w:cs="Arial"/>
          <w:b/>
          <w:bCs/>
          <w:sz w:val="20"/>
          <w:szCs w:val="20"/>
        </w:rPr>
        <w:t>c</w:t>
      </w:r>
      <w:r w:rsidRPr="00524C06">
        <w:rPr>
          <w:rFonts w:ascii="Arial" w:hAnsi="Arial" w:cs="Arial"/>
          <w:b/>
          <w:bCs/>
          <w:sz w:val="20"/>
          <w:szCs w:val="20"/>
        </w:rPr>
        <w:t>oautoría</w:t>
      </w:r>
    </w:p>
    <w:p w14:paraId="13FA17B4" w14:textId="77777777" w:rsidR="00524C06" w:rsidRPr="00416937" w:rsidRDefault="00524C06" w:rsidP="00524C06">
      <w:pPr>
        <w:spacing w:line="360" w:lineRule="auto"/>
        <w:ind w:firstLine="709"/>
        <w:jc w:val="center"/>
        <w:rPr>
          <w:rFonts w:cstheme="minorHAnsi"/>
          <w:b/>
          <w:bCs/>
        </w:rPr>
      </w:pPr>
      <w:r w:rsidRPr="00416937">
        <w:rPr>
          <w:rFonts w:cstheme="minorHAnsi"/>
          <w:b/>
          <w:bCs/>
          <w:noProof/>
          <w:lang w:eastAsia="es-CR"/>
        </w:rPr>
        <w:drawing>
          <wp:inline distT="0" distB="0" distL="0" distR="0" wp14:anchorId="527BAF6F" wp14:editId="4D52F67A">
            <wp:extent cx="5078112" cy="3219450"/>
            <wp:effectExtent l="0" t="0" r="8255" b="0"/>
            <wp:docPr id="1762502027"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02027" name="Imagen 2" descr="Diagrama&#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2789" cy="3241435"/>
                    </a:xfrm>
                    <a:prstGeom prst="rect">
                      <a:avLst/>
                    </a:prstGeom>
                    <a:noFill/>
                    <a:ln>
                      <a:noFill/>
                    </a:ln>
                  </pic:spPr>
                </pic:pic>
              </a:graphicData>
            </a:graphic>
          </wp:inline>
        </w:drawing>
      </w:r>
    </w:p>
    <w:p w14:paraId="7C6C1460" w14:textId="77777777" w:rsidR="00524C06" w:rsidRPr="00524C06" w:rsidRDefault="00524C06" w:rsidP="00524C06">
      <w:pPr>
        <w:spacing w:line="360" w:lineRule="auto"/>
        <w:ind w:firstLine="709"/>
        <w:jc w:val="center"/>
        <w:rPr>
          <w:rFonts w:ascii="Arial" w:hAnsi="Arial" w:cs="Arial"/>
          <w:sz w:val="20"/>
          <w:szCs w:val="20"/>
        </w:rPr>
      </w:pPr>
      <w:r w:rsidRPr="00524C06">
        <w:rPr>
          <w:rFonts w:ascii="Arial" w:hAnsi="Arial" w:cs="Arial"/>
          <w:sz w:val="20"/>
          <w:szCs w:val="20"/>
        </w:rPr>
        <w:t xml:space="preserve">Fuente: Elaboración propia en </w:t>
      </w:r>
      <w:proofErr w:type="spellStart"/>
      <w:r w:rsidRPr="00524C06">
        <w:rPr>
          <w:rFonts w:ascii="Arial" w:hAnsi="Arial" w:cs="Arial"/>
          <w:sz w:val="20"/>
          <w:szCs w:val="20"/>
        </w:rPr>
        <w:t>VOSViewer</w:t>
      </w:r>
      <w:proofErr w:type="spellEnd"/>
      <w:r w:rsidRPr="00524C06">
        <w:rPr>
          <w:rFonts w:ascii="Arial" w:hAnsi="Arial" w:cs="Arial"/>
          <w:sz w:val="20"/>
          <w:szCs w:val="20"/>
        </w:rPr>
        <w:t xml:space="preserve"> con base en los datos de </w:t>
      </w:r>
      <w:proofErr w:type="spellStart"/>
      <w:r w:rsidRPr="00524C06">
        <w:rPr>
          <w:rFonts w:ascii="Arial" w:hAnsi="Arial" w:cs="Arial"/>
          <w:sz w:val="20"/>
          <w:szCs w:val="20"/>
        </w:rPr>
        <w:t>Scopus</w:t>
      </w:r>
      <w:proofErr w:type="spellEnd"/>
      <w:r w:rsidRPr="00524C06">
        <w:rPr>
          <w:rFonts w:ascii="Arial" w:hAnsi="Arial" w:cs="Arial"/>
          <w:sz w:val="20"/>
          <w:szCs w:val="20"/>
        </w:rPr>
        <w:t>, 2024.</w:t>
      </w:r>
    </w:p>
    <w:p w14:paraId="016AF3D7" w14:textId="77777777" w:rsidR="001E64FE" w:rsidRDefault="001E64FE" w:rsidP="009D1310">
      <w:pPr>
        <w:spacing w:line="360" w:lineRule="auto"/>
        <w:jc w:val="both"/>
        <w:rPr>
          <w:rFonts w:ascii="Arial" w:hAnsi="Arial" w:cs="Arial"/>
        </w:rPr>
      </w:pPr>
    </w:p>
    <w:p w14:paraId="5956ABB9" w14:textId="4746C7C7" w:rsidR="00524C06" w:rsidRPr="00E743C9" w:rsidRDefault="00524C06" w:rsidP="009D1310">
      <w:pPr>
        <w:spacing w:line="360" w:lineRule="auto"/>
        <w:jc w:val="both"/>
        <w:rPr>
          <w:rFonts w:ascii="Arial" w:hAnsi="Arial" w:cs="Arial"/>
          <w:b/>
          <w:bCs/>
        </w:rPr>
      </w:pPr>
      <w:r w:rsidRPr="00E743C9">
        <w:rPr>
          <w:rFonts w:ascii="Arial" w:hAnsi="Arial" w:cs="Arial"/>
        </w:rPr>
        <w:t xml:space="preserve">El análisis bibliométrico de la coautoría revela qué autores colaboran en el ámbito de la investigación. Los colores identifican distintos grupos, mientras que el tamaño de los círculos refleja la cantidad de publicaciones. Por otro lado, el grosor de las líneas indica la intensidad de la colaboración entre autores </w:t>
      </w:r>
      <w:r w:rsidRPr="00E743C9">
        <w:rPr>
          <w:rFonts w:ascii="Arial" w:hAnsi="Arial" w:cs="Arial"/>
        </w:rPr>
        <w:fldChar w:fldCharType="begin"/>
      </w:r>
      <w:r w:rsidRPr="00E743C9">
        <w:rPr>
          <w:rFonts w:ascii="Arial" w:hAnsi="Arial" w:cs="Arial"/>
        </w:rPr>
        <w:instrText xml:space="preserve"> ADDIN ZOTERO_ITEM CSL_CITATION {"citationID":"xY8JkhUJ","properties":{"formattedCitation":"(Vences P\\uc0\\u233{}rez et\\uc0\\u160{}al., 2022)","plainCitation":"(Vences Pérez et al., 2022)","noteIndex":0},"citationItems":[{"id":1014,"uris":["http://zotero.org/users/local/2poXFmzI/items/9A5UXLQG"],"itemData":{"id":1014,"type":"article-journal","abstract":"En el presente estudio se realizó un análisis bibliométrico sobre la especie Dermochelys coriacea en la base de datos Scopus de los últimos diez años. Se utilizaron dos análisis de indagación (de co-autorias y co-presencias), a partir del software VOSviewer versión 1.6.17. Los ítems Dermochelys coriacea, y México se emplearon para la búsqueda de las publicaciones relevantes. Se encontraron un total de 7 artículos durante el periodo 2010 - 2021, en cada año se contó al menos con una publicación. El autor que más publicó sobre esta especie es García-Grajales (N=2) (Universidad del Mar) y el estado que más artículos registró sobre la especie es Oaxaca (N=4). Los temas de Ecología y Microbiología han sido los más abordados y se registraron un total de 52 autores con artículos de D. coriacea en México. Las palabras clave proporcionadas por los autores de los artículos fueron un total de 66, tres de las cuales alcanzaron el umbral. Las palabras que aparecieron con mayor frecuencia fueron: “Dermochelys coriacea”,” leatherback” y “morphology”.","container-title":"Nexo Revista Científica","DOI":"10.5377/nexo.v35i02.14622","ISSN":"1995-9516, 1818-6742","issue":"02","journalAbbreviation":"Nexo Revista Científica","page":"448-458","source":"DOI.org (Crossref)","title":"Análisis bibliométrico de Dermochelys coriacea en México utilizando Vosviewer y Scopus","volume":"35","author":[{"family":"Vences Pérez","given":"Suleima"},{"family":"Díaz-Larrea","given":"Jhoana"},{"family":"Cruz-Aviña","given":"Juan Ricardo"},{"family":"Cabrera","given":"Rubén"}],"issued":{"date-parts":[["2022",6,30]]}}}],"schema":"https://github.com/citation-style-language/schema/raw/master/csl-citation.json"} </w:instrText>
      </w:r>
      <w:r w:rsidRPr="00E743C9">
        <w:rPr>
          <w:rFonts w:ascii="Arial" w:hAnsi="Arial" w:cs="Arial"/>
        </w:rPr>
        <w:fldChar w:fldCharType="separate"/>
      </w:r>
      <w:r w:rsidRPr="00E743C9">
        <w:rPr>
          <w:rFonts w:ascii="Arial" w:hAnsi="Arial" w:cs="Arial"/>
        </w:rPr>
        <w:t>(Vences Pérez et al., 2022)</w:t>
      </w:r>
      <w:r w:rsidRPr="00E743C9">
        <w:rPr>
          <w:rFonts w:ascii="Arial" w:hAnsi="Arial" w:cs="Arial"/>
        </w:rPr>
        <w:fldChar w:fldCharType="end"/>
      </w:r>
      <w:r w:rsidRPr="00E743C9">
        <w:rPr>
          <w:rFonts w:ascii="Arial" w:hAnsi="Arial" w:cs="Arial"/>
        </w:rPr>
        <w:t>.</w:t>
      </w:r>
    </w:p>
    <w:p w14:paraId="7714B8B9" w14:textId="77777777" w:rsidR="009D1310" w:rsidRPr="00E743C9" w:rsidRDefault="009D1310" w:rsidP="00524C06">
      <w:pPr>
        <w:spacing w:line="360" w:lineRule="auto"/>
        <w:ind w:firstLine="709"/>
        <w:jc w:val="both"/>
        <w:rPr>
          <w:rFonts w:ascii="Arial" w:hAnsi="Arial" w:cs="Arial"/>
          <w:b/>
          <w:bCs/>
        </w:rPr>
      </w:pPr>
    </w:p>
    <w:p w14:paraId="132A1C38" w14:textId="77777777" w:rsidR="00C6143A" w:rsidRDefault="00C6143A" w:rsidP="00524C06">
      <w:pPr>
        <w:spacing w:line="360" w:lineRule="auto"/>
        <w:ind w:firstLine="709"/>
        <w:jc w:val="both"/>
        <w:rPr>
          <w:rFonts w:ascii="Arial" w:hAnsi="Arial" w:cs="Arial"/>
          <w:b/>
          <w:bCs/>
        </w:rPr>
      </w:pPr>
    </w:p>
    <w:p w14:paraId="6D06B3FE" w14:textId="34FE19A2" w:rsidR="00524C06" w:rsidRPr="00E743C9" w:rsidRDefault="00524C06" w:rsidP="00524C06">
      <w:pPr>
        <w:spacing w:line="360" w:lineRule="auto"/>
        <w:ind w:firstLine="709"/>
        <w:jc w:val="both"/>
        <w:rPr>
          <w:rFonts w:ascii="Arial" w:hAnsi="Arial" w:cs="Arial"/>
          <w:b/>
          <w:bCs/>
        </w:rPr>
      </w:pPr>
      <w:r w:rsidRPr="00E743C9">
        <w:rPr>
          <w:rFonts w:ascii="Arial" w:hAnsi="Arial" w:cs="Arial"/>
          <w:b/>
          <w:bCs/>
        </w:rPr>
        <w:lastRenderedPageBreak/>
        <w:t xml:space="preserve">Red de </w:t>
      </w:r>
      <w:r w:rsidR="000232B5">
        <w:rPr>
          <w:rFonts w:ascii="Arial" w:hAnsi="Arial" w:cs="Arial"/>
          <w:b/>
          <w:bCs/>
        </w:rPr>
        <w:t>c</w:t>
      </w:r>
      <w:r w:rsidRPr="00E743C9">
        <w:rPr>
          <w:rFonts w:ascii="Arial" w:hAnsi="Arial" w:cs="Arial"/>
          <w:b/>
          <w:bCs/>
        </w:rPr>
        <w:t>oocurrencia</w:t>
      </w:r>
    </w:p>
    <w:p w14:paraId="7349C597" w14:textId="77777777" w:rsidR="009D1310" w:rsidRPr="00E743C9" w:rsidRDefault="009D1310" w:rsidP="009D1310">
      <w:pPr>
        <w:spacing w:line="360" w:lineRule="auto"/>
        <w:jc w:val="both"/>
        <w:rPr>
          <w:rFonts w:ascii="Arial" w:hAnsi="Arial" w:cs="Arial"/>
        </w:rPr>
      </w:pPr>
    </w:p>
    <w:p w14:paraId="353404AB" w14:textId="37EF7DA1" w:rsidR="00524C06" w:rsidRPr="00E743C9" w:rsidRDefault="00524C06" w:rsidP="009D1310">
      <w:pPr>
        <w:spacing w:line="360" w:lineRule="auto"/>
        <w:jc w:val="both"/>
        <w:rPr>
          <w:rFonts w:ascii="Arial" w:hAnsi="Arial" w:cs="Arial"/>
        </w:rPr>
      </w:pPr>
      <w:r w:rsidRPr="00E743C9">
        <w:rPr>
          <w:rFonts w:ascii="Arial" w:hAnsi="Arial" w:cs="Arial"/>
        </w:rPr>
        <w:t xml:space="preserve">A partir del software bibliométrico </w:t>
      </w:r>
      <w:proofErr w:type="spellStart"/>
      <w:r w:rsidRPr="00E743C9">
        <w:rPr>
          <w:rFonts w:ascii="Arial" w:hAnsi="Arial" w:cs="Arial"/>
        </w:rPr>
        <w:t>VOSviewer</w:t>
      </w:r>
      <w:proofErr w:type="spellEnd"/>
      <w:r w:rsidRPr="00E743C9">
        <w:rPr>
          <w:rFonts w:ascii="Arial" w:hAnsi="Arial" w:cs="Arial"/>
        </w:rPr>
        <w:t xml:space="preserve"> se creó la red de coocurrencia de términos, la cual agrupa las palabras con mayor nivel de ocurrencia en los 103 documentos analizados </w:t>
      </w:r>
      <w:r w:rsidRPr="00E743C9">
        <w:rPr>
          <w:rFonts w:ascii="Arial" w:hAnsi="Arial" w:cs="Arial"/>
        </w:rPr>
        <w:fldChar w:fldCharType="begin"/>
      </w:r>
      <w:r w:rsidRPr="00E743C9">
        <w:rPr>
          <w:rFonts w:ascii="Arial" w:hAnsi="Arial" w:cs="Arial"/>
        </w:rPr>
        <w:instrText xml:space="preserve"> ADDIN ZOTERO_ITEM CSL_CITATION {"citationID":"uiOKvp63","properties":{"formattedCitation":"(Van Eck &amp; Waltman, 2019)","plainCitation":"(Van Eck &amp; Waltman, 2019)","noteIndex":0},"citationItems":[{"id":709,"uris":["http://zotero.org/users/local/2poXFmzI/items/XJSB7T4G"],"itemData":{"id":709,"type":"document","publisher":"Leiden University","title":"VOSviewer Manual","URL":"https://www.vosviewer.com/documentation/Manual_VOSviewer_1.6.10.pdf","author":[{"family":"Van Eck","given":"Nees Jan"},{"family":"Waltman","given":"Ludo"}],"issued":{"date-parts":[["2019"]]}}}],"schema":"https://github.com/citation-style-language/schema/raw/master/csl-citation.json"} </w:instrText>
      </w:r>
      <w:r w:rsidRPr="00E743C9">
        <w:rPr>
          <w:rFonts w:ascii="Arial" w:hAnsi="Arial" w:cs="Arial"/>
        </w:rPr>
        <w:fldChar w:fldCharType="separate"/>
      </w:r>
      <w:r w:rsidRPr="00E743C9">
        <w:rPr>
          <w:rFonts w:ascii="Arial" w:hAnsi="Arial" w:cs="Arial"/>
        </w:rPr>
        <w:t>(Van Eck &amp; Waltman, 2019)</w:t>
      </w:r>
      <w:r w:rsidRPr="00E743C9">
        <w:rPr>
          <w:rFonts w:ascii="Arial" w:hAnsi="Arial" w:cs="Arial"/>
        </w:rPr>
        <w:fldChar w:fldCharType="end"/>
      </w:r>
      <w:r w:rsidRPr="00E743C9">
        <w:rPr>
          <w:rFonts w:ascii="Arial" w:hAnsi="Arial" w:cs="Arial"/>
        </w:rPr>
        <w:t>. El grafico 3 está conformada por 4 clústeres o grupos de palabras estrechamente relacionadas entre sí,</w:t>
      </w:r>
      <w:r w:rsidR="00A05AA6">
        <w:rPr>
          <w:rFonts w:ascii="Arial" w:hAnsi="Arial" w:cs="Arial"/>
        </w:rPr>
        <w:t xml:space="preserve"> que se encuentran </w:t>
      </w:r>
      <w:r w:rsidRPr="00E743C9">
        <w:rPr>
          <w:rFonts w:ascii="Arial" w:hAnsi="Arial" w:cs="Arial"/>
        </w:rPr>
        <w:t xml:space="preserve">representados por colores diferentes tal como se presenta a continuación: el clúster (1) rojo contiene términos como </w:t>
      </w:r>
      <w:proofErr w:type="spellStart"/>
      <w:r w:rsidRPr="00E743C9">
        <w:rPr>
          <w:rFonts w:ascii="Arial" w:hAnsi="Arial" w:cs="Arial"/>
        </w:rPr>
        <w:t>health</w:t>
      </w:r>
      <w:proofErr w:type="spellEnd"/>
      <w:r w:rsidRPr="00E743C9">
        <w:rPr>
          <w:rFonts w:ascii="Arial" w:hAnsi="Arial" w:cs="Arial"/>
        </w:rPr>
        <w:t xml:space="preserve"> </w:t>
      </w:r>
      <w:proofErr w:type="spellStart"/>
      <w:r w:rsidRPr="00E743C9">
        <w:rPr>
          <w:rFonts w:ascii="Arial" w:hAnsi="Arial" w:cs="Arial"/>
        </w:rPr>
        <w:t>care</w:t>
      </w:r>
      <w:proofErr w:type="spellEnd"/>
      <w:r w:rsidRPr="00E743C9">
        <w:rPr>
          <w:rFonts w:ascii="Arial" w:hAnsi="Arial" w:cs="Arial"/>
        </w:rPr>
        <w:t xml:space="preserve"> </w:t>
      </w:r>
      <w:proofErr w:type="spellStart"/>
      <w:r w:rsidRPr="00E743C9">
        <w:rPr>
          <w:rFonts w:ascii="Arial" w:hAnsi="Arial" w:cs="Arial"/>
        </w:rPr>
        <w:t>delivery</w:t>
      </w:r>
      <w:proofErr w:type="spellEnd"/>
      <w:r w:rsidRPr="00E743C9">
        <w:rPr>
          <w:rFonts w:ascii="Arial" w:hAnsi="Arial" w:cs="Arial"/>
        </w:rPr>
        <w:t xml:space="preserve">, </w:t>
      </w:r>
      <w:proofErr w:type="spellStart"/>
      <w:r w:rsidRPr="00E743C9">
        <w:rPr>
          <w:rFonts w:ascii="Arial" w:hAnsi="Arial" w:cs="Arial"/>
        </w:rPr>
        <w:t>financial</w:t>
      </w:r>
      <w:proofErr w:type="spellEnd"/>
      <w:r w:rsidRPr="00E743C9">
        <w:rPr>
          <w:rFonts w:ascii="Arial" w:hAnsi="Arial" w:cs="Arial"/>
        </w:rPr>
        <w:t xml:space="preserve"> </w:t>
      </w:r>
      <w:proofErr w:type="spellStart"/>
      <w:r w:rsidRPr="00E743C9">
        <w:rPr>
          <w:rFonts w:ascii="Arial" w:hAnsi="Arial" w:cs="Arial"/>
        </w:rPr>
        <w:t>management</w:t>
      </w:r>
      <w:proofErr w:type="spellEnd"/>
      <w:r w:rsidRPr="00E743C9">
        <w:rPr>
          <w:rFonts w:ascii="Arial" w:hAnsi="Arial" w:cs="Arial"/>
        </w:rPr>
        <w:t xml:space="preserve">, </w:t>
      </w:r>
      <w:proofErr w:type="spellStart"/>
      <w:r w:rsidRPr="00E743C9">
        <w:rPr>
          <w:rFonts w:ascii="Arial" w:hAnsi="Arial" w:cs="Arial"/>
        </w:rPr>
        <w:t>government</w:t>
      </w:r>
      <w:proofErr w:type="spellEnd"/>
      <w:r w:rsidRPr="00E743C9">
        <w:rPr>
          <w:rFonts w:ascii="Arial" w:hAnsi="Arial" w:cs="Arial"/>
        </w:rPr>
        <w:t xml:space="preserve">, </w:t>
      </w:r>
      <w:proofErr w:type="spellStart"/>
      <w:r w:rsidRPr="00E743C9">
        <w:rPr>
          <w:rFonts w:ascii="Arial" w:hAnsi="Arial" w:cs="Arial"/>
        </w:rPr>
        <w:t>Health</w:t>
      </w:r>
      <w:proofErr w:type="spellEnd"/>
      <w:r w:rsidRPr="00E743C9">
        <w:rPr>
          <w:rFonts w:ascii="Arial" w:hAnsi="Arial" w:cs="Arial"/>
        </w:rPr>
        <w:t xml:space="preserve"> </w:t>
      </w:r>
      <w:proofErr w:type="spellStart"/>
      <w:r w:rsidRPr="00E743C9">
        <w:rPr>
          <w:rFonts w:ascii="Arial" w:hAnsi="Arial" w:cs="Arial"/>
        </w:rPr>
        <w:t>care</w:t>
      </w:r>
      <w:proofErr w:type="spellEnd"/>
      <w:r w:rsidRPr="00E743C9">
        <w:rPr>
          <w:rFonts w:ascii="Arial" w:hAnsi="Arial" w:cs="Arial"/>
        </w:rPr>
        <w:t xml:space="preserve"> </w:t>
      </w:r>
      <w:proofErr w:type="spellStart"/>
      <w:r w:rsidRPr="00E743C9">
        <w:rPr>
          <w:rFonts w:ascii="Arial" w:hAnsi="Arial" w:cs="Arial"/>
        </w:rPr>
        <w:t>system</w:t>
      </w:r>
      <w:proofErr w:type="spellEnd"/>
      <w:r w:rsidRPr="00E743C9">
        <w:rPr>
          <w:rFonts w:ascii="Arial" w:hAnsi="Arial" w:cs="Arial"/>
        </w:rPr>
        <w:t xml:space="preserve">; el clúster (2) verde se destacan </w:t>
      </w:r>
      <w:proofErr w:type="spellStart"/>
      <w:r w:rsidRPr="00E743C9">
        <w:rPr>
          <w:rFonts w:ascii="Arial" w:hAnsi="Arial" w:cs="Arial"/>
        </w:rPr>
        <w:t>Cost</w:t>
      </w:r>
      <w:proofErr w:type="spellEnd"/>
      <w:r w:rsidRPr="00E743C9">
        <w:rPr>
          <w:rFonts w:ascii="Arial" w:hAnsi="Arial" w:cs="Arial"/>
        </w:rPr>
        <w:t xml:space="preserve"> </w:t>
      </w:r>
      <w:proofErr w:type="spellStart"/>
      <w:r w:rsidRPr="00E743C9">
        <w:rPr>
          <w:rFonts w:ascii="Arial" w:hAnsi="Arial" w:cs="Arial"/>
        </w:rPr>
        <w:t>effectiveness</w:t>
      </w:r>
      <w:proofErr w:type="spellEnd"/>
      <w:r w:rsidRPr="00E743C9">
        <w:rPr>
          <w:rFonts w:ascii="Arial" w:hAnsi="Arial" w:cs="Arial"/>
        </w:rPr>
        <w:t xml:space="preserve"> </w:t>
      </w:r>
      <w:proofErr w:type="spellStart"/>
      <w:r w:rsidRPr="00E743C9">
        <w:rPr>
          <w:rFonts w:ascii="Arial" w:hAnsi="Arial" w:cs="Arial"/>
        </w:rPr>
        <w:t>analysis</w:t>
      </w:r>
      <w:proofErr w:type="spellEnd"/>
      <w:r w:rsidRPr="00E743C9">
        <w:rPr>
          <w:rFonts w:ascii="Arial" w:hAnsi="Arial" w:cs="Arial"/>
        </w:rPr>
        <w:t xml:space="preserve">, </w:t>
      </w:r>
      <w:proofErr w:type="spellStart"/>
      <w:r w:rsidRPr="00E743C9">
        <w:rPr>
          <w:rFonts w:ascii="Arial" w:hAnsi="Arial" w:cs="Arial"/>
        </w:rPr>
        <w:t>Cost</w:t>
      </w:r>
      <w:proofErr w:type="spellEnd"/>
      <w:r w:rsidRPr="00E743C9">
        <w:rPr>
          <w:rFonts w:ascii="Arial" w:hAnsi="Arial" w:cs="Arial"/>
        </w:rPr>
        <w:t xml:space="preserve"> </w:t>
      </w:r>
      <w:proofErr w:type="spellStart"/>
      <w:r w:rsidRPr="00E743C9">
        <w:rPr>
          <w:rFonts w:ascii="Arial" w:hAnsi="Arial" w:cs="Arial"/>
        </w:rPr>
        <w:t>benefit</w:t>
      </w:r>
      <w:proofErr w:type="spellEnd"/>
      <w:r w:rsidRPr="00E743C9">
        <w:rPr>
          <w:rFonts w:ascii="Arial" w:hAnsi="Arial" w:cs="Arial"/>
        </w:rPr>
        <w:t xml:space="preserve"> </w:t>
      </w:r>
      <w:proofErr w:type="spellStart"/>
      <w:r w:rsidRPr="00E743C9">
        <w:rPr>
          <w:rFonts w:ascii="Arial" w:hAnsi="Arial" w:cs="Arial"/>
        </w:rPr>
        <w:t>analysis</w:t>
      </w:r>
      <w:proofErr w:type="spellEnd"/>
      <w:r w:rsidRPr="00E743C9">
        <w:rPr>
          <w:rFonts w:ascii="Arial" w:hAnsi="Arial" w:cs="Arial"/>
        </w:rPr>
        <w:t xml:space="preserve">, </w:t>
      </w:r>
      <w:proofErr w:type="spellStart"/>
      <w:r w:rsidRPr="00E743C9">
        <w:rPr>
          <w:rFonts w:ascii="Arial" w:hAnsi="Arial" w:cs="Arial"/>
        </w:rPr>
        <w:t>Economic</w:t>
      </w:r>
      <w:proofErr w:type="spellEnd"/>
      <w:r w:rsidRPr="00E743C9">
        <w:rPr>
          <w:rFonts w:ascii="Arial" w:hAnsi="Arial" w:cs="Arial"/>
        </w:rPr>
        <w:t xml:space="preserve"> </w:t>
      </w:r>
      <w:proofErr w:type="spellStart"/>
      <w:r w:rsidRPr="00E743C9">
        <w:rPr>
          <w:rFonts w:ascii="Arial" w:hAnsi="Arial" w:cs="Arial"/>
        </w:rPr>
        <w:t>evaluation</w:t>
      </w:r>
      <w:proofErr w:type="spellEnd"/>
      <w:r w:rsidRPr="00E743C9">
        <w:rPr>
          <w:rFonts w:ascii="Arial" w:hAnsi="Arial" w:cs="Arial"/>
        </w:rPr>
        <w:t xml:space="preserve">, </w:t>
      </w:r>
      <w:proofErr w:type="spellStart"/>
      <w:r w:rsidRPr="00E743C9">
        <w:rPr>
          <w:rFonts w:ascii="Arial" w:hAnsi="Arial" w:cs="Arial"/>
        </w:rPr>
        <w:t>Quality</w:t>
      </w:r>
      <w:proofErr w:type="spellEnd"/>
      <w:r w:rsidRPr="00E743C9">
        <w:rPr>
          <w:rFonts w:ascii="Arial" w:hAnsi="Arial" w:cs="Arial"/>
        </w:rPr>
        <w:t xml:space="preserve"> </w:t>
      </w:r>
      <w:proofErr w:type="spellStart"/>
      <w:r w:rsidRPr="00E743C9">
        <w:rPr>
          <w:rFonts w:ascii="Arial" w:hAnsi="Arial" w:cs="Arial"/>
        </w:rPr>
        <w:t>adjusted</w:t>
      </w:r>
      <w:proofErr w:type="spellEnd"/>
      <w:r w:rsidRPr="00E743C9">
        <w:rPr>
          <w:rFonts w:ascii="Arial" w:hAnsi="Arial" w:cs="Arial"/>
        </w:rPr>
        <w:t xml:space="preserve"> </w:t>
      </w:r>
      <w:proofErr w:type="spellStart"/>
      <w:r w:rsidRPr="00E743C9">
        <w:rPr>
          <w:rFonts w:ascii="Arial" w:hAnsi="Arial" w:cs="Arial"/>
        </w:rPr>
        <w:t>life</w:t>
      </w:r>
      <w:proofErr w:type="spellEnd"/>
      <w:r w:rsidRPr="00E743C9">
        <w:rPr>
          <w:rFonts w:ascii="Arial" w:hAnsi="Arial" w:cs="Arial"/>
        </w:rPr>
        <w:t xml:space="preserve"> </w:t>
      </w:r>
      <w:proofErr w:type="spellStart"/>
      <w:r w:rsidRPr="00E743C9">
        <w:rPr>
          <w:rFonts w:ascii="Arial" w:hAnsi="Arial" w:cs="Arial"/>
        </w:rPr>
        <w:t>year</w:t>
      </w:r>
      <w:proofErr w:type="spellEnd"/>
      <w:r w:rsidRPr="00E743C9">
        <w:rPr>
          <w:rFonts w:ascii="Arial" w:hAnsi="Arial" w:cs="Arial"/>
        </w:rPr>
        <w:t xml:space="preserve">; el clúster (3) azul está compuesto por términos como </w:t>
      </w:r>
      <w:proofErr w:type="spellStart"/>
      <w:r w:rsidRPr="00E743C9">
        <w:rPr>
          <w:rFonts w:ascii="Arial" w:hAnsi="Arial" w:cs="Arial"/>
        </w:rPr>
        <w:t>cohort</w:t>
      </w:r>
      <w:proofErr w:type="spellEnd"/>
      <w:r w:rsidRPr="00E743C9">
        <w:rPr>
          <w:rFonts w:ascii="Arial" w:hAnsi="Arial" w:cs="Arial"/>
        </w:rPr>
        <w:t xml:space="preserve"> </w:t>
      </w:r>
      <w:proofErr w:type="spellStart"/>
      <w:r w:rsidRPr="00E743C9">
        <w:rPr>
          <w:rFonts w:ascii="Arial" w:hAnsi="Arial" w:cs="Arial"/>
        </w:rPr>
        <w:t>analysis</w:t>
      </w:r>
      <w:proofErr w:type="spellEnd"/>
      <w:r w:rsidRPr="00E743C9">
        <w:rPr>
          <w:rFonts w:ascii="Arial" w:hAnsi="Arial" w:cs="Arial"/>
        </w:rPr>
        <w:t xml:space="preserve">, </w:t>
      </w:r>
      <w:proofErr w:type="spellStart"/>
      <w:r w:rsidRPr="00E743C9">
        <w:rPr>
          <w:rFonts w:ascii="Arial" w:hAnsi="Arial" w:cs="Arial"/>
        </w:rPr>
        <w:t>Health</w:t>
      </w:r>
      <w:proofErr w:type="spellEnd"/>
      <w:r w:rsidRPr="00E743C9">
        <w:rPr>
          <w:rFonts w:ascii="Arial" w:hAnsi="Arial" w:cs="Arial"/>
        </w:rPr>
        <w:t xml:space="preserve"> </w:t>
      </w:r>
      <w:proofErr w:type="spellStart"/>
      <w:r w:rsidRPr="00E743C9">
        <w:rPr>
          <w:rFonts w:ascii="Arial" w:hAnsi="Arial" w:cs="Arial"/>
        </w:rPr>
        <w:t>care</w:t>
      </w:r>
      <w:proofErr w:type="spellEnd"/>
      <w:r w:rsidRPr="00E743C9">
        <w:rPr>
          <w:rFonts w:ascii="Arial" w:hAnsi="Arial" w:cs="Arial"/>
        </w:rPr>
        <w:t xml:space="preserve"> </w:t>
      </w:r>
      <w:proofErr w:type="spellStart"/>
      <w:r w:rsidRPr="00E743C9">
        <w:rPr>
          <w:rFonts w:ascii="Arial" w:hAnsi="Arial" w:cs="Arial"/>
        </w:rPr>
        <w:t>cost</w:t>
      </w:r>
      <w:proofErr w:type="spellEnd"/>
      <w:r w:rsidRPr="00E743C9">
        <w:rPr>
          <w:rFonts w:ascii="Arial" w:hAnsi="Arial" w:cs="Arial"/>
        </w:rPr>
        <w:t xml:space="preserve">, </w:t>
      </w:r>
      <w:proofErr w:type="spellStart"/>
      <w:r w:rsidRPr="00E743C9">
        <w:rPr>
          <w:rFonts w:ascii="Arial" w:hAnsi="Arial" w:cs="Arial"/>
        </w:rPr>
        <w:t>risk</w:t>
      </w:r>
      <w:proofErr w:type="spellEnd"/>
      <w:r w:rsidRPr="00E743C9">
        <w:rPr>
          <w:rFonts w:ascii="Arial" w:hAnsi="Arial" w:cs="Arial"/>
        </w:rPr>
        <w:t xml:space="preserve"> </w:t>
      </w:r>
      <w:proofErr w:type="spellStart"/>
      <w:r w:rsidRPr="00E743C9">
        <w:rPr>
          <w:rFonts w:ascii="Arial" w:hAnsi="Arial" w:cs="Arial"/>
        </w:rPr>
        <w:t>assessment</w:t>
      </w:r>
      <w:proofErr w:type="spellEnd"/>
      <w:r w:rsidRPr="00E743C9">
        <w:rPr>
          <w:rFonts w:ascii="Arial" w:hAnsi="Arial" w:cs="Arial"/>
        </w:rPr>
        <w:t xml:space="preserve"> y </w:t>
      </w:r>
      <w:proofErr w:type="spellStart"/>
      <w:r w:rsidRPr="00E743C9">
        <w:rPr>
          <w:rFonts w:ascii="Arial" w:hAnsi="Arial" w:cs="Arial"/>
        </w:rPr>
        <w:t>regression</w:t>
      </w:r>
      <w:proofErr w:type="spellEnd"/>
      <w:r w:rsidRPr="00E743C9">
        <w:rPr>
          <w:rFonts w:ascii="Arial" w:hAnsi="Arial" w:cs="Arial"/>
        </w:rPr>
        <w:t xml:space="preserve"> análisis; y el clúster (4) amarillo lo conforman aquellos términos </w:t>
      </w:r>
      <w:proofErr w:type="spellStart"/>
      <w:r w:rsidRPr="00E743C9">
        <w:rPr>
          <w:rFonts w:ascii="Arial" w:hAnsi="Arial" w:cs="Arial"/>
        </w:rPr>
        <w:t>health</w:t>
      </w:r>
      <w:proofErr w:type="spellEnd"/>
      <w:r w:rsidRPr="00E743C9">
        <w:rPr>
          <w:rFonts w:ascii="Arial" w:hAnsi="Arial" w:cs="Arial"/>
        </w:rPr>
        <w:t xml:space="preserve"> </w:t>
      </w:r>
      <w:proofErr w:type="spellStart"/>
      <w:r w:rsidRPr="00E743C9">
        <w:rPr>
          <w:rFonts w:ascii="Arial" w:hAnsi="Arial" w:cs="Arial"/>
        </w:rPr>
        <w:t>care</w:t>
      </w:r>
      <w:proofErr w:type="spellEnd"/>
      <w:r w:rsidRPr="00E743C9">
        <w:rPr>
          <w:rFonts w:ascii="Arial" w:hAnsi="Arial" w:cs="Arial"/>
        </w:rPr>
        <w:t xml:space="preserve"> </w:t>
      </w:r>
      <w:proofErr w:type="spellStart"/>
      <w:r w:rsidRPr="00E743C9">
        <w:rPr>
          <w:rFonts w:ascii="Arial" w:hAnsi="Arial" w:cs="Arial"/>
        </w:rPr>
        <w:t>utilization</w:t>
      </w:r>
      <w:proofErr w:type="spellEnd"/>
      <w:r w:rsidRPr="00E743C9">
        <w:rPr>
          <w:rFonts w:ascii="Arial" w:hAnsi="Arial" w:cs="Arial"/>
        </w:rPr>
        <w:t xml:space="preserve">, </w:t>
      </w:r>
      <w:proofErr w:type="spellStart"/>
      <w:r w:rsidRPr="00E743C9">
        <w:rPr>
          <w:rFonts w:ascii="Arial" w:hAnsi="Arial" w:cs="Arial"/>
        </w:rPr>
        <w:t>comparative</w:t>
      </w:r>
      <w:proofErr w:type="spellEnd"/>
      <w:r w:rsidRPr="00E743C9">
        <w:rPr>
          <w:rFonts w:ascii="Arial" w:hAnsi="Arial" w:cs="Arial"/>
        </w:rPr>
        <w:t xml:space="preserve"> </w:t>
      </w:r>
      <w:proofErr w:type="spellStart"/>
      <w:r w:rsidRPr="00E743C9">
        <w:rPr>
          <w:rFonts w:ascii="Arial" w:hAnsi="Arial" w:cs="Arial"/>
        </w:rPr>
        <w:t>study</w:t>
      </w:r>
      <w:proofErr w:type="spellEnd"/>
      <w:r w:rsidRPr="00E743C9">
        <w:rPr>
          <w:rFonts w:ascii="Arial" w:hAnsi="Arial" w:cs="Arial"/>
        </w:rPr>
        <w:t xml:space="preserve"> y </w:t>
      </w:r>
      <w:proofErr w:type="spellStart"/>
      <w:r w:rsidRPr="00E743C9">
        <w:rPr>
          <w:rFonts w:ascii="Arial" w:hAnsi="Arial" w:cs="Arial"/>
        </w:rPr>
        <w:t>disease</w:t>
      </w:r>
      <w:proofErr w:type="spellEnd"/>
      <w:r w:rsidRPr="00E743C9">
        <w:rPr>
          <w:rFonts w:ascii="Arial" w:hAnsi="Arial" w:cs="Arial"/>
        </w:rPr>
        <w:t xml:space="preserve"> </w:t>
      </w:r>
      <w:proofErr w:type="spellStart"/>
      <w:r w:rsidRPr="00E743C9">
        <w:rPr>
          <w:rFonts w:ascii="Arial" w:hAnsi="Arial" w:cs="Arial"/>
        </w:rPr>
        <w:t>exacerbation</w:t>
      </w:r>
      <w:proofErr w:type="spellEnd"/>
      <w:r w:rsidRPr="00E743C9">
        <w:rPr>
          <w:rFonts w:ascii="Arial" w:hAnsi="Arial" w:cs="Arial"/>
        </w:rPr>
        <w:t>.</w:t>
      </w:r>
    </w:p>
    <w:p w14:paraId="3A67A386" w14:textId="77777777" w:rsidR="00567046" w:rsidRDefault="00567046" w:rsidP="00524C06">
      <w:pPr>
        <w:spacing w:line="360" w:lineRule="auto"/>
        <w:ind w:firstLine="709"/>
        <w:jc w:val="center"/>
        <w:rPr>
          <w:rFonts w:ascii="Arial" w:hAnsi="Arial" w:cs="Arial"/>
          <w:b/>
          <w:bCs/>
          <w:sz w:val="20"/>
          <w:szCs w:val="20"/>
        </w:rPr>
      </w:pPr>
    </w:p>
    <w:p w14:paraId="1A26BF06" w14:textId="77777777" w:rsidR="00C6143A" w:rsidRDefault="00C6143A" w:rsidP="00524C06">
      <w:pPr>
        <w:spacing w:line="360" w:lineRule="auto"/>
        <w:ind w:firstLine="709"/>
        <w:jc w:val="center"/>
        <w:rPr>
          <w:rFonts w:ascii="Arial" w:hAnsi="Arial" w:cs="Arial"/>
          <w:b/>
          <w:bCs/>
          <w:sz w:val="20"/>
          <w:szCs w:val="20"/>
        </w:rPr>
      </w:pPr>
    </w:p>
    <w:p w14:paraId="1A6651BF" w14:textId="77777777" w:rsidR="00C6143A" w:rsidRDefault="00C6143A" w:rsidP="00524C06">
      <w:pPr>
        <w:spacing w:line="360" w:lineRule="auto"/>
        <w:ind w:firstLine="709"/>
        <w:jc w:val="center"/>
        <w:rPr>
          <w:rFonts w:ascii="Arial" w:hAnsi="Arial" w:cs="Arial"/>
          <w:b/>
          <w:bCs/>
          <w:sz w:val="20"/>
          <w:szCs w:val="20"/>
        </w:rPr>
      </w:pPr>
    </w:p>
    <w:p w14:paraId="4FF7E204" w14:textId="77777777" w:rsidR="00C6143A" w:rsidRDefault="00C6143A" w:rsidP="00524C06">
      <w:pPr>
        <w:spacing w:line="360" w:lineRule="auto"/>
        <w:ind w:firstLine="709"/>
        <w:jc w:val="center"/>
        <w:rPr>
          <w:rFonts w:ascii="Arial" w:hAnsi="Arial" w:cs="Arial"/>
          <w:b/>
          <w:bCs/>
          <w:sz w:val="20"/>
          <w:szCs w:val="20"/>
        </w:rPr>
      </w:pPr>
    </w:p>
    <w:p w14:paraId="570BAD7A" w14:textId="77777777" w:rsidR="00C6143A" w:rsidRDefault="00C6143A" w:rsidP="00524C06">
      <w:pPr>
        <w:spacing w:line="360" w:lineRule="auto"/>
        <w:ind w:firstLine="709"/>
        <w:jc w:val="center"/>
        <w:rPr>
          <w:rFonts w:ascii="Arial" w:hAnsi="Arial" w:cs="Arial"/>
          <w:b/>
          <w:bCs/>
          <w:sz w:val="20"/>
          <w:szCs w:val="20"/>
        </w:rPr>
      </w:pPr>
    </w:p>
    <w:p w14:paraId="21D2FD38" w14:textId="77777777" w:rsidR="00C6143A" w:rsidRDefault="00C6143A" w:rsidP="00524C06">
      <w:pPr>
        <w:spacing w:line="360" w:lineRule="auto"/>
        <w:ind w:firstLine="709"/>
        <w:jc w:val="center"/>
        <w:rPr>
          <w:rFonts w:ascii="Arial" w:hAnsi="Arial" w:cs="Arial"/>
          <w:b/>
          <w:bCs/>
          <w:sz w:val="20"/>
          <w:szCs w:val="20"/>
        </w:rPr>
      </w:pPr>
    </w:p>
    <w:p w14:paraId="2C6EAA68" w14:textId="77777777" w:rsidR="00C6143A" w:rsidRDefault="00C6143A" w:rsidP="00524C06">
      <w:pPr>
        <w:spacing w:line="360" w:lineRule="auto"/>
        <w:ind w:firstLine="709"/>
        <w:jc w:val="center"/>
        <w:rPr>
          <w:rFonts w:ascii="Arial" w:hAnsi="Arial" w:cs="Arial"/>
          <w:b/>
          <w:bCs/>
          <w:sz w:val="20"/>
          <w:szCs w:val="20"/>
        </w:rPr>
      </w:pPr>
    </w:p>
    <w:p w14:paraId="1810C12E" w14:textId="77777777" w:rsidR="00C6143A" w:rsidRDefault="00C6143A" w:rsidP="00524C06">
      <w:pPr>
        <w:spacing w:line="360" w:lineRule="auto"/>
        <w:ind w:firstLine="709"/>
        <w:jc w:val="center"/>
        <w:rPr>
          <w:rFonts w:ascii="Arial" w:hAnsi="Arial" w:cs="Arial"/>
          <w:b/>
          <w:bCs/>
          <w:sz w:val="20"/>
          <w:szCs w:val="20"/>
        </w:rPr>
      </w:pPr>
    </w:p>
    <w:p w14:paraId="1DBFB498" w14:textId="77777777" w:rsidR="00C6143A" w:rsidRDefault="00C6143A" w:rsidP="00524C06">
      <w:pPr>
        <w:spacing w:line="360" w:lineRule="auto"/>
        <w:ind w:firstLine="709"/>
        <w:jc w:val="center"/>
        <w:rPr>
          <w:rFonts w:ascii="Arial" w:hAnsi="Arial" w:cs="Arial"/>
          <w:b/>
          <w:bCs/>
          <w:sz w:val="20"/>
          <w:szCs w:val="20"/>
        </w:rPr>
      </w:pPr>
    </w:p>
    <w:p w14:paraId="6B1EDDDE" w14:textId="77777777" w:rsidR="00C6143A" w:rsidRDefault="00C6143A" w:rsidP="00524C06">
      <w:pPr>
        <w:spacing w:line="360" w:lineRule="auto"/>
        <w:ind w:firstLine="709"/>
        <w:jc w:val="center"/>
        <w:rPr>
          <w:rFonts w:ascii="Arial" w:hAnsi="Arial" w:cs="Arial"/>
          <w:b/>
          <w:bCs/>
          <w:sz w:val="20"/>
          <w:szCs w:val="20"/>
        </w:rPr>
      </w:pPr>
    </w:p>
    <w:p w14:paraId="21DA65AF" w14:textId="5E7FE270" w:rsidR="00524C06" w:rsidRPr="004A4F2D" w:rsidRDefault="00524C06" w:rsidP="00524C06">
      <w:pPr>
        <w:spacing w:line="360" w:lineRule="auto"/>
        <w:ind w:firstLine="709"/>
        <w:jc w:val="center"/>
        <w:rPr>
          <w:rFonts w:ascii="Arial" w:hAnsi="Arial" w:cs="Arial"/>
          <w:sz w:val="20"/>
          <w:szCs w:val="20"/>
        </w:rPr>
      </w:pPr>
      <w:r w:rsidRPr="004A4F2D">
        <w:rPr>
          <w:rFonts w:ascii="Arial" w:hAnsi="Arial" w:cs="Arial"/>
          <w:b/>
          <w:bCs/>
          <w:sz w:val="20"/>
          <w:szCs w:val="20"/>
        </w:rPr>
        <w:lastRenderedPageBreak/>
        <w:t xml:space="preserve">Gráfico 3. Red de </w:t>
      </w:r>
      <w:r w:rsidR="004A4F2D">
        <w:rPr>
          <w:rFonts w:ascii="Arial" w:hAnsi="Arial" w:cs="Arial"/>
          <w:b/>
          <w:bCs/>
          <w:sz w:val="20"/>
          <w:szCs w:val="20"/>
        </w:rPr>
        <w:t>c</w:t>
      </w:r>
      <w:r w:rsidRPr="004A4F2D">
        <w:rPr>
          <w:rFonts w:ascii="Arial" w:hAnsi="Arial" w:cs="Arial"/>
          <w:b/>
          <w:bCs/>
          <w:sz w:val="20"/>
          <w:szCs w:val="20"/>
        </w:rPr>
        <w:t>oocurrencia</w:t>
      </w:r>
    </w:p>
    <w:p w14:paraId="53E26796" w14:textId="1D17D056" w:rsidR="00265B26" w:rsidRDefault="00265B26" w:rsidP="005B4B06">
      <w:pPr>
        <w:spacing w:line="360" w:lineRule="auto"/>
        <w:jc w:val="center"/>
        <w:rPr>
          <w:rFonts w:ascii="Arial" w:hAnsi="Arial" w:cs="Arial"/>
          <w:color w:val="222222"/>
          <w:shd w:val="clear" w:color="auto" w:fill="FFFFFF"/>
        </w:rPr>
      </w:pPr>
      <w:r w:rsidRPr="00416937">
        <w:rPr>
          <w:rFonts w:cstheme="minorHAnsi"/>
          <w:b/>
          <w:bCs/>
          <w:noProof/>
          <w:lang w:eastAsia="es-CR"/>
        </w:rPr>
        <w:drawing>
          <wp:inline distT="0" distB="0" distL="0" distR="0" wp14:anchorId="33222A1A" wp14:editId="2F039FCD">
            <wp:extent cx="5649024" cy="3581400"/>
            <wp:effectExtent l="0" t="0" r="8890" b="0"/>
            <wp:docPr id="20696433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8532" cy="3625467"/>
                    </a:xfrm>
                    <a:prstGeom prst="rect">
                      <a:avLst/>
                    </a:prstGeom>
                    <a:noFill/>
                    <a:ln>
                      <a:noFill/>
                    </a:ln>
                  </pic:spPr>
                </pic:pic>
              </a:graphicData>
            </a:graphic>
          </wp:inline>
        </w:drawing>
      </w:r>
    </w:p>
    <w:p w14:paraId="4B3A72F0" w14:textId="77777777" w:rsidR="00265B26" w:rsidRPr="00265B26" w:rsidRDefault="00265B26" w:rsidP="00265B26">
      <w:pPr>
        <w:spacing w:line="360" w:lineRule="auto"/>
        <w:ind w:firstLine="709"/>
        <w:jc w:val="center"/>
        <w:rPr>
          <w:rFonts w:ascii="Arial" w:hAnsi="Arial" w:cs="Arial"/>
          <w:sz w:val="20"/>
          <w:szCs w:val="20"/>
        </w:rPr>
      </w:pPr>
      <w:r w:rsidRPr="00265B26">
        <w:rPr>
          <w:rFonts w:ascii="Arial" w:hAnsi="Arial" w:cs="Arial"/>
          <w:sz w:val="20"/>
          <w:szCs w:val="20"/>
        </w:rPr>
        <w:t xml:space="preserve">Fuente: Elaboración propia en </w:t>
      </w:r>
      <w:proofErr w:type="spellStart"/>
      <w:r w:rsidRPr="00265B26">
        <w:rPr>
          <w:rFonts w:ascii="Arial" w:hAnsi="Arial" w:cs="Arial"/>
          <w:sz w:val="20"/>
          <w:szCs w:val="20"/>
        </w:rPr>
        <w:t>VOSViewer</w:t>
      </w:r>
      <w:proofErr w:type="spellEnd"/>
      <w:r w:rsidRPr="00265B26">
        <w:rPr>
          <w:rFonts w:ascii="Arial" w:hAnsi="Arial" w:cs="Arial"/>
          <w:sz w:val="20"/>
          <w:szCs w:val="20"/>
        </w:rPr>
        <w:t xml:space="preserve"> con base en los datos de </w:t>
      </w:r>
      <w:proofErr w:type="spellStart"/>
      <w:r w:rsidRPr="00265B26">
        <w:rPr>
          <w:rFonts w:ascii="Arial" w:hAnsi="Arial" w:cs="Arial"/>
          <w:sz w:val="20"/>
          <w:szCs w:val="20"/>
        </w:rPr>
        <w:t>Scopus</w:t>
      </w:r>
      <w:proofErr w:type="spellEnd"/>
      <w:r w:rsidRPr="00265B26">
        <w:rPr>
          <w:rFonts w:ascii="Arial" w:hAnsi="Arial" w:cs="Arial"/>
          <w:sz w:val="20"/>
          <w:szCs w:val="20"/>
        </w:rPr>
        <w:t>, 2024.</w:t>
      </w:r>
    </w:p>
    <w:p w14:paraId="1E454F4B" w14:textId="77777777" w:rsidR="00C6143A" w:rsidRDefault="00C6143A" w:rsidP="00E53956">
      <w:pPr>
        <w:spacing w:line="360" w:lineRule="auto"/>
        <w:jc w:val="both"/>
        <w:rPr>
          <w:rFonts w:ascii="Arial" w:hAnsi="Arial" w:cs="Arial"/>
        </w:rPr>
      </w:pPr>
    </w:p>
    <w:p w14:paraId="1C583B2E" w14:textId="1A327F2B" w:rsidR="00265B26" w:rsidRPr="00265B26" w:rsidRDefault="00265B26" w:rsidP="00E53956">
      <w:pPr>
        <w:spacing w:line="360" w:lineRule="auto"/>
        <w:jc w:val="both"/>
        <w:rPr>
          <w:rFonts w:ascii="Arial" w:hAnsi="Arial" w:cs="Arial"/>
        </w:rPr>
      </w:pPr>
      <w:r w:rsidRPr="00265B26">
        <w:rPr>
          <w:rFonts w:ascii="Arial" w:hAnsi="Arial" w:cs="Arial"/>
        </w:rPr>
        <w:t xml:space="preserve">En la tabla 6 se presentan los diez términos con mayor número de apariciones en la bibliografía, siendo considerados temas centrales de estudio. Es importante destacar el término </w:t>
      </w:r>
      <w:proofErr w:type="spellStart"/>
      <w:r w:rsidRPr="00265B26">
        <w:rPr>
          <w:rFonts w:ascii="Arial" w:hAnsi="Arial" w:cs="Arial"/>
        </w:rPr>
        <w:t>Health</w:t>
      </w:r>
      <w:proofErr w:type="spellEnd"/>
      <w:r w:rsidRPr="00265B26">
        <w:rPr>
          <w:rFonts w:ascii="Arial" w:hAnsi="Arial" w:cs="Arial"/>
        </w:rPr>
        <w:t xml:space="preserve"> </w:t>
      </w:r>
      <w:proofErr w:type="spellStart"/>
      <w:r w:rsidRPr="00265B26">
        <w:rPr>
          <w:rFonts w:ascii="Arial" w:hAnsi="Arial" w:cs="Arial"/>
        </w:rPr>
        <w:t>economics</w:t>
      </w:r>
      <w:proofErr w:type="spellEnd"/>
      <w:r w:rsidRPr="00265B26">
        <w:rPr>
          <w:rFonts w:ascii="Arial" w:hAnsi="Arial" w:cs="Arial"/>
        </w:rPr>
        <w:t xml:space="preserve">, que cuenta con 96 apariciones, al ser este un tema de investigación es el de mayor frecuencia, seguido de </w:t>
      </w:r>
      <w:proofErr w:type="spellStart"/>
      <w:r w:rsidRPr="00265B26">
        <w:rPr>
          <w:rFonts w:ascii="Arial" w:hAnsi="Arial" w:cs="Arial"/>
        </w:rPr>
        <w:t>Cost</w:t>
      </w:r>
      <w:proofErr w:type="spellEnd"/>
      <w:r w:rsidRPr="00265B26">
        <w:rPr>
          <w:rFonts w:ascii="Arial" w:hAnsi="Arial" w:cs="Arial"/>
        </w:rPr>
        <w:t xml:space="preserve"> </w:t>
      </w:r>
      <w:proofErr w:type="spellStart"/>
      <w:r w:rsidRPr="00265B26">
        <w:rPr>
          <w:rFonts w:ascii="Arial" w:hAnsi="Arial" w:cs="Arial"/>
        </w:rPr>
        <w:t>effectiveness</w:t>
      </w:r>
      <w:proofErr w:type="spellEnd"/>
      <w:r w:rsidRPr="00265B26">
        <w:rPr>
          <w:rFonts w:ascii="Arial" w:hAnsi="Arial" w:cs="Arial"/>
        </w:rPr>
        <w:t xml:space="preserve"> análisis (31) que presenta grandes oportunidades para la elaboración de estudios futuros.</w:t>
      </w:r>
    </w:p>
    <w:p w14:paraId="35A045BD" w14:textId="63143F8D" w:rsidR="00265B26" w:rsidRPr="00210253" w:rsidRDefault="00265B26" w:rsidP="00265B26">
      <w:pPr>
        <w:spacing w:line="360" w:lineRule="auto"/>
        <w:jc w:val="center"/>
        <w:rPr>
          <w:rFonts w:ascii="Arial" w:hAnsi="Arial" w:cs="Arial"/>
          <w:b/>
          <w:bCs/>
          <w:sz w:val="20"/>
          <w:szCs w:val="20"/>
        </w:rPr>
      </w:pPr>
      <w:r w:rsidRPr="00210253">
        <w:rPr>
          <w:rFonts w:ascii="Arial" w:hAnsi="Arial" w:cs="Arial"/>
          <w:b/>
          <w:bCs/>
          <w:sz w:val="20"/>
          <w:szCs w:val="20"/>
        </w:rPr>
        <w:lastRenderedPageBreak/>
        <w:t>Tabla 6. Términos de mayor ocurrencia</w:t>
      </w:r>
    </w:p>
    <w:p w14:paraId="2F2B2CBF" w14:textId="19EEF4EC" w:rsidR="00E33540" w:rsidRPr="004F5215" w:rsidRDefault="00E33540" w:rsidP="00265B26">
      <w:pPr>
        <w:spacing w:line="360" w:lineRule="auto"/>
        <w:jc w:val="center"/>
        <w:rPr>
          <w:rFonts w:ascii="Arial" w:hAnsi="Arial" w:cs="Arial"/>
          <w:color w:val="222222"/>
          <w:sz w:val="20"/>
          <w:szCs w:val="20"/>
          <w:shd w:val="clear" w:color="auto" w:fill="FFFFFF"/>
        </w:rPr>
      </w:pPr>
    </w:p>
    <w:tbl>
      <w:tblPr>
        <w:tblW w:w="4000" w:type="dxa"/>
        <w:jc w:val="center"/>
        <w:tblCellMar>
          <w:left w:w="70" w:type="dxa"/>
          <w:right w:w="70" w:type="dxa"/>
        </w:tblCellMar>
        <w:tblLook w:val="04A0" w:firstRow="1" w:lastRow="0" w:firstColumn="1" w:lastColumn="0" w:noHBand="0" w:noVBand="1"/>
      </w:tblPr>
      <w:tblGrid>
        <w:gridCol w:w="2780"/>
        <w:gridCol w:w="2072"/>
      </w:tblGrid>
      <w:tr w:rsidR="00F21908" w:rsidRPr="00F21908" w14:paraId="73606D31" w14:textId="77777777" w:rsidTr="00F21908">
        <w:trPr>
          <w:trHeight w:val="300"/>
          <w:jc w:val="center"/>
        </w:trPr>
        <w:tc>
          <w:tcPr>
            <w:tcW w:w="2780" w:type="dxa"/>
            <w:tcBorders>
              <w:top w:val="single" w:sz="4" w:space="0" w:color="auto"/>
              <w:left w:val="nil"/>
              <w:bottom w:val="single" w:sz="4" w:space="0" w:color="auto"/>
              <w:right w:val="nil"/>
            </w:tcBorders>
            <w:shd w:val="clear" w:color="auto" w:fill="auto"/>
            <w:noWrap/>
            <w:vAlign w:val="center"/>
            <w:hideMark/>
          </w:tcPr>
          <w:p w14:paraId="383D0C40" w14:textId="77777777" w:rsidR="00F21908" w:rsidRPr="00F21908" w:rsidRDefault="00F21908" w:rsidP="002F047C">
            <w:pPr>
              <w:ind w:firstLine="709"/>
              <w:jc w:val="center"/>
              <w:rPr>
                <w:rFonts w:ascii="Arial" w:hAnsi="Arial" w:cs="Arial"/>
                <w:b/>
                <w:bCs/>
                <w:color w:val="000000"/>
                <w:sz w:val="20"/>
                <w:szCs w:val="20"/>
                <w:lang w:eastAsia="es-CO"/>
              </w:rPr>
            </w:pPr>
            <w:proofErr w:type="spellStart"/>
            <w:r w:rsidRPr="00F21908">
              <w:rPr>
                <w:rFonts w:ascii="Arial" w:hAnsi="Arial" w:cs="Arial"/>
                <w:b/>
                <w:bCs/>
                <w:color w:val="000000"/>
                <w:sz w:val="20"/>
                <w:szCs w:val="20"/>
                <w:lang w:eastAsia="es-CO"/>
              </w:rPr>
              <w:t>Keyword</w:t>
            </w:r>
            <w:proofErr w:type="spellEnd"/>
          </w:p>
        </w:tc>
        <w:tc>
          <w:tcPr>
            <w:tcW w:w="1220" w:type="dxa"/>
            <w:tcBorders>
              <w:top w:val="single" w:sz="4" w:space="0" w:color="auto"/>
              <w:left w:val="nil"/>
              <w:bottom w:val="single" w:sz="4" w:space="0" w:color="auto"/>
              <w:right w:val="nil"/>
            </w:tcBorders>
            <w:shd w:val="clear" w:color="auto" w:fill="auto"/>
            <w:noWrap/>
            <w:vAlign w:val="center"/>
            <w:hideMark/>
          </w:tcPr>
          <w:p w14:paraId="190BC3BA" w14:textId="77777777" w:rsidR="00F21908" w:rsidRPr="00F21908" w:rsidRDefault="00F21908" w:rsidP="002F047C">
            <w:pPr>
              <w:ind w:firstLine="709"/>
              <w:jc w:val="center"/>
              <w:rPr>
                <w:rFonts w:ascii="Arial" w:hAnsi="Arial" w:cs="Arial"/>
                <w:b/>
                <w:bCs/>
                <w:color w:val="000000"/>
                <w:sz w:val="20"/>
                <w:szCs w:val="20"/>
                <w:lang w:eastAsia="es-CO"/>
              </w:rPr>
            </w:pPr>
            <w:proofErr w:type="spellStart"/>
            <w:r w:rsidRPr="00F21908">
              <w:rPr>
                <w:rFonts w:ascii="Arial" w:hAnsi="Arial" w:cs="Arial"/>
                <w:b/>
                <w:bCs/>
                <w:color w:val="000000"/>
                <w:sz w:val="20"/>
                <w:szCs w:val="20"/>
                <w:lang w:eastAsia="es-CO"/>
              </w:rPr>
              <w:t>Occurrences</w:t>
            </w:r>
            <w:proofErr w:type="spellEnd"/>
          </w:p>
        </w:tc>
      </w:tr>
      <w:tr w:rsidR="00F21908" w:rsidRPr="00F21908" w14:paraId="6C51D659" w14:textId="77777777" w:rsidTr="00F21908">
        <w:trPr>
          <w:trHeight w:val="315"/>
          <w:jc w:val="center"/>
        </w:trPr>
        <w:tc>
          <w:tcPr>
            <w:tcW w:w="2780" w:type="dxa"/>
            <w:tcBorders>
              <w:top w:val="nil"/>
              <w:left w:val="nil"/>
              <w:bottom w:val="nil"/>
              <w:right w:val="nil"/>
            </w:tcBorders>
            <w:shd w:val="clear" w:color="auto" w:fill="auto"/>
            <w:noWrap/>
            <w:vAlign w:val="bottom"/>
            <w:hideMark/>
          </w:tcPr>
          <w:p w14:paraId="5549DA99" w14:textId="77777777" w:rsidR="00F21908" w:rsidRPr="00F21908" w:rsidRDefault="00F21908" w:rsidP="002F047C">
            <w:pPr>
              <w:ind w:firstLine="709"/>
              <w:rPr>
                <w:rFonts w:ascii="Arial" w:hAnsi="Arial" w:cs="Arial"/>
                <w:color w:val="000000"/>
                <w:sz w:val="20"/>
                <w:szCs w:val="20"/>
                <w:lang w:eastAsia="es-CO"/>
              </w:rPr>
            </w:pPr>
            <w:proofErr w:type="spellStart"/>
            <w:r w:rsidRPr="00F21908">
              <w:rPr>
                <w:rFonts w:ascii="Arial" w:hAnsi="Arial" w:cs="Arial"/>
                <w:color w:val="000000"/>
                <w:sz w:val="20"/>
                <w:szCs w:val="20"/>
                <w:lang w:eastAsia="es-CO"/>
              </w:rPr>
              <w:t>Health</w:t>
            </w:r>
            <w:proofErr w:type="spellEnd"/>
            <w:r w:rsidRPr="00F21908">
              <w:rPr>
                <w:rFonts w:ascii="Arial" w:hAnsi="Arial" w:cs="Arial"/>
                <w:color w:val="000000"/>
                <w:sz w:val="20"/>
                <w:szCs w:val="20"/>
                <w:lang w:eastAsia="es-CO"/>
              </w:rPr>
              <w:t xml:space="preserve"> </w:t>
            </w:r>
            <w:proofErr w:type="spellStart"/>
            <w:r w:rsidRPr="00F21908">
              <w:rPr>
                <w:rFonts w:ascii="Arial" w:hAnsi="Arial" w:cs="Arial"/>
                <w:color w:val="000000"/>
                <w:sz w:val="20"/>
                <w:szCs w:val="20"/>
                <w:lang w:eastAsia="es-CO"/>
              </w:rPr>
              <w:t>economics</w:t>
            </w:r>
            <w:proofErr w:type="spellEnd"/>
          </w:p>
        </w:tc>
        <w:tc>
          <w:tcPr>
            <w:tcW w:w="1220" w:type="dxa"/>
            <w:tcBorders>
              <w:top w:val="nil"/>
              <w:left w:val="nil"/>
              <w:bottom w:val="nil"/>
              <w:right w:val="nil"/>
            </w:tcBorders>
            <w:shd w:val="clear" w:color="auto" w:fill="auto"/>
            <w:noWrap/>
            <w:vAlign w:val="bottom"/>
            <w:hideMark/>
          </w:tcPr>
          <w:p w14:paraId="0D540BB5" w14:textId="77777777" w:rsidR="00F21908" w:rsidRPr="00F21908" w:rsidRDefault="00F21908" w:rsidP="002F047C">
            <w:pPr>
              <w:ind w:firstLine="709"/>
              <w:jc w:val="right"/>
              <w:rPr>
                <w:rFonts w:ascii="Arial" w:hAnsi="Arial" w:cs="Arial"/>
                <w:color w:val="000000"/>
                <w:sz w:val="20"/>
                <w:szCs w:val="20"/>
                <w:lang w:eastAsia="es-CO"/>
              </w:rPr>
            </w:pPr>
            <w:r w:rsidRPr="00F21908">
              <w:rPr>
                <w:rFonts w:ascii="Arial" w:hAnsi="Arial" w:cs="Arial"/>
                <w:color w:val="000000"/>
                <w:sz w:val="20"/>
                <w:szCs w:val="20"/>
                <w:lang w:eastAsia="es-CO"/>
              </w:rPr>
              <w:t>96</w:t>
            </w:r>
          </w:p>
        </w:tc>
      </w:tr>
      <w:tr w:rsidR="00F21908" w:rsidRPr="00F21908" w14:paraId="200D89C7" w14:textId="77777777" w:rsidTr="00F21908">
        <w:trPr>
          <w:trHeight w:val="315"/>
          <w:jc w:val="center"/>
        </w:trPr>
        <w:tc>
          <w:tcPr>
            <w:tcW w:w="2780" w:type="dxa"/>
            <w:tcBorders>
              <w:top w:val="nil"/>
              <w:left w:val="nil"/>
              <w:bottom w:val="nil"/>
              <w:right w:val="nil"/>
            </w:tcBorders>
            <w:shd w:val="clear" w:color="auto" w:fill="auto"/>
            <w:noWrap/>
            <w:vAlign w:val="bottom"/>
            <w:hideMark/>
          </w:tcPr>
          <w:p w14:paraId="7ADA3CF3" w14:textId="77777777" w:rsidR="00F21908" w:rsidRDefault="00F21908" w:rsidP="002F047C">
            <w:pPr>
              <w:ind w:firstLine="709"/>
              <w:rPr>
                <w:rFonts w:ascii="Arial" w:hAnsi="Arial" w:cs="Arial"/>
                <w:color w:val="000000"/>
                <w:sz w:val="20"/>
                <w:szCs w:val="20"/>
                <w:lang w:eastAsia="es-CO"/>
              </w:rPr>
            </w:pPr>
            <w:proofErr w:type="spellStart"/>
            <w:r w:rsidRPr="00F21908">
              <w:rPr>
                <w:rFonts w:ascii="Arial" w:hAnsi="Arial" w:cs="Arial"/>
                <w:color w:val="000000"/>
                <w:sz w:val="20"/>
                <w:szCs w:val="20"/>
                <w:lang w:eastAsia="es-CO"/>
              </w:rPr>
              <w:t>Cost</w:t>
            </w:r>
            <w:proofErr w:type="spellEnd"/>
            <w:r w:rsidRPr="00F21908">
              <w:rPr>
                <w:rFonts w:ascii="Arial" w:hAnsi="Arial" w:cs="Arial"/>
                <w:color w:val="000000"/>
                <w:sz w:val="20"/>
                <w:szCs w:val="20"/>
                <w:lang w:eastAsia="es-CO"/>
              </w:rPr>
              <w:t xml:space="preserve"> </w:t>
            </w:r>
            <w:proofErr w:type="spellStart"/>
            <w:r w:rsidRPr="00F21908">
              <w:rPr>
                <w:rFonts w:ascii="Arial" w:hAnsi="Arial" w:cs="Arial"/>
                <w:color w:val="000000"/>
                <w:sz w:val="20"/>
                <w:szCs w:val="20"/>
                <w:lang w:eastAsia="es-CO"/>
              </w:rPr>
              <w:t>effectiveness</w:t>
            </w:r>
            <w:proofErr w:type="spellEnd"/>
            <w:r w:rsidRPr="00F21908">
              <w:rPr>
                <w:rFonts w:ascii="Arial" w:hAnsi="Arial" w:cs="Arial"/>
                <w:color w:val="000000"/>
                <w:sz w:val="20"/>
                <w:szCs w:val="20"/>
                <w:lang w:eastAsia="es-CO"/>
              </w:rPr>
              <w:t xml:space="preserve"> </w:t>
            </w:r>
          </w:p>
          <w:p w14:paraId="1A990BFF" w14:textId="796BAC01" w:rsidR="00F21908" w:rsidRPr="00F21908" w:rsidRDefault="00C46C36" w:rsidP="002F047C">
            <w:pPr>
              <w:ind w:firstLine="709"/>
              <w:rPr>
                <w:rFonts w:ascii="Arial" w:hAnsi="Arial" w:cs="Arial"/>
                <w:color w:val="000000"/>
                <w:sz w:val="20"/>
                <w:szCs w:val="20"/>
                <w:lang w:eastAsia="es-CO"/>
              </w:rPr>
            </w:pPr>
            <w:r>
              <w:rPr>
                <w:rFonts w:ascii="Arial" w:hAnsi="Arial" w:cs="Arial"/>
                <w:color w:val="000000"/>
                <w:sz w:val="20"/>
                <w:szCs w:val="20"/>
                <w:lang w:eastAsia="es-CO"/>
              </w:rPr>
              <w:t>Análisis</w:t>
            </w:r>
          </w:p>
        </w:tc>
        <w:tc>
          <w:tcPr>
            <w:tcW w:w="1220" w:type="dxa"/>
            <w:tcBorders>
              <w:top w:val="nil"/>
              <w:left w:val="nil"/>
              <w:bottom w:val="nil"/>
              <w:right w:val="nil"/>
            </w:tcBorders>
            <w:shd w:val="clear" w:color="auto" w:fill="auto"/>
            <w:noWrap/>
            <w:vAlign w:val="bottom"/>
            <w:hideMark/>
          </w:tcPr>
          <w:p w14:paraId="7C6DEC42" w14:textId="77777777" w:rsidR="00F21908" w:rsidRPr="00F21908" w:rsidRDefault="00F21908" w:rsidP="002F047C">
            <w:pPr>
              <w:ind w:firstLine="709"/>
              <w:jc w:val="right"/>
              <w:rPr>
                <w:rFonts w:ascii="Arial" w:hAnsi="Arial" w:cs="Arial"/>
                <w:color w:val="000000"/>
                <w:sz w:val="20"/>
                <w:szCs w:val="20"/>
                <w:lang w:eastAsia="es-CO"/>
              </w:rPr>
            </w:pPr>
            <w:r w:rsidRPr="00F21908">
              <w:rPr>
                <w:rFonts w:ascii="Arial" w:hAnsi="Arial" w:cs="Arial"/>
                <w:color w:val="000000"/>
                <w:sz w:val="20"/>
                <w:szCs w:val="20"/>
                <w:lang w:eastAsia="es-CO"/>
              </w:rPr>
              <w:t>31</w:t>
            </w:r>
          </w:p>
        </w:tc>
      </w:tr>
      <w:tr w:rsidR="00F21908" w:rsidRPr="00F21908" w14:paraId="6F5D9FDE" w14:textId="77777777" w:rsidTr="00F21908">
        <w:trPr>
          <w:trHeight w:val="315"/>
          <w:jc w:val="center"/>
        </w:trPr>
        <w:tc>
          <w:tcPr>
            <w:tcW w:w="2780" w:type="dxa"/>
            <w:tcBorders>
              <w:top w:val="nil"/>
              <w:left w:val="nil"/>
              <w:bottom w:val="nil"/>
              <w:right w:val="nil"/>
            </w:tcBorders>
            <w:shd w:val="clear" w:color="auto" w:fill="auto"/>
            <w:noWrap/>
            <w:vAlign w:val="bottom"/>
            <w:hideMark/>
          </w:tcPr>
          <w:p w14:paraId="426B5D0D" w14:textId="77777777" w:rsidR="00F21908" w:rsidRPr="00F21908" w:rsidRDefault="00F21908" w:rsidP="002F047C">
            <w:pPr>
              <w:ind w:firstLine="709"/>
              <w:rPr>
                <w:rFonts w:ascii="Arial" w:hAnsi="Arial" w:cs="Arial"/>
                <w:color w:val="000000"/>
                <w:sz w:val="20"/>
                <w:szCs w:val="20"/>
                <w:lang w:eastAsia="es-CO"/>
              </w:rPr>
            </w:pPr>
            <w:proofErr w:type="spellStart"/>
            <w:r w:rsidRPr="00F21908">
              <w:rPr>
                <w:rFonts w:ascii="Arial" w:hAnsi="Arial" w:cs="Arial"/>
                <w:color w:val="000000"/>
                <w:sz w:val="20"/>
                <w:szCs w:val="20"/>
                <w:lang w:eastAsia="es-CO"/>
              </w:rPr>
              <w:t>Health</w:t>
            </w:r>
            <w:proofErr w:type="spellEnd"/>
            <w:r w:rsidRPr="00F21908">
              <w:rPr>
                <w:rFonts w:ascii="Arial" w:hAnsi="Arial" w:cs="Arial"/>
                <w:color w:val="000000"/>
                <w:sz w:val="20"/>
                <w:szCs w:val="20"/>
                <w:lang w:eastAsia="es-CO"/>
              </w:rPr>
              <w:t xml:space="preserve"> </w:t>
            </w:r>
            <w:proofErr w:type="spellStart"/>
            <w:r w:rsidRPr="00F21908">
              <w:rPr>
                <w:rFonts w:ascii="Arial" w:hAnsi="Arial" w:cs="Arial"/>
                <w:color w:val="000000"/>
                <w:sz w:val="20"/>
                <w:szCs w:val="20"/>
                <w:lang w:eastAsia="es-CO"/>
              </w:rPr>
              <w:t>care</w:t>
            </w:r>
            <w:proofErr w:type="spellEnd"/>
            <w:r w:rsidRPr="00F21908">
              <w:rPr>
                <w:rFonts w:ascii="Arial" w:hAnsi="Arial" w:cs="Arial"/>
                <w:color w:val="000000"/>
                <w:sz w:val="20"/>
                <w:szCs w:val="20"/>
                <w:lang w:eastAsia="es-CO"/>
              </w:rPr>
              <w:t xml:space="preserve"> </w:t>
            </w:r>
            <w:proofErr w:type="spellStart"/>
            <w:r w:rsidRPr="00F21908">
              <w:rPr>
                <w:rFonts w:ascii="Arial" w:hAnsi="Arial" w:cs="Arial"/>
                <w:color w:val="000000"/>
                <w:sz w:val="20"/>
                <w:szCs w:val="20"/>
                <w:lang w:eastAsia="es-CO"/>
              </w:rPr>
              <w:t>cost</w:t>
            </w:r>
            <w:proofErr w:type="spellEnd"/>
          </w:p>
        </w:tc>
        <w:tc>
          <w:tcPr>
            <w:tcW w:w="1220" w:type="dxa"/>
            <w:tcBorders>
              <w:top w:val="nil"/>
              <w:left w:val="nil"/>
              <w:bottom w:val="nil"/>
              <w:right w:val="nil"/>
            </w:tcBorders>
            <w:shd w:val="clear" w:color="auto" w:fill="auto"/>
            <w:noWrap/>
            <w:vAlign w:val="bottom"/>
            <w:hideMark/>
          </w:tcPr>
          <w:p w14:paraId="2BDD99AF" w14:textId="77777777" w:rsidR="00F21908" w:rsidRPr="00F21908" w:rsidRDefault="00F21908" w:rsidP="002F047C">
            <w:pPr>
              <w:ind w:firstLine="709"/>
              <w:jc w:val="right"/>
              <w:rPr>
                <w:rFonts w:ascii="Arial" w:hAnsi="Arial" w:cs="Arial"/>
                <w:color w:val="000000"/>
                <w:sz w:val="20"/>
                <w:szCs w:val="20"/>
                <w:lang w:eastAsia="es-CO"/>
              </w:rPr>
            </w:pPr>
            <w:r w:rsidRPr="00F21908">
              <w:rPr>
                <w:rFonts w:ascii="Arial" w:hAnsi="Arial" w:cs="Arial"/>
                <w:color w:val="000000"/>
                <w:sz w:val="20"/>
                <w:szCs w:val="20"/>
                <w:lang w:eastAsia="es-CO"/>
              </w:rPr>
              <w:t>30</w:t>
            </w:r>
          </w:p>
        </w:tc>
      </w:tr>
      <w:tr w:rsidR="00F21908" w:rsidRPr="00F21908" w14:paraId="7DF69EA0" w14:textId="77777777" w:rsidTr="00F21908">
        <w:trPr>
          <w:trHeight w:val="315"/>
          <w:jc w:val="center"/>
        </w:trPr>
        <w:tc>
          <w:tcPr>
            <w:tcW w:w="2780" w:type="dxa"/>
            <w:tcBorders>
              <w:top w:val="nil"/>
              <w:left w:val="nil"/>
              <w:bottom w:val="nil"/>
              <w:right w:val="nil"/>
            </w:tcBorders>
            <w:shd w:val="clear" w:color="auto" w:fill="auto"/>
            <w:noWrap/>
            <w:vAlign w:val="bottom"/>
            <w:hideMark/>
          </w:tcPr>
          <w:p w14:paraId="75CB0AEB" w14:textId="77777777" w:rsidR="00F21908" w:rsidRPr="00F21908" w:rsidRDefault="00F21908" w:rsidP="002F047C">
            <w:pPr>
              <w:ind w:firstLine="709"/>
              <w:rPr>
                <w:rFonts w:ascii="Arial" w:hAnsi="Arial" w:cs="Arial"/>
                <w:color w:val="000000"/>
                <w:sz w:val="20"/>
                <w:szCs w:val="20"/>
                <w:lang w:eastAsia="es-CO"/>
              </w:rPr>
            </w:pPr>
            <w:proofErr w:type="spellStart"/>
            <w:r w:rsidRPr="00F21908">
              <w:rPr>
                <w:rFonts w:ascii="Arial" w:hAnsi="Arial" w:cs="Arial"/>
                <w:color w:val="000000"/>
                <w:sz w:val="20"/>
                <w:szCs w:val="20"/>
                <w:lang w:eastAsia="es-CO"/>
              </w:rPr>
              <w:t>Public</w:t>
            </w:r>
            <w:proofErr w:type="spellEnd"/>
            <w:r w:rsidRPr="00F21908">
              <w:rPr>
                <w:rFonts w:ascii="Arial" w:hAnsi="Arial" w:cs="Arial"/>
                <w:color w:val="000000"/>
                <w:sz w:val="20"/>
                <w:szCs w:val="20"/>
                <w:lang w:eastAsia="es-CO"/>
              </w:rPr>
              <w:t xml:space="preserve"> </w:t>
            </w:r>
            <w:proofErr w:type="spellStart"/>
            <w:r w:rsidRPr="00F21908">
              <w:rPr>
                <w:rFonts w:ascii="Arial" w:hAnsi="Arial" w:cs="Arial"/>
                <w:color w:val="000000"/>
                <w:sz w:val="20"/>
                <w:szCs w:val="20"/>
                <w:lang w:eastAsia="es-CO"/>
              </w:rPr>
              <w:t>health</w:t>
            </w:r>
            <w:proofErr w:type="spellEnd"/>
          </w:p>
        </w:tc>
        <w:tc>
          <w:tcPr>
            <w:tcW w:w="1220" w:type="dxa"/>
            <w:tcBorders>
              <w:top w:val="nil"/>
              <w:left w:val="nil"/>
              <w:bottom w:val="nil"/>
              <w:right w:val="nil"/>
            </w:tcBorders>
            <w:shd w:val="clear" w:color="auto" w:fill="auto"/>
            <w:noWrap/>
            <w:vAlign w:val="bottom"/>
            <w:hideMark/>
          </w:tcPr>
          <w:p w14:paraId="096EE292" w14:textId="77777777" w:rsidR="00F21908" w:rsidRPr="00F21908" w:rsidRDefault="00F21908" w:rsidP="002F047C">
            <w:pPr>
              <w:ind w:firstLine="709"/>
              <w:jc w:val="right"/>
              <w:rPr>
                <w:rFonts w:ascii="Arial" w:hAnsi="Arial" w:cs="Arial"/>
                <w:color w:val="000000"/>
                <w:sz w:val="20"/>
                <w:szCs w:val="20"/>
                <w:lang w:eastAsia="es-CO"/>
              </w:rPr>
            </w:pPr>
            <w:r w:rsidRPr="00F21908">
              <w:rPr>
                <w:rFonts w:ascii="Arial" w:hAnsi="Arial" w:cs="Arial"/>
                <w:color w:val="000000"/>
                <w:sz w:val="20"/>
                <w:szCs w:val="20"/>
                <w:lang w:eastAsia="es-CO"/>
              </w:rPr>
              <w:t>30</w:t>
            </w:r>
          </w:p>
        </w:tc>
      </w:tr>
      <w:tr w:rsidR="00F21908" w:rsidRPr="00F21908" w14:paraId="4FF51902" w14:textId="77777777" w:rsidTr="00F21908">
        <w:trPr>
          <w:trHeight w:val="315"/>
          <w:jc w:val="center"/>
        </w:trPr>
        <w:tc>
          <w:tcPr>
            <w:tcW w:w="2780" w:type="dxa"/>
            <w:tcBorders>
              <w:top w:val="nil"/>
              <w:left w:val="nil"/>
              <w:bottom w:val="nil"/>
              <w:right w:val="nil"/>
            </w:tcBorders>
            <w:shd w:val="clear" w:color="auto" w:fill="auto"/>
            <w:noWrap/>
            <w:vAlign w:val="bottom"/>
            <w:hideMark/>
          </w:tcPr>
          <w:p w14:paraId="79306B0A" w14:textId="6C2DB860" w:rsidR="00F21908" w:rsidRPr="00F21908" w:rsidRDefault="00F21908" w:rsidP="002F047C">
            <w:pPr>
              <w:ind w:firstLine="709"/>
              <w:rPr>
                <w:rFonts w:ascii="Arial" w:hAnsi="Arial" w:cs="Arial"/>
                <w:color w:val="000000"/>
                <w:sz w:val="20"/>
                <w:szCs w:val="20"/>
                <w:lang w:eastAsia="es-CO"/>
              </w:rPr>
            </w:pPr>
            <w:proofErr w:type="spellStart"/>
            <w:r w:rsidRPr="00F21908">
              <w:rPr>
                <w:rFonts w:ascii="Arial" w:hAnsi="Arial" w:cs="Arial"/>
                <w:color w:val="000000"/>
                <w:sz w:val="20"/>
                <w:szCs w:val="20"/>
                <w:lang w:eastAsia="es-CO"/>
              </w:rPr>
              <w:t>Cost</w:t>
            </w:r>
            <w:proofErr w:type="spellEnd"/>
            <w:r w:rsidRPr="00F21908">
              <w:rPr>
                <w:rFonts w:ascii="Arial" w:hAnsi="Arial" w:cs="Arial"/>
                <w:color w:val="000000"/>
                <w:sz w:val="20"/>
                <w:szCs w:val="20"/>
                <w:lang w:eastAsia="es-CO"/>
              </w:rPr>
              <w:t xml:space="preserve"> </w:t>
            </w:r>
            <w:proofErr w:type="spellStart"/>
            <w:r w:rsidRPr="00F21908">
              <w:rPr>
                <w:rFonts w:ascii="Arial" w:hAnsi="Arial" w:cs="Arial"/>
                <w:color w:val="000000"/>
                <w:sz w:val="20"/>
                <w:szCs w:val="20"/>
                <w:lang w:eastAsia="es-CO"/>
              </w:rPr>
              <w:t>benefit</w:t>
            </w:r>
            <w:proofErr w:type="spellEnd"/>
            <w:r w:rsidRPr="00F21908">
              <w:rPr>
                <w:rFonts w:ascii="Arial" w:hAnsi="Arial" w:cs="Arial"/>
                <w:color w:val="000000"/>
                <w:sz w:val="20"/>
                <w:szCs w:val="20"/>
                <w:lang w:eastAsia="es-CO"/>
              </w:rPr>
              <w:t xml:space="preserve"> </w:t>
            </w:r>
            <w:r w:rsidR="00426CBD">
              <w:rPr>
                <w:rFonts w:ascii="Arial" w:hAnsi="Arial" w:cs="Arial"/>
                <w:color w:val="000000"/>
                <w:sz w:val="20"/>
                <w:szCs w:val="20"/>
                <w:lang w:eastAsia="es-CO"/>
              </w:rPr>
              <w:t>análisis</w:t>
            </w:r>
          </w:p>
        </w:tc>
        <w:tc>
          <w:tcPr>
            <w:tcW w:w="1220" w:type="dxa"/>
            <w:tcBorders>
              <w:top w:val="nil"/>
              <w:left w:val="nil"/>
              <w:bottom w:val="nil"/>
              <w:right w:val="nil"/>
            </w:tcBorders>
            <w:shd w:val="clear" w:color="auto" w:fill="auto"/>
            <w:noWrap/>
            <w:vAlign w:val="bottom"/>
            <w:hideMark/>
          </w:tcPr>
          <w:p w14:paraId="518755D8" w14:textId="77777777" w:rsidR="00F21908" w:rsidRPr="00F21908" w:rsidRDefault="00F21908" w:rsidP="002F047C">
            <w:pPr>
              <w:ind w:firstLine="709"/>
              <w:jc w:val="right"/>
              <w:rPr>
                <w:rFonts w:ascii="Arial" w:hAnsi="Arial" w:cs="Arial"/>
                <w:color w:val="000000"/>
                <w:sz w:val="20"/>
                <w:szCs w:val="20"/>
                <w:lang w:eastAsia="es-CO"/>
              </w:rPr>
            </w:pPr>
            <w:r w:rsidRPr="00F21908">
              <w:rPr>
                <w:rFonts w:ascii="Arial" w:hAnsi="Arial" w:cs="Arial"/>
                <w:color w:val="000000"/>
                <w:sz w:val="20"/>
                <w:szCs w:val="20"/>
                <w:lang w:eastAsia="es-CO"/>
              </w:rPr>
              <w:t>27</w:t>
            </w:r>
          </w:p>
        </w:tc>
      </w:tr>
      <w:tr w:rsidR="00F21908" w:rsidRPr="00F21908" w14:paraId="64A83155" w14:textId="77777777" w:rsidTr="00F21908">
        <w:trPr>
          <w:trHeight w:val="315"/>
          <w:jc w:val="center"/>
        </w:trPr>
        <w:tc>
          <w:tcPr>
            <w:tcW w:w="2780" w:type="dxa"/>
            <w:tcBorders>
              <w:top w:val="nil"/>
              <w:left w:val="nil"/>
              <w:bottom w:val="nil"/>
              <w:right w:val="nil"/>
            </w:tcBorders>
            <w:shd w:val="clear" w:color="auto" w:fill="auto"/>
            <w:noWrap/>
            <w:vAlign w:val="bottom"/>
            <w:hideMark/>
          </w:tcPr>
          <w:p w14:paraId="27E73047" w14:textId="77777777" w:rsidR="00F21908" w:rsidRDefault="00F21908" w:rsidP="002F047C">
            <w:pPr>
              <w:ind w:firstLine="709"/>
              <w:rPr>
                <w:rFonts w:ascii="Arial" w:hAnsi="Arial" w:cs="Arial"/>
                <w:color w:val="000000"/>
                <w:sz w:val="20"/>
                <w:szCs w:val="20"/>
                <w:lang w:eastAsia="es-CO"/>
              </w:rPr>
            </w:pPr>
            <w:proofErr w:type="spellStart"/>
            <w:r w:rsidRPr="00F21908">
              <w:rPr>
                <w:rFonts w:ascii="Arial" w:hAnsi="Arial" w:cs="Arial"/>
                <w:color w:val="000000"/>
                <w:sz w:val="20"/>
                <w:szCs w:val="20"/>
                <w:lang w:eastAsia="es-CO"/>
              </w:rPr>
              <w:t>Quality</w:t>
            </w:r>
            <w:proofErr w:type="spellEnd"/>
            <w:r w:rsidRPr="00F21908">
              <w:rPr>
                <w:rFonts w:ascii="Arial" w:hAnsi="Arial" w:cs="Arial"/>
                <w:color w:val="000000"/>
                <w:sz w:val="20"/>
                <w:szCs w:val="20"/>
                <w:lang w:eastAsia="es-CO"/>
              </w:rPr>
              <w:t xml:space="preserve"> </w:t>
            </w:r>
            <w:proofErr w:type="spellStart"/>
            <w:r w:rsidRPr="00F21908">
              <w:rPr>
                <w:rFonts w:ascii="Arial" w:hAnsi="Arial" w:cs="Arial"/>
                <w:color w:val="000000"/>
                <w:sz w:val="20"/>
                <w:szCs w:val="20"/>
                <w:lang w:eastAsia="es-CO"/>
              </w:rPr>
              <w:t>adjusted</w:t>
            </w:r>
            <w:proofErr w:type="spellEnd"/>
            <w:r w:rsidRPr="00F21908">
              <w:rPr>
                <w:rFonts w:ascii="Arial" w:hAnsi="Arial" w:cs="Arial"/>
                <w:color w:val="000000"/>
                <w:sz w:val="20"/>
                <w:szCs w:val="20"/>
                <w:lang w:eastAsia="es-CO"/>
              </w:rPr>
              <w:t xml:space="preserve"> </w:t>
            </w:r>
            <w:proofErr w:type="spellStart"/>
            <w:r w:rsidRPr="00F21908">
              <w:rPr>
                <w:rFonts w:ascii="Arial" w:hAnsi="Arial" w:cs="Arial"/>
                <w:color w:val="000000"/>
                <w:sz w:val="20"/>
                <w:szCs w:val="20"/>
                <w:lang w:eastAsia="es-CO"/>
              </w:rPr>
              <w:t>life</w:t>
            </w:r>
            <w:proofErr w:type="spellEnd"/>
            <w:r w:rsidRPr="00F21908">
              <w:rPr>
                <w:rFonts w:ascii="Arial" w:hAnsi="Arial" w:cs="Arial"/>
                <w:color w:val="000000"/>
                <w:sz w:val="20"/>
                <w:szCs w:val="20"/>
                <w:lang w:eastAsia="es-CO"/>
              </w:rPr>
              <w:t xml:space="preserve"> </w:t>
            </w:r>
          </w:p>
          <w:p w14:paraId="08CD3DE4" w14:textId="09B1AAD3" w:rsidR="00F21908" w:rsidRPr="00F21908" w:rsidRDefault="00C46C36" w:rsidP="002F047C">
            <w:pPr>
              <w:ind w:firstLine="709"/>
              <w:rPr>
                <w:rFonts w:ascii="Arial" w:hAnsi="Arial" w:cs="Arial"/>
                <w:color w:val="000000"/>
                <w:sz w:val="20"/>
                <w:szCs w:val="20"/>
                <w:lang w:eastAsia="es-CO"/>
              </w:rPr>
            </w:pPr>
            <w:proofErr w:type="spellStart"/>
            <w:r w:rsidRPr="00F21908">
              <w:rPr>
                <w:rFonts w:ascii="Arial" w:hAnsi="Arial" w:cs="Arial"/>
                <w:color w:val="000000"/>
                <w:sz w:val="20"/>
                <w:szCs w:val="20"/>
                <w:lang w:eastAsia="es-CO"/>
              </w:rPr>
              <w:t>Y</w:t>
            </w:r>
            <w:r w:rsidR="00F21908" w:rsidRPr="00F21908">
              <w:rPr>
                <w:rFonts w:ascii="Arial" w:hAnsi="Arial" w:cs="Arial"/>
                <w:color w:val="000000"/>
                <w:sz w:val="20"/>
                <w:szCs w:val="20"/>
                <w:lang w:eastAsia="es-CO"/>
              </w:rPr>
              <w:t>ear</w:t>
            </w:r>
            <w:proofErr w:type="spellEnd"/>
          </w:p>
        </w:tc>
        <w:tc>
          <w:tcPr>
            <w:tcW w:w="1220" w:type="dxa"/>
            <w:tcBorders>
              <w:top w:val="nil"/>
              <w:left w:val="nil"/>
              <w:bottom w:val="nil"/>
              <w:right w:val="nil"/>
            </w:tcBorders>
            <w:shd w:val="clear" w:color="auto" w:fill="auto"/>
            <w:noWrap/>
            <w:vAlign w:val="bottom"/>
            <w:hideMark/>
          </w:tcPr>
          <w:p w14:paraId="44CC1757" w14:textId="77777777" w:rsidR="00F21908" w:rsidRPr="00F21908" w:rsidRDefault="00F21908" w:rsidP="002F047C">
            <w:pPr>
              <w:ind w:firstLine="709"/>
              <w:jc w:val="right"/>
              <w:rPr>
                <w:rFonts w:ascii="Arial" w:hAnsi="Arial" w:cs="Arial"/>
                <w:color w:val="000000"/>
                <w:sz w:val="20"/>
                <w:szCs w:val="20"/>
                <w:lang w:eastAsia="es-CO"/>
              </w:rPr>
            </w:pPr>
            <w:r w:rsidRPr="00F21908">
              <w:rPr>
                <w:rFonts w:ascii="Arial" w:hAnsi="Arial" w:cs="Arial"/>
                <w:color w:val="000000"/>
                <w:sz w:val="20"/>
                <w:szCs w:val="20"/>
                <w:lang w:eastAsia="es-CO"/>
              </w:rPr>
              <w:t>19</w:t>
            </w:r>
          </w:p>
        </w:tc>
      </w:tr>
      <w:tr w:rsidR="00F21908" w:rsidRPr="00F21908" w14:paraId="4D0AB058" w14:textId="77777777" w:rsidTr="00F21908">
        <w:trPr>
          <w:trHeight w:val="315"/>
          <w:jc w:val="center"/>
        </w:trPr>
        <w:tc>
          <w:tcPr>
            <w:tcW w:w="2780" w:type="dxa"/>
            <w:tcBorders>
              <w:top w:val="nil"/>
              <w:left w:val="nil"/>
              <w:bottom w:val="nil"/>
              <w:right w:val="nil"/>
            </w:tcBorders>
            <w:shd w:val="clear" w:color="auto" w:fill="auto"/>
            <w:noWrap/>
            <w:vAlign w:val="bottom"/>
            <w:hideMark/>
          </w:tcPr>
          <w:p w14:paraId="237963B8" w14:textId="7D5E20D7" w:rsidR="00F21908" w:rsidRPr="00F21908" w:rsidRDefault="00F21908" w:rsidP="002F047C">
            <w:pPr>
              <w:ind w:firstLine="709"/>
              <w:rPr>
                <w:rFonts w:ascii="Arial" w:hAnsi="Arial" w:cs="Arial"/>
                <w:color w:val="000000"/>
                <w:sz w:val="20"/>
                <w:szCs w:val="20"/>
                <w:lang w:eastAsia="es-CO"/>
              </w:rPr>
            </w:pPr>
            <w:proofErr w:type="spellStart"/>
            <w:r w:rsidRPr="00F21908">
              <w:rPr>
                <w:rFonts w:ascii="Arial" w:hAnsi="Arial" w:cs="Arial"/>
                <w:color w:val="000000"/>
                <w:sz w:val="20"/>
                <w:szCs w:val="20"/>
                <w:lang w:eastAsia="es-CO"/>
              </w:rPr>
              <w:t>Cost</w:t>
            </w:r>
            <w:proofErr w:type="spellEnd"/>
            <w:r w:rsidRPr="00F21908">
              <w:rPr>
                <w:rFonts w:ascii="Arial" w:hAnsi="Arial" w:cs="Arial"/>
                <w:color w:val="000000"/>
                <w:sz w:val="20"/>
                <w:szCs w:val="20"/>
                <w:lang w:eastAsia="es-CO"/>
              </w:rPr>
              <w:t xml:space="preserve"> </w:t>
            </w:r>
            <w:proofErr w:type="spellStart"/>
            <w:r w:rsidRPr="00F21908">
              <w:rPr>
                <w:rFonts w:ascii="Arial" w:hAnsi="Arial" w:cs="Arial"/>
                <w:color w:val="000000"/>
                <w:sz w:val="20"/>
                <w:szCs w:val="20"/>
                <w:lang w:eastAsia="es-CO"/>
              </w:rPr>
              <w:t>utility</w:t>
            </w:r>
            <w:proofErr w:type="spellEnd"/>
            <w:r w:rsidRPr="00F21908">
              <w:rPr>
                <w:rFonts w:ascii="Arial" w:hAnsi="Arial" w:cs="Arial"/>
                <w:color w:val="000000"/>
                <w:sz w:val="20"/>
                <w:szCs w:val="20"/>
                <w:lang w:eastAsia="es-CO"/>
              </w:rPr>
              <w:t xml:space="preserve"> </w:t>
            </w:r>
            <w:r w:rsidR="00426CBD">
              <w:rPr>
                <w:rFonts w:ascii="Arial" w:hAnsi="Arial" w:cs="Arial"/>
                <w:color w:val="000000"/>
                <w:sz w:val="20"/>
                <w:szCs w:val="20"/>
                <w:lang w:eastAsia="es-CO"/>
              </w:rPr>
              <w:t>análisis</w:t>
            </w:r>
          </w:p>
        </w:tc>
        <w:tc>
          <w:tcPr>
            <w:tcW w:w="1220" w:type="dxa"/>
            <w:tcBorders>
              <w:top w:val="nil"/>
              <w:left w:val="nil"/>
              <w:bottom w:val="nil"/>
              <w:right w:val="nil"/>
            </w:tcBorders>
            <w:shd w:val="clear" w:color="auto" w:fill="auto"/>
            <w:noWrap/>
            <w:vAlign w:val="bottom"/>
            <w:hideMark/>
          </w:tcPr>
          <w:p w14:paraId="02F35B85" w14:textId="77777777" w:rsidR="00F21908" w:rsidRPr="00F21908" w:rsidRDefault="00F21908" w:rsidP="002F047C">
            <w:pPr>
              <w:ind w:firstLine="709"/>
              <w:jc w:val="right"/>
              <w:rPr>
                <w:rFonts w:ascii="Arial" w:hAnsi="Arial" w:cs="Arial"/>
                <w:color w:val="000000"/>
                <w:sz w:val="20"/>
                <w:szCs w:val="20"/>
                <w:lang w:eastAsia="es-CO"/>
              </w:rPr>
            </w:pPr>
            <w:r w:rsidRPr="00F21908">
              <w:rPr>
                <w:rFonts w:ascii="Arial" w:hAnsi="Arial" w:cs="Arial"/>
                <w:color w:val="000000"/>
                <w:sz w:val="20"/>
                <w:szCs w:val="20"/>
                <w:lang w:eastAsia="es-CO"/>
              </w:rPr>
              <w:t>18</w:t>
            </w:r>
          </w:p>
        </w:tc>
      </w:tr>
      <w:tr w:rsidR="00F21908" w:rsidRPr="00F21908" w14:paraId="5C7ADEA5" w14:textId="77777777" w:rsidTr="00F21908">
        <w:trPr>
          <w:trHeight w:val="315"/>
          <w:jc w:val="center"/>
        </w:trPr>
        <w:tc>
          <w:tcPr>
            <w:tcW w:w="2780" w:type="dxa"/>
            <w:tcBorders>
              <w:top w:val="nil"/>
              <w:left w:val="nil"/>
              <w:bottom w:val="nil"/>
              <w:right w:val="nil"/>
            </w:tcBorders>
            <w:shd w:val="clear" w:color="auto" w:fill="auto"/>
            <w:noWrap/>
            <w:vAlign w:val="bottom"/>
            <w:hideMark/>
          </w:tcPr>
          <w:p w14:paraId="2E1BEE33" w14:textId="77777777" w:rsidR="00F21908" w:rsidRPr="00F21908" w:rsidRDefault="00F21908" w:rsidP="002F047C">
            <w:pPr>
              <w:ind w:firstLine="709"/>
              <w:rPr>
                <w:rFonts w:ascii="Arial" w:hAnsi="Arial" w:cs="Arial"/>
                <w:color w:val="000000"/>
                <w:sz w:val="20"/>
                <w:szCs w:val="20"/>
                <w:lang w:eastAsia="es-CO"/>
              </w:rPr>
            </w:pPr>
            <w:proofErr w:type="spellStart"/>
            <w:r w:rsidRPr="00F21908">
              <w:rPr>
                <w:rFonts w:ascii="Arial" w:hAnsi="Arial" w:cs="Arial"/>
                <w:color w:val="000000"/>
                <w:sz w:val="20"/>
                <w:szCs w:val="20"/>
                <w:lang w:eastAsia="es-CO"/>
              </w:rPr>
              <w:t>Health</w:t>
            </w:r>
            <w:proofErr w:type="spellEnd"/>
            <w:r w:rsidRPr="00F21908">
              <w:rPr>
                <w:rFonts w:ascii="Arial" w:hAnsi="Arial" w:cs="Arial"/>
                <w:color w:val="000000"/>
                <w:sz w:val="20"/>
                <w:szCs w:val="20"/>
                <w:lang w:eastAsia="es-CO"/>
              </w:rPr>
              <w:t xml:space="preserve"> </w:t>
            </w:r>
            <w:proofErr w:type="spellStart"/>
            <w:r w:rsidRPr="00F21908">
              <w:rPr>
                <w:rFonts w:ascii="Arial" w:hAnsi="Arial" w:cs="Arial"/>
                <w:color w:val="000000"/>
                <w:sz w:val="20"/>
                <w:szCs w:val="20"/>
                <w:lang w:eastAsia="es-CO"/>
              </w:rPr>
              <w:t>care</w:t>
            </w:r>
            <w:proofErr w:type="spellEnd"/>
            <w:r w:rsidRPr="00F21908">
              <w:rPr>
                <w:rFonts w:ascii="Arial" w:hAnsi="Arial" w:cs="Arial"/>
                <w:color w:val="000000"/>
                <w:sz w:val="20"/>
                <w:szCs w:val="20"/>
                <w:lang w:eastAsia="es-CO"/>
              </w:rPr>
              <w:t xml:space="preserve"> </w:t>
            </w:r>
            <w:proofErr w:type="spellStart"/>
            <w:r w:rsidRPr="00F21908">
              <w:rPr>
                <w:rFonts w:ascii="Arial" w:hAnsi="Arial" w:cs="Arial"/>
                <w:color w:val="000000"/>
                <w:sz w:val="20"/>
                <w:szCs w:val="20"/>
                <w:lang w:eastAsia="es-CO"/>
              </w:rPr>
              <w:t>system</w:t>
            </w:r>
            <w:proofErr w:type="spellEnd"/>
          </w:p>
        </w:tc>
        <w:tc>
          <w:tcPr>
            <w:tcW w:w="1220" w:type="dxa"/>
            <w:tcBorders>
              <w:top w:val="nil"/>
              <w:left w:val="nil"/>
              <w:bottom w:val="nil"/>
              <w:right w:val="nil"/>
            </w:tcBorders>
            <w:shd w:val="clear" w:color="auto" w:fill="auto"/>
            <w:noWrap/>
            <w:vAlign w:val="bottom"/>
            <w:hideMark/>
          </w:tcPr>
          <w:p w14:paraId="008DD6EC" w14:textId="77777777" w:rsidR="00F21908" w:rsidRPr="00F21908" w:rsidRDefault="00F21908" w:rsidP="002F047C">
            <w:pPr>
              <w:ind w:firstLine="709"/>
              <w:jc w:val="right"/>
              <w:rPr>
                <w:rFonts w:ascii="Arial" w:hAnsi="Arial" w:cs="Arial"/>
                <w:color w:val="000000"/>
                <w:sz w:val="20"/>
                <w:szCs w:val="20"/>
                <w:lang w:eastAsia="es-CO"/>
              </w:rPr>
            </w:pPr>
            <w:r w:rsidRPr="00F21908">
              <w:rPr>
                <w:rFonts w:ascii="Arial" w:hAnsi="Arial" w:cs="Arial"/>
                <w:color w:val="000000"/>
                <w:sz w:val="20"/>
                <w:szCs w:val="20"/>
                <w:lang w:eastAsia="es-CO"/>
              </w:rPr>
              <w:t>14</w:t>
            </w:r>
          </w:p>
        </w:tc>
      </w:tr>
      <w:tr w:rsidR="00F21908" w:rsidRPr="00F21908" w14:paraId="1117CDA4" w14:textId="77777777" w:rsidTr="00F21908">
        <w:trPr>
          <w:trHeight w:val="315"/>
          <w:jc w:val="center"/>
        </w:trPr>
        <w:tc>
          <w:tcPr>
            <w:tcW w:w="2780" w:type="dxa"/>
            <w:tcBorders>
              <w:top w:val="nil"/>
              <w:left w:val="nil"/>
              <w:bottom w:val="nil"/>
              <w:right w:val="nil"/>
            </w:tcBorders>
            <w:shd w:val="clear" w:color="auto" w:fill="auto"/>
            <w:noWrap/>
            <w:vAlign w:val="bottom"/>
            <w:hideMark/>
          </w:tcPr>
          <w:p w14:paraId="70BC41A5" w14:textId="77777777" w:rsidR="00F21908" w:rsidRPr="00F21908" w:rsidRDefault="00F21908" w:rsidP="002F047C">
            <w:pPr>
              <w:ind w:firstLine="709"/>
              <w:rPr>
                <w:rFonts w:ascii="Arial" w:hAnsi="Arial" w:cs="Arial"/>
                <w:color w:val="000000"/>
                <w:sz w:val="20"/>
                <w:szCs w:val="20"/>
                <w:lang w:eastAsia="es-CO"/>
              </w:rPr>
            </w:pPr>
            <w:proofErr w:type="spellStart"/>
            <w:r w:rsidRPr="00F21908">
              <w:rPr>
                <w:rFonts w:ascii="Arial" w:hAnsi="Arial" w:cs="Arial"/>
                <w:color w:val="000000"/>
                <w:sz w:val="20"/>
                <w:szCs w:val="20"/>
                <w:lang w:eastAsia="es-CO"/>
              </w:rPr>
              <w:t>Drug</w:t>
            </w:r>
            <w:proofErr w:type="spellEnd"/>
            <w:r w:rsidRPr="00F21908">
              <w:rPr>
                <w:rFonts w:ascii="Arial" w:hAnsi="Arial" w:cs="Arial"/>
                <w:color w:val="000000"/>
                <w:sz w:val="20"/>
                <w:szCs w:val="20"/>
                <w:lang w:eastAsia="es-CO"/>
              </w:rPr>
              <w:t xml:space="preserve"> </w:t>
            </w:r>
            <w:proofErr w:type="spellStart"/>
            <w:r w:rsidRPr="00F21908">
              <w:rPr>
                <w:rFonts w:ascii="Arial" w:hAnsi="Arial" w:cs="Arial"/>
                <w:color w:val="000000"/>
                <w:sz w:val="20"/>
                <w:szCs w:val="20"/>
                <w:lang w:eastAsia="es-CO"/>
              </w:rPr>
              <w:t>cost</w:t>
            </w:r>
            <w:proofErr w:type="spellEnd"/>
          </w:p>
        </w:tc>
        <w:tc>
          <w:tcPr>
            <w:tcW w:w="1220" w:type="dxa"/>
            <w:tcBorders>
              <w:top w:val="nil"/>
              <w:left w:val="nil"/>
              <w:bottom w:val="nil"/>
              <w:right w:val="nil"/>
            </w:tcBorders>
            <w:shd w:val="clear" w:color="auto" w:fill="auto"/>
            <w:noWrap/>
            <w:vAlign w:val="bottom"/>
            <w:hideMark/>
          </w:tcPr>
          <w:p w14:paraId="012F5D38" w14:textId="77777777" w:rsidR="00F21908" w:rsidRPr="00F21908" w:rsidRDefault="00F21908" w:rsidP="002F047C">
            <w:pPr>
              <w:ind w:firstLine="709"/>
              <w:jc w:val="right"/>
              <w:rPr>
                <w:rFonts w:ascii="Arial" w:hAnsi="Arial" w:cs="Arial"/>
                <w:color w:val="000000"/>
                <w:sz w:val="20"/>
                <w:szCs w:val="20"/>
                <w:lang w:eastAsia="es-CO"/>
              </w:rPr>
            </w:pPr>
            <w:r w:rsidRPr="00F21908">
              <w:rPr>
                <w:rFonts w:ascii="Arial" w:hAnsi="Arial" w:cs="Arial"/>
                <w:color w:val="000000"/>
                <w:sz w:val="20"/>
                <w:szCs w:val="20"/>
                <w:lang w:eastAsia="es-CO"/>
              </w:rPr>
              <w:t>13</w:t>
            </w:r>
          </w:p>
        </w:tc>
      </w:tr>
      <w:tr w:rsidR="00F21908" w:rsidRPr="00F21908" w14:paraId="2DC7B7FB" w14:textId="77777777" w:rsidTr="00F21908">
        <w:trPr>
          <w:trHeight w:val="315"/>
          <w:jc w:val="center"/>
        </w:trPr>
        <w:tc>
          <w:tcPr>
            <w:tcW w:w="2780" w:type="dxa"/>
            <w:tcBorders>
              <w:top w:val="nil"/>
              <w:left w:val="nil"/>
              <w:bottom w:val="nil"/>
              <w:right w:val="nil"/>
            </w:tcBorders>
            <w:shd w:val="clear" w:color="auto" w:fill="auto"/>
            <w:noWrap/>
            <w:vAlign w:val="bottom"/>
            <w:hideMark/>
          </w:tcPr>
          <w:p w14:paraId="5938CB11" w14:textId="77777777" w:rsidR="00F21908" w:rsidRPr="00F21908" w:rsidRDefault="00F21908" w:rsidP="002F047C">
            <w:pPr>
              <w:ind w:firstLine="709"/>
              <w:rPr>
                <w:rFonts w:ascii="Arial" w:hAnsi="Arial" w:cs="Arial"/>
                <w:color w:val="000000"/>
                <w:sz w:val="20"/>
                <w:szCs w:val="20"/>
                <w:lang w:eastAsia="es-CO"/>
              </w:rPr>
            </w:pPr>
            <w:proofErr w:type="spellStart"/>
            <w:r w:rsidRPr="00F21908">
              <w:rPr>
                <w:rFonts w:ascii="Arial" w:hAnsi="Arial" w:cs="Arial"/>
                <w:color w:val="000000"/>
                <w:sz w:val="20"/>
                <w:szCs w:val="20"/>
                <w:lang w:eastAsia="es-CO"/>
              </w:rPr>
              <w:t>Decision</w:t>
            </w:r>
            <w:proofErr w:type="spellEnd"/>
            <w:r w:rsidRPr="00F21908">
              <w:rPr>
                <w:rFonts w:ascii="Arial" w:hAnsi="Arial" w:cs="Arial"/>
                <w:color w:val="000000"/>
                <w:sz w:val="20"/>
                <w:szCs w:val="20"/>
                <w:lang w:eastAsia="es-CO"/>
              </w:rPr>
              <w:t xml:space="preserve"> </w:t>
            </w:r>
            <w:proofErr w:type="spellStart"/>
            <w:r w:rsidRPr="00F21908">
              <w:rPr>
                <w:rFonts w:ascii="Arial" w:hAnsi="Arial" w:cs="Arial"/>
                <w:color w:val="000000"/>
                <w:sz w:val="20"/>
                <w:szCs w:val="20"/>
                <w:lang w:eastAsia="es-CO"/>
              </w:rPr>
              <w:t>tree</w:t>
            </w:r>
            <w:proofErr w:type="spellEnd"/>
          </w:p>
        </w:tc>
        <w:tc>
          <w:tcPr>
            <w:tcW w:w="1220" w:type="dxa"/>
            <w:tcBorders>
              <w:top w:val="nil"/>
              <w:left w:val="nil"/>
              <w:bottom w:val="nil"/>
              <w:right w:val="nil"/>
            </w:tcBorders>
            <w:shd w:val="clear" w:color="auto" w:fill="auto"/>
            <w:noWrap/>
            <w:vAlign w:val="bottom"/>
            <w:hideMark/>
          </w:tcPr>
          <w:p w14:paraId="72D3433F" w14:textId="77777777" w:rsidR="00F21908" w:rsidRPr="00F21908" w:rsidRDefault="00F21908" w:rsidP="002F047C">
            <w:pPr>
              <w:ind w:firstLine="709"/>
              <w:jc w:val="right"/>
              <w:rPr>
                <w:rFonts w:ascii="Arial" w:hAnsi="Arial" w:cs="Arial"/>
                <w:color w:val="000000"/>
                <w:sz w:val="20"/>
                <w:szCs w:val="20"/>
                <w:lang w:eastAsia="es-CO"/>
              </w:rPr>
            </w:pPr>
            <w:r w:rsidRPr="00F21908">
              <w:rPr>
                <w:rFonts w:ascii="Arial" w:hAnsi="Arial" w:cs="Arial"/>
                <w:color w:val="000000"/>
                <w:sz w:val="20"/>
                <w:szCs w:val="20"/>
                <w:lang w:eastAsia="es-CO"/>
              </w:rPr>
              <w:t>12</w:t>
            </w:r>
          </w:p>
        </w:tc>
      </w:tr>
      <w:tr w:rsidR="00F21908" w:rsidRPr="00F21908" w14:paraId="0943C075" w14:textId="77777777" w:rsidTr="00F21908">
        <w:trPr>
          <w:trHeight w:val="315"/>
          <w:jc w:val="center"/>
        </w:trPr>
        <w:tc>
          <w:tcPr>
            <w:tcW w:w="2780" w:type="dxa"/>
            <w:tcBorders>
              <w:top w:val="nil"/>
              <w:left w:val="nil"/>
              <w:bottom w:val="single" w:sz="4" w:space="0" w:color="auto"/>
              <w:right w:val="nil"/>
            </w:tcBorders>
            <w:shd w:val="clear" w:color="auto" w:fill="auto"/>
            <w:noWrap/>
            <w:vAlign w:val="bottom"/>
            <w:hideMark/>
          </w:tcPr>
          <w:p w14:paraId="61E9E7D5" w14:textId="77777777" w:rsidR="00F21908" w:rsidRPr="00F21908" w:rsidRDefault="00F21908" w:rsidP="002F047C">
            <w:pPr>
              <w:ind w:firstLine="709"/>
              <w:rPr>
                <w:rFonts w:ascii="Arial" w:hAnsi="Arial" w:cs="Arial"/>
                <w:color w:val="000000"/>
                <w:sz w:val="20"/>
                <w:szCs w:val="20"/>
                <w:lang w:eastAsia="es-CO"/>
              </w:rPr>
            </w:pPr>
            <w:proofErr w:type="spellStart"/>
            <w:r w:rsidRPr="00F21908">
              <w:rPr>
                <w:rFonts w:ascii="Arial" w:hAnsi="Arial" w:cs="Arial"/>
                <w:color w:val="000000"/>
                <w:sz w:val="20"/>
                <w:szCs w:val="20"/>
                <w:lang w:eastAsia="es-CO"/>
              </w:rPr>
              <w:t>Economic</w:t>
            </w:r>
            <w:proofErr w:type="spellEnd"/>
            <w:r w:rsidRPr="00F21908">
              <w:rPr>
                <w:rFonts w:ascii="Arial" w:hAnsi="Arial" w:cs="Arial"/>
                <w:color w:val="000000"/>
                <w:sz w:val="20"/>
                <w:szCs w:val="20"/>
                <w:lang w:eastAsia="es-CO"/>
              </w:rPr>
              <w:t xml:space="preserve"> </w:t>
            </w:r>
            <w:proofErr w:type="spellStart"/>
            <w:r w:rsidRPr="00F21908">
              <w:rPr>
                <w:rFonts w:ascii="Arial" w:hAnsi="Arial" w:cs="Arial"/>
                <w:color w:val="000000"/>
                <w:sz w:val="20"/>
                <w:szCs w:val="20"/>
                <w:lang w:eastAsia="es-CO"/>
              </w:rPr>
              <w:t>evaluation</w:t>
            </w:r>
            <w:proofErr w:type="spellEnd"/>
          </w:p>
        </w:tc>
        <w:tc>
          <w:tcPr>
            <w:tcW w:w="1220" w:type="dxa"/>
            <w:tcBorders>
              <w:top w:val="nil"/>
              <w:left w:val="nil"/>
              <w:bottom w:val="single" w:sz="4" w:space="0" w:color="auto"/>
              <w:right w:val="nil"/>
            </w:tcBorders>
            <w:shd w:val="clear" w:color="auto" w:fill="auto"/>
            <w:noWrap/>
            <w:vAlign w:val="bottom"/>
            <w:hideMark/>
          </w:tcPr>
          <w:p w14:paraId="656FB370" w14:textId="77777777" w:rsidR="00F21908" w:rsidRPr="00F21908" w:rsidRDefault="00F21908" w:rsidP="002F047C">
            <w:pPr>
              <w:ind w:firstLine="709"/>
              <w:jc w:val="right"/>
              <w:rPr>
                <w:rFonts w:ascii="Arial" w:hAnsi="Arial" w:cs="Arial"/>
                <w:color w:val="000000"/>
                <w:sz w:val="20"/>
                <w:szCs w:val="20"/>
                <w:lang w:eastAsia="es-CO"/>
              </w:rPr>
            </w:pPr>
            <w:r w:rsidRPr="00F21908">
              <w:rPr>
                <w:rFonts w:ascii="Arial" w:hAnsi="Arial" w:cs="Arial"/>
                <w:color w:val="000000"/>
                <w:sz w:val="20"/>
                <w:szCs w:val="20"/>
                <w:lang w:eastAsia="es-CO"/>
              </w:rPr>
              <w:t>9</w:t>
            </w:r>
          </w:p>
        </w:tc>
      </w:tr>
    </w:tbl>
    <w:p w14:paraId="077F03BA" w14:textId="40DFE9D9" w:rsidR="00950D2E" w:rsidRDefault="00950D2E" w:rsidP="00950D2E">
      <w:pPr>
        <w:spacing w:line="360" w:lineRule="auto"/>
        <w:ind w:firstLine="709"/>
        <w:jc w:val="center"/>
        <w:rPr>
          <w:rFonts w:ascii="Arial" w:hAnsi="Arial" w:cs="Arial"/>
          <w:sz w:val="20"/>
          <w:szCs w:val="20"/>
        </w:rPr>
      </w:pPr>
      <w:r w:rsidRPr="00950D2E">
        <w:rPr>
          <w:rFonts w:ascii="Arial" w:hAnsi="Arial" w:cs="Arial"/>
          <w:sz w:val="20"/>
          <w:szCs w:val="20"/>
        </w:rPr>
        <w:t xml:space="preserve">Fuente: Elaboración propia en </w:t>
      </w:r>
      <w:proofErr w:type="spellStart"/>
      <w:r w:rsidRPr="00950D2E">
        <w:rPr>
          <w:rFonts w:ascii="Arial" w:hAnsi="Arial" w:cs="Arial"/>
          <w:sz w:val="20"/>
          <w:szCs w:val="20"/>
        </w:rPr>
        <w:t>VOSViewer</w:t>
      </w:r>
      <w:proofErr w:type="spellEnd"/>
      <w:r w:rsidRPr="00950D2E">
        <w:rPr>
          <w:rFonts w:ascii="Arial" w:hAnsi="Arial" w:cs="Arial"/>
          <w:sz w:val="20"/>
          <w:szCs w:val="20"/>
        </w:rPr>
        <w:t xml:space="preserve"> con base en los datos de </w:t>
      </w:r>
      <w:proofErr w:type="spellStart"/>
      <w:r w:rsidRPr="00950D2E">
        <w:rPr>
          <w:rFonts w:ascii="Arial" w:hAnsi="Arial" w:cs="Arial"/>
          <w:sz w:val="20"/>
          <w:szCs w:val="20"/>
        </w:rPr>
        <w:t>Scopus</w:t>
      </w:r>
      <w:proofErr w:type="spellEnd"/>
      <w:r w:rsidRPr="00950D2E">
        <w:rPr>
          <w:rFonts w:ascii="Arial" w:hAnsi="Arial" w:cs="Arial"/>
          <w:sz w:val="20"/>
          <w:szCs w:val="20"/>
        </w:rPr>
        <w:t>, 2024.</w:t>
      </w:r>
    </w:p>
    <w:p w14:paraId="691B0BFC" w14:textId="66B1D3A7" w:rsidR="00950D2E" w:rsidRDefault="00950D2E" w:rsidP="00950D2E">
      <w:pPr>
        <w:spacing w:line="360" w:lineRule="auto"/>
        <w:ind w:firstLine="709"/>
        <w:jc w:val="center"/>
        <w:rPr>
          <w:rFonts w:ascii="Arial" w:hAnsi="Arial" w:cs="Arial"/>
          <w:sz w:val="20"/>
          <w:szCs w:val="20"/>
        </w:rPr>
      </w:pPr>
    </w:p>
    <w:p w14:paraId="7775EB7D" w14:textId="7B010EE7" w:rsidR="00EC4EEA" w:rsidRPr="00EC4EEA" w:rsidRDefault="00EC4EEA" w:rsidP="00EC4EEA">
      <w:pPr>
        <w:spacing w:line="360" w:lineRule="auto"/>
        <w:ind w:firstLine="709"/>
        <w:jc w:val="both"/>
        <w:rPr>
          <w:rFonts w:ascii="Arial" w:hAnsi="Arial" w:cs="Arial"/>
          <w:b/>
          <w:bCs/>
        </w:rPr>
      </w:pPr>
      <w:r w:rsidRPr="00EC4EEA">
        <w:rPr>
          <w:rFonts w:ascii="Arial" w:hAnsi="Arial" w:cs="Arial"/>
          <w:b/>
          <w:bCs/>
        </w:rPr>
        <w:t xml:space="preserve">Red de </w:t>
      </w:r>
      <w:r>
        <w:rPr>
          <w:rFonts w:ascii="Arial" w:hAnsi="Arial" w:cs="Arial"/>
          <w:b/>
          <w:bCs/>
        </w:rPr>
        <w:t>a</w:t>
      </w:r>
      <w:r w:rsidRPr="00EC4EEA">
        <w:rPr>
          <w:rFonts w:ascii="Arial" w:hAnsi="Arial" w:cs="Arial"/>
          <w:b/>
          <w:bCs/>
        </w:rPr>
        <w:t xml:space="preserve">coplamiento </w:t>
      </w:r>
      <w:r>
        <w:rPr>
          <w:rFonts w:ascii="Arial" w:hAnsi="Arial" w:cs="Arial"/>
          <w:b/>
          <w:bCs/>
        </w:rPr>
        <w:t>b</w:t>
      </w:r>
      <w:r w:rsidRPr="00EC4EEA">
        <w:rPr>
          <w:rFonts w:ascii="Arial" w:hAnsi="Arial" w:cs="Arial"/>
          <w:b/>
          <w:bCs/>
        </w:rPr>
        <w:t>ibliográfico</w:t>
      </w:r>
    </w:p>
    <w:p w14:paraId="5ACA814B" w14:textId="77777777" w:rsidR="00EC4EEA" w:rsidRDefault="00EC4EEA" w:rsidP="00EC4EEA">
      <w:pPr>
        <w:spacing w:line="360" w:lineRule="auto"/>
        <w:jc w:val="both"/>
        <w:rPr>
          <w:rFonts w:ascii="Arial" w:hAnsi="Arial" w:cs="Arial"/>
        </w:rPr>
      </w:pPr>
    </w:p>
    <w:p w14:paraId="01D80A22" w14:textId="6A9B16E7" w:rsidR="00EC4EEA" w:rsidRPr="00EC4EEA" w:rsidRDefault="00EC4EEA" w:rsidP="00EC4EEA">
      <w:pPr>
        <w:spacing w:line="360" w:lineRule="auto"/>
        <w:jc w:val="both"/>
        <w:rPr>
          <w:rFonts w:ascii="Arial" w:hAnsi="Arial" w:cs="Arial"/>
        </w:rPr>
      </w:pPr>
      <w:r w:rsidRPr="00EC4EEA">
        <w:rPr>
          <w:rFonts w:ascii="Arial" w:hAnsi="Arial" w:cs="Arial"/>
        </w:rPr>
        <w:t xml:space="preserve">El acoplamiento bibliográfico se refiere a la similitud entre dos o más documentos científicos basada en la cantidad de referencias científicas que comparten </w:t>
      </w:r>
      <w:r w:rsidRPr="00EC4EEA">
        <w:rPr>
          <w:rFonts w:ascii="Arial" w:hAnsi="Arial" w:cs="Arial"/>
        </w:rPr>
        <w:fldChar w:fldCharType="begin"/>
      </w:r>
      <w:r w:rsidRPr="00EC4EEA">
        <w:rPr>
          <w:rFonts w:ascii="Arial" w:hAnsi="Arial" w:cs="Arial"/>
        </w:rPr>
        <w:instrText xml:space="preserve"> ADDIN ZOTERO_ITEM CSL_CITATION {"citationID":"JdnC2lUZ","properties":{"formattedCitation":"(Boeris, 2010)","plainCitation":"(Boeris, 2010)","noteIndex":0},"citationItems":[{"id":1021,"uris":["http://zotero.org/users/local/2poXFmzI/items/BS736ZLE"],"itemData":{"id":1021,"type":"thesis","event-place":"La Plata, Argentina","publisher":"Universidad Nacional de la\tPlata","publisher-place":"La Plata, Argentina","title":"Aplicación de métodos bibliométricos a la evaluación de colecciones: el caso de la Biblioteca del Instituto Argentino de Radioastronomía.","URL":"https://www.memoria.fahce.unlp.edu.ar/tesis/te.371/te.371.pdf","author":[{"family":"Boeris","given":"Claudia"}],"issued":{"date-parts":[["2010"]]}}}],"schema":"https://github.com/citation-style-language/schema/raw/master/csl-citation.json"} </w:instrText>
      </w:r>
      <w:r w:rsidRPr="00EC4EEA">
        <w:rPr>
          <w:rFonts w:ascii="Arial" w:hAnsi="Arial" w:cs="Arial"/>
        </w:rPr>
        <w:fldChar w:fldCharType="separate"/>
      </w:r>
      <w:r w:rsidRPr="00EC4EEA">
        <w:rPr>
          <w:rFonts w:ascii="Arial" w:hAnsi="Arial" w:cs="Arial"/>
        </w:rPr>
        <w:t>(Boeris, 2010)</w:t>
      </w:r>
      <w:r w:rsidRPr="00EC4EEA">
        <w:rPr>
          <w:rFonts w:ascii="Arial" w:hAnsi="Arial" w:cs="Arial"/>
        </w:rPr>
        <w:fldChar w:fldCharType="end"/>
      </w:r>
      <w:r w:rsidRPr="00EC4EEA">
        <w:rPr>
          <w:rFonts w:ascii="Arial" w:hAnsi="Arial" w:cs="Arial"/>
        </w:rPr>
        <w:t xml:space="preserve">. En la figura 4 se presenta la red de acoplamiento bibliográfico por documentos, que ha sido generada en el paquete bibliométrico </w:t>
      </w:r>
      <w:proofErr w:type="spellStart"/>
      <w:r w:rsidRPr="00EC4EEA">
        <w:rPr>
          <w:rFonts w:ascii="Arial" w:hAnsi="Arial" w:cs="Arial"/>
        </w:rPr>
        <w:t>VOSviewer</w:t>
      </w:r>
      <w:proofErr w:type="spellEnd"/>
      <w:r w:rsidRPr="00EC4EEA">
        <w:rPr>
          <w:rFonts w:ascii="Arial" w:hAnsi="Arial" w:cs="Arial"/>
        </w:rPr>
        <w:t xml:space="preserve"> </w:t>
      </w:r>
      <w:r w:rsidRPr="00EC4EEA">
        <w:rPr>
          <w:rFonts w:ascii="Arial" w:hAnsi="Arial" w:cs="Arial"/>
        </w:rPr>
        <w:fldChar w:fldCharType="begin"/>
      </w:r>
      <w:r w:rsidRPr="00EC4EEA">
        <w:rPr>
          <w:rFonts w:ascii="Arial" w:hAnsi="Arial" w:cs="Arial"/>
        </w:rPr>
        <w:instrText xml:space="preserve"> ADDIN ZOTERO_ITEM CSL_CITATION {"citationID":"qRDwH4xg","properties":{"formattedCitation":"(Van Eck &amp; Waltman, 2014, 2019)","plainCitation":"(Van Eck &amp; Waltman, 2014, 2019)","noteIndex":0},"citationItems":[{"id":825,"uris":["http://zotero.org/users/local/2poXFmzI/items/YNHLIETY"],"itemData":{"id":825,"type":"chapter","container-title":"Measuring Scholarly Impact","event-place":"Cham","ISBN":"978-3-319-10376-1","language":"en","note":"DOI: 10.1007/978-3-319-10377-8_13","page":"285-320","publisher":"Springer International Publishing","publisher-place":"Cham","source":"DOI.org (Crossref)","title":"Visualizing Bibliometric Networks","URL":"http://link.springer.com/10.1007/978-3-319-10377-8_13","editor":[{"family":"Ding","given":"Ying"},{"family":"Rousseau","given":"Ronald"},{"family":"Wolfram","given":"Dietmar"}],"author":[{"family":"Van Eck","given":"Nees Jan"},{"family":"Waltman","given":"Ludo"}],"accessed":{"date-parts":[["2024",1,2]]},"issued":{"date-parts":[["2014"]]}}},{"id":709,"uris":["http://zotero.org/users/local/2poXFmzI/items/XJSB7T4G"],"itemData":{"id":709,"type":"document","publisher":"Leiden University","title":"VOSviewer Manual","URL":"https://www.vosviewer.com/documentation/Manual_VOSviewer_1.6.10.pdf","author":[{"family":"Van Eck","given":"Nees Jan"},{"family":"Waltman","given":"Ludo"}],"issued":{"date-parts":[["2019"]]}}}],"schema":"https://github.com/citation-style-language/schema/raw/master/csl-citation.json"} </w:instrText>
      </w:r>
      <w:r w:rsidRPr="00EC4EEA">
        <w:rPr>
          <w:rFonts w:ascii="Arial" w:hAnsi="Arial" w:cs="Arial"/>
        </w:rPr>
        <w:fldChar w:fldCharType="separate"/>
      </w:r>
      <w:r w:rsidRPr="00EC4EEA">
        <w:rPr>
          <w:rFonts w:ascii="Arial" w:hAnsi="Arial" w:cs="Arial"/>
        </w:rPr>
        <w:t>(Van Eck &amp; Waltman, 2014, 2019)</w:t>
      </w:r>
      <w:r w:rsidRPr="00EC4EEA">
        <w:rPr>
          <w:rFonts w:ascii="Arial" w:hAnsi="Arial" w:cs="Arial"/>
        </w:rPr>
        <w:fldChar w:fldCharType="end"/>
      </w:r>
      <w:r w:rsidRPr="00EC4EEA">
        <w:rPr>
          <w:rFonts w:ascii="Arial" w:hAnsi="Arial" w:cs="Arial"/>
        </w:rPr>
        <w:t xml:space="preserve">, conformada por 17 artículos y 5 clústeres cada uno correspondiente a un color diferente; en tanto, el tamaño indica su relevancia dentro del campo </w:t>
      </w:r>
      <w:r w:rsidRPr="00EC4EEA">
        <w:rPr>
          <w:rFonts w:ascii="Arial" w:hAnsi="Arial" w:cs="Arial"/>
        </w:rPr>
        <w:fldChar w:fldCharType="begin"/>
      </w:r>
      <w:r w:rsidRPr="00EC4EEA">
        <w:rPr>
          <w:rFonts w:ascii="Arial" w:hAnsi="Arial" w:cs="Arial"/>
        </w:rPr>
        <w:instrText xml:space="preserve"> ADDIN ZOTERO_ITEM CSL_CITATION {"citationID":"7SK3uCHr","properties":{"formattedCitation":"(Chew &amp; Eysenbach, 2010)","plainCitation":"(Chew &amp; Eysenbach, 2010)","noteIndex":0},"citationItems":[{"id":1022,"uris":["http://zotero.org/users/local/2poXFmzI/items/X63LQQGG"],"itemData":{"id":1022,"type":"article-journal","container-title":"PLoS ONE","DOI":"10.1371/journal.pone.0014118","ISSN":"1932-6203","issue":"11","journalAbbreviation":"PLoS ONE","language":"en","page":"e14118","source":"DOI.org (Crossref)","title":"Pandemics in the Age of Twitter: Content Analysis of Tweets during the 2009 H1N1 Outbreak","title-short":"Pandemics in the Age of Twitter","volume":"5","author":[{"family":"Chew","given":"Cynthia"},{"family":"Eysenbach","given":"Gunther"}],"editor":[{"family":"Sampson","given":"Margaret"}],"issued":{"date-parts":[["2010",11,29]]}}}],"schema":"https://github.com/citation-style-language/schema/raw/master/csl-citation.json"} </w:instrText>
      </w:r>
      <w:r w:rsidRPr="00EC4EEA">
        <w:rPr>
          <w:rFonts w:ascii="Arial" w:hAnsi="Arial" w:cs="Arial"/>
        </w:rPr>
        <w:fldChar w:fldCharType="separate"/>
      </w:r>
      <w:r w:rsidRPr="00EC4EEA">
        <w:rPr>
          <w:rFonts w:ascii="Arial" w:hAnsi="Arial" w:cs="Arial"/>
        </w:rPr>
        <w:t>(Chew &amp; Eysenbach, 2010)</w:t>
      </w:r>
      <w:r w:rsidRPr="00EC4EEA">
        <w:rPr>
          <w:rFonts w:ascii="Arial" w:hAnsi="Arial" w:cs="Arial"/>
        </w:rPr>
        <w:fldChar w:fldCharType="end"/>
      </w:r>
      <w:r w:rsidRPr="00EC4EEA">
        <w:rPr>
          <w:rFonts w:ascii="Arial" w:hAnsi="Arial" w:cs="Arial"/>
        </w:rPr>
        <w:t>.</w:t>
      </w:r>
    </w:p>
    <w:p w14:paraId="5809673C" w14:textId="77777777" w:rsidR="00EC4EEA" w:rsidRPr="00EC4EEA" w:rsidRDefault="00EC4EEA" w:rsidP="00EC4EEA">
      <w:pPr>
        <w:spacing w:line="360" w:lineRule="auto"/>
        <w:jc w:val="both"/>
        <w:rPr>
          <w:rFonts w:ascii="Arial" w:hAnsi="Arial" w:cs="Arial"/>
        </w:rPr>
      </w:pPr>
      <w:r w:rsidRPr="00EC4EEA">
        <w:rPr>
          <w:rFonts w:ascii="Arial" w:hAnsi="Arial" w:cs="Arial"/>
        </w:rPr>
        <w:lastRenderedPageBreak/>
        <w:t>La clasificación de los artículos en clústeres revela una fuerte conexión entre estos textos, lo que llevó a realizar un análisis detallado de la literatura para identificar los principales temas o áreas de estudio.</w:t>
      </w:r>
    </w:p>
    <w:p w14:paraId="379C54C9" w14:textId="77777777" w:rsidR="00950D2E" w:rsidRPr="004504F0" w:rsidRDefault="00950D2E" w:rsidP="00950D2E">
      <w:pPr>
        <w:spacing w:line="360" w:lineRule="auto"/>
        <w:ind w:firstLine="709"/>
        <w:jc w:val="both"/>
        <w:rPr>
          <w:rFonts w:ascii="Arial" w:hAnsi="Arial" w:cs="Arial"/>
          <w:sz w:val="20"/>
          <w:szCs w:val="20"/>
        </w:rPr>
      </w:pPr>
    </w:p>
    <w:p w14:paraId="52FC6C7C" w14:textId="0396FF89" w:rsidR="004504F0" w:rsidRPr="00416937" w:rsidRDefault="004504F0" w:rsidP="004504F0">
      <w:pPr>
        <w:spacing w:line="360" w:lineRule="auto"/>
        <w:ind w:firstLine="709"/>
        <w:jc w:val="center"/>
        <w:rPr>
          <w:rFonts w:cstheme="minorHAnsi"/>
        </w:rPr>
      </w:pPr>
      <w:r w:rsidRPr="004504F0">
        <w:rPr>
          <w:rFonts w:ascii="Arial" w:hAnsi="Arial" w:cs="Arial"/>
          <w:b/>
          <w:bCs/>
          <w:sz w:val="20"/>
          <w:szCs w:val="20"/>
        </w:rPr>
        <w:t xml:space="preserve">Figura 4. Red de </w:t>
      </w:r>
      <w:r>
        <w:rPr>
          <w:rFonts w:ascii="Arial" w:hAnsi="Arial" w:cs="Arial"/>
          <w:b/>
          <w:bCs/>
          <w:sz w:val="20"/>
          <w:szCs w:val="20"/>
        </w:rPr>
        <w:t>a</w:t>
      </w:r>
      <w:r w:rsidRPr="004504F0">
        <w:rPr>
          <w:rFonts w:ascii="Arial" w:hAnsi="Arial" w:cs="Arial"/>
          <w:b/>
          <w:bCs/>
          <w:sz w:val="20"/>
          <w:szCs w:val="20"/>
        </w:rPr>
        <w:t xml:space="preserve">coplamiento </w:t>
      </w:r>
      <w:r>
        <w:rPr>
          <w:rFonts w:ascii="Arial" w:hAnsi="Arial" w:cs="Arial"/>
          <w:b/>
          <w:bCs/>
          <w:sz w:val="20"/>
          <w:szCs w:val="20"/>
        </w:rPr>
        <w:t>b</w:t>
      </w:r>
      <w:r w:rsidRPr="004504F0">
        <w:rPr>
          <w:rFonts w:ascii="Arial" w:hAnsi="Arial" w:cs="Arial"/>
          <w:b/>
          <w:bCs/>
          <w:sz w:val="20"/>
          <w:szCs w:val="20"/>
        </w:rPr>
        <w:t>ibliográfico</w:t>
      </w:r>
      <w:r w:rsidRPr="00416937">
        <w:rPr>
          <w:rFonts w:cstheme="minorHAnsi"/>
          <w:noProof/>
          <w:lang w:eastAsia="es-CR"/>
        </w:rPr>
        <w:drawing>
          <wp:inline distT="0" distB="0" distL="0" distR="0" wp14:anchorId="10DE3CB3" wp14:editId="01E50940">
            <wp:extent cx="5679419" cy="3495675"/>
            <wp:effectExtent l="0" t="0" r="0" b="0"/>
            <wp:docPr id="21430609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7935" r="4220"/>
                    <a:stretch/>
                  </pic:blipFill>
                  <pic:spPr bwMode="auto">
                    <a:xfrm>
                      <a:off x="0" y="0"/>
                      <a:ext cx="5733487" cy="3528954"/>
                    </a:xfrm>
                    <a:prstGeom prst="rect">
                      <a:avLst/>
                    </a:prstGeom>
                    <a:noFill/>
                    <a:ln>
                      <a:noFill/>
                    </a:ln>
                    <a:extLst>
                      <a:ext uri="{53640926-AAD7-44D8-BBD7-CCE9431645EC}">
                        <a14:shadowObscured xmlns:a14="http://schemas.microsoft.com/office/drawing/2010/main"/>
                      </a:ext>
                    </a:extLst>
                  </pic:spPr>
                </pic:pic>
              </a:graphicData>
            </a:graphic>
          </wp:inline>
        </w:drawing>
      </w:r>
      <w:r w:rsidRPr="00416937">
        <w:rPr>
          <w:rFonts w:cstheme="minorHAnsi"/>
        </w:rPr>
        <w:t xml:space="preserve"> </w:t>
      </w:r>
    </w:p>
    <w:p w14:paraId="38DAC4D0" w14:textId="77777777" w:rsidR="004504F0" w:rsidRPr="000232B5" w:rsidRDefault="004504F0" w:rsidP="004504F0">
      <w:pPr>
        <w:spacing w:line="360" w:lineRule="auto"/>
        <w:ind w:firstLine="709"/>
        <w:jc w:val="center"/>
        <w:rPr>
          <w:rFonts w:ascii="Arial" w:hAnsi="Arial" w:cs="Arial"/>
          <w:b/>
          <w:bCs/>
          <w:sz w:val="20"/>
          <w:szCs w:val="20"/>
        </w:rPr>
      </w:pPr>
      <w:r w:rsidRPr="000232B5">
        <w:rPr>
          <w:rFonts w:ascii="Arial" w:hAnsi="Arial" w:cs="Arial"/>
          <w:sz w:val="20"/>
          <w:szCs w:val="20"/>
        </w:rPr>
        <w:t xml:space="preserve">Fuente: Elaboración propia en </w:t>
      </w:r>
      <w:proofErr w:type="spellStart"/>
      <w:r w:rsidRPr="000232B5">
        <w:rPr>
          <w:rFonts w:ascii="Arial" w:hAnsi="Arial" w:cs="Arial"/>
          <w:sz w:val="20"/>
          <w:szCs w:val="20"/>
        </w:rPr>
        <w:t>VOSViewer</w:t>
      </w:r>
      <w:proofErr w:type="spellEnd"/>
      <w:r w:rsidRPr="000232B5">
        <w:rPr>
          <w:rFonts w:ascii="Arial" w:hAnsi="Arial" w:cs="Arial"/>
          <w:sz w:val="20"/>
          <w:szCs w:val="20"/>
        </w:rPr>
        <w:t xml:space="preserve"> con base en los datos de </w:t>
      </w:r>
      <w:proofErr w:type="spellStart"/>
      <w:r w:rsidRPr="000232B5">
        <w:rPr>
          <w:rFonts w:ascii="Arial" w:hAnsi="Arial" w:cs="Arial"/>
          <w:sz w:val="20"/>
          <w:szCs w:val="20"/>
        </w:rPr>
        <w:t>Scopus</w:t>
      </w:r>
      <w:proofErr w:type="spellEnd"/>
      <w:r w:rsidRPr="000232B5">
        <w:rPr>
          <w:rFonts w:ascii="Arial" w:hAnsi="Arial" w:cs="Arial"/>
          <w:sz w:val="20"/>
          <w:szCs w:val="20"/>
        </w:rPr>
        <w:t>, 2024.</w:t>
      </w:r>
    </w:p>
    <w:p w14:paraId="3BBD2B64" w14:textId="77777777" w:rsidR="004504F0" w:rsidRPr="000232B5" w:rsidRDefault="004504F0" w:rsidP="004504F0">
      <w:pPr>
        <w:spacing w:line="360" w:lineRule="auto"/>
        <w:ind w:firstLine="709"/>
        <w:jc w:val="both"/>
        <w:rPr>
          <w:rFonts w:ascii="Arial" w:hAnsi="Arial" w:cs="Arial"/>
        </w:rPr>
      </w:pPr>
    </w:p>
    <w:p w14:paraId="63366E46" w14:textId="77777777" w:rsidR="004504F0" w:rsidRPr="000232B5" w:rsidRDefault="004504F0" w:rsidP="000232B5">
      <w:pPr>
        <w:spacing w:line="360" w:lineRule="auto"/>
        <w:jc w:val="both"/>
        <w:rPr>
          <w:rFonts w:ascii="Arial" w:hAnsi="Arial" w:cs="Arial"/>
        </w:rPr>
      </w:pPr>
      <w:r w:rsidRPr="000232B5">
        <w:rPr>
          <w:rFonts w:ascii="Arial" w:hAnsi="Arial" w:cs="Arial"/>
        </w:rPr>
        <w:t xml:space="preserve">Cada uno de los clústeres y sus artículos respectivos se detallan en la tabla 6: </w:t>
      </w:r>
    </w:p>
    <w:p w14:paraId="09598A9F" w14:textId="4AA08144" w:rsidR="00B653F4" w:rsidRDefault="00B653F4" w:rsidP="004504F0">
      <w:pPr>
        <w:spacing w:line="360" w:lineRule="auto"/>
        <w:jc w:val="center"/>
        <w:rPr>
          <w:rFonts w:cstheme="minorHAnsi"/>
          <w:b/>
          <w:bCs/>
        </w:rPr>
      </w:pPr>
    </w:p>
    <w:p w14:paraId="70D15B65" w14:textId="77777777" w:rsidR="00B32B9A" w:rsidRDefault="00B32B9A" w:rsidP="004504F0">
      <w:pPr>
        <w:spacing w:line="360" w:lineRule="auto"/>
        <w:jc w:val="center"/>
        <w:rPr>
          <w:rFonts w:ascii="Arial" w:hAnsi="Arial" w:cs="Arial"/>
          <w:b/>
          <w:bCs/>
          <w:sz w:val="20"/>
          <w:szCs w:val="20"/>
        </w:rPr>
      </w:pPr>
    </w:p>
    <w:p w14:paraId="1F6E6470" w14:textId="32B1FA05" w:rsidR="00E33540" w:rsidRDefault="004504F0" w:rsidP="004504F0">
      <w:pPr>
        <w:spacing w:line="360" w:lineRule="auto"/>
        <w:jc w:val="center"/>
        <w:rPr>
          <w:rFonts w:ascii="Arial" w:hAnsi="Arial" w:cs="Arial"/>
          <w:b/>
          <w:bCs/>
          <w:sz w:val="20"/>
          <w:szCs w:val="20"/>
        </w:rPr>
      </w:pPr>
      <w:r w:rsidRPr="005900C6">
        <w:rPr>
          <w:rFonts w:ascii="Arial" w:hAnsi="Arial" w:cs="Arial"/>
          <w:b/>
          <w:bCs/>
          <w:sz w:val="20"/>
          <w:szCs w:val="20"/>
        </w:rPr>
        <w:lastRenderedPageBreak/>
        <w:t xml:space="preserve">Tabla </w:t>
      </w:r>
      <w:r w:rsidR="0064609D">
        <w:rPr>
          <w:rFonts w:ascii="Arial" w:hAnsi="Arial" w:cs="Arial"/>
          <w:b/>
          <w:bCs/>
          <w:sz w:val="20"/>
          <w:szCs w:val="20"/>
        </w:rPr>
        <w:t>7</w:t>
      </w:r>
      <w:r w:rsidRPr="005900C6">
        <w:rPr>
          <w:rFonts w:ascii="Arial" w:hAnsi="Arial" w:cs="Arial"/>
          <w:b/>
          <w:bCs/>
          <w:sz w:val="20"/>
          <w:szCs w:val="20"/>
        </w:rPr>
        <w:t>. Clústeres de la red de acoplamiento bibliográfico por documento</w:t>
      </w:r>
    </w:p>
    <w:p w14:paraId="56A5B1F5" w14:textId="6593BD38" w:rsidR="00E44AAA" w:rsidRDefault="00E44AAA" w:rsidP="004504F0">
      <w:pPr>
        <w:spacing w:line="360" w:lineRule="auto"/>
        <w:jc w:val="center"/>
        <w:rPr>
          <w:rFonts w:ascii="Arial" w:hAnsi="Arial" w:cs="Arial"/>
          <w:color w:val="222222"/>
          <w:sz w:val="20"/>
          <w:szCs w:val="20"/>
          <w:shd w:val="clear" w:color="auto" w:fill="FFFFFF"/>
        </w:rPr>
      </w:pPr>
    </w:p>
    <w:tbl>
      <w:tblPr>
        <w:tblW w:w="10103" w:type="dxa"/>
        <w:tblCellMar>
          <w:left w:w="70" w:type="dxa"/>
          <w:right w:w="70" w:type="dxa"/>
        </w:tblCellMar>
        <w:tblLook w:val="04A0" w:firstRow="1" w:lastRow="0" w:firstColumn="1" w:lastColumn="0" w:noHBand="0" w:noVBand="1"/>
      </w:tblPr>
      <w:tblGrid>
        <w:gridCol w:w="2100"/>
        <w:gridCol w:w="2063"/>
        <w:gridCol w:w="2340"/>
        <w:gridCol w:w="1791"/>
        <w:gridCol w:w="1809"/>
      </w:tblGrid>
      <w:tr w:rsidR="00AD1D1B" w:rsidRPr="00FD1CE6" w14:paraId="2FAE908F" w14:textId="77777777" w:rsidTr="00432FDC">
        <w:trPr>
          <w:trHeight w:val="300"/>
        </w:trPr>
        <w:tc>
          <w:tcPr>
            <w:tcW w:w="2100" w:type="dxa"/>
            <w:tcBorders>
              <w:top w:val="single" w:sz="4" w:space="0" w:color="auto"/>
              <w:left w:val="nil"/>
              <w:bottom w:val="single" w:sz="4" w:space="0" w:color="auto"/>
              <w:right w:val="nil"/>
            </w:tcBorders>
            <w:shd w:val="clear" w:color="auto" w:fill="auto"/>
            <w:noWrap/>
            <w:vAlign w:val="bottom"/>
            <w:hideMark/>
          </w:tcPr>
          <w:p w14:paraId="091F056B" w14:textId="77777777" w:rsidR="00AD1D1B" w:rsidRPr="00FD1CE6" w:rsidRDefault="00AD1D1B" w:rsidP="002F047C">
            <w:pPr>
              <w:ind w:firstLine="709"/>
              <w:jc w:val="center"/>
              <w:rPr>
                <w:rFonts w:cstheme="minorHAnsi"/>
                <w:b/>
                <w:bCs/>
                <w:color w:val="000000"/>
                <w:lang w:eastAsia="es-CO"/>
              </w:rPr>
            </w:pPr>
            <w:proofErr w:type="spellStart"/>
            <w:r w:rsidRPr="00FD1CE6">
              <w:rPr>
                <w:rFonts w:cstheme="minorHAnsi"/>
                <w:b/>
                <w:bCs/>
                <w:color w:val="000000"/>
                <w:lang w:eastAsia="es-CO"/>
              </w:rPr>
              <w:t>Cluster</w:t>
            </w:r>
            <w:proofErr w:type="spellEnd"/>
            <w:r w:rsidRPr="00FD1CE6">
              <w:rPr>
                <w:rFonts w:cstheme="minorHAnsi"/>
                <w:b/>
                <w:bCs/>
                <w:color w:val="000000"/>
                <w:lang w:eastAsia="es-CO"/>
              </w:rPr>
              <w:t xml:space="preserve"> 1</w:t>
            </w:r>
          </w:p>
        </w:tc>
        <w:tc>
          <w:tcPr>
            <w:tcW w:w="2063" w:type="dxa"/>
            <w:tcBorders>
              <w:top w:val="single" w:sz="4" w:space="0" w:color="auto"/>
              <w:left w:val="nil"/>
              <w:bottom w:val="single" w:sz="4" w:space="0" w:color="auto"/>
              <w:right w:val="nil"/>
            </w:tcBorders>
            <w:shd w:val="clear" w:color="auto" w:fill="auto"/>
            <w:noWrap/>
            <w:vAlign w:val="bottom"/>
            <w:hideMark/>
          </w:tcPr>
          <w:p w14:paraId="061FA0AF" w14:textId="77777777" w:rsidR="00AD1D1B" w:rsidRPr="00FD1CE6" w:rsidRDefault="00AD1D1B" w:rsidP="002F047C">
            <w:pPr>
              <w:ind w:firstLine="709"/>
              <w:jc w:val="center"/>
              <w:rPr>
                <w:rFonts w:cstheme="minorHAnsi"/>
                <w:b/>
                <w:bCs/>
                <w:color w:val="000000"/>
                <w:lang w:eastAsia="es-CO"/>
              </w:rPr>
            </w:pPr>
            <w:proofErr w:type="spellStart"/>
            <w:r w:rsidRPr="00FD1CE6">
              <w:rPr>
                <w:rFonts w:cstheme="minorHAnsi"/>
                <w:b/>
                <w:bCs/>
                <w:color w:val="000000"/>
                <w:lang w:eastAsia="es-CO"/>
              </w:rPr>
              <w:t>Cluster</w:t>
            </w:r>
            <w:proofErr w:type="spellEnd"/>
            <w:r w:rsidRPr="00FD1CE6">
              <w:rPr>
                <w:rFonts w:cstheme="minorHAnsi"/>
                <w:b/>
                <w:bCs/>
                <w:color w:val="000000"/>
                <w:lang w:eastAsia="es-CO"/>
              </w:rPr>
              <w:t xml:space="preserve"> 2</w:t>
            </w:r>
          </w:p>
        </w:tc>
        <w:tc>
          <w:tcPr>
            <w:tcW w:w="2340" w:type="dxa"/>
            <w:tcBorders>
              <w:top w:val="single" w:sz="4" w:space="0" w:color="auto"/>
              <w:left w:val="nil"/>
              <w:bottom w:val="single" w:sz="4" w:space="0" w:color="auto"/>
              <w:right w:val="nil"/>
            </w:tcBorders>
            <w:shd w:val="clear" w:color="auto" w:fill="auto"/>
            <w:noWrap/>
            <w:vAlign w:val="bottom"/>
            <w:hideMark/>
          </w:tcPr>
          <w:p w14:paraId="0663FFA4" w14:textId="77777777" w:rsidR="00AD1D1B" w:rsidRPr="00FD1CE6" w:rsidRDefault="00AD1D1B" w:rsidP="002F047C">
            <w:pPr>
              <w:ind w:firstLine="709"/>
              <w:jc w:val="center"/>
              <w:rPr>
                <w:rFonts w:cstheme="minorHAnsi"/>
                <w:b/>
                <w:bCs/>
                <w:color w:val="000000"/>
                <w:lang w:eastAsia="es-CO"/>
              </w:rPr>
            </w:pPr>
            <w:proofErr w:type="spellStart"/>
            <w:r w:rsidRPr="00FD1CE6">
              <w:rPr>
                <w:rFonts w:cstheme="minorHAnsi"/>
                <w:b/>
                <w:bCs/>
                <w:color w:val="000000"/>
                <w:lang w:eastAsia="es-CO"/>
              </w:rPr>
              <w:t>Cluster</w:t>
            </w:r>
            <w:proofErr w:type="spellEnd"/>
            <w:r w:rsidRPr="00FD1CE6">
              <w:rPr>
                <w:rFonts w:cstheme="minorHAnsi"/>
                <w:b/>
                <w:bCs/>
                <w:color w:val="000000"/>
                <w:lang w:eastAsia="es-CO"/>
              </w:rPr>
              <w:t xml:space="preserve"> 3</w:t>
            </w:r>
          </w:p>
        </w:tc>
        <w:tc>
          <w:tcPr>
            <w:tcW w:w="1791" w:type="dxa"/>
            <w:tcBorders>
              <w:top w:val="single" w:sz="4" w:space="0" w:color="auto"/>
              <w:left w:val="nil"/>
              <w:bottom w:val="single" w:sz="4" w:space="0" w:color="auto"/>
              <w:right w:val="nil"/>
            </w:tcBorders>
            <w:shd w:val="clear" w:color="auto" w:fill="auto"/>
            <w:noWrap/>
            <w:vAlign w:val="bottom"/>
            <w:hideMark/>
          </w:tcPr>
          <w:p w14:paraId="4552F48B" w14:textId="77777777" w:rsidR="00AD1D1B" w:rsidRPr="00FD1CE6" w:rsidRDefault="00AD1D1B" w:rsidP="002F047C">
            <w:pPr>
              <w:ind w:firstLine="709"/>
              <w:jc w:val="center"/>
              <w:rPr>
                <w:rFonts w:cstheme="minorHAnsi"/>
                <w:b/>
                <w:bCs/>
                <w:color w:val="000000"/>
                <w:lang w:eastAsia="es-CO"/>
              </w:rPr>
            </w:pPr>
            <w:proofErr w:type="spellStart"/>
            <w:r w:rsidRPr="00FD1CE6">
              <w:rPr>
                <w:rFonts w:cstheme="minorHAnsi"/>
                <w:b/>
                <w:bCs/>
                <w:color w:val="000000"/>
                <w:lang w:eastAsia="es-CO"/>
              </w:rPr>
              <w:t>Cluster</w:t>
            </w:r>
            <w:proofErr w:type="spellEnd"/>
            <w:r w:rsidRPr="00FD1CE6">
              <w:rPr>
                <w:rFonts w:cstheme="minorHAnsi"/>
                <w:b/>
                <w:bCs/>
                <w:color w:val="000000"/>
                <w:lang w:eastAsia="es-CO"/>
              </w:rPr>
              <w:t xml:space="preserve"> 4</w:t>
            </w:r>
          </w:p>
        </w:tc>
        <w:tc>
          <w:tcPr>
            <w:tcW w:w="1809" w:type="dxa"/>
            <w:tcBorders>
              <w:top w:val="single" w:sz="4" w:space="0" w:color="auto"/>
              <w:left w:val="nil"/>
              <w:bottom w:val="single" w:sz="4" w:space="0" w:color="auto"/>
              <w:right w:val="nil"/>
            </w:tcBorders>
            <w:shd w:val="clear" w:color="auto" w:fill="auto"/>
            <w:noWrap/>
            <w:vAlign w:val="bottom"/>
            <w:hideMark/>
          </w:tcPr>
          <w:p w14:paraId="1A7C5AA8" w14:textId="77777777" w:rsidR="00AD1D1B" w:rsidRPr="00FD1CE6" w:rsidRDefault="00AD1D1B" w:rsidP="002F047C">
            <w:pPr>
              <w:ind w:firstLine="709"/>
              <w:jc w:val="center"/>
              <w:rPr>
                <w:rFonts w:cstheme="minorHAnsi"/>
                <w:b/>
                <w:bCs/>
                <w:color w:val="000000"/>
                <w:lang w:eastAsia="es-CO"/>
              </w:rPr>
            </w:pPr>
            <w:proofErr w:type="spellStart"/>
            <w:r w:rsidRPr="00FD1CE6">
              <w:rPr>
                <w:rFonts w:cstheme="minorHAnsi"/>
                <w:b/>
                <w:bCs/>
                <w:color w:val="000000"/>
                <w:lang w:eastAsia="es-CO"/>
              </w:rPr>
              <w:t>Cluster</w:t>
            </w:r>
            <w:proofErr w:type="spellEnd"/>
            <w:r w:rsidRPr="00FD1CE6">
              <w:rPr>
                <w:rFonts w:cstheme="minorHAnsi"/>
                <w:b/>
                <w:bCs/>
                <w:color w:val="000000"/>
                <w:lang w:eastAsia="es-CO"/>
              </w:rPr>
              <w:t xml:space="preserve"> 5</w:t>
            </w:r>
          </w:p>
        </w:tc>
      </w:tr>
      <w:tr w:rsidR="00AD1D1B" w:rsidRPr="00FD1CE6" w14:paraId="605772EC" w14:textId="77777777" w:rsidTr="00432FDC">
        <w:trPr>
          <w:trHeight w:val="300"/>
        </w:trPr>
        <w:tc>
          <w:tcPr>
            <w:tcW w:w="2100" w:type="dxa"/>
            <w:tcBorders>
              <w:top w:val="nil"/>
              <w:left w:val="nil"/>
              <w:bottom w:val="nil"/>
              <w:right w:val="nil"/>
            </w:tcBorders>
            <w:shd w:val="clear" w:color="auto" w:fill="auto"/>
            <w:noWrap/>
            <w:vAlign w:val="bottom"/>
            <w:hideMark/>
          </w:tcPr>
          <w:p w14:paraId="56EC9A43"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Buendía (2021a)</w:t>
            </w:r>
          </w:p>
        </w:tc>
        <w:tc>
          <w:tcPr>
            <w:tcW w:w="2063" w:type="dxa"/>
            <w:tcBorders>
              <w:top w:val="nil"/>
              <w:left w:val="nil"/>
              <w:bottom w:val="nil"/>
              <w:right w:val="nil"/>
            </w:tcBorders>
            <w:shd w:val="clear" w:color="auto" w:fill="auto"/>
            <w:noWrap/>
            <w:vAlign w:val="bottom"/>
            <w:hideMark/>
          </w:tcPr>
          <w:p w14:paraId="4DE6CDC9" w14:textId="77777777" w:rsidR="00AD1D1B" w:rsidRPr="00FD1CE6" w:rsidRDefault="00AD1D1B" w:rsidP="002F047C">
            <w:pPr>
              <w:ind w:firstLine="709"/>
              <w:rPr>
                <w:rFonts w:cstheme="minorHAnsi"/>
                <w:color w:val="000000"/>
                <w:lang w:eastAsia="es-CO"/>
              </w:rPr>
            </w:pPr>
            <w:proofErr w:type="spellStart"/>
            <w:r w:rsidRPr="00FD1CE6">
              <w:rPr>
                <w:rFonts w:cstheme="minorHAnsi"/>
                <w:color w:val="000000"/>
                <w:lang w:eastAsia="es-CO"/>
              </w:rPr>
              <w:t>Augustovski</w:t>
            </w:r>
            <w:proofErr w:type="spellEnd"/>
            <w:r w:rsidRPr="00FD1CE6">
              <w:rPr>
                <w:rFonts w:cstheme="minorHAnsi"/>
                <w:color w:val="000000"/>
                <w:lang w:eastAsia="es-CO"/>
              </w:rPr>
              <w:t xml:space="preserve"> (2009)</w:t>
            </w:r>
          </w:p>
        </w:tc>
        <w:tc>
          <w:tcPr>
            <w:tcW w:w="2340" w:type="dxa"/>
            <w:tcBorders>
              <w:top w:val="nil"/>
              <w:left w:val="nil"/>
              <w:bottom w:val="nil"/>
              <w:right w:val="nil"/>
            </w:tcBorders>
            <w:shd w:val="clear" w:color="auto" w:fill="auto"/>
            <w:noWrap/>
            <w:vAlign w:val="bottom"/>
            <w:hideMark/>
          </w:tcPr>
          <w:p w14:paraId="2A7182DE"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Rodriguez-Martinez (2020a)</w:t>
            </w:r>
          </w:p>
        </w:tc>
        <w:tc>
          <w:tcPr>
            <w:tcW w:w="1791" w:type="dxa"/>
            <w:tcBorders>
              <w:top w:val="nil"/>
              <w:left w:val="nil"/>
              <w:bottom w:val="nil"/>
              <w:right w:val="nil"/>
            </w:tcBorders>
            <w:shd w:val="clear" w:color="auto" w:fill="auto"/>
            <w:noWrap/>
            <w:vAlign w:val="bottom"/>
            <w:hideMark/>
          </w:tcPr>
          <w:p w14:paraId="5FB6593C" w14:textId="77777777" w:rsidR="00AD1D1B" w:rsidRPr="00FD1CE6" w:rsidRDefault="00AD1D1B" w:rsidP="002F047C">
            <w:pPr>
              <w:ind w:firstLine="709"/>
              <w:rPr>
                <w:rFonts w:cstheme="minorHAnsi"/>
                <w:color w:val="000000"/>
                <w:lang w:eastAsia="es-CO"/>
              </w:rPr>
            </w:pPr>
            <w:proofErr w:type="spellStart"/>
            <w:r w:rsidRPr="00FD1CE6">
              <w:rPr>
                <w:rFonts w:cstheme="minorHAnsi"/>
                <w:color w:val="000000"/>
                <w:lang w:eastAsia="es-CO"/>
              </w:rPr>
              <w:t>Goldie</w:t>
            </w:r>
            <w:proofErr w:type="spellEnd"/>
            <w:r w:rsidRPr="00FD1CE6">
              <w:rPr>
                <w:rFonts w:cstheme="minorHAnsi"/>
                <w:color w:val="000000"/>
                <w:lang w:eastAsia="es-CO"/>
              </w:rPr>
              <w:t xml:space="preserve"> (2008)</w:t>
            </w:r>
          </w:p>
        </w:tc>
        <w:tc>
          <w:tcPr>
            <w:tcW w:w="1809" w:type="dxa"/>
            <w:tcBorders>
              <w:top w:val="nil"/>
              <w:left w:val="nil"/>
              <w:bottom w:val="nil"/>
              <w:right w:val="nil"/>
            </w:tcBorders>
            <w:shd w:val="clear" w:color="auto" w:fill="auto"/>
            <w:noWrap/>
            <w:vAlign w:val="bottom"/>
            <w:hideMark/>
          </w:tcPr>
          <w:p w14:paraId="718A43C9"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Fajardo (2011)</w:t>
            </w:r>
          </w:p>
        </w:tc>
      </w:tr>
      <w:tr w:rsidR="00AD1D1B" w:rsidRPr="00FD1CE6" w14:paraId="1CDE1FED" w14:textId="77777777" w:rsidTr="00432FDC">
        <w:trPr>
          <w:trHeight w:val="300"/>
        </w:trPr>
        <w:tc>
          <w:tcPr>
            <w:tcW w:w="2100" w:type="dxa"/>
            <w:tcBorders>
              <w:top w:val="nil"/>
              <w:left w:val="nil"/>
              <w:bottom w:val="nil"/>
              <w:right w:val="nil"/>
            </w:tcBorders>
            <w:shd w:val="clear" w:color="auto" w:fill="auto"/>
            <w:noWrap/>
            <w:vAlign w:val="bottom"/>
            <w:hideMark/>
          </w:tcPr>
          <w:p w14:paraId="15E0C026"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Buendía (2021b)</w:t>
            </w:r>
          </w:p>
        </w:tc>
        <w:tc>
          <w:tcPr>
            <w:tcW w:w="2063" w:type="dxa"/>
            <w:tcBorders>
              <w:top w:val="nil"/>
              <w:left w:val="nil"/>
              <w:bottom w:val="nil"/>
              <w:right w:val="nil"/>
            </w:tcBorders>
            <w:shd w:val="clear" w:color="auto" w:fill="auto"/>
            <w:noWrap/>
            <w:vAlign w:val="bottom"/>
            <w:hideMark/>
          </w:tcPr>
          <w:p w14:paraId="6A38214F"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Machado (2006)</w:t>
            </w:r>
          </w:p>
        </w:tc>
        <w:tc>
          <w:tcPr>
            <w:tcW w:w="2340" w:type="dxa"/>
            <w:tcBorders>
              <w:top w:val="nil"/>
              <w:left w:val="nil"/>
              <w:bottom w:val="nil"/>
              <w:right w:val="nil"/>
            </w:tcBorders>
            <w:shd w:val="clear" w:color="auto" w:fill="auto"/>
            <w:noWrap/>
            <w:vAlign w:val="bottom"/>
            <w:hideMark/>
          </w:tcPr>
          <w:p w14:paraId="0662B3B0"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Rodriguez-Martinez (2020b)</w:t>
            </w:r>
          </w:p>
        </w:tc>
        <w:tc>
          <w:tcPr>
            <w:tcW w:w="1791" w:type="dxa"/>
            <w:tcBorders>
              <w:top w:val="nil"/>
              <w:left w:val="nil"/>
              <w:bottom w:val="nil"/>
              <w:right w:val="nil"/>
            </w:tcBorders>
            <w:shd w:val="clear" w:color="auto" w:fill="auto"/>
            <w:noWrap/>
            <w:vAlign w:val="bottom"/>
            <w:hideMark/>
          </w:tcPr>
          <w:p w14:paraId="13940E34"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Alvis-</w:t>
            </w:r>
            <w:proofErr w:type="spellStart"/>
            <w:r w:rsidRPr="00FD1CE6">
              <w:rPr>
                <w:rFonts w:cstheme="minorHAnsi"/>
                <w:color w:val="000000"/>
                <w:lang w:eastAsia="es-CO"/>
              </w:rPr>
              <w:t>Guzman</w:t>
            </w:r>
            <w:proofErr w:type="spellEnd"/>
            <w:r w:rsidRPr="00FD1CE6">
              <w:rPr>
                <w:rFonts w:cstheme="minorHAnsi"/>
                <w:color w:val="000000"/>
                <w:lang w:eastAsia="es-CO"/>
              </w:rPr>
              <w:t xml:space="preserve"> (2013)</w:t>
            </w:r>
          </w:p>
        </w:tc>
        <w:tc>
          <w:tcPr>
            <w:tcW w:w="1809" w:type="dxa"/>
            <w:tcBorders>
              <w:top w:val="nil"/>
              <w:left w:val="nil"/>
              <w:bottom w:val="nil"/>
              <w:right w:val="nil"/>
            </w:tcBorders>
            <w:shd w:val="clear" w:color="auto" w:fill="auto"/>
            <w:noWrap/>
            <w:vAlign w:val="bottom"/>
            <w:hideMark/>
          </w:tcPr>
          <w:p w14:paraId="31F19B43"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Atehortúa (2013)</w:t>
            </w:r>
          </w:p>
        </w:tc>
      </w:tr>
      <w:tr w:rsidR="00AD1D1B" w:rsidRPr="00FD1CE6" w14:paraId="2472E9EF" w14:textId="77777777" w:rsidTr="00432FDC">
        <w:trPr>
          <w:trHeight w:val="300"/>
        </w:trPr>
        <w:tc>
          <w:tcPr>
            <w:tcW w:w="2100" w:type="dxa"/>
            <w:tcBorders>
              <w:top w:val="nil"/>
              <w:left w:val="nil"/>
              <w:bottom w:val="nil"/>
              <w:right w:val="nil"/>
            </w:tcBorders>
            <w:shd w:val="clear" w:color="auto" w:fill="auto"/>
            <w:noWrap/>
            <w:vAlign w:val="bottom"/>
            <w:hideMark/>
          </w:tcPr>
          <w:p w14:paraId="107B7E9F"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Antonio Buendía (2022)</w:t>
            </w:r>
          </w:p>
        </w:tc>
        <w:tc>
          <w:tcPr>
            <w:tcW w:w="2063" w:type="dxa"/>
            <w:tcBorders>
              <w:top w:val="nil"/>
              <w:left w:val="nil"/>
              <w:bottom w:val="nil"/>
              <w:right w:val="nil"/>
            </w:tcBorders>
            <w:shd w:val="clear" w:color="auto" w:fill="auto"/>
            <w:noWrap/>
            <w:vAlign w:val="bottom"/>
            <w:hideMark/>
          </w:tcPr>
          <w:p w14:paraId="6CB56417"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Morales (2004)</w:t>
            </w:r>
          </w:p>
        </w:tc>
        <w:tc>
          <w:tcPr>
            <w:tcW w:w="2340" w:type="dxa"/>
            <w:tcBorders>
              <w:top w:val="nil"/>
              <w:left w:val="nil"/>
              <w:bottom w:val="nil"/>
              <w:right w:val="nil"/>
            </w:tcBorders>
            <w:shd w:val="clear" w:color="auto" w:fill="auto"/>
            <w:noWrap/>
            <w:vAlign w:val="bottom"/>
            <w:hideMark/>
          </w:tcPr>
          <w:p w14:paraId="05CDA764"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Rodriguez-Martinez (2019)</w:t>
            </w:r>
          </w:p>
        </w:tc>
        <w:tc>
          <w:tcPr>
            <w:tcW w:w="1791" w:type="dxa"/>
            <w:tcBorders>
              <w:top w:val="nil"/>
              <w:left w:val="nil"/>
              <w:bottom w:val="nil"/>
              <w:right w:val="nil"/>
            </w:tcBorders>
            <w:shd w:val="clear" w:color="auto" w:fill="auto"/>
            <w:noWrap/>
            <w:vAlign w:val="bottom"/>
            <w:hideMark/>
          </w:tcPr>
          <w:p w14:paraId="3D9B637F"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Muñoz (2008)</w:t>
            </w:r>
          </w:p>
        </w:tc>
        <w:tc>
          <w:tcPr>
            <w:tcW w:w="1809" w:type="dxa"/>
            <w:tcBorders>
              <w:top w:val="nil"/>
              <w:left w:val="nil"/>
              <w:bottom w:val="nil"/>
              <w:right w:val="nil"/>
            </w:tcBorders>
            <w:shd w:val="clear" w:color="auto" w:fill="auto"/>
            <w:noWrap/>
            <w:vAlign w:val="bottom"/>
            <w:hideMark/>
          </w:tcPr>
          <w:p w14:paraId="0D44D382" w14:textId="77777777" w:rsidR="00AD1D1B" w:rsidRPr="00FD1CE6" w:rsidRDefault="00AD1D1B" w:rsidP="002F047C">
            <w:pPr>
              <w:ind w:firstLine="709"/>
              <w:rPr>
                <w:rFonts w:cstheme="minorHAnsi"/>
                <w:color w:val="000000"/>
                <w:lang w:eastAsia="es-CO"/>
              </w:rPr>
            </w:pPr>
          </w:p>
        </w:tc>
      </w:tr>
      <w:tr w:rsidR="00AD1D1B" w:rsidRPr="00FD1CE6" w14:paraId="2B9FA44F" w14:textId="77777777" w:rsidTr="00432FDC">
        <w:trPr>
          <w:trHeight w:val="300"/>
        </w:trPr>
        <w:tc>
          <w:tcPr>
            <w:tcW w:w="2100" w:type="dxa"/>
            <w:tcBorders>
              <w:top w:val="nil"/>
              <w:left w:val="nil"/>
              <w:bottom w:val="nil"/>
              <w:right w:val="nil"/>
            </w:tcBorders>
            <w:shd w:val="clear" w:color="auto" w:fill="auto"/>
            <w:noWrap/>
            <w:vAlign w:val="bottom"/>
            <w:hideMark/>
          </w:tcPr>
          <w:p w14:paraId="67854924"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Jefferson Antonio (2022)</w:t>
            </w:r>
          </w:p>
        </w:tc>
        <w:tc>
          <w:tcPr>
            <w:tcW w:w="2063" w:type="dxa"/>
            <w:tcBorders>
              <w:top w:val="nil"/>
              <w:left w:val="nil"/>
              <w:bottom w:val="nil"/>
              <w:right w:val="nil"/>
            </w:tcBorders>
            <w:shd w:val="clear" w:color="auto" w:fill="auto"/>
            <w:noWrap/>
            <w:vAlign w:val="bottom"/>
            <w:hideMark/>
          </w:tcPr>
          <w:p w14:paraId="7F53E9AD" w14:textId="77777777" w:rsidR="00AD1D1B" w:rsidRPr="00FD1CE6" w:rsidRDefault="00AD1D1B" w:rsidP="002F047C">
            <w:pPr>
              <w:ind w:firstLine="709"/>
              <w:rPr>
                <w:rFonts w:cstheme="minorHAnsi"/>
                <w:color w:val="000000"/>
                <w:lang w:eastAsia="es-CO"/>
              </w:rPr>
            </w:pPr>
            <w:proofErr w:type="spellStart"/>
            <w:r w:rsidRPr="00FD1CE6">
              <w:rPr>
                <w:rFonts w:cstheme="minorHAnsi"/>
                <w:color w:val="000000"/>
                <w:lang w:eastAsia="es-CO"/>
              </w:rPr>
              <w:t>Pichon-Riviere</w:t>
            </w:r>
            <w:proofErr w:type="spellEnd"/>
            <w:r w:rsidRPr="00FD1CE6">
              <w:rPr>
                <w:rFonts w:cstheme="minorHAnsi"/>
                <w:color w:val="000000"/>
                <w:lang w:eastAsia="es-CO"/>
              </w:rPr>
              <w:t xml:space="preserve"> (2012)</w:t>
            </w:r>
          </w:p>
        </w:tc>
        <w:tc>
          <w:tcPr>
            <w:tcW w:w="2340" w:type="dxa"/>
            <w:tcBorders>
              <w:top w:val="nil"/>
              <w:left w:val="nil"/>
              <w:bottom w:val="nil"/>
              <w:right w:val="nil"/>
            </w:tcBorders>
            <w:shd w:val="clear" w:color="auto" w:fill="auto"/>
            <w:noWrap/>
            <w:vAlign w:val="bottom"/>
            <w:hideMark/>
          </w:tcPr>
          <w:p w14:paraId="51389EDD" w14:textId="77777777" w:rsidR="00AD1D1B" w:rsidRPr="00FD1CE6" w:rsidRDefault="00AD1D1B" w:rsidP="002F047C">
            <w:pPr>
              <w:ind w:firstLine="709"/>
              <w:rPr>
                <w:rFonts w:cstheme="minorHAnsi"/>
                <w:color w:val="000000"/>
                <w:lang w:eastAsia="es-CO"/>
              </w:rPr>
            </w:pPr>
          </w:p>
        </w:tc>
        <w:tc>
          <w:tcPr>
            <w:tcW w:w="1791" w:type="dxa"/>
            <w:tcBorders>
              <w:top w:val="nil"/>
              <w:left w:val="nil"/>
              <w:bottom w:val="nil"/>
              <w:right w:val="nil"/>
            </w:tcBorders>
            <w:shd w:val="clear" w:color="auto" w:fill="auto"/>
            <w:noWrap/>
            <w:vAlign w:val="bottom"/>
            <w:hideMark/>
          </w:tcPr>
          <w:p w14:paraId="0433586F" w14:textId="77777777" w:rsidR="00AD1D1B" w:rsidRPr="00FD1CE6" w:rsidRDefault="00AD1D1B" w:rsidP="002F047C">
            <w:pPr>
              <w:ind w:firstLine="709"/>
              <w:rPr>
                <w:rFonts w:cstheme="minorHAnsi"/>
                <w:lang w:eastAsia="es-CO"/>
              </w:rPr>
            </w:pPr>
          </w:p>
        </w:tc>
        <w:tc>
          <w:tcPr>
            <w:tcW w:w="1809" w:type="dxa"/>
            <w:tcBorders>
              <w:top w:val="nil"/>
              <w:left w:val="nil"/>
              <w:bottom w:val="nil"/>
              <w:right w:val="nil"/>
            </w:tcBorders>
            <w:shd w:val="clear" w:color="auto" w:fill="auto"/>
            <w:noWrap/>
            <w:vAlign w:val="bottom"/>
            <w:hideMark/>
          </w:tcPr>
          <w:p w14:paraId="40D44D20" w14:textId="77777777" w:rsidR="00AD1D1B" w:rsidRPr="00FD1CE6" w:rsidRDefault="00AD1D1B" w:rsidP="002F047C">
            <w:pPr>
              <w:ind w:firstLine="709"/>
              <w:rPr>
                <w:rFonts w:cstheme="minorHAnsi"/>
                <w:lang w:eastAsia="es-CO"/>
              </w:rPr>
            </w:pPr>
          </w:p>
        </w:tc>
      </w:tr>
      <w:tr w:rsidR="00AD1D1B" w:rsidRPr="00FD1CE6" w14:paraId="474FBDEA" w14:textId="77777777" w:rsidTr="00432FDC">
        <w:trPr>
          <w:trHeight w:val="300"/>
        </w:trPr>
        <w:tc>
          <w:tcPr>
            <w:tcW w:w="2100" w:type="dxa"/>
            <w:tcBorders>
              <w:top w:val="nil"/>
              <w:left w:val="nil"/>
              <w:bottom w:val="single" w:sz="4" w:space="0" w:color="auto"/>
              <w:right w:val="nil"/>
            </w:tcBorders>
            <w:shd w:val="clear" w:color="auto" w:fill="auto"/>
            <w:noWrap/>
            <w:vAlign w:val="bottom"/>
            <w:hideMark/>
          </w:tcPr>
          <w:p w14:paraId="266F42D1" w14:textId="77777777" w:rsidR="00AD1D1B" w:rsidRPr="00FD1CE6" w:rsidRDefault="00AD1D1B" w:rsidP="002F047C">
            <w:pPr>
              <w:ind w:firstLine="709"/>
              <w:rPr>
                <w:rFonts w:cstheme="minorHAnsi"/>
                <w:color w:val="000000"/>
                <w:lang w:eastAsia="es-CO"/>
              </w:rPr>
            </w:pPr>
            <w:proofErr w:type="spellStart"/>
            <w:r w:rsidRPr="00FD1CE6">
              <w:rPr>
                <w:rFonts w:cstheme="minorHAnsi"/>
                <w:color w:val="000000"/>
                <w:lang w:eastAsia="es-CO"/>
              </w:rPr>
              <w:t>Buendia</w:t>
            </w:r>
            <w:proofErr w:type="spellEnd"/>
            <w:r w:rsidRPr="00FD1CE6">
              <w:rPr>
                <w:rFonts w:cstheme="minorHAnsi"/>
                <w:color w:val="000000"/>
                <w:lang w:eastAsia="es-CO"/>
              </w:rPr>
              <w:t xml:space="preserve"> (2020)</w:t>
            </w:r>
          </w:p>
        </w:tc>
        <w:tc>
          <w:tcPr>
            <w:tcW w:w="2063" w:type="dxa"/>
            <w:tcBorders>
              <w:top w:val="nil"/>
              <w:left w:val="nil"/>
              <w:bottom w:val="single" w:sz="4" w:space="0" w:color="auto"/>
              <w:right w:val="nil"/>
            </w:tcBorders>
            <w:shd w:val="clear" w:color="auto" w:fill="auto"/>
            <w:noWrap/>
            <w:vAlign w:val="bottom"/>
            <w:hideMark/>
          </w:tcPr>
          <w:p w14:paraId="156316C8"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 </w:t>
            </w:r>
          </w:p>
        </w:tc>
        <w:tc>
          <w:tcPr>
            <w:tcW w:w="2340" w:type="dxa"/>
            <w:tcBorders>
              <w:top w:val="nil"/>
              <w:left w:val="nil"/>
              <w:bottom w:val="single" w:sz="4" w:space="0" w:color="auto"/>
              <w:right w:val="nil"/>
            </w:tcBorders>
            <w:shd w:val="clear" w:color="auto" w:fill="auto"/>
            <w:noWrap/>
            <w:vAlign w:val="bottom"/>
            <w:hideMark/>
          </w:tcPr>
          <w:p w14:paraId="156DBBBE"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 </w:t>
            </w:r>
          </w:p>
        </w:tc>
        <w:tc>
          <w:tcPr>
            <w:tcW w:w="1791" w:type="dxa"/>
            <w:tcBorders>
              <w:top w:val="nil"/>
              <w:left w:val="nil"/>
              <w:bottom w:val="single" w:sz="4" w:space="0" w:color="auto"/>
              <w:right w:val="nil"/>
            </w:tcBorders>
            <w:shd w:val="clear" w:color="auto" w:fill="auto"/>
            <w:noWrap/>
            <w:vAlign w:val="bottom"/>
            <w:hideMark/>
          </w:tcPr>
          <w:p w14:paraId="2DC82DA2"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 </w:t>
            </w:r>
          </w:p>
        </w:tc>
        <w:tc>
          <w:tcPr>
            <w:tcW w:w="1809" w:type="dxa"/>
            <w:tcBorders>
              <w:top w:val="nil"/>
              <w:left w:val="nil"/>
              <w:bottom w:val="single" w:sz="4" w:space="0" w:color="auto"/>
              <w:right w:val="nil"/>
            </w:tcBorders>
            <w:shd w:val="clear" w:color="auto" w:fill="auto"/>
            <w:noWrap/>
            <w:vAlign w:val="bottom"/>
            <w:hideMark/>
          </w:tcPr>
          <w:p w14:paraId="738B6FDF" w14:textId="77777777" w:rsidR="00AD1D1B" w:rsidRPr="00FD1CE6" w:rsidRDefault="00AD1D1B" w:rsidP="002F047C">
            <w:pPr>
              <w:ind w:firstLine="709"/>
              <w:rPr>
                <w:rFonts w:cstheme="minorHAnsi"/>
                <w:color w:val="000000"/>
                <w:lang w:eastAsia="es-CO"/>
              </w:rPr>
            </w:pPr>
            <w:r w:rsidRPr="00FD1CE6">
              <w:rPr>
                <w:rFonts w:cstheme="minorHAnsi"/>
                <w:color w:val="000000"/>
                <w:lang w:eastAsia="es-CO"/>
              </w:rPr>
              <w:t> </w:t>
            </w:r>
          </w:p>
        </w:tc>
      </w:tr>
    </w:tbl>
    <w:p w14:paraId="6C9B6A99" w14:textId="77777777" w:rsidR="00432FDC" w:rsidRPr="00432FDC" w:rsidRDefault="00432FDC" w:rsidP="00432FDC">
      <w:pPr>
        <w:spacing w:line="360" w:lineRule="auto"/>
        <w:ind w:firstLine="709"/>
        <w:jc w:val="center"/>
        <w:rPr>
          <w:rFonts w:ascii="Arial" w:hAnsi="Arial" w:cs="Arial"/>
          <w:sz w:val="20"/>
          <w:szCs w:val="20"/>
        </w:rPr>
      </w:pPr>
      <w:r w:rsidRPr="00432FDC">
        <w:rPr>
          <w:rFonts w:ascii="Arial" w:hAnsi="Arial" w:cs="Arial"/>
          <w:sz w:val="20"/>
          <w:szCs w:val="20"/>
        </w:rPr>
        <w:t xml:space="preserve">Fuente: Elaboración propia en </w:t>
      </w:r>
      <w:proofErr w:type="spellStart"/>
      <w:r w:rsidRPr="00432FDC">
        <w:rPr>
          <w:rFonts w:ascii="Arial" w:hAnsi="Arial" w:cs="Arial"/>
          <w:sz w:val="20"/>
          <w:szCs w:val="20"/>
        </w:rPr>
        <w:t>VOSViewer</w:t>
      </w:r>
      <w:proofErr w:type="spellEnd"/>
      <w:r w:rsidRPr="00432FDC">
        <w:rPr>
          <w:rFonts w:ascii="Arial" w:hAnsi="Arial" w:cs="Arial"/>
          <w:sz w:val="20"/>
          <w:szCs w:val="20"/>
        </w:rPr>
        <w:t xml:space="preserve"> con base en los datos de </w:t>
      </w:r>
      <w:proofErr w:type="spellStart"/>
      <w:r w:rsidRPr="00432FDC">
        <w:rPr>
          <w:rFonts w:ascii="Arial" w:hAnsi="Arial" w:cs="Arial"/>
          <w:sz w:val="20"/>
          <w:szCs w:val="20"/>
        </w:rPr>
        <w:t>Scopus</w:t>
      </w:r>
      <w:proofErr w:type="spellEnd"/>
      <w:r w:rsidRPr="00432FDC">
        <w:rPr>
          <w:rFonts w:ascii="Arial" w:hAnsi="Arial" w:cs="Arial"/>
          <w:sz w:val="20"/>
          <w:szCs w:val="20"/>
        </w:rPr>
        <w:t>, 2024.</w:t>
      </w:r>
    </w:p>
    <w:p w14:paraId="24039A20" w14:textId="77777777" w:rsidR="00432FDC" w:rsidRPr="00432FDC" w:rsidRDefault="00432FDC" w:rsidP="00432FDC">
      <w:pPr>
        <w:spacing w:line="360" w:lineRule="auto"/>
        <w:jc w:val="both"/>
        <w:rPr>
          <w:rFonts w:ascii="Arial" w:hAnsi="Arial" w:cs="Arial"/>
        </w:rPr>
      </w:pPr>
    </w:p>
    <w:p w14:paraId="215560F3" w14:textId="1EC7129F" w:rsidR="00432FDC" w:rsidRPr="004F56C9" w:rsidRDefault="00432FDC" w:rsidP="00432FDC">
      <w:pPr>
        <w:spacing w:line="360" w:lineRule="auto"/>
        <w:jc w:val="both"/>
        <w:rPr>
          <w:rFonts w:ascii="Arial" w:hAnsi="Arial" w:cs="Arial"/>
        </w:rPr>
      </w:pPr>
      <w:r w:rsidRPr="004F56C9">
        <w:rPr>
          <w:rFonts w:ascii="Arial" w:hAnsi="Arial" w:cs="Arial"/>
        </w:rPr>
        <w:t>A continuación, se exploran las áreas de investigación clave en el campo, obtenidas a partir de los clústeres identificados:</w:t>
      </w:r>
    </w:p>
    <w:p w14:paraId="2855C86D" w14:textId="77777777" w:rsidR="00F02930" w:rsidRPr="004F56C9" w:rsidRDefault="00F02930" w:rsidP="00140857">
      <w:pPr>
        <w:spacing w:line="360" w:lineRule="auto"/>
        <w:ind w:firstLine="709"/>
        <w:jc w:val="both"/>
        <w:rPr>
          <w:rFonts w:ascii="Arial" w:hAnsi="Arial" w:cs="Arial"/>
          <w:b/>
          <w:bCs/>
        </w:rPr>
      </w:pPr>
    </w:p>
    <w:p w14:paraId="173AE6FA" w14:textId="2ED34200" w:rsidR="00140857" w:rsidRPr="004F56C9" w:rsidRDefault="00140857" w:rsidP="00D920FA">
      <w:pPr>
        <w:spacing w:line="360" w:lineRule="auto"/>
        <w:jc w:val="both"/>
        <w:rPr>
          <w:rFonts w:ascii="Arial" w:hAnsi="Arial" w:cs="Arial"/>
        </w:rPr>
      </w:pPr>
      <w:r w:rsidRPr="004F56C9">
        <w:rPr>
          <w:rFonts w:ascii="Arial" w:hAnsi="Arial" w:cs="Arial"/>
          <w:b/>
          <w:bCs/>
        </w:rPr>
        <w:t xml:space="preserve">Clúster 1 (Análisis de </w:t>
      </w:r>
      <w:r w:rsidR="00F02930" w:rsidRPr="004F56C9">
        <w:rPr>
          <w:rFonts w:ascii="Arial" w:hAnsi="Arial" w:cs="Arial"/>
          <w:b/>
          <w:bCs/>
        </w:rPr>
        <w:t>c</w:t>
      </w:r>
      <w:r w:rsidRPr="004F56C9">
        <w:rPr>
          <w:rFonts w:ascii="Arial" w:hAnsi="Arial" w:cs="Arial"/>
          <w:b/>
          <w:bCs/>
        </w:rPr>
        <w:t xml:space="preserve">osto </w:t>
      </w:r>
      <w:r w:rsidR="00F02930" w:rsidRPr="004F56C9">
        <w:rPr>
          <w:rFonts w:ascii="Arial" w:hAnsi="Arial" w:cs="Arial"/>
          <w:b/>
          <w:bCs/>
        </w:rPr>
        <w:t>de u</w:t>
      </w:r>
      <w:r w:rsidRPr="004F56C9">
        <w:rPr>
          <w:rFonts w:ascii="Arial" w:hAnsi="Arial" w:cs="Arial"/>
          <w:b/>
          <w:bCs/>
        </w:rPr>
        <w:t>tilidad):</w:t>
      </w:r>
      <w:r w:rsidRPr="004F56C9">
        <w:rPr>
          <w:rFonts w:ascii="Arial" w:hAnsi="Arial" w:cs="Arial"/>
        </w:rPr>
        <w:t xml:space="preserve"> en este grupo los estudios se centran en realizar análisis de costo utilidad para el tratamiento de diferentes enfermedades. El oxígeno con cánula nasal de alto flujo (HFNC) fue rentable para el tratamiento de las bronquiolitis en el ámbito de urgencias </w:t>
      </w:r>
      <w:r w:rsidRPr="004F56C9">
        <w:rPr>
          <w:rFonts w:ascii="Arial" w:hAnsi="Arial" w:cs="Arial"/>
        </w:rPr>
        <w:fldChar w:fldCharType="begin"/>
      </w:r>
      <w:r w:rsidRPr="004F56C9">
        <w:rPr>
          <w:rFonts w:ascii="Arial" w:hAnsi="Arial" w:cs="Arial"/>
        </w:rPr>
        <w:instrText xml:space="preserve"> ADDIN ZOTERO_ITEM CSL_CITATION {"citationID":"NC7hw7ox","properties":{"formattedCitation":"(Buend\\uc0\\u237{}a et\\uc0\\u160{}al., 2021b)","plainCitation":"(Buendía et al., 2021b)","noteIndex":0},"citationItems":[{"id":401,"uris":["http://zotero.org/users/local/2poXFmzI/items/7UTNATMR"],"itemData":{"id":401,"type":"article-journal","abstract":"Background: High-flow nasal cannula (HFNC) oxygen is a non-invasive ventilation system that was introduced as an alternative to CPAP (continuous positive airway pressure), with a marked increase in its use in pediatric care settings. This study aimed to evaluate the cost-effectiveness of early use of HFNC compared to oxygen by nasal cannula in an infant with bronchiolitis in the emergency setting. Methods: A decision tree model was used to estimate the cost-effectiveness of HFNC compared with oxygen by nasal cannula (control strategy) in an infant with bronchiolitis in the emergency setting. Cost data were obtained from a retrospective study on bronchiolitis from tertiary centers in Rionegro, Colombia, while utilities were collected from the literature. Results: The QALYs per patient calculated in the base-case model were 0.9141 (95% CI 0.913–0.915) in the HFNC and 0.9105 (95% CI 0.910–0.911) in control group. The cost per patient was US$368 (95% CI US$ 323–411) in HFNC and US$441 (95% CI US$ 384–498) per patient in the control group. Conclusions: HFNC was cost-effective HFNC compared to oxygen by nasal cannula in an infant with bronchiolitis in the emergency setting. The use of this technology in emergency settings will allow a more efficient use of resources, especially in low-resource countries with high prevalence of bronchiolitis. © 2021, The Author(s).","archive":"Scopus","container-title":"Health Economics Review","DOI":"10.1186/s13561-021-00339-7","ISSN":"21911991 (ISSN)","issue":"1","journalAbbreviation":"Health Econ. Rev.","language":"English","note":"publisher: BioMed Central Ltd","title":"The cost-utility of early use of high-flow nasal cannula in bronchiolitis","URL":"https://www.scopus.com/inward/record.uri?eid=2-s2.0-85118254008&amp;doi=10.1186%2fs13561-021-00339-7&amp;partnerID=40&amp;md5=b704f503e9c8b87878cfe50746736c48","volume":"11","author":[{"family":"Buendía","given":"J.A."},{"family":"Acuña-Cordero","given":"R."},{"family":"Rodriguez-Martinez","given":"C.E."}],"issued":{"date-parts":[["2021"]]}}}],"schema":"https://github.com/citation-style-language/schema/raw/master/csl-citation.json"} </w:instrText>
      </w:r>
      <w:r w:rsidRPr="004F56C9">
        <w:rPr>
          <w:rFonts w:ascii="Arial" w:hAnsi="Arial" w:cs="Arial"/>
        </w:rPr>
        <w:fldChar w:fldCharType="separate"/>
      </w:r>
      <w:r w:rsidRPr="004F56C9">
        <w:rPr>
          <w:rFonts w:ascii="Arial" w:hAnsi="Arial" w:cs="Arial"/>
        </w:rPr>
        <w:t>(Buendía et al., 2021b)</w:t>
      </w:r>
      <w:r w:rsidRPr="004F56C9">
        <w:rPr>
          <w:rFonts w:ascii="Arial" w:hAnsi="Arial" w:cs="Arial"/>
        </w:rPr>
        <w:fldChar w:fldCharType="end"/>
      </w:r>
      <w:r w:rsidRPr="004F56C9">
        <w:rPr>
          <w:rFonts w:ascii="Arial" w:hAnsi="Arial" w:cs="Arial"/>
        </w:rPr>
        <w:t xml:space="preserve">; el tratamiento del asma mediante la monitorización fraccionada de óxido nítrico exhalado fue rentable para el tratamiento de pacientes de entre 4 y 18 años con asma alérgica de leve a moderada </w:t>
      </w:r>
      <w:r w:rsidRPr="004F56C9">
        <w:rPr>
          <w:rFonts w:ascii="Arial" w:hAnsi="Arial" w:cs="Arial"/>
        </w:rPr>
        <w:fldChar w:fldCharType="begin"/>
      </w:r>
      <w:r w:rsidRPr="004F56C9">
        <w:rPr>
          <w:rFonts w:ascii="Arial" w:hAnsi="Arial" w:cs="Arial"/>
        </w:rPr>
        <w:instrText xml:space="preserve"> ADDIN ZOTERO_ITEM CSL_CITATION {"citationID":"X4307s2Y","properties":{"formattedCitation":"(Buend\\uc0\\u237{}a et\\uc0\\u160{}al., 2021a)","plainCitation":"(Buendía et al., 2021a)","noteIndex":0},"citationItems":[{"id":463,"uris":["http://zotero.org/users/local/2poXFmzI/items/ZZL7D9P4"],"itemData":{"id":463,"type":"article-journal","abstract":"Introduction: Fractional exhaled nitric oxide is a simple, non-invasive measurement of airway inflammation with minimal discomfort to the patient and with results available within a few minutes. This study aimed to evaluate the cost-effectiveness of asthma management using fractional exhaled nitric oxide monitoring in patients between 4 and 18 years of age. Methods: A Markov model was used to estimate the cost-utility of asthma management using fractional exhaled nitric oxide monitoring versus asthma management without using fractional exhaled nitric oxide monitoring (standard therapy) in patients between 4 and 18 years of age. Cost data were obtained from a retrospective study on asthma from a tertiary center, in Medellin, Colombia, while probabilities of the Markov model and utilities were obtained from the systematic review of published randomized clinical trials. The analysis was carried out from a societal perspective. Results: The model showed that fractional exhaled nitric oxide monitoring was associated with a lower total cost than standard therapy (US $1333 vs. US $1452 average cost per patient) and higher QALYs (0.93 vs. 0.92 average per patient). The probability that fractional exhaled nitric oxide monitoring provides a more cost-effective use of resources compared with standard therapy exceeds 99% for all willingness-to-pay thresholds. Conclusion: Asthma management using fractional exhaled nitric oxide monitoring was cost-effective for treating patients between 4 and 18 years of age with mild to moderate allergic asthma. Our study suggests evidence that could be used by decision-makers to improve clinical practice guidelines, but this should be replicated in different clinical settings. © 2021, The Author(s).","archive":"Scopus","container-title":"Cost Effectiveness and Resource Allocation","DOI":"10.1186/s12962-021-00287-3","ISSN":"14787547 (ISSN)","issue":"1","journalAbbreviation":"Cost Eff. Resour. Allocat.","language":"English","note":"publisher: BioMed Central Ltd","title":"Cost utility of fractional exhaled nitric oxide monitoring for the management of children asthma","URL":"https://www.scopus.com/inward/record.uri?eid=2-s2.0-85107162511&amp;doi=10.1186%2fs12962-021-00287-3&amp;partnerID=40&amp;md5=7813b11bc09c88246f463b31572c1dc8","volume":"19","author":[{"family":"Buendía","given":"J.A."},{"family":"Acuña-Cordero","given":"R."},{"family":"Rodriguez-Martinez","given":"C.E."}],"issued":{"date-parts":[["2021"]]}}}],"schema":"https://github.com/citation-style-language/schema/raw/master/csl-citation.json"} </w:instrText>
      </w:r>
      <w:r w:rsidRPr="004F56C9">
        <w:rPr>
          <w:rFonts w:ascii="Arial" w:hAnsi="Arial" w:cs="Arial"/>
        </w:rPr>
        <w:fldChar w:fldCharType="separate"/>
      </w:r>
      <w:r w:rsidRPr="004F56C9">
        <w:rPr>
          <w:rFonts w:ascii="Arial" w:hAnsi="Arial" w:cs="Arial"/>
        </w:rPr>
        <w:t>(Buendía et al., 2021a)</w:t>
      </w:r>
      <w:r w:rsidRPr="004F56C9">
        <w:rPr>
          <w:rFonts w:ascii="Arial" w:hAnsi="Arial" w:cs="Arial"/>
        </w:rPr>
        <w:fldChar w:fldCharType="end"/>
      </w:r>
      <w:r w:rsidRPr="004F56C9">
        <w:rPr>
          <w:rFonts w:ascii="Arial" w:hAnsi="Arial" w:cs="Arial"/>
        </w:rPr>
        <w:t xml:space="preserve">; el tratamiento complementario con </w:t>
      </w:r>
      <w:proofErr w:type="spellStart"/>
      <w:r w:rsidRPr="004F56C9">
        <w:rPr>
          <w:rFonts w:ascii="Arial" w:hAnsi="Arial" w:cs="Arial"/>
        </w:rPr>
        <w:t>dupilumab</w:t>
      </w:r>
      <w:proofErr w:type="spellEnd"/>
      <w:r w:rsidRPr="004F56C9">
        <w:rPr>
          <w:rFonts w:ascii="Arial" w:hAnsi="Arial" w:cs="Arial"/>
        </w:rPr>
        <w:t xml:space="preserve"> no es rentable en adolescentes y adultos para el asma grave en Colombia </w:t>
      </w:r>
      <w:r w:rsidRPr="004F56C9">
        <w:rPr>
          <w:rFonts w:ascii="Arial" w:hAnsi="Arial" w:cs="Arial"/>
        </w:rPr>
        <w:fldChar w:fldCharType="begin"/>
      </w:r>
      <w:r w:rsidRPr="004F56C9">
        <w:rPr>
          <w:rFonts w:ascii="Arial" w:hAnsi="Arial" w:cs="Arial"/>
        </w:rPr>
        <w:instrText xml:space="preserve"> ADDIN ZOTERO_ITEM CSL_CITATION {"citationID":"EKYhuCgU","properties":{"formattedCitation":"(Antonio Buend\\uc0\\u237{}a &amp; Pati\\uc0\\u241{}o, 2022)","plainCitation":"(Antonio Buendía &amp; Patiño, 2022)","noteIndex":0},"citationItems":[{"id":465,"uris":["http://zotero.org/users/local/2poXFmzI/items/Y492X5HQ"],"itemData":{"id":465,"type":"article-journal","abstract":"Introduction: Dupilumab is a recombinant human IgG4 monoclonal antibody that inhibits IL-4 and IL-13 signaling. This drug raises concerns about the economic impact in scenarios with constrained resources. This study aimed to estimate the cost-utility of dupilumab plus standard care (SoC) vs SoC alone in adolescents and adults with severe asthma and eosinophilic phenotype. Methods: A probabilistic Markov model was created to estimate the cost and quality-adjusted life-years (QALYs) of patients with uncontrolled allergic asthma in Colombia. Total costs and QALYs of standard therapy (ICS + LABA), add-on therapy with dupilumab, were calculated over a lifetime horizon. Multiple sensitivity analyses were conducted. Cost-effectiveness was evaluated at a willingness-to-pay (WTP) value of $19,000. Results: The base-case analysis showed dupilumab was associated with higher annual annual per-patient costs (US$5,719 for dupilumab and US$1,214 for standard therapy) and higher QALYs than standard therapy (fe  4.06 QALYs vs 3.97 QALYs, respectively). The incremental cost–effectiveness ratio estimated was US$50,160 per QALY gained Conclusion: Dupilumab is not cost-effective using a WTP of US$19000 per QALY threshold in Colombia. Our study provides evidence that should be used by decision-makers to improve clinical practice guidelines and should be replicated to validate their results in other middle-income countries. © 2021 Informa UK Limited, trading as Taylor &amp; Francis Group.","archive":"Scopus","container-title":"Expert Review of Pharmacoeconomics and Outcomes Research","DOI":"10.1080/14737167.2022.2011217","ISSN":"14737167 (ISSN)","issue":"4","journalAbbreviation":"Expert Rev. Pharmacoecon. Outcomes Res.","language":"English","note":"publisher: Taylor and Francis Ltd.","page":"575-580","title":"Cost-utility analysis of dupilumab add on therapy versus standard therapy in adolescents and adults for severe asthma in Colombia","volume":"22","author":[{"family":"Antonio Buendía","given":"J."},{"family":"Patiño","given":"D.G."}],"issued":{"date-parts":[["2022"]]}}}],"schema":"https://github.com/citation-style-language/schema/raw/master/csl-citation.json"} </w:instrText>
      </w:r>
      <w:r w:rsidRPr="004F56C9">
        <w:rPr>
          <w:rFonts w:ascii="Arial" w:hAnsi="Arial" w:cs="Arial"/>
        </w:rPr>
        <w:fldChar w:fldCharType="separate"/>
      </w:r>
      <w:r w:rsidRPr="004F56C9">
        <w:rPr>
          <w:rFonts w:ascii="Arial" w:hAnsi="Arial" w:cs="Arial"/>
        </w:rPr>
        <w:t>(Antonio Buendía &amp; Patiño, 2022)</w:t>
      </w:r>
      <w:r w:rsidRPr="004F56C9">
        <w:rPr>
          <w:rFonts w:ascii="Arial" w:hAnsi="Arial" w:cs="Arial"/>
        </w:rPr>
        <w:fldChar w:fldCharType="end"/>
      </w:r>
      <w:r w:rsidRPr="004F56C9">
        <w:rPr>
          <w:rFonts w:ascii="Arial" w:hAnsi="Arial" w:cs="Arial"/>
        </w:rPr>
        <w:t xml:space="preserve">; el tratamiento </w:t>
      </w:r>
      <w:r w:rsidRPr="004F56C9">
        <w:rPr>
          <w:rFonts w:ascii="Arial" w:hAnsi="Arial" w:cs="Arial"/>
        </w:rPr>
        <w:lastRenderedPageBreak/>
        <w:t xml:space="preserve">complementario con </w:t>
      </w:r>
      <w:proofErr w:type="spellStart"/>
      <w:r w:rsidRPr="004F56C9">
        <w:rPr>
          <w:rFonts w:ascii="Arial" w:hAnsi="Arial" w:cs="Arial"/>
        </w:rPr>
        <w:t>benralizumab</w:t>
      </w:r>
      <w:proofErr w:type="spellEnd"/>
      <w:r w:rsidRPr="004F56C9">
        <w:rPr>
          <w:rFonts w:ascii="Arial" w:hAnsi="Arial" w:cs="Arial"/>
        </w:rPr>
        <w:t xml:space="preserve"> no es rentable para el asma eosinofílica grave en Colombia </w:t>
      </w:r>
      <w:r w:rsidRPr="004F56C9">
        <w:rPr>
          <w:rFonts w:ascii="Arial" w:hAnsi="Arial" w:cs="Arial"/>
        </w:rPr>
        <w:fldChar w:fldCharType="begin"/>
      </w:r>
      <w:r w:rsidRPr="004F56C9">
        <w:rPr>
          <w:rFonts w:ascii="Arial" w:hAnsi="Arial" w:cs="Arial"/>
        </w:rPr>
        <w:instrText xml:space="preserve"> ADDIN ZOTERO_ITEM CSL_CITATION {"citationID":"n7Hdm9du","properties":{"formattedCitation":"(Antonio et\\uc0\\u160{}al., 2022)","plainCitation":"(Antonio et al., 2022)","noteIndex":0},"citationItems":[{"id":742,"uris":["http://zotero.org/users/local/2poXFmzI/items/ZKTLEAVR"],"itemData":{"id":742,"type":"article-journal","abstract":"Introduction:Benralizumab, amonoclonal antibody for human interleukin-5, has been associated with adecrease in asthma exacerbations. The introduction of this drug raises concerns about the economic impact in scenarios with constraints. This study aimed to estimate the cost-utility of benralizumab plus standard care (SoC) vs. SoC alone in adults with severe uncontrolled asthma with evidence of eosinophilic phenotype. Methods:We constructed aMarkov model with three health states (asthma on benralizumab and SOC, asthma on SOC alone, and death) from ahealthcare system perspective over alifetime horizon. The model was populated using local costs while utilities were derived from international literature. Cost and transition probabilities were obtained from amixture of Colombian-specific and internationally published data. Results:The incremental cost-effectiveness ratio (ICER) per patient peryear was $US 42,746per QALY gained. Benralizumab treatment would be cost-effective at the recommended societal US 18,000 WTP threshold if the cost of benralizumab is reduced by 41% more than the base case value. Conclusion:Benralizumab is not cost-effective using WTP of US$18,000per QALY threshold in Colombia. Our study provides evidence that should be used by decision-makers to improve clinical practice guidelines.","archive_location":"WOS:000667541800001","container-title":"EXPERT REVIEW OF PHARMACOECONOMICS &amp; OUTCOMES RESEARCH","DOI":"10.1080/14737167.2021.1945445","ISSN":"1473-7167","issue":"2","language":"English","page":"299-305","title":"Cost-utility analysis and budget impact of benralizumab as add-on therapy to standard care for severe eosinophilic asthma in Colombia","volume":"22","author":[{"family":"Antonio","given":"BJ"},{"family":"Patiño","given":"DG"},{"family":"Moreno","given":"ML"}],"issued":{"date-parts":[["2022",2,17]]}}}],"schema":"https://github.com/citation-style-language/schema/raw/master/csl-citation.json"} </w:instrText>
      </w:r>
      <w:r w:rsidRPr="004F56C9">
        <w:rPr>
          <w:rFonts w:ascii="Arial" w:hAnsi="Arial" w:cs="Arial"/>
        </w:rPr>
        <w:fldChar w:fldCharType="separate"/>
      </w:r>
      <w:r w:rsidRPr="004F56C9">
        <w:rPr>
          <w:rFonts w:ascii="Arial" w:hAnsi="Arial" w:cs="Arial"/>
        </w:rPr>
        <w:t>(Antonio et al., 2022)</w:t>
      </w:r>
      <w:r w:rsidRPr="004F56C9">
        <w:rPr>
          <w:rFonts w:ascii="Arial" w:hAnsi="Arial" w:cs="Arial"/>
        </w:rPr>
        <w:fldChar w:fldCharType="end"/>
      </w:r>
      <w:r w:rsidRPr="004F56C9">
        <w:rPr>
          <w:rFonts w:ascii="Arial" w:hAnsi="Arial" w:cs="Arial"/>
        </w:rPr>
        <w:t xml:space="preserve">; el sulfato de magnesio (SM) intravenoso fue menos costosa y más eficaz que el tratamiento sin SM intravenoso en niños con exacerbaciones del asma </w:t>
      </w:r>
      <w:r w:rsidRPr="004F56C9">
        <w:rPr>
          <w:rFonts w:ascii="Arial" w:hAnsi="Arial" w:cs="Arial"/>
        </w:rPr>
        <w:fldChar w:fldCharType="begin"/>
      </w:r>
      <w:r w:rsidRPr="004F56C9">
        <w:rPr>
          <w:rFonts w:ascii="Arial" w:hAnsi="Arial" w:cs="Arial"/>
        </w:rPr>
        <w:instrText xml:space="preserve"> ADDIN ZOTERO_ITEM CSL_CITATION {"citationID":"LA3JlvaH","properties":{"formattedCitation":"(Buendia et\\uc0\\u160{}al., 2020)","plainCitation":"(Buendia et al., 2020)","dontUpdate":true,"noteIndex":0},"citationItems":[{"id":519,"uris":["http://zotero.org/users/local/2poXFmzI/items/QUKLJNUC"],"itemData":{"id":519,"type":"article-journal","abstract":"Introduction: Although evidence supports the use of intravenous magnesium sulfate (MS) in asthma exacerbations, MS continues to be considered a second-line drug for managing pediatric asthma exacerbations. This study aimed to evaluate the cost-utility of MS in asthma exacerbations. Methods: We used a decision tree model to estimate the cost-utility of MS compared to treatment without MS (control group) in children with asthma exacerbations. Cost data were obtained from a retrospective study from tertiary centers in Rionegro, Colombia, while utilities were collected from the literature. Probabilistic sensitivity analysis was carried out using the Monte Carlo technique with a simulation of a hypothetical cohort of 10 000 patients to generate expected cost utilities with 95% confidence intervals. We used a cost-effectiveness acceptability curve to evaluate the uncertainty surrounding the cost-utility of MS. Results: The model showed that MS had a lower total cost than the control group (US $1149 vs US $1598 average cost per patient) and higher quality-adjusted life years (0.60 vs 0.52 average per patient), showing dominance. The probability that MS provides a more cost-effective use of resources compared with standard therapy exceeds 99% for all willingness-to-pay thresholds. Conclusion: Intravenous MS was less expensive and more effective than treatment without intravenous MS in children with asthma exacerbations. Our study provides evidence that should be used by decision-makers to improve clinical practice guidelines and should be replicated to validate its results in other middle-income countries. © 2020 Wiley Periodicals LLC","archive":"Scopus","container-title":"Pediatric Pulmonology","DOI":"10.1002/ppul.25024","ISSN":"87556863 (ISSN)","issue":"10","journalAbbreviation":"Pediatr. Pulmonol.","language":"English","note":"publisher: John Wiley and Sons Inc","page":"2610-2616","title":"The cost-utility of intravenous magnesium sulfate for treating asthma exacerbations in children","volume":"55","author":[{"family":"Buendia","given":"J.A."},{"family":"Acuña-Cordero","given":"R."},{"family":"Rodriguez-Martinez","given":"C.E."}],"issued":{"date-parts":[["2020"]]}}}],"schema":"https://github.com/citation-style-language/schema/raw/master/csl-citation.json"} </w:instrText>
      </w:r>
      <w:r w:rsidRPr="004F56C9">
        <w:rPr>
          <w:rFonts w:ascii="Arial" w:hAnsi="Arial" w:cs="Arial"/>
        </w:rPr>
        <w:fldChar w:fldCharType="separate"/>
      </w:r>
      <w:r w:rsidRPr="004F56C9">
        <w:rPr>
          <w:rFonts w:ascii="Arial" w:hAnsi="Arial" w:cs="Arial"/>
        </w:rPr>
        <w:t>(Buendía et al., 2020)</w:t>
      </w:r>
      <w:r w:rsidRPr="004F56C9">
        <w:rPr>
          <w:rFonts w:ascii="Arial" w:hAnsi="Arial" w:cs="Arial"/>
        </w:rPr>
        <w:fldChar w:fldCharType="end"/>
      </w:r>
      <w:r w:rsidRPr="004F56C9">
        <w:rPr>
          <w:rFonts w:ascii="Arial" w:hAnsi="Arial" w:cs="Arial"/>
        </w:rPr>
        <w:t>.</w:t>
      </w:r>
    </w:p>
    <w:p w14:paraId="21359D56" w14:textId="77777777" w:rsidR="00D920FA" w:rsidRDefault="00D920FA" w:rsidP="00140857">
      <w:pPr>
        <w:spacing w:line="360" w:lineRule="auto"/>
        <w:ind w:firstLine="709"/>
        <w:jc w:val="both"/>
        <w:rPr>
          <w:rFonts w:ascii="Arial" w:hAnsi="Arial" w:cs="Arial"/>
          <w:b/>
          <w:bCs/>
        </w:rPr>
      </w:pPr>
    </w:p>
    <w:p w14:paraId="49BBC449" w14:textId="60076E8B" w:rsidR="00140857" w:rsidRPr="004F56C9" w:rsidRDefault="00140857" w:rsidP="00D920FA">
      <w:pPr>
        <w:spacing w:line="360" w:lineRule="auto"/>
        <w:jc w:val="both"/>
        <w:rPr>
          <w:rFonts w:ascii="Arial" w:hAnsi="Arial" w:cs="Arial"/>
        </w:rPr>
      </w:pPr>
      <w:r w:rsidRPr="004F56C9">
        <w:rPr>
          <w:rFonts w:ascii="Arial" w:hAnsi="Arial" w:cs="Arial"/>
          <w:b/>
          <w:bCs/>
        </w:rPr>
        <w:t>Clúster 2 (</w:t>
      </w:r>
      <w:bookmarkStart w:id="10" w:name="_Hlk161408957"/>
      <w:r w:rsidRPr="004F56C9">
        <w:rPr>
          <w:rFonts w:ascii="Arial" w:hAnsi="Arial" w:cs="Arial"/>
          <w:b/>
          <w:bCs/>
        </w:rPr>
        <w:t xml:space="preserve">Análisis </w:t>
      </w:r>
      <w:r w:rsidR="00D920FA">
        <w:rPr>
          <w:rFonts w:ascii="Arial" w:hAnsi="Arial" w:cs="Arial"/>
          <w:b/>
          <w:bCs/>
        </w:rPr>
        <w:t>e</w:t>
      </w:r>
      <w:r w:rsidRPr="004F56C9">
        <w:rPr>
          <w:rFonts w:ascii="Arial" w:hAnsi="Arial" w:cs="Arial"/>
          <w:b/>
          <w:bCs/>
        </w:rPr>
        <w:t xml:space="preserve">conómicos de la </w:t>
      </w:r>
      <w:r w:rsidR="00D920FA">
        <w:rPr>
          <w:rFonts w:ascii="Arial" w:hAnsi="Arial" w:cs="Arial"/>
          <w:b/>
          <w:bCs/>
        </w:rPr>
        <w:t>s</w:t>
      </w:r>
      <w:r w:rsidRPr="004F56C9">
        <w:rPr>
          <w:rFonts w:ascii="Arial" w:hAnsi="Arial" w:cs="Arial"/>
          <w:b/>
          <w:bCs/>
        </w:rPr>
        <w:t>alud</w:t>
      </w:r>
      <w:bookmarkEnd w:id="10"/>
      <w:r w:rsidRPr="004F56C9">
        <w:rPr>
          <w:rFonts w:ascii="Arial" w:hAnsi="Arial" w:cs="Arial"/>
          <w:b/>
          <w:bCs/>
        </w:rPr>
        <w:t>)</w:t>
      </w:r>
      <w:r w:rsidRPr="004F56C9">
        <w:rPr>
          <w:rFonts w:ascii="Arial" w:hAnsi="Arial" w:cs="Arial"/>
        </w:rPr>
        <w:t xml:space="preserve">: los autores de este clúster enfocan sus estudios en revisión de los estudios sobre Evaluación Económica de la Salud realizados en países desarrollados, la calidad de los estudios y las transferibilidad de los resultados a la Región de América Latina y el Caribe </w:t>
      </w:r>
      <w:r w:rsidRPr="004F56C9">
        <w:rPr>
          <w:rFonts w:ascii="Arial" w:hAnsi="Arial" w:cs="Arial"/>
        </w:rPr>
        <w:fldChar w:fldCharType="begin"/>
      </w:r>
      <w:r w:rsidRPr="004F56C9">
        <w:rPr>
          <w:rFonts w:ascii="Arial" w:hAnsi="Arial" w:cs="Arial"/>
        </w:rPr>
        <w:instrText xml:space="preserve"> ADDIN ZOTERO_ITEM CSL_CITATION {"citationID":"4OP0tpbF","properties":{"formattedCitation":"(Augustovski et\\uc0\\u160{}al., 2009; Machado et\\uc0\\u160{}al., 2006)","plainCitation":"(Augustovski et al., 2009; Machado et al., 2006)","noteIndex":0},"citationItems":[{"id":437,"uris":["http://zotero.org/users/local/2poXFmzI/items/Q8SZ4ZLB"],"itemData":{"id":437,"type":"article-journal","abstract":"Use and acceptance of health economic evaluations (HEEs) has been much greater in developed than in developing nations. Nevertheless, while developing countries lag behind in the development of HEE methods, they could benefit from the progress made in other countries and concentrate on ways in which existing methods can be used or would need to be modified to fulfill their specific needs. HEEs, as context-specific tools, are not easily generalizable from setting to setting. Existing studies regarding generalizability and transferability of HEEs have primarily been conducted in developed countries. Therefore, a legitimate question for policy makers in Latin America and the Caribbean region (LAC) is to what extent HEEs conducted in industrialized economies and in LAC are generalizable to LAC (trans-regional) and to other LAC countries (intra-regional), respectively. We conducted a systematic review, searching the NHS Economic Evaluation Database (NHS EED), Office of Health Economics Health Economic Evaluation Database (HEED), LILACS (Latin America health bibliographic database) and NEVALAT (Latin American Network on HEE) to identify HEEs published between 1980 and 2004. We included individual patient-and model-based HEEs (cost-effectiveness, cost-utility, cost-benefit and costconsequences analyses) that involved at least one LAC country. Data were extracted by three independent reviewers using a checklist validated by regional and international experts. From 521 studies retrieved, 72 were full HEEs (39% randomized controlled trials [RCTs], 32% models, 17% non-randomized studies and 12% mixed trialmodeling approach). Over one-third of identified studies did not specifically report the type of HEE. Cost-effectiveness and cost-consequence analyses accounted for almost 80% of the studies. The three Latin American countries with the highest participation in HEE studies were Brazil, Argentina and Mexico. While we found relatively good standards of reporting the study's question, population, interventions, comparators and conclusions, the overall reporting was poor, and evidence of unfamiliarity with international guidelines was evident (i.e. absence of incremental analysis, of discounting long-term costs and effects). Analysis or description of place-to-place variability was infrequent. Of the 49 trial-based analyses, 43% were single centre, 33% multinational and 18% multicentre national. Main reporting problems included issues related to sample representativeness, data collection and data analysis. Of the 32 modelbased studies (most commonly using epidemiological models), main problems included the inadequacy of search strategy, range selection for sensitivity analysis and theoretical justifications. There are a number of issues associated with the reporting and methodology used in multinational and local HEE studies relevant for LAC that preclude the assessment of their generalizability and potential transferability. Although the quality of reporting and methodology used in model-based HEEs was somewhat higher than those from trial-based HEEs, economic evaluation methodology was usually weak and less developed than the analysis of clinical data. Improving these aspects in LAC HEE studies is paramount to maximizing their potential benefits such as increasing the generalizability/transferability of their results.","archive":"Scopus","container-title":"PharmacoEconomics","DOI":"10.2165/11313670-000000000-00000","ISSN":"11792027 (ISSN)","issue":"11","journalAbbreviation":"Pharmacoeconomics","language":"English","page":"919-929","title":"Barriers to generalizability of health economic evaluations in Latin America and the Caribbean region","volume":"27","author":[{"family":"Augustovski","given":"F."},{"family":"Iglesias","given":"C."},{"family":"Manca","given":"A."},{"family":"Drummond","given":"M."},{"family":"Rubinstein","given":"A."},{"family":"Martí","given":"S.G."}],"issued":{"date-parts":[["2009"]]}}},{"id":439,"uris":["http://zotero.org/users/local/2poXFmzI/items/J8JPSWD6"],"itemData":{"id":439,"type":"article-journal","abstract":"BACKGROUND: Health economic analyses have become important to healthcare systems worldwide. No studies have previously examined South America's contribution in this area. OBJECTIVE: To survey the literature with the purpose of reviewing, quantifying, and assessing the quality of published South American health economic analyses. METHODS: A search of MEDLINE (1990-December 2004), EMBASE (1990-December 2004), International Pharmaceutical Abstracts (1990-December 2004), Literatura Latino-Americana e do Caribe em Ciências da Saúde (1982-December 2004), and Sistema de Informacion Esencial en Terapéutica y Salud (1980-December 2004) was completed using the key words cost-effectiveness analysis (CEA), cost-utility analysis (CUA), cost-minimization analysis (CMA), and cost-benefit analysis (CBA); abbreviations CEA, CUA, CMA, and CBA; and all South American country names. Papers were categorized by type and country by 2 independent reviewers. Quality was assessed using a 12 item checklist, characterizing scores as 4 (good), 3 (acceptable), 2 (poor), 1 (unable to judge), and 0 (unacceptable). To be included in our investigation, studies needed to have simultaneously examined costs and outcomes. RESULTS: We retrieved 25 articles; one duplicate article was rejected, leaving 24 (CEA = 15, CBA = 6, CMA = 3; Brazil = 9, Argentina = 5, Colombia = 3, Chile = 2, Ecuador = 2, 1 each from Peru, Uruguay, Venezuela). Variability between raters was less than 0.5 point on overall scores (OS) and less than 1 point on all individual items. Mean OS was 2.6 (SD 1.0, range 1.4-3.8). CBAs scored highest (OS 2.8, SD 0.8), CEAs next (OS 2.7, SD 0.7), and CMAs lowest (OS 2.0, SD 0.5). When scored by type of question, definition of study aim scored highest (OS 3.0, SD 0.8), while ethical issues scored lowest (OS 1.5, SD 0.9). By country, Peru scored highest (mean OS 3.8) and Uruguay had the lowest scores (mean OS 2.2). A nonsignificant time trend was noted for OS (R2 = 0.12; p = 0.104). CONCLUSIONS: Quality scores of health economic analyses articles published in South America were rated poor to acceptable and lower than previous research from other countries. Thus, efforts are needed to improve the reporting quality of these analyses in South America. Future research should examine the region's level of expertise and educational opportunities for those in the field of health economics.","archive":"Scopus","container-title":"Annals of Pharmacotherapy","DOI":"10.1345/aph.1G296","ISSN":"10600280 (ISSN)","issue":"5","journalAbbreviation":"Ann. Pharmacother.","language":"English","page":"943-949","title":"Quality assessment of published health economic analyses from South America","volume":"40","author":[{"family":"Machado","given":"M."},{"family":"Iskedjian","given":"M."},{"family":"Einarson","given":"T.R."}],"issued":{"date-parts":[["2006"]]}}}],"schema":"https://github.com/citation-style-language/schema/raw/master/csl-citation.json"} </w:instrText>
      </w:r>
      <w:r w:rsidRPr="004F56C9">
        <w:rPr>
          <w:rFonts w:ascii="Arial" w:hAnsi="Arial" w:cs="Arial"/>
        </w:rPr>
        <w:fldChar w:fldCharType="separate"/>
      </w:r>
      <w:r w:rsidRPr="004F56C9">
        <w:rPr>
          <w:rFonts w:ascii="Arial" w:hAnsi="Arial" w:cs="Arial"/>
        </w:rPr>
        <w:t>(Augustovski et al., 2009; Machado et al., 2006)</w:t>
      </w:r>
      <w:r w:rsidRPr="004F56C9">
        <w:rPr>
          <w:rFonts w:ascii="Arial" w:hAnsi="Arial" w:cs="Arial"/>
        </w:rPr>
        <w:fldChar w:fldCharType="end"/>
      </w:r>
      <w:r w:rsidRPr="004F56C9">
        <w:rPr>
          <w:rFonts w:ascii="Arial" w:hAnsi="Arial" w:cs="Arial"/>
        </w:rPr>
        <w:t>. Morales (2004) y Andrés Pichón-</w:t>
      </w:r>
      <w:proofErr w:type="spellStart"/>
      <w:r w:rsidRPr="004F56C9">
        <w:rPr>
          <w:rFonts w:ascii="Arial" w:hAnsi="Arial" w:cs="Arial"/>
        </w:rPr>
        <w:t>Riviere</w:t>
      </w:r>
      <w:proofErr w:type="spellEnd"/>
      <w:r w:rsidRPr="004F56C9">
        <w:rPr>
          <w:rFonts w:ascii="Arial" w:hAnsi="Arial" w:cs="Arial"/>
        </w:rPr>
        <w:t xml:space="preserve"> (2012), estudian la medición en términos de beneficios para la salud y económicos de las tecnologías sanitarias en las actividades de promoción de la salud, sistemas de alerta y conciencia temprana, y el impacto en la productividad laboral en términos de costos indirectos en países latinoamericanos (Argentina, Brasil, Colombia y México) </w:t>
      </w:r>
      <w:r w:rsidRPr="004F56C9">
        <w:rPr>
          <w:rFonts w:ascii="Arial" w:hAnsi="Arial" w:cs="Arial"/>
        </w:rPr>
        <w:fldChar w:fldCharType="begin"/>
      </w:r>
      <w:r w:rsidRPr="004F56C9">
        <w:rPr>
          <w:rFonts w:ascii="Arial" w:hAnsi="Arial" w:cs="Arial"/>
        </w:rPr>
        <w:instrText xml:space="preserve"> ADDIN ZOTERO_ITEM CSL_CITATION {"citationID":"9cNdf9u0","properties":{"formattedCitation":"(Morales et\\uc0\\u160{}al., 2004; Pichon-Riviere et\\uc0\\u160{}al., 2012)","plainCitation":"(Morales et al., 2004; Pichon-Riviere et al., 2012)","noteIndex":0},"citationItems":[{"id":491,"uris":["http://zotero.org/users/local/2poXFmzI/items/I5P26LIJ"],"itemData":{"id":491,"type":"article-journal","abstract":"Objectives: This study was designed to evaluate the effects of an employee influenza vaccination campaign, measured in terms of health and economic benefits. Methods: Colombian bank employees volunteered to take part in this prospective observational study involving two groups: vaccinated and nonvaccinated. Socioeconomic and health status information, including influenza-like symptoms, sick leave, and postvaccination adverse events, were collected via questionnaires. Cost-benefit analyses were performed to determine whether the employer would save money overall by paying for the vaccination program. Results: Between October 2000 and May 2001, 424 vaccinated subjects and 335 nonvaccinated subjects volunteered to join the study. Cumulative incidence of influenza-like illness (ILI) was lower among vaccinated (14.6%) than nonvaccinated subjects (39.4%). Fever was the most common ILI symptom (93% of all reported ILI). Absence rates because of ILI were similar in the two groups (2.59%-2.69%). Assuming that employees with ILI who continue to work have reduced effectiveness (30%-70% of normal) the employer can save US$6.4 to US$25.8 per vaccinated employee based on labor costs alone. This saving increases to US$89.3 to US$237.8 when operating income is also considered. Sensitivity analyses indicate that the vaccination program will be cost saving for vaccination coverage above 20% and ILI rates above 10%. Conclusions: Among the studied volunteers, ILI has significant impact on work productivity in terms of indirect costs. Implementing an influenza vaccination program would reduce the burden of ILI and save substantial amounts of money for the company.","archive":"Scopus","container-title":"Value in Health","DOI":"10.1111/j.1524-4733.2004.74006.x","ISSN":"10983015 (ISSN)","issue":"4","journalAbbreviation":"Value Health","language":"English","note":"publisher: Blackwell Publishing Inc.","page":"433-441","title":"Costs and benefits of influenza vaccination and work productivity in a Colombian company from the employer's perspective","volume":"7","author":[{"family":"Morales","given":"A."},{"family":"Martinez","given":"M.M."},{"family":"Tasset-Tisseau","given":"A."},{"family":"Rey","given":"E."},{"family":"Baron-Papillon","given":"F."},{"family":"Follet","given":"A."}],"issued":{"date-parts":[["2004"]]}}},{"id":561,"uris":["http://zotero.org/users/local/2poXFmzI/items/4ZV5D3XD"],"itemData":{"id":561,"type":"article-journal","abstract":"Objectives: The aim of this study was to briefly describe the current state of early awareness and alert (EAA) activities and systems in four Latin-American countries (Argentina, Brazil, Colombia, and Mexico). Methods: Key informants were selected and completed an open questionnaire that included the following domains: current state of EAA activities and systems in each country, potential role for EAA systems in the health system, and future EAA projects that are currently being considered. Results: In all four countries, health technology assessment (HTA) processes are used to prioritize the use of health resources, albeit at varying degrees and with different mechanisms and methodologies. EAA activities are still limited and there are virtually no institutions or units with specific functions explicitly devoted to EAA activity. However, most countries have developed some initial forms of EAA systems. Being in its initial stages there is no clear differentiation between these early awareness activities and other HTA functions, and no specific methodologies or processes are used to anticipate the emergence of new technologies. Consequently, early evaluation of technologies generally occurs in a reactive manner, after they have been introduced in the market and under the pressure of different stakeholders. Conclusions: There is growing awareness that the early identification and assessment of emerging technologies should be an integral part of HTA and the decision-making process. Many initiatives are currently focusing on building partnerships between the various regulatory bodies involved in the incorporation of technologies at national levels. It is reasonable to foresee that EAA activities will continue to develop and expand in the region. © Copyright 2012 Cambridge University Press.","archive":"Scopus","container-title":"International Journal of Technology Assessment in Health Care","DOI":"10.1017/S0266462312000311","ISSN":"14716348 (ISSN)","issue":"3","journalAbbreviation":"Int. J. Technol. Assess. Health Care","language":"English","page":"315-320","title":"Early awareness and alert activities in Latin America: Current situation in four countries","volume":"28","author":[{"family":"Pichon-Riviere","given":"A."},{"family":"Elias","given":"F.T.S."},{"family":"Rivero","given":"V.G."},{"family":"Vaca","given":"C.P."}],"issued":{"date-parts":[["2012"]]}}}],"schema":"https://github.com/citation-style-language/schema/raw/master/csl-citation.json"} </w:instrText>
      </w:r>
      <w:r w:rsidRPr="004F56C9">
        <w:rPr>
          <w:rFonts w:ascii="Arial" w:hAnsi="Arial" w:cs="Arial"/>
        </w:rPr>
        <w:fldChar w:fldCharType="separate"/>
      </w:r>
      <w:r w:rsidRPr="004F56C9">
        <w:rPr>
          <w:rFonts w:ascii="Arial" w:hAnsi="Arial" w:cs="Arial"/>
        </w:rPr>
        <w:t>(Morales et al., 2004; Pichon-Riviere et al., 2012)</w:t>
      </w:r>
      <w:r w:rsidRPr="004F56C9">
        <w:rPr>
          <w:rFonts w:ascii="Arial" w:hAnsi="Arial" w:cs="Arial"/>
        </w:rPr>
        <w:fldChar w:fldCharType="end"/>
      </w:r>
      <w:r w:rsidRPr="004F56C9">
        <w:rPr>
          <w:rFonts w:ascii="Arial" w:hAnsi="Arial" w:cs="Arial"/>
        </w:rPr>
        <w:t>.</w:t>
      </w:r>
    </w:p>
    <w:p w14:paraId="7A350F95" w14:textId="77777777" w:rsidR="00D920FA" w:rsidRDefault="00D920FA" w:rsidP="00D920FA">
      <w:pPr>
        <w:spacing w:line="360" w:lineRule="auto"/>
        <w:jc w:val="both"/>
        <w:rPr>
          <w:rFonts w:ascii="Arial" w:hAnsi="Arial" w:cs="Arial"/>
          <w:b/>
          <w:bCs/>
        </w:rPr>
      </w:pPr>
    </w:p>
    <w:p w14:paraId="4365F897" w14:textId="4FF16178" w:rsidR="00140857" w:rsidRPr="004F56C9" w:rsidRDefault="00140857" w:rsidP="00D920FA">
      <w:pPr>
        <w:spacing w:line="360" w:lineRule="auto"/>
        <w:jc w:val="both"/>
        <w:rPr>
          <w:rFonts w:ascii="Arial" w:hAnsi="Arial" w:cs="Arial"/>
        </w:rPr>
      </w:pPr>
      <w:r w:rsidRPr="004F56C9">
        <w:rPr>
          <w:rFonts w:ascii="Arial" w:hAnsi="Arial" w:cs="Arial"/>
          <w:b/>
          <w:bCs/>
        </w:rPr>
        <w:t xml:space="preserve">Clúster 3 (Costos </w:t>
      </w:r>
      <w:r w:rsidR="00D920FA">
        <w:rPr>
          <w:rFonts w:ascii="Arial" w:hAnsi="Arial" w:cs="Arial"/>
          <w:b/>
          <w:bCs/>
        </w:rPr>
        <w:t>m</w:t>
      </w:r>
      <w:r w:rsidRPr="004F56C9">
        <w:rPr>
          <w:rFonts w:ascii="Arial" w:hAnsi="Arial" w:cs="Arial"/>
          <w:b/>
          <w:bCs/>
        </w:rPr>
        <w:t>édicos):</w:t>
      </w:r>
      <w:r w:rsidRPr="004F56C9">
        <w:rPr>
          <w:rFonts w:ascii="Arial" w:hAnsi="Arial" w:cs="Arial"/>
        </w:rPr>
        <w:t xml:space="preserve"> la temática central de este clúster es el estudio de los costos hospitalarios para el tratamiento de las exacerbaciones del asma pediátrica y en bronquiolitis aguda, principalmente en países de ingresos medios y mejorar nuestra comprensión de la carga económica de las exacerbaciones y la rentabilidad de la utilización de “buenas prácticas” según  las guías de práctica clínica (GPC) </w:t>
      </w:r>
      <w:r w:rsidRPr="004F56C9">
        <w:rPr>
          <w:rFonts w:ascii="Arial" w:hAnsi="Arial" w:cs="Arial"/>
        </w:rPr>
        <w:fldChar w:fldCharType="begin"/>
      </w:r>
      <w:r w:rsidRPr="004F56C9">
        <w:rPr>
          <w:rFonts w:ascii="Arial" w:hAnsi="Arial" w:cs="Arial"/>
        </w:rPr>
        <w:instrText xml:space="preserve"> ADDIN ZOTERO_ITEM CSL_CITATION {"citationID":"2Yk1ecoz","properties":{"formattedCitation":"(Rodriguez-Martinez et\\uc0\\u160{}al., 2019, 2020a, 2020b)","plainCitation":"(Rodriguez-Martinez et al., 2019, 2020a, 2020b)","noteIndex":0},"citationItems":[{"id":549,"uris":["http://zotero.org/users/local/2poXFmzI/items/IJVND4S5"],"itemData":{"id":549,"type":"article-journal","abstract":"Rationale, aims, and objectives: The aim of the present study was to determine the cost-effectiveness of the utilization of “good practice” according to a bronchiolitis clinical practice guideline (CPG) in a population of infants hospitalized for acute bronchiolitis. Method: A decision-analysis model was developed in order to estimate the cost-effectiveness of the utilization of “good practice” compared with the lack of use of “good practice” according to a bronchiolitis evidence-based CPG. The effectiveness parameters and costs of the model were obtained from electronic medical records. The main outcome was the readmission of the patients within 10 days of post discharge. Results: Compared with lack of “good practice,” the utilization of “good practice” in the diagnosis and management of patients with bronchiolitis was associated with both fewer patients readmitted within 10 days of post discharge (0.88 vs 0.99 on average per patient) and lower costs (US$1529.3 versus $1709.1 average cost per patient), thus leading to dominance. Results were robust to deterministic and probabilistic sensitivity analyses. Conclusions: Compared with lack of “good practice,” the utilization of “good practice” in the diagnosis and management of acute bronchiolitis according to a bronchiolitis CPG is a dominant strategy because it involves both fewer patients readmitted within 10 days of post discharge and lower costs. © 2019 John Wiley &amp; Sons, Ltd.","archive":"Scopus","container-title":"Journal of Evaluation in Clinical Practice","DOI":"10.1111/jep.13157","ISSN":"13561294 (ISSN)","issue":"4","journalAbbreviation":"J. Eval. Clin. Pract.","language":"English","note":"publisher: Blackwell Publishing Ltd","page":"682-688","title":"Cost-effectiveness of the utilization of “good practice” or the lack thereof according to a bronchiolitis evidence-based clinical practice guideline","volume":"25","author":[{"family":"Rodriguez-Martinez","given":"C.E."},{"family":"Sossa-Briceño","given":"M.P."},{"family":"Castro-Rodriguez","given":"J.A."}],"issued":{"date-parts":[["2019"]]}}},{"id":451,"uris":["http://zotero.org/users/local/2poXFmzI/items/MPP9FCSE"],"itemData":{"id":451,"type":"article-journal","abstract":"Objective: Although the efficacy of systemic corticosteroids (SCs) in acute asthma exacerbations is well established, the fact that many children still require admission to hospital and that SCs have a slow onset of action are cause of concern. For this reason, the use of inhaled corticosteroids (ICS) as a therapy added to SCs has been explored, with no clarity about its cost-effectiveness. The aim of the present study was to evaluate the cost-effectiveness of ICS in addition to SCs (ICS + SCs) compared to standard therapy with SCs for treating pediatric asthma exacerbations. Methods: A decision-analysis model was developed to estimate the cost-effectiveness of SCs compared to ICS + SCs for treating pediatric patients with acute asthma exacerbations. Effectiveness parameters were obtained from a systematic review of the literature. Cost data obtained from hospital bills and from the national manual of drug prices. The study was carried out from the perspective of the national healthcare system in Colombia. The main outcome of the model was avoidance of hospital admission. Results: For the base-case analysis, the model showed that compared to SCs, therapy with ICS + SCs was associated with lower total costs (US$88.76 vs.US$97.71 average cost per patient) and a lower probability of hospital admission (0.9060 vs. 0.9000), thus showing dominance. Conclusions: This study shows that compared with standard therapy with SCs, ICS + SCs for treating pediatric patients with acute asthma exacerbations is the preferred strategy because it was associated with a lower probability of hospital admission, at lower total treatment costs. © 2019 Taylor &amp; Francis Group, LLC.","archive":"Scopus","container-title":"Journal of Asthma","DOI":"10.1080/02770903.2019.1628254","ISSN":"02770903 (ISSN)","issue":"9","journalAbbreviation":"J. Asthma","language":"English","note":"publisher: Taylor and Francis Ltd","page":"949-958","title":"Advantage of inhaled corticosteroids as additional therapy to systemic corticosteroids for pediatric acute asthma exacerbations: a cost-effectiveness analysis","volume":"57","author":[{"family":"Rodriguez-Martinez","given":"C.E."},{"family":"Sossa-Briceño","given":"M.P."},{"family":"Castro-Rodriguez","given":"J.A."}],"issued":{"date-parts":[["2020"]]}}},{"id":433,"uris":["http://zotero.org/users/local/2poXFmzI/items/LRJ7JSCV"],"itemData":{"id":433,"type":"article-journal","abstract":"Introduction and objectives: With the aim of making informed decisions on resource allocation, there is a critical need for studies that provide accurate information on hospital costs for treating pediatric asthma exacerbations, mainly in middle-income countries (MICs). The aim of the present study was to evaluate the direct medical costs associated with pediatric asthma exacerbations requiring hospital attendance in Bogota, Colombia. Patients and methods: We reviewed the available electronic medical records (EMRs) for all pediatric patients who were admitted to the Fundacion Hospital de La Misericordia with a discharge principal diagnosis pediatric asthma exacerbation over a 24-month period from January 2016 to December 2017. Direct medical costs of pediatric asthma exacerbations were retrospectively collected by dividing the patients into four groups: those admitted to the emergency department (ED) only; those admitted to the pediatric ward (PW); those admitted to the pediatric intermediate care unit (PIMC); and those admitted to the pediatric intensive care unit (PICU). Results: A total of 252 patients with a median (IQR) age of 5.0 (3.0–7.0) years were analyzed, of whom 142 (56.3%) were males. Overall, the median (IQR) cost of patients treated in the ED, PW, PIMC, and PICU was US$38.8 (21.1–64.1) vs. US$260.5 (113.7–567.4) vs. 1212.4 (717.6–1609.6) vs. 2501.8 (1771.6–3405.0), respectively: this difference was statistically significant (p &lt; 0.001). Conclusions: The present study helps to further our understanding of the economic burden of pediatric asthma exacerbations requiring hospital attendance among pediatric patients in a MIC. © 2019 SEICAP","archive":"Scopus","container-title":"Allergologia et Immunopathologia","DOI":"10.1016/j.aller.2019.06.015","ISSN":"03010546 (ISSN)","issue":"2","journalAbbreviation":"Allergol. Immunopathol.","language":"English","note":"publisher: Elsevier Doyma","page":"142-148","title":"Direct medical costs of pediatric asthma exacerbations requiring hospital attendance in a middle-income country","volume":"48","author":[{"family":"Rodriguez-Martinez","given":"C.E."},{"family":"Sossa-Briceño","given":"M.P."},{"family":"Castro-Rodriguez","given":"J.A."}],"issued":{"date-parts":[["2020"]]}}}],"schema":"https://github.com/citation-style-language/schema/raw/master/csl-citation.json"} </w:instrText>
      </w:r>
      <w:r w:rsidRPr="004F56C9">
        <w:rPr>
          <w:rFonts w:ascii="Arial" w:hAnsi="Arial" w:cs="Arial"/>
        </w:rPr>
        <w:fldChar w:fldCharType="separate"/>
      </w:r>
      <w:r w:rsidRPr="004F56C9">
        <w:rPr>
          <w:rFonts w:ascii="Arial" w:hAnsi="Arial" w:cs="Arial"/>
        </w:rPr>
        <w:t>(Rodriguez-Martinez et al., 2019, 2020a, 2020b)</w:t>
      </w:r>
      <w:r w:rsidRPr="004F56C9">
        <w:rPr>
          <w:rFonts w:ascii="Arial" w:hAnsi="Arial" w:cs="Arial"/>
        </w:rPr>
        <w:fldChar w:fldCharType="end"/>
      </w:r>
      <w:r w:rsidRPr="004F56C9">
        <w:rPr>
          <w:rFonts w:ascii="Arial" w:hAnsi="Arial" w:cs="Arial"/>
        </w:rPr>
        <w:t>.</w:t>
      </w:r>
    </w:p>
    <w:p w14:paraId="39FE8B0D" w14:textId="31930C4C" w:rsidR="00140857" w:rsidRPr="004F56C9" w:rsidRDefault="00140857" w:rsidP="00D920FA">
      <w:pPr>
        <w:spacing w:line="360" w:lineRule="auto"/>
        <w:jc w:val="both"/>
        <w:rPr>
          <w:rFonts w:ascii="Arial" w:hAnsi="Arial" w:cs="Arial"/>
        </w:rPr>
      </w:pPr>
      <w:r w:rsidRPr="004F56C9">
        <w:rPr>
          <w:rFonts w:ascii="Arial" w:hAnsi="Arial" w:cs="Arial"/>
          <w:b/>
          <w:bCs/>
        </w:rPr>
        <w:lastRenderedPageBreak/>
        <w:t xml:space="preserve">Clúster 4 (Carga </w:t>
      </w:r>
      <w:r w:rsidR="00D920FA">
        <w:rPr>
          <w:rFonts w:ascii="Arial" w:hAnsi="Arial" w:cs="Arial"/>
          <w:b/>
          <w:bCs/>
        </w:rPr>
        <w:t>e</w:t>
      </w:r>
      <w:r w:rsidRPr="004F56C9">
        <w:rPr>
          <w:rFonts w:ascii="Arial" w:hAnsi="Arial" w:cs="Arial"/>
          <w:b/>
          <w:bCs/>
        </w:rPr>
        <w:t xml:space="preserve">conómica y de </w:t>
      </w:r>
      <w:r w:rsidR="00D920FA">
        <w:rPr>
          <w:rFonts w:ascii="Arial" w:hAnsi="Arial" w:cs="Arial"/>
          <w:b/>
          <w:bCs/>
        </w:rPr>
        <w:t>s</w:t>
      </w:r>
      <w:r w:rsidRPr="004F56C9">
        <w:rPr>
          <w:rFonts w:ascii="Arial" w:hAnsi="Arial" w:cs="Arial"/>
          <w:b/>
          <w:bCs/>
        </w:rPr>
        <w:t>alud):</w:t>
      </w:r>
      <w:r w:rsidRPr="004F56C9">
        <w:rPr>
          <w:rFonts w:ascii="Arial" w:hAnsi="Arial" w:cs="Arial"/>
        </w:rPr>
        <w:t xml:space="preserve"> este clúster abarca investigaciones relacionadas con el comportamiento de los casos y muertes por cáncer de cuello uterino evitados, los años de vida ajustados por discapacidad (AVAD) y los índices de costo-efectividad incrementales (I$/AVAD) para la vacunación contra el virus del papiloma humano (VPH) de niñas adolescentes en países de América Latina y el Caribe (ALC), estableciendo que si los mecanismos de administración son eficaces pueden lograr altas tasas de cobertura en las adolescentes y la vacunación contra el VPH-16 y 18 proporcionará un valor sanitario similar a los recursos invertidos que otras vacunas nuevas, como la del rotavirus y neumococo </w:t>
      </w:r>
      <w:r w:rsidRPr="004F56C9">
        <w:rPr>
          <w:rFonts w:ascii="Arial" w:hAnsi="Arial" w:cs="Arial"/>
        </w:rPr>
        <w:fldChar w:fldCharType="begin"/>
      </w:r>
      <w:r w:rsidRPr="004F56C9">
        <w:rPr>
          <w:rFonts w:ascii="Arial" w:hAnsi="Arial" w:cs="Arial"/>
        </w:rPr>
        <w:instrText xml:space="preserve"> ADDIN ZOTERO_ITEM CSL_CITATION {"citationID":"yBTDVGRK","properties":{"formattedCitation":"(Alvis-Guzman et\\uc0\\u160{}al., 2013; Goldie et\\uc0\\u160{}al., 2008; Mu\\uc0\\u241{}oz et\\uc0\\u160{}al., 2008)","plainCitation":"(Alvis-Guzman et al., 2013; Goldie et al., 2008; Muñoz et al., 2008)","dontUpdate":true,"noteIndex":0},"citationItems":[{"id":515,"uris":["http://zotero.org/users/local/2poXFmzI/items/AWT36JXS"],"itemData":{"id":515,"type":"article-journal","abstract":"Objective: We estimate treatment costs associated with diarrheal disease and all-cause pneumonia among children under-5 years of age in Colombia and assess similarities or differences with previous cost estimations in developing countries of the Americas. Methods: Macro-costing methods were used to carry out an analysis of diarrhea and all-cause pneumonia costs in Colombia in 2010. The perspective of the health care system was taken. Data were extracted from a health insurer database that includes information on health service utilization among 130,800 children from low-income households. Lengths of stay for hospital admissions and frequencies of cases at all levels of care registered in the database were estimated. Results: There were 1456 diarrheal disease cases among the 130,800 children (aged ≥60 months) included in the study. The median cost per case was $27.10 (interquartile range [IQR]: $15.60-77.40). A total of 1545 all-cause pneumonia cases were reported to the insurer in 2010, resulting in a frequency of 1181 cases per 100,000 children (95% confidence interval [CI]. = 1122, 1240). The overall cost of all-cause pneumonia cases was $858,791, and the median cost per case treated was $263 (IQR: $27-546). Comparisons by level of care showed that costs were significantly different for the two diseases ( p&lt;. .05). Costs for the diseases did not differ by age group ( p&gt;. .05). Conclusions: Diarrhea and all-cause pneumonia constitute a significant economic and health burden in Colombia. The relatively large size of our sample allowed us to provide reliable national estimates of the costs associated with these diseases. Our results for Colombia are similar to previous estimates from developing countries in the Americas. These data provide valid estimates that may be used decision makers in other countries to make appropriate recommendations on the introduction of rotavirus and pneumococcal vaccines. © 2013 Elsevier Ltd.","archive":"Scopus","container-title":"Vaccine","DOI":"10.1016/j.vaccine.2013.05.035","ISSN":"18732518 (ISSN)","issue":"SUPPL.3","journalAbbreviation":"Vaccine","language":"English","page":"C58-C62","title":"Treatment costs of diarrheal disease and all-cause pneumonia among children under-5 years of age in Colombia","volume":"31","author":[{"family":"Alvis-Guzman","given":"N."},{"family":"Orozco-Africano","given":"J."},{"family":"Paternina-Caicedo","given":"A."},{"family":"Coronell-Rodríguez","given":"W."},{"family":"Alvis-Estrada","given":"L."},{"family":"Jervis-Jálabe","given":"D."},{"family":"De la Hoz-Restrepo","given":"F."}],"issued":{"date-parts":[["2013"]]}},"label":"page"},{"id":509,"uris":["http://zotero.org/users/local/2poXFmzI/items/2QA25M92"],"itemData":{"id":509,"type":"article-journal","abstract":"Using population and epidemiologic data for 33 countries in Latin America and the Caribbean (LAC), a model-based approach estimated averted cervical cancer cases and deaths, disability-adjusted life years (DALYs) and incremental cost-effectiveness ratios (I$/DALY averted) for human papillomavirus (HPV) vaccination of young adolescent girls. Absolute reduction in lifetime cancer risk varied between countries, depending on incidence, proportion attributable to HPV-16 and 18, and population age-structure; for example, with 70% coverage, cancer reduction ranged from 40% in Mexico to more than 50% in Argentina. Screening of women over age 30 three times per lifetime, after vaccinating them as pre-adolescents, is expected to provide a relative increase of 25% to 30% in mortality reduction. Countries with the highest risk of cancer (age-standardized rate &gt; 33.6) accounted for only 34% of deaths averted with vaccination, highlighting why a regional universal vaccination approach will be most effective in reducing the overall global burden. At I$25 per vaccinated girl ($5 per dose), for all 33 countries, the cost per DALY averted is less than I$400; at I$10 ($2 per dose) the vaccine is cost saving in 26 out of 33 countries. For all countries, ratios become less attractive (i.e., increase) as the cost of the vaccine increases. For example, at current vaccine prices ($120 per dose), the cost per DALY averted is I$7,300 in Mexico, I$3,700 in Nicaragua, and I$6,300 in Costa Rica. Vaccine price has an even greater effect on predicted affordability. For the 33 countries, vaccinating 5 consecutive birth cohorts at 70% coverage would cost $360 million at $5.00 per dose, $811 million at $12.25 per dose, and $1.26 billion at $19.50 per dose. In the LAC region, if effective delivery mechanisms can achieve high coverage rates in young adolescent girls, vaccination against HPV-16 and 18 will provide similar health value for resources invested as other new vaccines such as rotavirus. If the cost per vaccinated girl is less than I$25 HPV-16/18 vaccination would be very cost-effective in all 33 countries; for it to be affordable, costs may need to be lower. © 2008 Elsevier Ltd. All rights reserved.","archive":"Scopus","container-title":"Vaccine","DOI":"10.1016/j.vaccine.2008.05.063","ISSN":"0264410X (ISSN)","issue":"SUPPL. 11","journalAbbreviation":"Vaccine","language":"English","page":"L59-L72","title":"Mathematical Models of Cervical Cancer Prevention in Latin America and the Caribbean","volume":"26","author":[{"family":"Goldie","given":"S.J."},{"family":"Diaz","given":"M."},{"family":"Constenla","given":"D."},{"family":"Alvis","given":"N."},{"family":"Andrus","given":"J.K."},{"family":"Kim","given":"S.-Y."}],"issued":{"date-parts":[["2008"]]}},"label":"page"},{"id":557,"uris":["http://zotero.org/users/local/2poXFmzI/items/FY2K5ZNA"],"itemData":{"id":557,"type":"article-journal","abstract":"Cervical cancer control in the Latin America and Caribbean (LAC) region has been, and remains, a priority and a major public health challenge. It also provides the opportunity for the advancement of research into novel cervical cancer preventative tools including the use of prophylactic human papillomavirus (HPV) vaccines, HPV-based screening options and low technology visual inspection methods. The challenges for prevention are compounded because cervical cancer cases continue to cluster in the low socio-economic and rural populations, thus requiring strong political and social commitments to ensure effective implementation in the region. Although cytology-based screening activities exist in the majority of LAC countries, these have been largely based on opportunistic screening services. Evaluation of the impact of screening is often focused on assessing coverage of the population with Pap smears. However, regardless of the chosen technology a screening program requires a complex set of activities that must also be of high quality such us ensuring access of the underserved populations to the program, maintaining routine quality controls of the screening procedures and organizing the proper follow-up of women with abnormal screening results. The cost of the HPV vaccine and of the delivery infrastructure required is currently a significant obstacle for widespread introduction that will require collaborative resolve between public health organizations, governments and vaccine manufacturers. It is important to ensure that HPV vaccines are made available to the wider public, not only to those who can afford it. This monograph and the associated regional reports have carefully identified and discussed the many challenges and opportunities to be considered for policy decisions, in particular the complex interplay between vaccination strategies and subsequent screening requirements. An advanced cost-benefit analysis, using models calibrated to specific countries in the region, presents the range of options and relative costs thus providing evidence-based scientific guidance to governments and providers in the context of a significant and systematic international review effort. © 2008 Elsevier Ltd.","archive":"Scopus","container-title":"Vaccine","DOI":"10.1016/j.vaccine.2008.05.062","ISSN":"0264410X (ISSN)","issue":"SUPPL. 11","journalAbbreviation":"Vaccine","language":"English","page":"L96-L107","title":"Recommendations for Cervical Cancer Prevention in Latin America and the Caribbean","volume":"26","author":[{"family":"Muñoz","given":"N."},{"family":"Franco","given":"E.L."},{"family":"Herrero","given":"R."},{"family":"Andrus","given":"J.K."},{"family":"Quadros","given":"C.","non-dropping-particle":"de"},{"family":"Goldie","given":"S.J."},{"family":"Bosch","given":"F.X."}],"issued":{"date-parts":[["2008"]]}},"label":"page"}],"schema":"https://github.com/citation-style-language/schema/raw/master/csl-citation.json"} </w:instrText>
      </w:r>
      <w:r w:rsidRPr="004F56C9">
        <w:rPr>
          <w:rFonts w:ascii="Arial" w:hAnsi="Arial" w:cs="Arial"/>
        </w:rPr>
        <w:fldChar w:fldCharType="separate"/>
      </w:r>
      <w:r w:rsidRPr="004F56C9">
        <w:rPr>
          <w:rFonts w:ascii="Arial" w:hAnsi="Arial" w:cs="Arial"/>
        </w:rPr>
        <w:t>(Alvis-Guzmán et al., 2013; Goldie et al., 2008; Muñoz et al., 2008)</w:t>
      </w:r>
      <w:r w:rsidRPr="004F56C9">
        <w:rPr>
          <w:rFonts w:ascii="Arial" w:hAnsi="Arial" w:cs="Arial"/>
        </w:rPr>
        <w:fldChar w:fldCharType="end"/>
      </w:r>
      <w:r w:rsidRPr="004F56C9">
        <w:rPr>
          <w:rFonts w:ascii="Arial" w:hAnsi="Arial" w:cs="Arial"/>
        </w:rPr>
        <w:t xml:space="preserve">. </w:t>
      </w:r>
    </w:p>
    <w:p w14:paraId="7C927F36" w14:textId="77777777" w:rsidR="00D920FA" w:rsidRDefault="00D920FA" w:rsidP="00D920FA">
      <w:pPr>
        <w:spacing w:line="360" w:lineRule="auto"/>
        <w:jc w:val="both"/>
        <w:rPr>
          <w:rFonts w:ascii="Arial" w:hAnsi="Arial" w:cs="Arial"/>
          <w:b/>
          <w:bCs/>
        </w:rPr>
      </w:pPr>
    </w:p>
    <w:p w14:paraId="75295586" w14:textId="4CC8C7DC" w:rsidR="00140857" w:rsidRPr="00DD19F9" w:rsidRDefault="00140857" w:rsidP="00D920FA">
      <w:pPr>
        <w:spacing w:line="360" w:lineRule="auto"/>
        <w:jc w:val="both"/>
        <w:rPr>
          <w:rFonts w:ascii="Arial" w:hAnsi="Arial" w:cs="Arial"/>
        </w:rPr>
      </w:pPr>
      <w:r w:rsidRPr="004F56C9">
        <w:rPr>
          <w:rFonts w:ascii="Arial" w:hAnsi="Arial" w:cs="Arial"/>
          <w:b/>
          <w:bCs/>
        </w:rPr>
        <w:t xml:space="preserve">Clúster 5 (Tercer </w:t>
      </w:r>
      <w:r w:rsidR="00D920FA">
        <w:rPr>
          <w:rFonts w:ascii="Arial" w:hAnsi="Arial" w:cs="Arial"/>
          <w:b/>
          <w:bCs/>
        </w:rPr>
        <w:t>p</w:t>
      </w:r>
      <w:r w:rsidRPr="004F56C9">
        <w:rPr>
          <w:rFonts w:ascii="Arial" w:hAnsi="Arial" w:cs="Arial"/>
          <w:b/>
          <w:bCs/>
        </w:rPr>
        <w:t>agador):</w:t>
      </w:r>
      <w:r w:rsidRPr="004F56C9">
        <w:rPr>
          <w:rFonts w:ascii="Arial" w:hAnsi="Arial" w:cs="Arial"/>
        </w:rPr>
        <w:t xml:space="preserve"> este clúster se estudia el papel del tercer pagador a través del análisis de costo-efectividad de la colecistectomía abierta y de la laparoscópica, y la precisión diagnóstica de la prueba de diagnóstico rápido SD </w:t>
      </w:r>
      <w:proofErr w:type="spellStart"/>
      <w:r w:rsidRPr="004F56C9">
        <w:rPr>
          <w:rFonts w:ascii="Arial" w:hAnsi="Arial" w:cs="Arial"/>
        </w:rPr>
        <w:t>Bioline</w:t>
      </w:r>
      <w:proofErr w:type="spellEnd"/>
      <w:r w:rsidRPr="004F56C9">
        <w:rPr>
          <w:rFonts w:ascii="Arial" w:hAnsi="Arial" w:cs="Arial"/>
        </w:rPr>
        <w:t xml:space="preserve"> Malaria </w:t>
      </w:r>
      <w:proofErr w:type="spellStart"/>
      <w:r w:rsidRPr="004F56C9">
        <w:rPr>
          <w:rFonts w:ascii="Arial" w:hAnsi="Arial" w:cs="Arial"/>
        </w:rPr>
        <w:t>Antigen</w:t>
      </w:r>
      <w:proofErr w:type="spellEnd"/>
      <w:r w:rsidRPr="004F56C9">
        <w:rPr>
          <w:rFonts w:ascii="Arial" w:hAnsi="Arial" w:cs="Arial"/>
        </w:rPr>
        <w:t xml:space="preserve"> </w:t>
      </w:r>
      <w:proofErr w:type="spellStart"/>
      <w:r w:rsidRPr="004F56C9">
        <w:rPr>
          <w:rFonts w:ascii="Arial" w:hAnsi="Arial" w:cs="Arial"/>
        </w:rPr>
        <w:t>Pf</w:t>
      </w:r>
      <w:proofErr w:type="spellEnd"/>
      <w:r w:rsidRPr="004F56C9">
        <w:rPr>
          <w:rFonts w:ascii="Arial" w:hAnsi="Arial" w:cs="Arial"/>
        </w:rPr>
        <w:t>/</w:t>
      </w:r>
      <w:proofErr w:type="spellStart"/>
      <w:r w:rsidRPr="004F56C9">
        <w:rPr>
          <w:rFonts w:ascii="Arial" w:hAnsi="Arial" w:cs="Arial"/>
        </w:rPr>
        <w:t>Pv</w:t>
      </w:r>
      <w:proofErr w:type="spellEnd"/>
      <w:r w:rsidRPr="004F56C9">
        <w:rPr>
          <w:rFonts w:ascii="Arial" w:hAnsi="Arial" w:cs="Arial"/>
        </w:rPr>
        <w:t xml:space="preserve"> ®, comparando el diagnóstico con la gota gruesa corregida por reacción en cadena de la polimerasa (PCR) </w:t>
      </w:r>
      <w:r w:rsidRPr="00DD19F9">
        <w:rPr>
          <w:rFonts w:ascii="Arial" w:hAnsi="Arial" w:cs="Arial"/>
        </w:rPr>
        <w:fldChar w:fldCharType="begin"/>
      </w:r>
      <w:r w:rsidRPr="00DD19F9">
        <w:rPr>
          <w:rFonts w:ascii="Arial" w:hAnsi="Arial" w:cs="Arial"/>
        </w:rPr>
        <w:instrText xml:space="preserve"> ADDIN ZOTERO_ITEM CSL_CITATION {"citationID":"CGPx3BKF","properties":{"formattedCitation":"(Fajardo et\\uc0\\u160{}al., 2011; Mendoza et\\uc0\\u160{}al., 2013)","plainCitation":"(Fajardo et al., 2011; Mendoza et al., 2013)","noteIndex":0},"citationItems":[{"id":1019,"uris":["http://zotero.org/users/local/2poXFmzI/items/4792KC7J"],"itemData":{"id":1019,"type":"article-journal","container-title":"Biomédica","DOI":"10.7705/biomedica.v31i4.405","ISSN":"0120-4157","issue":"4","journalAbbreviation":"biomedica","page":"514","source":"DOI.org (Crossref)","title":"Costo-efectividad de la colecistectomía laparoscópica y de la abierta en una muestra de población colombiana","volume":"31","author":[{"family":"Fajardo","given":"Roosevelt"},{"family":"Valenzuela","given":"José Ignacio"},{"family":"Olaya","given":"Sandra Catalina"},{"family":"Quintero","given":"Gustavo"},{"family":"Carrasquilla","given":"Gabriel"},{"family":"Pinzón","given":"Carlos Eduardo"},{"family":"López","given":"Catalina"},{"family":"Ramírez","given":"Juan Camilo"}],"issued":{"date-parts":[["2011",6,30]]}}},{"id":1017,"uris":["http://zotero.org/users/local/2poXFmzI/items/H8NPY6UL"],"itemData":{"id":1017,"type":"article-journal","container-title":"Biomédica","DOI":"10.7705/biomedica.v33i4.1464","ISSN":"0120-4157","issue":"4","journalAbbreviation":"biomedica","source":"DOI.org (Crossref)","title":"Evaluación de campo de la precisión diagnóstica de la prueba de diagnóstico rápido SD Bioline Malaria Antigen Pf/Pv® en Colombia","URL":"http://www.revistabiomedica.org/index.php/biomedica/article/view/1464","volume":"33","author":[{"family":"Mendoza","given":"Nohora Marcela"},{"family":"Cucunubá","given":"Zulma Milena"},{"family":"Aponte","given":"Samanda"},{"family":"Gonzalez","given":"Nohora Elizabeth"},{"family":"Bernal","given":"Sindy Durley"}],"accessed":{"date-parts":[["2024",3,15]]},"issued":{"date-parts":[["2013",5,27]]}}}],"schema":"https://github.com/citation-style-language/schema/raw/master/csl-citation.json"} </w:instrText>
      </w:r>
      <w:r w:rsidRPr="00DD19F9">
        <w:rPr>
          <w:rFonts w:ascii="Arial" w:hAnsi="Arial" w:cs="Arial"/>
        </w:rPr>
        <w:fldChar w:fldCharType="separate"/>
      </w:r>
      <w:r w:rsidRPr="00DD19F9">
        <w:rPr>
          <w:rFonts w:ascii="Arial" w:hAnsi="Arial" w:cs="Arial"/>
        </w:rPr>
        <w:t>(Fajardo et al., 2011; Mendoza et al., 2013)</w:t>
      </w:r>
      <w:r w:rsidRPr="00DD19F9">
        <w:rPr>
          <w:rFonts w:ascii="Arial" w:hAnsi="Arial" w:cs="Arial"/>
        </w:rPr>
        <w:fldChar w:fldCharType="end"/>
      </w:r>
      <w:r w:rsidRPr="00DD19F9">
        <w:rPr>
          <w:rFonts w:ascii="Arial" w:hAnsi="Arial" w:cs="Arial"/>
        </w:rPr>
        <w:t>.</w:t>
      </w:r>
    </w:p>
    <w:p w14:paraId="3ECA0C92" w14:textId="77777777" w:rsidR="004F56C9" w:rsidRPr="00DD19F9" w:rsidRDefault="004F56C9" w:rsidP="00140857">
      <w:pPr>
        <w:spacing w:line="360" w:lineRule="auto"/>
        <w:ind w:firstLine="709"/>
        <w:jc w:val="both"/>
        <w:rPr>
          <w:rFonts w:ascii="Arial" w:hAnsi="Arial" w:cs="Arial"/>
        </w:rPr>
      </w:pPr>
    </w:p>
    <w:p w14:paraId="4DC2F3C9" w14:textId="66FCA034" w:rsidR="00140857" w:rsidRPr="00DD19F9" w:rsidRDefault="00140857" w:rsidP="00140857">
      <w:pPr>
        <w:spacing w:line="360" w:lineRule="auto"/>
        <w:ind w:firstLine="709"/>
        <w:rPr>
          <w:rFonts w:ascii="Arial" w:hAnsi="Arial" w:cs="Arial"/>
          <w:b/>
          <w:bCs/>
        </w:rPr>
      </w:pPr>
      <w:r w:rsidRPr="00DD19F9">
        <w:rPr>
          <w:rFonts w:ascii="Arial" w:hAnsi="Arial" w:cs="Arial"/>
          <w:b/>
          <w:bCs/>
        </w:rPr>
        <w:t>Futuras Líneas de Investigación</w:t>
      </w:r>
    </w:p>
    <w:bookmarkEnd w:id="5"/>
    <w:p w14:paraId="049ADFB5" w14:textId="21B27E45" w:rsidR="00627E00" w:rsidRPr="00DD19F9" w:rsidRDefault="00627E00" w:rsidP="00140857">
      <w:pPr>
        <w:spacing w:line="360" w:lineRule="auto"/>
        <w:ind w:firstLine="709"/>
        <w:rPr>
          <w:rFonts w:ascii="Arial" w:hAnsi="Arial" w:cs="Arial"/>
          <w:b/>
          <w:bCs/>
        </w:rPr>
      </w:pPr>
    </w:p>
    <w:p w14:paraId="0BD73F94" w14:textId="77777777" w:rsidR="00DD19F9" w:rsidRPr="00DD19F9" w:rsidRDefault="00DD19F9" w:rsidP="00DD19F9">
      <w:pPr>
        <w:spacing w:line="360" w:lineRule="auto"/>
        <w:jc w:val="both"/>
        <w:rPr>
          <w:rFonts w:ascii="Arial" w:hAnsi="Arial" w:cs="Arial"/>
        </w:rPr>
      </w:pPr>
      <w:r w:rsidRPr="00DD19F9">
        <w:rPr>
          <w:rFonts w:ascii="Arial" w:hAnsi="Arial" w:cs="Arial"/>
        </w:rPr>
        <w:t xml:space="preserve">Para la identificación de las futuras líneas de investigación relacionadas a la economía de la salud en Colombia, se llevó a cabo la revisión cualitativa de los 5 </w:t>
      </w:r>
      <w:r w:rsidRPr="00DD19F9">
        <w:rPr>
          <w:rFonts w:ascii="Arial" w:hAnsi="Arial" w:cs="Arial"/>
        </w:rPr>
        <w:lastRenderedPageBreak/>
        <w:t>documentos más recientes contenidos en SCOPUS del año 2023. A continuación, se indican los resultados obtenidos:</w:t>
      </w:r>
    </w:p>
    <w:p w14:paraId="7F7DD04E" w14:textId="77777777" w:rsidR="00DD19F9" w:rsidRDefault="00DD19F9" w:rsidP="00DD19F9">
      <w:pPr>
        <w:spacing w:line="360" w:lineRule="auto"/>
        <w:jc w:val="both"/>
        <w:rPr>
          <w:rFonts w:ascii="Arial" w:hAnsi="Arial" w:cs="Arial"/>
        </w:rPr>
      </w:pPr>
    </w:p>
    <w:p w14:paraId="5BAEB867" w14:textId="378EE1EB" w:rsidR="00DD19F9" w:rsidRPr="00DD19F9" w:rsidRDefault="00DD19F9" w:rsidP="00DD19F9">
      <w:pPr>
        <w:spacing w:line="360" w:lineRule="auto"/>
        <w:jc w:val="both"/>
        <w:rPr>
          <w:rFonts w:ascii="Arial" w:hAnsi="Arial" w:cs="Arial"/>
        </w:rPr>
      </w:pPr>
      <w:r w:rsidRPr="00DD19F9">
        <w:rPr>
          <w:rFonts w:ascii="Arial" w:hAnsi="Arial" w:cs="Arial"/>
        </w:rPr>
        <w:t xml:space="preserve">El análisis de costo-utilidad de la suplementación con vitamina D para prevenir infecciones respiratorias agudas en niños demuestra ser una estrategia rentable desde una perspectiva social. </w:t>
      </w:r>
      <w:r w:rsidRPr="00DD19F9">
        <w:rPr>
          <w:rFonts w:ascii="Arial" w:hAnsi="Arial" w:cs="Arial"/>
          <w:bCs/>
        </w:rPr>
        <w:t>Esta evidencia orientará a los responsables de políticas hacia una utilización más eficiente de los recursos de salud</w:t>
      </w:r>
      <w:r w:rsidRPr="00DD19F9">
        <w:rPr>
          <w:rFonts w:ascii="Arial" w:hAnsi="Arial" w:cs="Arial"/>
        </w:rPr>
        <w:t xml:space="preserve"> </w:t>
      </w:r>
      <w:r w:rsidRPr="00DD19F9">
        <w:rPr>
          <w:rFonts w:ascii="Arial" w:hAnsi="Arial" w:cs="Arial"/>
        </w:rPr>
        <w:fldChar w:fldCharType="begin"/>
      </w:r>
      <w:r w:rsidRPr="00DD19F9">
        <w:rPr>
          <w:rFonts w:ascii="Arial" w:hAnsi="Arial" w:cs="Arial"/>
        </w:rPr>
        <w:instrText xml:space="preserve"> ADDIN ZOTERO_ITEM CSL_CITATION {"citationID":"IkL2rAbu","properties":{"formattedCitation":"(Buend\\uc0\\u237{}a &amp; Pati\\uc0\\u241{}o, 2023b)","plainCitation":"(Buendía &amp; Patiño, 2023b)","noteIndex":0},"citationItems":[{"id":373,"uris":["http://zotero.org/users/local/2poXFmzI/items/CWIMGV4M"],"itemData":{"id":373,"type":"article-journal","abstract":"Introduction: Increasing evidence has demonstrated the effectiveness and safety of vitamin D supplementation to prevent acute respiratory infections in children. More economic evaluations incorporating the new evidence and in the pediatric population are needed to know the efficiency of this treatment. This study aimed to determine the cost-utility of vitamin D supplementation to prevent acute respiratory infections in pediatric patients. Methods: A decision tree model was used to estimate the cost and quality-adjusted life-years (QALYs) of vitamin D supplementation in healthy school children between 1 and 16 years. Multiple sensitivity analyses were conducted. Cost-effectiveness was evaluated at a willingness-to-pay (WTP) value of $19,000. Results: The base-case analysis showed that vitamin D supplementation was associated with lower costs and higher QALYs than strategy without this supplementation. The QALYs per person estimated in the model for those treatments were 0,99 with vitamin D supplementation and 0,98 without vitamin D supplementation. The total costs per person were US$ 1354 for vitamin D supplementation and US$ 1948 without vitamin D supplementation. This position of absolute dominance of vitamin D supplementation makes it unnecessary to estimate the incremental cost-effectiveness ratio. Conclusion: In conclusion, our study shows that Vitamin D supplementation is a cost-effective strategy to prevent ARI in pediatric patients, from a societal perspective. © 2023, The Author(s).","archive":"Scopus","container-title":"Cost Effectiveness and Resource Allocation","DOI":"10.1186/s12962-023-00433-z","ISSN":"14787547 (ISSN)","issue":"1","journalAbbreviation":"Cost Eff. Resour. Allocat.","language":"English","note":"publisher: BioMed Central Ltd","title":"Cost-utility of vitamin D supplementation to prevent acute respiratory infections in children","URL":"https://www.scopus.com/inward/record.uri?eid=2-s2.0-85152681209&amp;doi=10.1186%2fs12962-023-00433-z&amp;partnerID=40&amp;md5=9eda77ba7700c9c2b9e4d4b712adf14b","volume":"21","author":[{"family":"Buendía","given":"J.A."},{"family":"Patiño","given":"D.G."}],"issued":{"date-parts":[["2023"]]}}}],"schema":"https://github.com/citation-style-language/schema/raw/master/csl-citation.json"} </w:instrText>
      </w:r>
      <w:r w:rsidRPr="00DD19F9">
        <w:rPr>
          <w:rFonts w:ascii="Arial" w:hAnsi="Arial" w:cs="Arial"/>
        </w:rPr>
        <w:fldChar w:fldCharType="separate"/>
      </w:r>
      <w:r w:rsidRPr="00DD19F9">
        <w:rPr>
          <w:rFonts w:ascii="Arial" w:hAnsi="Arial" w:cs="Arial"/>
        </w:rPr>
        <w:t>(Buendía &amp; Patiño, 2023b)</w:t>
      </w:r>
      <w:r w:rsidRPr="00DD19F9">
        <w:rPr>
          <w:rFonts w:ascii="Arial" w:hAnsi="Arial" w:cs="Arial"/>
        </w:rPr>
        <w:fldChar w:fldCharType="end"/>
      </w:r>
      <w:r w:rsidRPr="00DD19F9">
        <w:rPr>
          <w:rFonts w:ascii="Arial" w:hAnsi="Arial" w:cs="Arial"/>
        </w:rPr>
        <w:t>.</w:t>
      </w:r>
    </w:p>
    <w:p w14:paraId="48D6E85C" w14:textId="77777777" w:rsidR="00DD19F9" w:rsidRDefault="00DD19F9" w:rsidP="00DD19F9">
      <w:pPr>
        <w:spacing w:line="360" w:lineRule="auto"/>
        <w:jc w:val="both"/>
        <w:rPr>
          <w:rFonts w:ascii="Arial" w:hAnsi="Arial" w:cs="Arial"/>
        </w:rPr>
      </w:pPr>
    </w:p>
    <w:p w14:paraId="58E524A1" w14:textId="18AD3BAC" w:rsidR="00DD19F9" w:rsidRPr="00DD19F9" w:rsidRDefault="00DD19F9" w:rsidP="00DD19F9">
      <w:pPr>
        <w:spacing w:line="360" w:lineRule="auto"/>
        <w:jc w:val="both"/>
        <w:rPr>
          <w:rFonts w:ascii="Arial" w:hAnsi="Arial" w:cs="Arial"/>
        </w:rPr>
      </w:pPr>
      <w:r w:rsidRPr="00DD19F9">
        <w:rPr>
          <w:rFonts w:ascii="Arial" w:hAnsi="Arial" w:cs="Arial"/>
        </w:rPr>
        <w:t xml:space="preserve">El estudio de coste-efectividad de los corticosteroides como terapia complementaria para niños con neumonía por </w:t>
      </w:r>
      <w:proofErr w:type="spellStart"/>
      <w:r w:rsidRPr="00DD19F9">
        <w:rPr>
          <w:rFonts w:ascii="Arial" w:hAnsi="Arial" w:cs="Arial"/>
        </w:rPr>
        <w:t>Mycoplasma</w:t>
      </w:r>
      <w:proofErr w:type="spellEnd"/>
      <w:r w:rsidRPr="00DD19F9">
        <w:rPr>
          <w:rFonts w:ascii="Arial" w:hAnsi="Arial" w:cs="Arial"/>
        </w:rPr>
        <w:t xml:space="preserve"> </w:t>
      </w:r>
      <w:proofErr w:type="spellStart"/>
      <w:r w:rsidRPr="00DD19F9">
        <w:rPr>
          <w:rFonts w:ascii="Arial" w:hAnsi="Arial" w:cs="Arial"/>
        </w:rPr>
        <w:t>pneumoniae</w:t>
      </w:r>
      <w:proofErr w:type="spellEnd"/>
      <w:r w:rsidRPr="00DD19F9">
        <w:rPr>
          <w:rFonts w:ascii="Arial" w:hAnsi="Arial" w:cs="Arial"/>
        </w:rPr>
        <w:t xml:space="preserve">, que presentan síntomas persistentes tras recibir tratamiento estándar con macrólidos durante al menos una semana, muestra que es una opción rentable. </w:t>
      </w:r>
      <w:r w:rsidRPr="00DD19F9">
        <w:rPr>
          <w:rFonts w:ascii="Arial" w:hAnsi="Arial" w:cs="Arial"/>
          <w:bCs/>
        </w:rPr>
        <w:t>Los autores sugieren que la evaluación de esta terapia se extienda a otros países</w:t>
      </w:r>
      <w:r w:rsidRPr="00DD19F9">
        <w:rPr>
          <w:rFonts w:ascii="Arial" w:hAnsi="Arial" w:cs="Arial"/>
        </w:rPr>
        <w:t xml:space="preserve"> </w:t>
      </w:r>
      <w:r w:rsidRPr="00DD19F9">
        <w:rPr>
          <w:rFonts w:ascii="Arial" w:hAnsi="Arial" w:cs="Arial"/>
        </w:rPr>
        <w:fldChar w:fldCharType="begin"/>
      </w:r>
      <w:r w:rsidRPr="00DD19F9">
        <w:rPr>
          <w:rFonts w:ascii="Arial" w:hAnsi="Arial" w:cs="Arial"/>
        </w:rPr>
        <w:instrText xml:space="preserve"> ADDIN ZOTERO_ITEM CSL_CITATION {"citationID":"C9qjmdjP","properties":{"formattedCitation":"(Buend\\uc0\\u237{}a &amp; Pati\\uc0\\u241{}o, 2023a)","plainCitation":"(Buendía &amp; Patiño, 2023a)","noteIndex":0},"citationItems":[{"id":381,"uris":["http://zotero.org/users/local/2poXFmzI/items/JA4834E8"],"itemData":{"id":381,"type":"article-journal","abstract":"Introduction: Increasing evidence has demonstrated the effectiveness and safety of corticosteroids in community-acquired pneumonia in children. More economic evaluations incorporating the new evidence and in the pediatric population are needed to know the efficiency of this treatment. This study aimed to evaluate the cost utility of the use of corticosteroids as adjuvant treatment for children with Mycoplasma pneumonia. Methods: A decision tree model was used to estimate the cost and quality adjusted life years (QALY) associated with cost-effectiveness as an adjunct treatment for children with Mycoplasma pneumonia with persistent signs after standard treatment with macrolide drugs for ≥1 week. Multiple sensitivity analyses were conducted. Results: The QALYs per person estimated in the model for those treatments were 0.92 with corticosteroids plus antibiotics and 0.91 with antibiotics. The total costs per person were US$965 for corticosteroids plus antibiotics and US$1271 for antibiotics. This position of absolute dominance of corticosteroids plus antibiotics over antibiotics makes it unnecessary to estimate the incremental cost-effectiveness ratio. Conclusion: Corticosteroids are cost-effective as an adjunct treatment for children with Mycoplasma pneumoniae pneumonia with persistent signs after standard treatment with macrolide drugs for ≥1 week. Our evidence should motivate the evaluation of this treatment in other countries. © 2023 Wiley Periodicals LLC.","archive":"Scopus","container-title":"Pediatric Pulmonology","DOI":"10.1002/ppul.26592","ISSN":"87556863 (ISSN)","issue":"10","journalAbbreviation":"Pediatr. Pulmonol.","language":"English","note":"publisher: John Wiley and Sons Inc","page":"2809-2814","title":"Corticosteroids for the treatment of respiratory infection by Mycoplasma pneumoniae in children: A cost-utility analysis","volume":"58","author":[{"family":"Buendía","given":"J.A."},{"family":"Patiño","given":"D.G."}],"issued":{"date-parts":[["2023"]]}}}],"schema":"https://github.com/citation-style-language/schema/raw/master/csl-citation.json"} </w:instrText>
      </w:r>
      <w:r w:rsidRPr="00DD19F9">
        <w:rPr>
          <w:rFonts w:ascii="Arial" w:hAnsi="Arial" w:cs="Arial"/>
        </w:rPr>
        <w:fldChar w:fldCharType="separate"/>
      </w:r>
      <w:r w:rsidRPr="00DD19F9">
        <w:rPr>
          <w:rFonts w:ascii="Arial" w:hAnsi="Arial" w:cs="Arial"/>
        </w:rPr>
        <w:t>(Buendía &amp; Patiño, 2023a)</w:t>
      </w:r>
      <w:r w:rsidRPr="00DD19F9">
        <w:rPr>
          <w:rFonts w:ascii="Arial" w:hAnsi="Arial" w:cs="Arial"/>
        </w:rPr>
        <w:fldChar w:fldCharType="end"/>
      </w:r>
      <w:r w:rsidRPr="00DD19F9">
        <w:rPr>
          <w:rFonts w:ascii="Arial" w:hAnsi="Arial" w:cs="Arial"/>
        </w:rPr>
        <w:t>.</w:t>
      </w:r>
    </w:p>
    <w:p w14:paraId="5BE5C4E5" w14:textId="77777777" w:rsidR="00DD19F9" w:rsidRDefault="00DD19F9" w:rsidP="00DD19F9">
      <w:pPr>
        <w:spacing w:line="360" w:lineRule="auto"/>
        <w:jc w:val="both"/>
        <w:rPr>
          <w:rFonts w:ascii="Arial" w:hAnsi="Arial" w:cs="Arial"/>
        </w:rPr>
      </w:pPr>
    </w:p>
    <w:p w14:paraId="14C66F5D" w14:textId="39AD1AE7" w:rsidR="007215EF" w:rsidRDefault="00DD19F9" w:rsidP="00DD19F9">
      <w:pPr>
        <w:spacing w:line="360" w:lineRule="auto"/>
        <w:jc w:val="both"/>
        <w:rPr>
          <w:rFonts w:ascii="Arial" w:hAnsi="Arial" w:cs="Arial"/>
        </w:rPr>
      </w:pPr>
      <w:r w:rsidRPr="00DD19F9">
        <w:rPr>
          <w:rFonts w:ascii="Arial" w:hAnsi="Arial" w:cs="Arial"/>
        </w:rPr>
        <w:t xml:space="preserve">El análisis de coste-efectividad del </w:t>
      </w:r>
      <w:proofErr w:type="spellStart"/>
      <w:r w:rsidRPr="00DD19F9">
        <w:rPr>
          <w:rFonts w:ascii="Arial" w:hAnsi="Arial" w:cs="Arial"/>
        </w:rPr>
        <w:t>sildenafil</w:t>
      </w:r>
      <w:proofErr w:type="spellEnd"/>
      <w:r w:rsidRPr="00DD19F9">
        <w:rPr>
          <w:rFonts w:ascii="Arial" w:hAnsi="Arial" w:cs="Arial"/>
        </w:rPr>
        <w:t xml:space="preserve"> y el </w:t>
      </w:r>
      <w:proofErr w:type="spellStart"/>
      <w:r w:rsidRPr="00DD19F9">
        <w:rPr>
          <w:rFonts w:ascii="Arial" w:hAnsi="Arial" w:cs="Arial"/>
        </w:rPr>
        <w:t>tadalafilo</w:t>
      </w:r>
      <w:proofErr w:type="spellEnd"/>
      <w:r w:rsidRPr="00DD19F9">
        <w:rPr>
          <w:rFonts w:ascii="Arial" w:hAnsi="Arial" w:cs="Arial"/>
        </w:rPr>
        <w:t xml:space="preserve"> en el tratamiento de niños con hipertensión arterial pulmonar (HAP) en Colombia revela que el </w:t>
      </w:r>
      <w:proofErr w:type="spellStart"/>
      <w:r w:rsidRPr="00DD19F9">
        <w:rPr>
          <w:rFonts w:ascii="Arial" w:hAnsi="Arial" w:cs="Arial"/>
        </w:rPr>
        <w:t>tadalafilo</w:t>
      </w:r>
      <w:proofErr w:type="spellEnd"/>
      <w:r w:rsidRPr="00DD19F9">
        <w:rPr>
          <w:rFonts w:ascii="Arial" w:hAnsi="Arial" w:cs="Arial"/>
        </w:rPr>
        <w:t xml:space="preserve"> no resulta ser una opción rentable en comparación con el </w:t>
      </w:r>
      <w:proofErr w:type="spellStart"/>
      <w:r w:rsidRPr="00DD19F9">
        <w:rPr>
          <w:rFonts w:ascii="Arial" w:hAnsi="Arial" w:cs="Arial"/>
        </w:rPr>
        <w:t>sildenafil</w:t>
      </w:r>
      <w:proofErr w:type="spellEnd"/>
      <w:r w:rsidRPr="00DD19F9">
        <w:rPr>
          <w:rFonts w:ascii="Arial" w:hAnsi="Arial" w:cs="Arial"/>
        </w:rPr>
        <w:t xml:space="preserve"> para tratar a estos </w:t>
      </w:r>
      <w:r w:rsidRPr="007215EF">
        <w:rPr>
          <w:rFonts w:ascii="Arial" w:hAnsi="Arial" w:cs="Arial"/>
        </w:rPr>
        <w:t xml:space="preserve">pacientes. Tanto el </w:t>
      </w:r>
      <w:proofErr w:type="spellStart"/>
      <w:r w:rsidRPr="007215EF">
        <w:rPr>
          <w:rFonts w:ascii="Arial" w:hAnsi="Arial" w:cs="Arial"/>
        </w:rPr>
        <w:t>sildenafil</w:t>
      </w:r>
      <w:proofErr w:type="spellEnd"/>
      <w:r w:rsidRPr="007215EF">
        <w:rPr>
          <w:rFonts w:ascii="Arial" w:hAnsi="Arial" w:cs="Arial"/>
        </w:rPr>
        <w:t xml:space="preserve"> como el </w:t>
      </w:r>
      <w:proofErr w:type="spellStart"/>
      <w:r w:rsidRPr="007215EF">
        <w:rPr>
          <w:rFonts w:ascii="Arial" w:hAnsi="Arial" w:cs="Arial"/>
        </w:rPr>
        <w:t>tadalafil</w:t>
      </w:r>
      <w:proofErr w:type="spellEnd"/>
      <w:r w:rsidRPr="007215EF">
        <w:rPr>
          <w:rFonts w:ascii="Arial" w:hAnsi="Arial" w:cs="Arial"/>
        </w:rPr>
        <w:t xml:space="preserve">, que son inhibidores de la fosfodiesterasa 5, se consideran fármacos de primera elección para tratar la HAP. </w:t>
      </w:r>
      <w:r w:rsidRPr="007215EF">
        <w:rPr>
          <w:rFonts w:ascii="Arial" w:hAnsi="Arial" w:cs="Arial"/>
          <w:bCs/>
        </w:rPr>
        <w:t xml:space="preserve">Este estudio ofrece pruebas </w:t>
      </w:r>
      <w:r w:rsidR="007215EF" w:rsidRPr="007215EF">
        <w:rPr>
          <w:rFonts w:ascii="Arial" w:hAnsi="Arial" w:cs="Arial"/>
          <w:bCs/>
        </w:rPr>
        <w:t>responsables de tomar decisiones podrían utilizar para mejorar las directrices de práctica clínica</w:t>
      </w:r>
      <w:r w:rsidR="007215EF" w:rsidRPr="007215EF">
        <w:rPr>
          <w:rFonts w:ascii="Arial" w:hAnsi="Arial" w:cs="Arial"/>
        </w:rPr>
        <w:t xml:space="preserve"> </w:t>
      </w:r>
      <w:r w:rsidR="007215EF" w:rsidRPr="007215EF">
        <w:rPr>
          <w:rFonts w:ascii="Arial" w:hAnsi="Arial" w:cs="Arial"/>
        </w:rPr>
        <w:fldChar w:fldCharType="begin"/>
      </w:r>
      <w:r w:rsidR="007215EF" w:rsidRPr="007215EF">
        <w:rPr>
          <w:rFonts w:ascii="Arial" w:hAnsi="Arial" w:cs="Arial"/>
        </w:rPr>
        <w:instrText xml:space="preserve"> ADDIN ZOTERO_ITEM CSL_CITATION {"citationID":"AaNUqUhV","properties":{"formattedCitation":"(Buend\\uc0\\u237{}a et\\uc0\\u160{}al., 2023)","plainCitation":"(Buendía et al., 2023)","noteIndex":0},"citationItems":[{"id":389,"uris":["http://zotero.org/users/local/2poXFmzI/items/SHCKZCLC"],"itemData":{"id":389,"type":"article-journal","abstract":"Objectives: Despite the growing evidence of efficacy, scarce information exists regarding the cost of tadalafil to improve the functional classes of pediatric patients with pulmonary arterial hypertension. This study aims to determine the cost-utility of tadalafil compared sildenafil to treat pediatric patients with pulmonary arterial hypertension in Colombia. Methods: A Markov model was developed to compare expected costs, outcomes, and quality-adjusted life-years of sildenafil and tadalafil in pediatric patients with pulmonary arterial hypertension. The model was analyzed probabilistically, and a value of information analysis was conducted to inform the value of conducting further research to reduce current uncertainties in the evidence base. Cost-effectiveness was evaluated at a willingness-to-pay value of US $5180. Results: The mean incremental cost of tadalafil versus sildenafil is US $15 270. The 95% credible interval for the incremental cost ranges from US $28 033.65 to US $5940.86. The mean incremental benefit of tadalafil versus sildenafil is 1.00 quality-adjusted life-years (QALY). The 95% credible interval for the incremental benefit ranges from 1.88 to 0.31 QALY. The expected incremental cost per QALY is estimated at US $15 286. There is a probability less than 1% that tadalafil is more cost-effective than sildenafil at a threshold of US $5180 per QALY. Form the value of information analysis, the theoretical upper bound on the value of further research was US $9.298 for Colombia. Conclusion: Our economic evaluation shows that tadalafil is not cost-effective regarding sildenafil to treat pediatric patients with pulmonary arterial hypertension in Colombia. Our study provides evidence that should be used by decision-makers to improve clinical practice guidelines. © 2023 International Society for Health Economics and Outcomes Research","archive":"Scopus","container-title":"Value in Health Regional Issues","DOI":"10.1016/j.vhri.2023.02.001","ISSN":"22121099 (ISSN)","journalAbbreviation":"Value Health Reg. Issues","language":"English","note":"publisher: Elsevier Inc.","page":"44-50","title":"Phosphodiesterase 5 Inhibitor for Pediatric Pulmonary Arterial Hypertension: A Cost-Utility Analysis","volume":"36","author":[{"family":"Buendía","given":"J.A."},{"family":"Lindarte","given":"E.F."},{"family":"Guerrero Patiño","given":"D."}],"issued":{"date-parts":[["2023"]]}}}],"schema":"https://github.com/citation-style-language/schema/raw/master/csl-citation.json"} </w:instrText>
      </w:r>
      <w:r w:rsidR="007215EF" w:rsidRPr="007215EF">
        <w:rPr>
          <w:rFonts w:ascii="Arial" w:hAnsi="Arial" w:cs="Arial"/>
        </w:rPr>
        <w:fldChar w:fldCharType="separate"/>
      </w:r>
      <w:r w:rsidR="007215EF" w:rsidRPr="007215EF">
        <w:rPr>
          <w:rFonts w:ascii="Arial" w:hAnsi="Arial" w:cs="Arial"/>
        </w:rPr>
        <w:t>(Buendía et al., 2023)</w:t>
      </w:r>
      <w:r w:rsidR="007215EF" w:rsidRPr="007215EF">
        <w:rPr>
          <w:rFonts w:ascii="Arial" w:hAnsi="Arial" w:cs="Arial"/>
        </w:rPr>
        <w:fldChar w:fldCharType="end"/>
      </w:r>
      <w:r w:rsidR="007215EF" w:rsidRPr="007215EF">
        <w:rPr>
          <w:rFonts w:ascii="Arial" w:hAnsi="Arial" w:cs="Arial"/>
        </w:rPr>
        <w:t>.</w:t>
      </w:r>
    </w:p>
    <w:p w14:paraId="4DCBA5FD" w14:textId="0BD71515" w:rsidR="00D51EB6" w:rsidRPr="005D5306" w:rsidRDefault="00D51EB6" w:rsidP="00D51EB6">
      <w:pPr>
        <w:spacing w:line="360" w:lineRule="auto"/>
        <w:jc w:val="both"/>
        <w:rPr>
          <w:rFonts w:ascii="Arial" w:hAnsi="Arial" w:cs="Arial"/>
          <w:bCs/>
        </w:rPr>
      </w:pPr>
      <w:r w:rsidRPr="005D5306">
        <w:rPr>
          <w:rFonts w:ascii="Arial" w:hAnsi="Arial" w:cs="Arial"/>
        </w:rPr>
        <w:lastRenderedPageBreak/>
        <w:t xml:space="preserve">El análisis de ensayos clínicos sobre el cáncer llevados a cabo y financiados por empresas farmacéuticas en países de América del Sur entre 2010 y 2020 señala que la introducción de nuevos tratamientos oncológicos requiere inversiones en investigación, innovación y mejora de los servicios de salud. </w:t>
      </w:r>
      <w:r w:rsidRPr="005D5306">
        <w:rPr>
          <w:rFonts w:ascii="Arial" w:hAnsi="Arial" w:cs="Arial"/>
          <w:bCs/>
        </w:rPr>
        <w:t>La participación de las naciones sudamericanas en los ensayos de nuevos fármacos para el cáncer es una estrategia clave para establecer vínculos entre diversos sectores como la salud, la economía, la ciencia y la tecnología</w:t>
      </w:r>
      <w:r w:rsidRPr="005D5306">
        <w:rPr>
          <w:rFonts w:ascii="Arial" w:hAnsi="Arial" w:cs="Arial"/>
        </w:rPr>
        <w:t xml:space="preserve"> </w:t>
      </w:r>
      <w:r w:rsidRPr="005D5306">
        <w:rPr>
          <w:rFonts w:ascii="Arial" w:hAnsi="Arial" w:cs="Arial"/>
        </w:rPr>
        <w:fldChar w:fldCharType="begin"/>
      </w:r>
      <w:r w:rsidRPr="005D5306">
        <w:rPr>
          <w:rFonts w:ascii="Arial" w:hAnsi="Arial" w:cs="Arial"/>
        </w:rPr>
        <w:instrText xml:space="preserve"> ADDIN ZOTERO_ITEM CSL_CITATION {"citationID":"At7Hy4Xt","properties":{"formattedCitation":"(de Oliveira Avellar et\\uc0\\u160{}al., 2023)","plainCitation":"(de Oliveira Avellar et al., 2023)","noteIndex":0},"citationItems":[{"id":383,"uris":["http://zotero.org/users/local/2poXFmzI/items/TR5N87L9"],"itemData":{"id":383,"type":"article-journal","abstract":"Background: Increased global cancer incidence rates have led to a growing demand for cancer diagnosis and treatment, as well as basic and clinical research on the subject. The expansion of clinical cancer trials beyond the borders of highly developed countries has aided the arrival of these assessments in South American countries. In this context, this study’s objective is to highlight clinical cancer trial profiles developed and sponsored by pharmaceutical companies and conducted in South American countries from 2010 to 2020. Methods: This study comprises descriptive and retrospective research conducted following a search for clinical trials (phases I, II and III), registered at clinicaltrials.gov, carried out in Latin American countries and sponsored by pharmaceutical companies (“Argentina”, “Brazil”, “Chile”, “Peru”, “Colombia”, “Ecuador”, “Uruguay”, “Venezuela”, “Paraguay”, “Bolivia”), registered between 1 January 2010 and 31 December 2020. A total of 1451 clinical trials were retrieved, of which 200 trials unrelated to cancer were excluded and 646 duplicates were removed, leading to a final total of 605 clinical trials employing qualitative and quantitative analyses. Results: A 122% increase in the number of clinical trial registrations from 2010 to 2020 was noted, with a prevalence of phase III studies (431 trials of a total of 605). Lung (119), breast (100), leukemia (42), prostate (39) and melanoma (32) were the main cancers tested for new drugs. Conclusions: The data reported herein indicate the need for strategic basic and clinical research planning that considers South American epidemic cancer profiles. © 2023 by the authors.","archive":"Scopus","container-title":"Healthcare (Switzerland)","DOI":"10.3390/healthcare11121753","ISSN":"22279032 (ISSN)","issue":"12","journalAbbreviation":"Healthcare (Basel)","language":"English","note":"publisher: MDPI","title":"Clinical Cancer Research in South America and Potential Health Economic Impacts","URL":"https://www.scopus.com/inward/record.uri?eid=2-s2.0-85163686002&amp;doi=10.3390%2fhealthcare11121753&amp;partnerID=40&amp;md5=d2c1bc4ed4c5746475fd5759c50d9a30","volume":"11","author":[{"family":"Oliveira Avellar","given":"W.","non-dropping-particle":"de"},{"family":"Ferreira","given":"É.A."},{"family":"Vieira","given":"A.C.R.A."},{"family":"Melo","given":"A.C.","non-dropping-particle":"de"},{"family":"Aran","given":"V."}],"issued":{"date-parts":[["2023"]]}}}],"schema":"https://github.com/citation-style-language/schema/raw/master/csl-citation.json"} </w:instrText>
      </w:r>
      <w:r w:rsidRPr="005D5306">
        <w:rPr>
          <w:rFonts w:ascii="Arial" w:hAnsi="Arial" w:cs="Arial"/>
        </w:rPr>
        <w:fldChar w:fldCharType="separate"/>
      </w:r>
      <w:r w:rsidRPr="005D5306">
        <w:rPr>
          <w:rFonts w:ascii="Arial" w:hAnsi="Arial" w:cs="Arial"/>
        </w:rPr>
        <w:t>(de Oliveira Avellar et al., 2023)</w:t>
      </w:r>
      <w:r w:rsidRPr="005D5306">
        <w:rPr>
          <w:rFonts w:ascii="Arial" w:hAnsi="Arial" w:cs="Arial"/>
        </w:rPr>
        <w:fldChar w:fldCharType="end"/>
      </w:r>
      <w:r w:rsidRPr="005D5306">
        <w:rPr>
          <w:rFonts w:ascii="Arial" w:hAnsi="Arial" w:cs="Arial"/>
        </w:rPr>
        <w:t>.</w:t>
      </w:r>
    </w:p>
    <w:p w14:paraId="0BCDCAF5" w14:textId="77777777" w:rsidR="00D51EB6" w:rsidRPr="005D5306" w:rsidRDefault="00D51EB6" w:rsidP="00D51EB6">
      <w:pPr>
        <w:spacing w:line="360" w:lineRule="auto"/>
        <w:jc w:val="both"/>
        <w:rPr>
          <w:rFonts w:ascii="Arial" w:hAnsi="Arial" w:cs="Arial"/>
        </w:rPr>
      </w:pPr>
    </w:p>
    <w:p w14:paraId="40EDDBF8" w14:textId="6FA249B2" w:rsidR="00D51EB6" w:rsidRPr="004C1755" w:rsidRDefault="00D51EB6" w:rsidP="004C1755">
      <w:pPr>
        <w:spacing w:line="360" w:lineRule="auto"/>
        <w:jc w:val="both"/>
        <w:rPr>
          <w:rFonts w:ascii="Arial" w:hAnsi="Arial" w:cs="Arial"/>
        </w:rPr>
      </w:pPr>
      <w:r w:rsidRPr="005D5306">
        <w:rPr>
          <w:rFonts w:ascii="Arial" w:hAnsi="Arial" w:cs="Arial"/>
        </w:rPr>
        <w:t xml:space="preserve">El análisis del rendimiento en situaciones reales de los usuarios del sistema </w:t>
      </w:r>
      <w:proofErr w:type="spellStart"/>
      <w:r w:rsidRPr="005D5306">
        <w:rPr>
          <w:rFonts w:ascii="Arial" w:hAnsi="Arial" w:cs="Arial"/>
        </w:rPr>
        <w:t>MiniMed</w:t>
      </w:r>
      <w:proofErr w:type="spellEnd"/>
      <w:r w:rsidRPr="005D5306">
        <w:rPr>
          <w:rFonts w:ascii="Arial" w:hAnsi="Arial" w:cs="Arial"/>
        </w:rPr>
        <w:t xml:space="preserve"> (MM) 780G en Argentina, Brasil, Colombia y Chile, junto con el impacto de cada avance tecnológico del sistema MM en el control glucémico, ha llevado a la conclusión de que los usuarios latinoamericanos reales del MM780G han demostrado un buen control promedio de la glucosa. </w:t>
      </w:r>
      <w:r w:rsidRPr="005D5306">
        <w:rPr>
          <w:rFonts w:ascii="Arial" w:hAnsi="Arial" w:cs="Arial"/>
          <w:bCs/>
        </w:rPr>
        <w:t xml:space="preserve">Han alcanzado metas internacionales y han experimentado una mayor automatización con cada evolución </w:t>
      </w:r>
      <w:r w:rsidRPr="004C1755">
        <w:rPr>
          <w:rFonts w:ascii="Arial" w:hAnsi="Arial" w:cs="Arial"/>
          <w:bCs/>
        </w:rPr>
        <w:t>tecnológica del sistema</w:t>
      </w:r>
      <w:r w:rsidRPr="004C1755">
        <w:rPr>
          <w:rFonts w:ascii="Arial" w:hAnsi="Arial" w:cs="Arial"/>
        </w:rPr>
        <w:t xml:space="preserve"> </w:t>
      </w:r>
      <w:r w:rsidRPr="004C1755">
        <w:rPr>
          <w:rFonts w:ascii="Arial" w:hAnsi="Arial" w:cs="Arial"/>
        </w:rPr>
        <w:fldChar w:fldCharType="begin"/>
      </w:r>
      <w:r w:rsidRPr="004C1755">
        <w:rPr>
          <w:rFonts w:ascii="Arial" w:hAnsi="Arial" w:cs="Arial"/>
        </w:rPr>
        <w:instrText xml:space="preserve"> ADDIN ZOTERO_ITEM CSL_CITATION {"citationID":"Pd8lr2hK","properties":{"formattedCitation":"(Grassi et\\uc0\\u160{}al., 2023)","plainCitation":"(Grassi et al., 2023)","noteIndex":0},"citationItems":[{"id":387,"uris":["http://zotero.org/users/local/2poXFmzI/items/H9W8IURA"],"itemData":{"id":387,"type":"article-journal","abstract":"Aim: We studied real-world performance of MiniMed (MM) 780G system users from Argentina, Brazil, Colombia and Chile (geographical analysis), and the effect of each technology iteration of the MM system on glycaemic control (technology iteration analysis). Materials and Methods: CareLink data from August 2020 to September 2022 were extracted. Endpoints included continuous glucose monitoring metrics. For the geographical analysis, aggregated endpoints for MM780G system users were calculated. For the technology iteration analysis, MM780G system user outcomes were compared with outcomes when the same individuals were still using the MM640G or MM670G system. Results: On average, 1025 MM780G system users from the geographical analysis were followed for 136 (SD 135) days, spent 91.5 (14.3)% in advanced hybrid closed loop, showed a glucose management indicator (GMI) of 6.7 (0.3)%, a time in range between 70 and 180 mg/dl (TIR) of 76.5 (9.0)%, and a time below range 70 mg/dl (TBR) of 2.7 (2.1)%. The percentage of users reaching targets of GMI &lt;7%, TIR &gt;70% and TBR &lt;4% was 80.8%, 78.1% and 80.1%, respectively. The technology iteration analysis on users transitioning from MM640G to MM780G system (N = 381) showed 0.4% decrease in GMI (7.1% to 6.7%, p &lt;.0001), 10.7% increase in TIR (65.9% to 76.6%, p &lt;.0001), while TBR remained. The percentage of insulin delivered automatically increased as well (47.5%-57.7%, p &lt;.0001). Users transitioning from MM670G system (N = 78) showed a similar but less pronounced pattern. Conclusions: Real-world Latin American MM780G users on average showed good glucose control, achieving international targets. Glycaemic control increased with every technology iteration of the MM system, providing more automation each time. © 2023 The Authors. Diabetes, Obesity and Metabolism published by John Wiley &amp; Sons Ltd.","archive":"Scopus","container-title":"Diabetes, Obesity and Metabolism","DOI":"10.1111/dom.15023","ISSN":"14628902 (ISSN)","issue":"6","journalAbbreviation":"Diabetes Obes. Metab.","language":"English","note":"publisher: John Wiley and Sons Inc","page":"1688-1697","title":"Real-world performance of the MiniMed 780G advanced hybrid closed loop system in Latin America: Substantial improvement in glycaemic control with each technology iteration of the MiniMed automated insulin delivery system","volume":"25","author":[{"family":"Grassi","given":"B."},{"family":"Gómez","given":"A.M."},{"family":"Calliari","given":"L.E."},{"family":"Franco","given":"D."},{"family":"Raggio","given":"M."},{"family":"Riera","given":"F."},{"family":"Castro","given":"M."},{"family":"McVean","given":"J."},{"family":"Heuvel","given":"T.","non-dropping-particle":"van den"},{"family":"Arrieta","given":"A."},{"family":"Castañeda","given":"J."},{"family":"Cohen","given":"O."}],"issued":{"date-parts":[["2023"]]}}}],"schema":"https://github.com/citation-style-language/schema/raw/master/csl-citation.json"} </w:instrText>
      </w:r>
      <w:r w:rsidRPr="004C1755">
        <w:rPr>
          <w:rFonts w:ascii="Arial" w:hAnsi="Arial" w:cs="Arial"/>
        </w:rPr>
        <w:fldChar w:fldCharType="separate"/>
      </w:r>
      <w:r w:rsidRPr="004C1755">
        <w:rPr>
          <w:rFonts w:ascii="Arial" w:hAnsi="Arial" w:cs="Arial"/>
        </w:rPr>
        <w:t>(Grassi et al., 2023)</w:t>
      </w:r>
      <w:r w:rsidRPr="004C1755">
        <w:rPr>
          <w:rFonts w:ascii="Arial" w:hAnsi="Arial" w:cs="Arial"/>
        </w:rPr>
        <w:fldChar w:fldCharType="end"/>
      </w:r>
      <w:r w:rsidRPr="004C1755">
        <w:rPr>
          <w:rFonts w:ascii="Arial" w:hAnsi="Arial" w:cs="Arial"/>
        </w:rPr>
        <w:t>.</w:t>
      </w:r>
    </w:p>
    <w:p w14:paraId="3FF23038" w14:textId="4930A63D" w:rsidR="00760C31" w:rsidRPr="004C1755" w:rsidRDefault="00760C31" w:rsidP="004C1755">
      <w:pPr>
        <w:spacing w:line="360" w:lineRule="auto"/>
        <w:jc w:val="both"/>
        <w:rPr>
          <w:rFonts w:ascii="Arial" w:hAnsi="Arial" w:cs="Arial"/>
          <w:bCs/>
        </w:rPr>
      </w:pPr>
    </w:p>
    <w:p w14:paraId="6A666074" w14:textId="0CAA908C" w:rsidR="00760C31" w:rsidRPr="004C1755" w:rsidRDefault="00760C31" w:rsidP="004C1755">
      <w:pPr>
        <w:spacing w:line="360" w:lineRule="auto"/>
        <w:jc w:val="both"/>
        <w:rPr>
          <w:rFonts w:ascii="Arial" w:hAnsi="Arial" w:cs="Arial"/>
          <w:b/>
          <w:bCs/>
        </w:rPr>
      </w:pPr>
      <w:r w:rsidRPr="004C1755">
        <w:rPr>
          <w:rFonts w:ascii="Arial" w:hAnsi="Arial" w:cs="Arial"/>
          <w:b/>
          <w:bCs/>
        </w:rPr>
        <w:t>CONCLUSIONES</w:t>
      </w:r>
    </w:p>
    <w:p w14:paraId="067808D4" w14:textId="45F768CF" w:rsidR="00760C31" w:rsidRPr="004C1755" w:rsidRDefault="00760C31" w:rsidP="004C1755">
      <w:pPr>
        <w:spacing w:line="360" w:lineRule="auto"/>
        <w:jc w:val="both"/>
        <w:rPr>
          <w:rFonts w:ascii="Arial" w:hAnsi="Arial" w:cs="Arial"/>
          <w:b/>
          <w:bCs/>
        </w:rPr>
      </w:pPr>
    </w:p>
    <w:p w14:paraId="5C9A4664" w14:textId="2DBA7324" w:rsidR="002436B0" w:rsidRPr="004C1755" w:rsidRDefault="002436B0" w:rsidP="004C1755">
      <w:pPr>
        <w:pStyle w:val="Contenido1"/>
        <w:spacing w:line="360" w:lineRule="auto"/>
        <w:ind w:firstLine="0"/>
        <w:rPr>
          <w:rFonts w:ascii="Arial" w:hAnsi="Arial" w:cs="Arial"/>
          <w:sz w:val="24"/>
          <w:szCs w:val="24"/>
        </w:rPr>
      </w:pPr>
      <w:r w:rsidRPr="004C1755">
        <w:rPr>
          <w:rFonts w:ascii="Arial" w:hAnsi="Arial" w:cs="Arial"/>
          <w:sz w:val="24"/>
          <w:szCs w:val="24"/>
          <w:lang w:val="es-ES"/>
        </w:rPr>
        <w:t xml:space="preserve">Con los resultados obtenidos en el presente estudio bibliométrico, se puede concluir que existe un creciente interés por el estudio de la economía de la salud en Colombia con énfasis principal en los últimos 4 años. Aumento que se viene presentando desde el año 1975; el primer manuscrito discute las indicaciones de la cirugía ambulatoria y se centra en identificar los criterios y situaciones en las que la </w:t>
      </w:r>
      <w:r w:rsidRPr="004C1755">
        <w:rPr>
          <w:rFonts w:ascii="Arial" w:hAnsi="Arial" w:cs="Arial"/>
          <w:sz w:val="24"/>
          <w:szCs w:val="24"/>
          <w:lang w:val="es-ES"/>
        </w:rPr>
        <w:lastRenderedPageBreak/>
        <w:t xml:space="preserve">cirugía ambulatoria es apropiada. Para el año 2023, las publicaciones alcanzaron su pico más alto (17 documentos publicados en </w:t>
      </w:r>
      <w:proofErr w:type="spellStart"/>
      <w:r w:rsidRPr="004C1755">
        <w:rPr>
          <w:rFonts w:ascii="Arial" w:hAnsi="Arial" w:cs="Arial"/>
          <w:sz w:val="24"/>
          <w:szCs w:val="24"/>
          <w:lang w:val="es-ES"/>
        </w:rPr>
        <w:t>Scopus</w:t>
      </w:r>
      <w:proofErr w:type="spellEnd"/>
      <w:r w:rsidRPr="004C1755">
        <w:rPr>
          <w:rFonts w:ascii="Arial" w:hAnsi="Arial" w:cs="Arial"/>
          <w:sz w:val="24"/>
          <w:szCs w:val="24"/>
          <w:lang w:val="es-ES"/>
        </w:rPr>
        <w:t>). Colombia, Estados Unidos y Chile se destacan como los países de mayor producción.</w:t>
      </w:r>
    </w:p>
    <w:p w14:paraId="466CB146" w14:textId="77777777" w:rsidR="004C1755" w:rsidRDefault="004C1755" w:rsidP="004C1755">
      <w:pPr>
        <w:pStyle w:val="Contenido1"/>
        <w:spacing w:line="360" w:lineRule="auto"/>
        <w:ind w:firstLine="0"/>
        <w:rPr>
          <w:rFonts w:ascii="Arial" w:hAnsi="Arial" w:cs="Arial"/>
          <w:sz w:val="24"/>
          <w:szCs w:val="24"/>
          <w:lang w:val="es-ES"/>
        </w:rPr>
      </w:pPr>
    </w:p>
    <w:p w14:paraId="258B4225" w14:textId="0B6896C5" w:rsidR="002436B0" w:rsidRPr="004C1755" w:rsidRDefault="002436B0" w:rsidP="004C1755">
      <w:pPr>
        <w:pStyle w:val="Contenido1"/>
        <w:spacing w:line="360" w:lineRule="auto"/>
        <w:ind w:firstLine="0"/>
        <w:rPr>
          <w:rFonts w:ascii="Arial" w:hAnsi="Arial" w:cs="Arial"/>
          <w:sz w:val="24"/>
          <w:szCs w:val="24"/>
        </w:rPr>
      </w:pPr>
      <w:r w:rsidRPr="004C1755">
        <w:rPr>
          <w:rFonts w:ascii="Arial" w:hAnsi="Arial" w:cs="Arial"/>
          <w:sz w:val="24"/>
          <w:szCs w:val="24"/>
          <w:lang w:val="es-ES"/>
        </w:rPr>
        <w:t xml:space="preserve">Es relevante destacar que el documento más citado utiliza la base de datos Web </w:t>
      </w:r>
      <w:proofErr w:type="spellStart"/>
      <w:r w:rsidRPr="004C1755">
        <w:rPr>
          <w:rFonts w:ascii="Arial" w:hAnsi="Arial" w:cs="Arial"/>
          <w:sz w:val="24"/>
          <w:szCs w:val="24"/>
          <w:lang w:val="es-ES"/>
        </w:rPr>
        <w:t>of</w:t>
      </w:r>
      <w:proofErr w:type="spellEnd"/>
      <w:r w:rsidRPr="004C1755">
        <w:rPr>
          <w:rFonts w:ascii="Arial" w:hAnsi="Arial" w:cs="Arial"/>
          <w:sz w:val="24"/>
          <w:szCs w:val="24"/>
          <w:lang w:val="es-ES"/>
        </w:rPr>
        <w:t xml:space="preserve"> </w:t>
      </w:r>
      <w:proofErr w:type="spellStart"/>
      <w:r w:rsidRPr="004C1755">
        <w:rPr>
          <w:rFonts w:ascii="Arial" w:hAnsi="Arial" w:cs="Arial"/>
          <w:sz w:val="24"/>
          <w:szCs w:val="24"/>
          <w:lang w:val="es-ES"/>
        </w:rPr>
        <w:t>Science</w:t>
      </w:r>
      <w:proofErr w:type="spellEnd"/>
      <w:r w:rsidRPr="004C1755">
        <w:rPr>
          <w:rFonts w:ascii="Arial" w:hAnsi="Arial" w:cs="Arial"/>
          <w:sz w:val="24"/>
          <w:szCs w:val="24"/>
          <w:lang w:val="es-ES"/>
        </w:rPr>
        <w:t xml:space="preserve"> para recopilar información y proporcionar varios indicadores bibliométricos, incluido el número total de publicaciones y citas, y el índice h. Los resultados indican que Brasil, México, Chile, Argentina y Colombia son los únicos países con un número significativo de publicaciones en economía en Web </w:t>
      </w:r>
      <w:proofErr w:type="spellStart"/>
      <w:r w:rsidRPr="004C1755">
        <w:rPr>
          <w:rFonts w:ascii="Arial" w:hAnsi="Arial" w:cs="Arial"/>
          <w:sz w:val="24"/>
          <w:szCs w:val="24"/>
          <w:lang w:val="es-ES"/>
        </w:rPr>
        <w:t>of</w:t>
      </w:r>
      <w:proofErr w:type="spellEnd"/>
      <w:r w:rsidRPr="004C1755">
        <w:rPr>
          <w:rFonts w:ascii="Arial" w:hAnsi="Arial" w:cs="Arial"/>
          <w:sz w:val="24"/>
          <w:szCs w:val="24"/>
          <w:lang w:val="es-ES"/>
        </w:rPr>
        <w:t xml:space="preserve"> </w:t>
      </w:r>
      <w:proofErr w:type="spellStart"/>
      <w:r w:rsidRPr="004C1755">
        <w:rPr>
          <w:rFonts w:ascii="Arial" w:hAnsi="Arial" w:cs="Arial"/>
          <w:sz w:val="24"/>
          <w:szCs w:val="24"/>
          <w:lang w:val="es-ES"/>
        </w:rPr>
        <w:t>Science</w:t>
      </w:r>
      <w:proofErr w:type="spellEnd"/>
      <w:r w:rsidRPr="004C1755">
        <w:rPr>
          <w:rFonts w:ascii="Arial" w:hAnsi="Arial" w:cs="Arial"/>
          <w:sz w:val="24"/>
          <w:szCs w:val="24"/>
          <w:lang w:val="es-ES"/>
        </w:rPr>
        <w:t>, Aunque Costa Rica y Uruguay también muestran resultados considerables en términos de per cápita.</w:t>
      </w:r>
    </w:p>
    <w:p w14:paraId="04CCA638" w14:textId="77777777" w:rsidR="004C1755" w:rsidRDefault="004C1755" w:rsidP="004C1755">
      <w:pPr>
        <w:pStyle w:val="Contenido1"/>
        <w:spacing w:line="360" w:lineRule="auto"/>
        <w:ind w:firstLine="0"/>
        <w:rPr>
          <w:rFonts w:ascii="Arial" w:hAnsi="Arial" w:cs="Arial"/>
          <w:sz w:val="24"/>
          <w:szCs w:val="24"/>
          <w:lang w:val="es-ES"/>
        </w:rPr>
      </w:pPr>
    </w:p>
    <w:p w14:paraId="6A755AC8" w14:textId="52D9B39E" w:rsidR="002436B0" w:rsidRPr="004C1755" w:rsidRDefault="002436B0" w:rsidP="004C1755">
      <w:pPr>
        <w:pStyle w:val="Contenido1"/>
        <w:spacing w:line="360" w:lineRule="auto"/>
        <w:ind w:firstLine="0"/>
        <w:rPr>
          <w:rFonts w:ascii="Arial" w:hAnsi="Arial" w:cs="Arial"/>
          <w:sz w:val="24"/>
          <w:szCs w:val="24"/>
        </w:rPr>
      </w:pPr>
      <w:r w:rsidRPr="004C1755">
        <w:rPr>
          <w:rFonts w:ascii="Arial" w:hAnsi="Arial" w:cs="Arial"/>
          <w:sz w:val="24"/>
          <w:szCs w:val="24"/>
          <w:lang w:val="es-ES"/>
        </w:rPr>
        <w:t xml:space="preserve">Por otro lado, entre los temas que abarcan los siguientes documentos más citados se encuentran en segundo lugar el estudio de García et al (2020), donde se analizó el contexto y las respuestas iniciales de ocho países latinoamericanos seleccionados sobre la atención del </w:t>
      </w:r>
      <w:proofErr w:type="spellStart"/>
      <w:r w:rsidRPr="004C1755">
        <w:rPr>
          <w:rFonts w:ascii="Arial" w:hAnsi="Arial" w:cs="Arial"/>
          <w:sz w:val="24"/>
          <w:szCs w:val="24"/>
          <w:lang w:val="es-ES"/>
        </w:rPr>
        <w:t>covid</w:t>
      </w:r>
      <w:proofErr w:type="spellEnd"/>
      <w:r w:rsidRPr="004C1755">
        <w:rPr>
          <w:rFonts w:ascii="Arial" w:hAnsi="Arial" w:cs="Arial"/>
          <w:sz w:val="24"/>
          <w:szCs w:val="24"/>
          <w:lang w:val="es-ES"/>
        </w:rPr>
        <w:t xml:space="preserve"> 19, incluidas similitudes y diferencias en medidas de salud pública, económicas y fiscales; y en tercer lugar, Borrajo et al (2007), explora el tamizaje neonatal en América Latina a principios del siglo XXI, destacándose que actualmente, el hipotiroidismo congénito (HC) es la enfermedad más ampliamente detectada, seguida de la fenilcetonuria.</w:t>
      </w:r>
    </w:p>
    <w:p w14:paraId="3328A697" w14:textId="77777777" w:rsidR="002436B0" w:rsidRPr="004C1755" w:rsidRDefault="002436B0" w:rsidP="004C1755">
      <w:pPr>
        <w:pStyle w:val="Contenido1"/>
        <w:spacing w:line="360" w:lineRule="auto"/>
        <w:ind w:firstLine="0"/>
        <w:rPr>
          <w:rFonts w:ascii="Arial" w:hAnsi="Arial" w:cs="Arial"/>
          <w:sz w:val="24"/>
          <w:szCs w:val="24"/>
        </w:rPr>
      </w:pPr>
      <w:r w:rsidRPr="004C1755">
        <w:rPr>
          <w:rFonts w:ascii="Arial" w:hAnsi="Arial" w:cs="Arial"/>
          <w:sz w:val="24"/>
          <w:szCs w:val="24"/>
        </w:rPr>
        <w:t xml:space="preserve">A partir del análisis de la red de acoplamiento bibliográfico llevada a cabo, se identificaron 5 importantes corrientes de investigación en este campo, las cuales </w:t>
      </w:r>
      <w:r w:rsidRPr="004C1755">
        <w:rPr>
          <w:rFonts w:ascii="Arial" w:hAnsi="Arial" w:cs="Arial"/>
          <w:sz w:val="24"/>
          <w:szCs w:val="24"/>
        </w:rPr>
        <w:lastRenderedPageBreak/>
        <w:t>son: (1) Análisis de Costo Utilidad; (2) Análisis Económicos de la Salud; (3) Costos Médicos; (4) Carga Económica y de Salud; y (5) Tercer Pagador.</w:t>
      </w:r>
    </w:p>
    <w:p w14:paraId="47FAA0C8" w14:textId="77777777" w:rsidR="004C1755" w:rsidRDefault="004C1755" w:rsidP="004C1755">
      <w:pPr>
        <w:spacing w:line="360" w:lineRule="auto"/>
        <w:jc w:val="both"/>
        <w:rPr>
          <w:rFonts w:ascii="Arial" w:hAnsi="Arial" w:cs="Arial"/>
        </w:rPr>
      </w:pPr>
    </w:p>
    <w:p w14:paraId="4B6AF59A" w14:textId="3A116273" w:rsidR="00861146" w:rsidRPr="004C1755" w:rsidRDefault="002436B0" w:rsidP="004C1755">
      <w:pPr>
        <w:spacing w:line="360" w:lineRule="auto"/>
        <w:jc w:val="both"/>
        <w:rPr>
          <w:rFonts w:ascii="Arial" w:hAnsi="Arial" w:cs="Arial"/>
        </w:rPr>
      </w:pPr>
      <w:r w:rsidRPr="004C1755">
        <w:rPr>
          <w:rFonts w:ascii="Arial" w:hAnsi="Arial" w:cs="Arial"/>
        </w:rPr>
        <w:t>Finalmente, las Futuras Líneas de Investigación nacen con los análisis de costo-utilidad y coste-efectividad de las tecnologías sanitarias se demuestra cual puede ser la estrategia rentable desde una perspectiva social y como se</w:t>
      </w:r>
      <w:r w:rsidR="00861146" w:rsidRPr="004C1755">
        <w:rPr>
          <w:rFonts w:ascii="Arial" w:hAnsi="Arial" w:cs="Arial"/>
        </w:rPr>
        <w:t xml:space="preserve"> puede utilizar esta información para orientar los responsables de políticas hacia una utilización más eficiente de los recursos de salud, al igual de nutrir las guías de práctica clínica; sin desconocer el papel de la industria farmacéutica y sus estudios en ciencia, tecnología e innovación que buscan la automatización de los procesos de la atención sanitaria.</w:t>
      </w:r>
    </w:p>
    <w:p w14:paraId="5E1A5436" w14:textId="331D941A" w:rsidR="0065526C" w:rsidRPr="004C1755" w:rsidRDefault="0065526C" w:rsidP="004C1755">
      <w:pPr>
        <w:spacing w:line="360" w:lineRule="auto"/>
        <w:jc w:val="both"/>
        <w:rPr>
          <w:rFonts w:ascii="Arial" w:hAnsi="Arial" w:cs="Arial"/>
          <w:bCs/>
        </w:rPr>
      </w:pPr>
    </w:p>
    <w:p w14:paraId="10C78649" w14:textId="49B4C4B8" w:rsidR="0065526C" w:rsidRPr="004C1755" w:rsidRDefault="0065526C" w:rsidP="004C1755">
      <w:pPr>
        <w:spacing w:line="360" w:lineRule="auto"/>
        <w:jc w:val="both"/>
        <w:rPr>
          <w:rFonts w:ascii="Arial" w:hAnsi="Arial" w:cs="Arial"/>
          <w:b/>
          <w:bCs/>
        </w:rPr>
      </w:pPr>
      <w:r w:rsidRPr="004C1755">
        <w:rPr>
          <w:rFonts w:ascii="Arial" w:hAnsi="Arial" w:cs="Arial"/>
          <w:b/>
          <w:bCs/>
        </w:rPr>
        <w:t>AGRADECIMIENTOS</w:t>
      </w:r>
    </w:p>
    <w:p w14:paraId="36EBA747" w14:textId="097D1FDE" w:rsidR="0065526C" w:rsidRPr="004C1755" w:rsidRDefault="0065526C" w:rsidP="004C1755">
      <w:pPr>
        <w:spacing w:line="360" w:lineRule="auto"/>
        <w:jc w:val="both"/>
        <w:rPr>
          <w:rFonts w:ascii="Arial" w:hAnsi="Arial" w:cs="Arial"/>
          <w:b/>
          <w:bCs/>
        </w:rPr>
      </w:pPr>
    </w:p>
    <w:p w14:paraId="48993AC8" w14:textId="5498BF96" w:rsidR="0065526C" w:rsidRPr="004C1755" w:rsidRDefault="0065526C" w:rsidP="004C1755">
      <w:pPr>
        <w:spacing w:line="360" w:lineRule="auto"/>
        <w:jc w:val="both"/>
        <w:rPr>
          <w:rFonts w:ascii="Arial" w:hAnsi="Arial" w:cs="Arial"/>
        </w:rPr>
      </w:pPr>
      <w:r w:rsidRPr="004C1755">
        <w:rPr>
          <w:rFonts w:ascii="Arial" w:hAnsi="Arial" w:cs="Arial"/>
        </w:rPr>
        <w:t>El trabajo se deriva del proyecto de investigación: “Código PS-0524 - Tendencia en la Producción Científica Respecto a la Economía de la Salud en Colombia”, Resolución No. 152 de marzo de 2024 de la Institución Universitaria Antonio José Camacho; Grupo GISAP – Semillero SIGES. Cali – Colombia.</w:t>
      </w:r>
    </w:p>
    <w:p w14:paraId="02FAB191" w14:textId="667AB382" w:rsidR="004C1755" w:rsidRPr="004C1755" w:rsidRDefault="004C1755" w:rsidP="004C1755">
      <w:pPr>
        <w:spacing w:line="360" w:lineRule="auto"/>
        <w:jc w:val="both"/>
        <w:rPr>
          <w:rFonts w:ascii="Arial" w:hAnsi="Arial" w:cs="Arial"/>
        </w:rPr>
      </w:pPr>
    </w:p>
    <w:p w14:paraId="3FBC2F94" w14:textId="77777777" w:rsidR="004C1755" w:rsidRDefault="004C1755" w:rsidP="004C1755">
      <w:pPr>
        <w:spacing w:line="360" w:lineRule="auto"/>
        <w:jc w:val="both"/>
        <w:rPr>
          <w:rFonts w:ascii="Arial" w:hAnsi="Arial" w:cs="Arial"/>
          <w:b/>
        </w:rPr>
      </w:pPr>
    </w:p>
    <w:p w14:paraId="5198BBB5" w14:textId="77777777" w:rsidR="0081319A" w:rsidRDefault="0081319A" w:rsidP="005D57C5">
      <w:pPr>
        <w:spacing w:after="160" w:line="360" w:lineRule="auto"/>
        <w:ind w:left="709" w:hanging="709"/>
        <w:jc w:val="both"/>
        <w:rPr>
          <w:rFonts w:ascii="Arial" w:hAnsi="Arial" w:cs="Arial"/>
          <w:b/>
        </w:rPr>
      </w:pPr>
    </w:p>
    <w:p w14:paraId="426A606E" w14:textId="77777777" w:rsidR="0081319A" w:rsidRDefault="0081319A" w:rsidP="005D57C5">
      <w:pPr>
        <w:spacing w:after="160" w:line="360" w:lineRule="auto"/>
        <w:ind w:left="709" w:hanging="709"/>
        <w:jc w:val="both"/>
        <w:rPr>
          <w:rFonts w:ascii="Arial" w:hAnsi="Arial" w:cs="Arial"/>
          <w:b/>
        </w:rPr>
      </w:pPr>
    </w:p>
    <w:p w14:paraId="0C456609" w14:textId="6B65FB66" w:rsidR="004C1755" w:rsidRPr="00571280" w:rsidRDefault="004C1755" w:rsidP="005D57C5">
      <w:pPr>
        <w:spacing w:after="160" w:line="360" w:lineRule="auto"/>
        <w:ind w:left="709" w:hanging="709"/>
        <w:jc w:val="both"/>
        <w:rPr>
          <w:rFonts w:ascii="Arial" w:hAnsi="Arial" w:cs="Arial"/>
          <w:b/>
        </w:rPr>
      </w:pPr>
      <w:r w:rsidRPr="00571280">
        <w:rPr>
          <w:rFonts w:ascii="Arial" w:hAnsi="Arial" w:cs="Arial"/>
          <w:b/>
        </w:rPr>
        <w:lastRenderedPageBreak/>
        <w:t>REFERENCIAS</w:t>
      </w:r>
    </w:p>
    <w:p w14:paraId="6A1C9332" w14:textId="27DC7AA4" w:rsidR="00875594" w:rsidRPr="00875594" w:rsidRDefault="00571280" w:rsidP="00875594">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rPr>
        <w:fldChar w:fldCharType="begin"/>
      </w:r>
      <w:r w:rsidRPr="00571280">
        <w:rPr>
          <w:rFonts w:ascii="Arial" w:hAnsi="Arial" w:cs="Arial"/>
          <w:sz w:val="24"/>
          <w:szCs w:val="24"/>
        </w:rPr>
        <w:instrText xml:space="preserve"> ADDIN ZOTERO_BIBL {"uncited":[],"omitted":[],"custom":[]} CSL_BIBLIOGRAPHY </w:instrText>
      </w:r>
      <w:r w:rsidRPr="00571280">
        <w:rPr>
          <w:rFonts w:ascii="Arial" w:hAnsi="Arial" w:cs="Arial"/>
          <w:sz w:val="24"/>
          <w:szCs w:val="24"/>
        </w:rPr>
        <w:fldChar w:fldCharType="separate"/>
      </w:r>
      <w:r w:rsidRPr="00571280">
        <w:rPr>
          <w:rFonts w:ascii="Arial" w:hAnsi="Arial" w:cs="Arial"/>
          <w:sz w:val="24"/>
          <w:szCs w:val="24"/>
        </w:rPr>
        <w:t xml:space="preserve">Alvis-Guzman, N., Orozco-Africano, J., Paternina-Caicedo, A., Coronell-Rodríguez, W., Alvis-Estrada, L., Jervis-Jálabe, D., &amp; De la Hoz-Restrepo, F. (2013). </w:t>
      </w:r>
      <w:r w:rsidRPr="00571280">
        <w:rPr>
          <w:rFonts w:ascii="Arial" w:hAnsi="Arial" w:cs="Arial"/>
          <w:sz w:val="24"/>
          <w:szCs w:val="24"/>
          <w:lang w:val="en-US"/>
        </w:rPr>
        <w:t xml:space="preserve">Treatment costs of diarrheal disease and all-cause pneumonia among children under-5 years of age in Colombia. </w:t>
      </w:r>
      <w:r w:rsidRPr="00571280">
        <w:rPr>
          <w:rFonts w:ascii="Arial" w:hAnsi="Arial" w:cs="Arial"/>
          <w:i/>
          <w:iCs/>
          <w:sz w:val="24"/>
          <w:szCs w:val="24"/>
          <w:lang w:val="en-US"/>
        </w:rPr>
        <w:t>Vaccine</w:t>
      </w:r>
      <w:r w:rsidRPr="00571280">
        <w:rPr>
          <w:rFonts w:ascii="Arial" w:hAnsi="Arial" w:cs="Arial"/>
          <w:sz w:val="24"/>
          <w:szCs w:val="24"/>
          <w:lang w:val="en-US"/>
        </w:rPr>
        <w:t xml:space="preserve">, </w:t>
      </w:r>
      <w:r w:rsidRPr="00571280">
        <w:rPr>
          <w:rFonts w:ascii="Arial" w:hAnsi="Arial" w:cs="Arial"/>
          <w:i/>
          <w:iCs/>
          <w:sz w:val="24"/>
          <w:szCs w:val="24"/>
          <w:lang w:val="en-US"/>
        </w:rPr>
        <w:t>31</w:t>
      </w:r>
      <w:r w:rsidRPr="00571280">
        <w:rPr>
          <w:rFonts w:ascii="Arial" w:hAnsi="Arial" w:cs="Arial"/>
          <w:sz w:val="24"/>
          <w:szCs w:val="24"/>
          <w:lang w:val="en-US"/>
        </w:rPr>
        <w:t xml:space="preserve">(SUPPL.3), C58-C62. </w:t>
      </w:r>
      <w:r w:rsidRPr="005C426C">
        <w:rPr>
          <w:rFonts w:ascii="Arial" w:hAnsi="Arial" w:cs="Arial"/>
          <w:color w:val="002060"/>
          <w:sz w:val="24"/>
          <w:szCs w:val="24"/>
          <w:u w:val="single"/>
          <w:lang w:val="en-US"/>
        </w:rPr>
        <w:t>https://doi.org/10.1016/j.vaccine.2013.05.035</w:t>
      </w:r>
    </w:p>
    <w:p w14:paraId="2651A7EF"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8CC">
        <w:rPr>
          <w:rFonts w:ascii="Arial" w:hAnsi="Arial" w:cs="Arial"/>
          <w:sz w:val="24"/>
          <w:szCs w:val="24"/>
          <w:lang w:val="en-US"/>
        </w:rPr>
        <w:t xml:space="preserve">Antonio, B., Patiño, D., &amp; Moreno, M. (2022). </w:t>
      </w:r>
      <w:r w:rsidRPr="00571280">
        <w:rPr>
          <w:rFonts w:ascii="Arial" w:hAnsi="Arial" w:cs="Arial"/>
          <w:sz w:val="24"/>
          <w:szCs w:val="24"/>
          <w:lang w:val="en-US"/>
        </w:rPr>
        <w:t xml:space="preserve">Cost-utility analysis and budget impact of benralizumab as add-on therapy to standard care for severe eosinophilic asthma in Colombia. </w:t>
      </w:r>
      <w:r w:rsidRPr="00571280">
        <w:rPr>
          <w:rFonts w:ascii="Arial" w:hAnsi="Arial" w:cs="Arial"/>
          <w:i/>
          <w:iCs/>
          <w:sz w:val="24"/>
          <w:szCs w:val="24"/>
          <w:lang w:val="en-US"/>
        </w:rPr>
        <w:t>EXPERT REVIEW OF PHARMACOECONOMICS &amp; OUTCOMES RESEARCH</w:t>
      </w:r>
      <w:r w:rsidRPr="00571280">
        <w:rPr>
          <w:rFonts w:ascii="Arial" w:hAnsi="Arial" w:cs="Arial"/>
          <w:sz w:val="24"/>
          <w:szCs w:val="24"/>
          <w:lang w:val="en-US"/>
        </w:rPr>
        <w:t xml:space="preserve">, </w:t>
      </w:r>
      <w:r w:rsidRPr="00571280">
        <w:rPr>
          <w:rFonts w:ascii="Arial" w:hAnsi="Arial" w:cs="Arial"/>
          <w:i/>
          <w:iCs/>
          <w:sz w:val="24"/>
          <w:szCs w:val="24"/>
          <w:lang w:val="en-US"/>
        </w:rPr>
        <w:t>22</w:t>
      </w:r>
      <w:r w:rsidRPr="00571280">
        <w:rPr>
          <w:rFonts w:ascii="Arial" w:hAnsi="Arial" w:cs="Arial"/>
          <w:sz w:val="24"/>
          <w:szCs w:val="24"/>
          <w:lang w:val="en-US"/>
        </w:rPr>
        <w:t xml:space="preserve">(2), 299-305. </w:t>
      </w:r>
      <w:r w:rsidRPr="005C426C">
        <w:rPr>
          <w:rFonts w:ascii="Arial" w:hAnsi="Arial" w:cs="Arial"/>
          <w:color w:val="002060"/>
          <w:sz w:val="24"/>
          <w:szCs w:val="24"/>
          <w:u w:val="single"/>
          <w:lang w:val="en-US"/>
        </w:rPr>
        <w:t>https://doi.org/10.1080/14737167.2021.1945445</w:t>
      </w:r>
    </w:p>
    <w:p w14:paraId="25A44601"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lang w:val="en-US"/>
        </w:rPr>
        <w:t xml:space="preserve">Antonio Buendía, J., &amp; Patiño, D. G. (2022). Cost-utility analysis of dupilumab add on therapy versus standard therapy in adolescents and adults for severe asthma in Colombia. </w:t>
      </w:r>
      <w:r w:rsidRPr="00571280">
        <w:rPr>
          <w:rFonts w:ascii="Arial" w:hAnsi="Arial" w:cs="Arial"/>
          <w:i/>
          <w:iCs/>
          <w:sz w:val="24"/>
          <w:szCs w:val="24"/>
          <w:lang w:val="en-US"/>
        </w:rPr>
        <w:t>Expert Review of Pharmacoeconomics and Outcomes Research</w:t>
      </w:r>
      <w:r w:rsidRPr="00571280">
        <w:rPr>
          <w:rFonts w:ascii="Arial" w:hAnsi="Arial" w:cs="Arial"/>
          <w:sz w:val="24"/>
          <w:szCs w:val="24"/>
          <w:lang w:val="en-US"/>
        </w:rPr>
        <w:t xml:space="preserve">, </w:t>
      </w:r>
      <w:r w:rsidRPr="00571280">
        <w:rPr>
          <w:rFonts w:ascii="Arial" w:hAnsi="Arial" w:cs="Arial"/>
          <w:i/>
          <w:iCs/>
          <w:sz w:val="24"/>
          <w:szCs w:val="24"/>
          <w:lang w:val="en-US"/>
        </w:rPr>
        <w:t>22</w:t>
      </w:r>
      <w:r w:rsidRPr="00571280">
        <w:rPr>
          <w:rFonts w:ascii="Arial" w:hAnsi="Arial" w:cs="Arial"/>
          <w:sz w:val="24"/>
          <w:szCs w:val="24"/>
          <w:lang w:val="en-US"/>
        </w:rPr>
        <w:t>(4), 575-580</w:t>
      </w:r>
      <w:r w:rsidRPr="00426CBD">
        <w:rPr>
          <w:rFonts w:ascii="Arial" w:hAnsi="Arial" w:cs="Arial"/>
          <w:color w:val="002060"/>
          <w:sz w:val="24"/>
          <w:szCs w:val="24"/>
          <w:lang w:val="en-US"/>
        </w:rPr>
        <w:t xml:space="preserve">. </w:t>
      </w:r>
      <w:r w:rsidRPr="005C426C">
        <w:rPr>
          <w:rFonts w:ascii="Arial" w:hAnsi="Arial" w:cs="Arial"/>
          <w:color w:val="002060"/>
          <w:sz w:val="24"/>
          <w:szCs w:val="24"/>
          <w:u w:val="single"/>
          <w:lang w:val="en-US"/>
        </w:rPr>
        <w:t>https://doi.org/10.1080/14737167.2022.2011217</w:t>
      </w:r>
    </w:p>
    <w:p w14:paraId="2A1E6776" w14:textId="77777777" w:rsidR="00571280" w:rsidRPr="00571280" w:rsidRDefault="00571280" w:rsidP="005D57C5">
      <w:pPr>
        <w:pStyle w:val="Bibliografa"/>
        <w:spacing w:after="160" w:line="360" w:lineRule="auto"/>
        <w:ind w:left="709" w:hanging="709"/>
        <w:jc w:val="both"/>
        <w:rPr>
          <w:rFonts w:ascii="Arial" w:hAnsi="Arial" w:cs="Arial"/>
          <w:sz w:val="24"/>
          <w:szCs w:val="24"/>
        </w:rPr>
      </w:pPr>
      <w:r w:rsidRPr="00571280">
        <w:rPr>
          <w:rFonts w:ascii="Arial" w:hAnsi="Arial" w:cs="Arial"/>
          <w:sz w:val="24"/>
          <w:szCs w:val="24"/>
          <w:lang w:val="en-US"/>
        </w:rPr>
        <w:t xml:space="preserve">Augustovski, F., Iglesias, C., Manca, A., Drummond, M., Rubinstein, A., &amp; Martí, S. G. (2009). Barriers to generalizability of health economic evaluations in Latin America and the Caribbean region. </w:t>
      </w:r>
      <w:r w:rsidRPr="00571280">
        <w:rPr>
          <w:rFonts w:ascii="Arial" w:hAnsi="Arial" w:cs="Arial"/>
          <w:i/>
          <w:iCs/>
          <w:sz w:val="24"/>
          <w:szCs w:val="24"/>
        </w:rPr>
        <w:t>PharmacoEconomics</w:t>
      </w:r>
      <w:r w:rsidRPr="00571280">
        <w:rPr>
          <w:rFonts w:ascii="Arial" w:hAnsi="Arial" w:cs="Arial"/>
          <w:sz w:val="24"/>
          <w:szCs w:val="24"/>
        </w:rPr>
        <w:t xml:space="preserve">, </w:t>
      </w:r>
      <w:r w:rsidRPr="00571280">
        <w:rPr>
          <w:rFonts w:ascii="Arial" w:hAnsi="Arial" w:cs="Arial"/>
          <w:i/>
          <w:iCs/>
          <w:sz w:val="24"/>
          <w:szCs w:val="24"/>
        </w:rPr>
        <w:t>27</w:t>
      </w:r>
      <w:r w:rsidRPr="00571280">
        <w:rPr>
          <w:rFonts w:ascii="Arial" w:hAnsi="Arial" w:cs="Arial"/>
          <w:sz w:val="24"/>
          <w:szCs w:val="24"/>
        </w:rPr>
        <w:t xml:space="preserve">(11), 919-929. </w:t>
      </w:r>
      <w:r w:rsidRPr="005C426C">
        <w:rPr>
          <w:rFonts w:ascii="Arial" w:hAnsi="Arial" w:cs="Arial"/>
          <w:color w:val="002060"/>
          <w:sz w:val="24"/>
          <w:szCs w:val="24"/>
          <w:u w:val="single"/>
        </w:rPr>
        <w:t>https://doi.org/10.2165/11313670-000000000-00000</w:t>
      </w:r>
    </w:p>
    <w:p w14:paraId="6B73DE33" w14:textId="77777777" w:rsidR="00571280" w:rsidRPr="00571280" w:rsidRDefault="00571280" w:rsidP="005D57C5">
      <w:pPr>
        <w:pStyle w:val="Bibliografa"/>
        <w:spacing w:after="160" w:line="360" w:lineRule="auto"/>
        <w:ind w:left="709" w:hanging="709"/>
        <w:jc w:val="both"/>
        <w:rPr>
          <w:rFonts w:ascii="Arial" w:hAnsi="Arial" w:cs="Arial"/>
          <w:sz w:val="24"/>
          <w:szCs w:val="24"/>
        </w:rPr>
      </w:pPr>
      <w:r w:rsidRPr="00571280">
        <w:rPr>
          <w:rFonts w:ascii="Arial" w:hAnsi="Arial" w:cs="Arial"/>
          <w:sz w:val="24"/>
          <w:szCs w:val="24"/>
        </w:rPr>
        <w:t xml:space="preserve">Boeris, C. (2010). </w:t>
      </w:r>
      <w:r w:rsidRPr="00571280">
        <w:rPr>
          <w:rFonts w:ascii="Arial" w:hAnsi="Arial" w:cs="Arial"/>
          <w:i/>
          <w:iCs/>
          <w:sz w:val="24"/>
          <w:szCs w:val="24"/>
        </w:rPr>
        <w:t xml:space="preserve">Aplicación de métodos bibliométricos a la evaluación de colecciones: El caso de la Biblioteca del Instituto Argentino de </w:t>
      </w:r>
      <w:r w:rsidRPr="00571280">
        <w:rPr>
          <w:rFonts w:ascii="Arial" w:hAnsi="Arial" w:cs="Arial"/>
          <w:i/>
          <w:iCs/>
          <w:sz w:val="24"/>
          <w:szCs w:val="24"/>
        </w:rPr>
        <w:lastRenderedPageBreak/>
        <w:t>Radioastronomía.</w:t>
      </w:r>
      <w:r w:rsidRPr="00571280">
        <w:rPr>
          <w:rFonts w:ascii="Arial" w:hAnsi="Arial" w:cs="Arial"/>
          <w:sz w:val="24"/>
          <w:szCs w:val="24"/>
        </w:rPr>
        <w:t xml:space="preserve"> [Universidad Nacional de la</w:t>
      </w:r>
      <w:r w:rsidRPr="00571280">
        <w:rPr>
          <w:rFonts w:ascii="Arial" w:hAnsi="Arial" w:cs="Arial"/>
          <w:sz w:val="24"/>
          <w:szCs w:val="24"/>
        </w:rPr>
        <w:tab/>
        <w:t xml:space="preserve">Plata]. </w:t>
      </w:r>
      <w:r w:rsidRPr="005C426C">
        <w:rPr>
          <w:rFonts w:ascii="Arial" w:hAnsi="Arial" w:cs="Arial"/>
          <w:color w:val="002060"/>
          <w:sz w:val="24"/>
          <w:szCs w:val="24"/>
          <w:u w:val="single"/>
        </w:rPr>
        <w:t>https://www.memoria.fahce.unlp.edu.ar/tesis/te.371/te.371.pdf</w:t>
      </w:r>
    </w:p>
    <w:p w14:paraId="57203D8B"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rPr>
        <w:t xml:space="preserve">Bonilla, C. A., Merigó, J. M., &amp; Torres-Abad, C. (2015). </w:t>
      </w:r>
      <w:r w:rsidRPr="00571280">
        <w:rPr>
          <w:rFonts w:ascii="Arial" w:hAnsi="Arial" w:cs="Arial"/>
          <w:sz w:val="24"/>
          <w:szCs w:val="24"/>
          <w:lang w:val="en-US"/>
        </w:rPr>
        <w:t xml:space="preserve">Economics in Latin America: A bibliometric analysis. </w:t>
      </w:r>
      <w:r w:rsidRPr="00571280">
        <w:rPr>
          <w:rFonts w:ascii="Arial" w:hAnsi="Arial" w:cs="Arial"/>
          <w:i/>
          <w:iCs/>
          <w:sz w:val="24"/>
          <w:szCs w:val="24"/>
          <w:lang w:val="en-US"/>
        </w:rPr>
        <w:t>Scientometrics</w:t>
      </w:r>
      <w:r w:rsidRPr="00571280">
        <w:rPr>
          <w:rFonts w:ascii="Arial" w:hAnsi="Arial" w:cs="Arial"/>
          <w:sz w:val="24"/>
          <w:szCs w:val="24"/>
          <w:lang w:val="en-US"/>
        </w:rPr>
        <w:t xml:space="preserve">, </w:t>
      </w:r>
      <w:r w:rsidRPr="00571280">
        <w:rPr>
          <w:rFonts w:ascii="Arial" w:hAnsi="Arial" w:cs="Arial"/>
          <w:i/>
          <w:iCs/>
          <w:sz w:val="24"/>
          <w:szCs w:val="24"/>
          <w:lang w:val="en-US"/>
        </w:rPr>
        <w:t>105</w:t>
      </w:r>
      <w:r w:rsidRPr="00571280">
        <w:rPr>
          <w:rFonts w:ascii="Arial" w:hAnsi="Arial" w:cs="Arial"/>
          <w:sz w:val="24"/>
          <w:szCs w:val="24"/>
          <w:lang w:val="en-US"/>
        </w:rPr>
        <w:t xml:space="preserve">(2), 1239-1252. </w:t>
      </w:r>
      <w:r w:rsidRPr="005C426C">
        <w:rPr>
          <w:rFonts w:ascii="Arial" w:hAnsi="Arial" w:cs="Arial"/>
          <w:color w:val="002060"/>
          <w:sz w:val="24"/>
          <w:szCs w:val="24"/>
          <w:u w:val="single"/>
          <w:lang w:val="en-US"/>
        </w:rPr>
        <w:t>https://doi.org/10.1007/s11192-015-1747-7</w:t>
      </w:r>
    </w:p>
    <w:p w14:paraId="0AE5D072" w14:textId="77777777" w:rsidR="00571280" w:rsidRPr="00571280" w:rsidRDefault="00571280" w:rsidP="005D57C5">
      <w:pPr>
        <w:pStyle w:val="Bibliografa"/>
        <w:spacing w:after="160" w:line="360" w:lineRule="auto"/>
        <w:ind w:left="709" w:hanging="709"/>
        <w:jc w:val="both"/>
        <w:rPr>
          <w:rFonts w:ascii="Arial" w:hAnsi="Arial" w:cs="Arial"/>
          <w:sz w:val="24"/>
          <w:szCs w:val="24"/>
        </w:rPr>
      </w:pPr>
      <w:r w:rsidRPr="00571280">
        <w:rPr>
          <w:rFonts w:ascii="Arial" w:hAnsi="Arial" w:cs="Arial"/>
          <w:sz w:val="24"/>
          <w:szCs w:val="24"/>
          <w:lang w:val="en-US"/>
        </w:rPr>
        <w:t xml:space="preserve">Borrajo, G. J. C. (2007). Newborn screening in Latin America at the beginning of the 21st century. </w:t>
      </w:r>
      <w:r w:rsidRPr="00571280">
        <w:rPr>
          <w:rFonts w:ascii="Arial" w:hAnsi="Arial" w:cs="Arial"/>
          <w:i/>
          <w:iCs/>
          <w:sz w:val="24"/>
          <w:szCs w:val="24"/>
        </w:rPr>
        <w:t>J. Inherit. Metab. Dis.</w:t>
      </w:r>
      <w:r w:rsidRPr="00571280">
        <w:rPr>
          <w:rFonts w:ascii="Arial" w:hAnsi="Arial" w:cs="Arial"/>
          <w:sz w:val="24"/>
          <w:szCs w:val="24"/>
        </w:rPr>
        <w:t xml:space="preserve">, </w:t>
      </w:r>
      <w:r w:rsidRPr="00571280">
        <w:rPr>
          <w:rFonts w:ascii="Arial" w:hAnsi="Arial" w:cs="Arial"/>
          <w:i/>
          <w:iCs/>
          <w:sz w:val="24"/>
          <w:szCs w:val="24"/>
        </w:rPr>
        <w:t>30</w:t>
      </w:r>
      <w:r w:rsidRPr="00571280">
        <w:rPr>
          <w:rFonts w:ascii="Arial" w:hAnsi="Arial" w:cs="Arial"/>
          <w:sz w:val="24"/>
          <w:szCs w:val="24"/>
        </w:rPr>
        <w:t xml:space="preserve">(4), 466-481. </w:t>
      </w:r>
      <w:r w:rsidRPr="005C426C">
        <w:rPr>
          <w:rFonts w:ascii="Arial" w:hAnsi="Arial" w:cs="Arial"/>
          <w:color w:val="002060"/>
          <w:sz w:val="24"/>
          <w:szCs w:val="24"/>
          <w:u w:val="single"/>
        </w:rPr>
        <w:t>https://doi.org/10.1007/s10545-007-0669-9</w:t>
      </w:r>
    </w:p>
    <w:p w14:paraId="2D7A5BD0" w14:textId="77777777" w:rsidR="00571280" w:rsidRPr="00571280" w:rsidRDefault="00571280" w:rsidP="005D57C5">
      <w:pPr>
        <w:pStyle w:val="Bibliografa"/>
        <w:spacing w:after="160" w:line="360" w:lineRule="auto"/>
        <w:ind w:left="709" w:hanging="709"/>
        <w:jc w:val="both"/>
        <w:rPr>
          <w:rFonts w:ascii="Arial" w:hAnsi="Arial" w:cs="Arial"/>
          <w:sz w:val="24"/>
          <w:szCs w:val="24"/>
        </w:rPr>
      </w:pPr>
      <w:r w:rsidRPr="00571280">
        <w:rPr>
          <w:rFonts w:ascii="Arial" w:hAnsi="Arial" w:cs="Arial"/>
          <w:sz w:val="24"/>
          <w:szCs w:val="24"/>
        </w:rPr>
        <w:t xml:space="preserve">Buendia, J. A., Acuña-Cordero, R., &amp; Rodriguez-Martinez, C. E. (2020). </w:t>
      </w:r>
      <w:r w:rsidRPr="00571280">
        <w:rPr>
          <w:rFonts w:ascii="Arial" w:hAnsi="Arial" w:cs="Arial"/>
          <w:sz w:val="24"/>
          <w:szCs w:val="24"/>
          <w:lang w:val="en-US"/>
        </w:rPr>
        <w:t xml:space="preserve">The cost-utility of intravenous magnesium sulfate for treating asthma exacerbations in children. </w:t>
      </w:r>
      <w:r w:rsidRPr="00571280">
        <w:rPr>
          <w:rFonts w:ascii="Arial" w:hAnsi="Arial" w:cs="Arial"/>
          <w:i/>
          <w:iCs/>
          <w:sz w:val="24"/>
          <w:szCs w:val="24"/>
        </w:rPr>
        <w:t>Pediatric Pulmonology</w:t>
      </w:r>
      <w:r w:rsidRPr="00571280">
        <w:rPr>
          <w:rFonts w:ascii="Arial" w:hAnsi="Arial" w:cs="Arial"/>
          <w:sz w:val="24"/>
          <w:szCs w:val="24"/>
        </w:rPr>
        <w:t xml:space="preserve">, </w:t>
      </w:r>
      <w:r w:rsidRPr="00571280">
        <w:rPr>
          <w:rFonts w:ascii="Arial" w:hAnsi="Arial" w:cs="Arial"/>
          <w:i/>
          <w:iCs/>
          <w:sz w:val="24"/>
          <w:szCs w:val="24"/>
        </w:rPr>
        <w:t>55</w:t>
      </w:r>
      <w:r w:rsidRPr="00571280">
        <w:rPr>
          <w:rFonts w:ascii="Arial" w:hAnsi="Arial" w:cs="Arial"/>
          <w:sz w:val="24"/>
          <w:szCs w:val="24"/>
        </w:rPr>
        <w:t xml:space="preserve">(10), 2610-2616. </w:t>
      </w:r>
      <w:r w:rsidRPr="005C426C">
        <w:rPr>
          <w:rFonts w:ascii="Arial" w:hAnsi="Arial" w:cs="Arial"/>
          <w:color w:val="002060"/>
          <w:sz w:val="24"/>
          <w:szCs w:val="24"/>
          <w:u w:val="single"/>
        </w:rPr>
        <w:t>https://doi.org/10.1002/ppul.25024</w:t>
      </w:r>
    </w:p>
    <w:p w14:paraId="4A210F75" w14:textId="77777777" w:rsidR="00571280" w:rsidRPr="005C426C" w:rsidRDefault="00571280" w:rsidP="005D57C5">
      <w:pPr>
        <w:pStyle w:val="Bibliografa"/>
        <w:spacing w:after="160" w:line="360" w:lineRule="auto"/>
        <w:ind w:left="709" w:hanging="709"/>
        <w:jc w:val="both"/>
        <w:rPr>
          <w:rFonts w:ascii="Arial" w:hAnsi="Arial" w:cs="Arial"/>
          <w:sz w:val="24"/>
          <w:szCs w:val="24"/>
          <w:u w:val="single"/>
          <w:lang w:val="en-US"/>
        </w:rPr>
      </w:pPr>
      <w:r w:rsidRPr="00571280">
        <w:rPr>
          <w:rFonts w:ascii="Arial" w:hAnsi="Arial" w:cs="Arial"/>
          <w:sz w:val="24"/>
          <w:szCs w:val="24"/>
        </w:rPr>
        <w:t xml:space="preserve">Buendía, J. A., Acuña-Cordero, R., &amp; Rodriguez-Martinez, C. E. (2021a). </w:t>
      </w:r>
      <w:r w:rsidRPr="00571280">
        <w:rPr>
          <w:rFonts w:ascii="Arial" w:hAnsi="Arial" w:cs="Arial"/>
          <w:sz w:val="24"/>
          <w:szCs w:val="24"/>
          <w:lang w:val="en-US"/>
        </w:rPr>
        <w:t xml:space="preserve">Cost utility of fractional exhaled nitric oxide monitoring for the management of children asthma. </w:t>
      </w:r>
      <w:r w:rsidRPr="00571280">
        <w:rPr>
          <w:rFonts w:ascii="Arial" w:hAnsi="Arial" w:cs="Arial"/>
          <w:i/>
          <w:iCs/>
          <w:sz w:val="24"/>
          <w:szCs w:val="24"/>
          <w:lang w:val="en-US"/>
        </w:rPr>
        <w:t>Cost Effectiveness and Resource Allocation</w:t>
      </w:r>
      <w:r w:rsidRPr="00571280">
        <w:rPr>
          <w:rFonts w:ascii="Arial" w:hAnsi="Arial" w:cs="Arial"/>
          <w:sz w:val="24"/>
          <w:szCs w:val="24"/>
          <w:lang w:val="en-US"/>
        </w:rPr>
        <w:t xml:space="preserve">, </w:t>
      </w:r>
      <w:r w:rsidRPr="00571280">
        <w:rPr>
          <w:rFonts w:ascii="Arial" w:hAnsi="Arial" w:cs="Arial"/>
          <w:i/>
          <w:iCs/>
          <w:sz w:val="24"/>
          <w:szCs w:val="24"/>
          <w:lang w:val="en-US"/>
        </w:rPr>
        <w:t>19</w:t>
      </w:r>
      <w:r w:rsidRPr="00571280">
        <w:rPr>
          <w:rFonts w:ascii="Arial" w:hAnsi="Arial" w:cs="Arial"/>
          <w:sz w:val="24"/>
          <w:szCs w:val="24"/>
          <w:lang w:val="en-US"/>
        </w:rPr>
        <w:t xml:space="preserve">(1). </w:t>
      </w:r>
      <w:r w:rsidRPr="005C426C">
        <w:rPr>
          <w:rFonts w:ascii="Arial" w:hAnsi="Arial" w:cs="Arial"/>
          <w:color w:val="002060"/>
          <w:sz w:val="24"/>
          <w:szCs w:val="24"/>
          <w:u w:val="single"/>
          <w:lang w:val="en-US"/>
        </w:rPr>
        <w:t>https://doi.org/10.1186/s12962-021-00287-3</w:t>
      </w:r>
    </w:p>
    <w:p w14:paraId="715ACD9F"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lang w:val="en-US"/>
        </w:rPr>
        <w:t xml:space="preserve">Buendía, J. A., Acuña-Cordero, R., &amp; Rodriguez-Martinez, C. E. (2021b). The cost-utility of early use of high-flow nasal cannula in bronchiolitis. </w:t>
      </w:r>
      <w:r w:rsidRPr="00571280">
        <w:rPr>
          <w:rFonts w:ascii="Arial" w:hAnsi="Arial" w:cs="Arial"/>
          <w:i/>
          <w:iCs/>
          <w:sz w:val="24"/>
          <w:szCs w:val="24"/>
          <w:lang w:val="en-US"/>
        </w:rPr>
        <w:t>Health Economics Review</w:t>
      </w:r>
      <w:r w:rsidRPr="00571280">
        <w:rPr>
          <w:rFonts w:ascii="Arial" w:hAnsi="Arial" w:cs="Arial"/>
          <w:sz w:val="24"/>
          <w:szCs w:val="24"/>
          <w:lang w:val="en-US"/>
        </w:rPr>
        <w:t xml:space="preserve">, </w:t>
      </w:r>
      <w:r w:rsidRPr="00571280">
        <w:rPr>
          <w:rFonts w:ascii="Arial" w:hAnsi="Arial" w:cs="Arial"/>
          <w:i/>
          <w:iCs/>
          <w:sz w:val="24"/>
          <w:szCs w:val="24"/>
          <w:lang w:val="en-US"/>
        </w:rPr>
        <w:t>11</w:t>
      </w:r>
      <w:r w:rsidRPr="00571280">
        <w:rPr>
          <w:rFonts w:ascii="Arial" w:hAnsi="Arial" w:cs="Arial"/>
          <w:sz w:val="24"/>
          <w:szCs w:val="24"/>
          <w:lang w:val="en-US"/>
        </w:rPr>
        <w:t>(1)</w:t>
      </w:r>
      <w:r w:rsidRPr="00426CBD">
        <w:rPr>
          <w:rFonts w:ascii="Arial" w:hAnsi="Arial" w:cs="Arial"/>
          <w:color w:val="002060"/>
          <w:sz w:val="24"/>
          <w:szCs w:val="24"/>
          <w:lang w:val="en-US"/>
        </w:rPr>
        <w:t>.</w:t>
      </w:r>
      <w:r w:rsidRPr="005C426C">
        <w:rPr>
          <w:rFonts w:ascii="Arial" w:hAnsi="Arial" w:cs="Arial"/>
          <w:color w:val="002060"/>
          <w:sz w:val="24"/>
          <w:szCs w:val="24"/>
          <w:u w:val="single"/>
          <w:lang w:val="en-US"/>
        </w:rPr>
        <w:t xml:space="preserve"> https://doi.org/10.1186/s13561-021-00339-7</w:t>
      </w:r>
    </w:p>
    <w:p w14:paraId="438F4FF6" w14:textId="77777777" w:rsidR="00571280" w:rsidRPr="00426CBD" w:rsidRDefault="00571280" w:rsidP="005D57C5">
      <w:pPr>
        <w:pStyle w:val="Bibliografa"/>
        <w:spacing w:after="160" w:line="360" w:lineRule="auto"/>
        <w:ind w:left="709" w:hanging="709"/>
        <w:jc w:val="both"/>
        <w:rPr>
          <w:rFonts w:ascii="Arial" w:hAnsi="Arial" w:cs="Arial"/>
          <w:color w:val="002060"/>
          <w:sz w:val="24"/>
          <w:szCs w:val="24"/>
          <w:lang w:val="en-US"/>
        </w:rPr>
      </w:pPr>
      <w:r w:rsidRPr="00571280">
        <w:rPr>
          <w:rFonts w:ascii="Arial" w:hAnsi="Arial" w:cs="Arial"/>
          <w:sz w:val="24"/>
          <w:szCs w:val="24"/>
          <w:lang w:val="en-US"/>
        </w:rPr>
        <w:lastRenderedPageBreak/>
        <w:t xml:space="preserve">Buendía, J. A., Lindarte, E. F., &amp; Guerrero Patiño, D. (2023). Phosphodiesterase 5 Inhibitor for Pediatric Pulmonary Arterial Hypertension: A Cost-Utility Analysis. </w:t>
      </w:r>
      <w:r w:rsidRPr="00571280">
        <w:rPr>
          <w:rFonts w:ascii="Arial" w:hAnsi="Arial" w:cs="Arial"/>
          <w:i/>
          <w:iCs/>
          <w:sz w:val="24"/>
          <w:szCs w:val="24"/>
          <w:lang w:val="en-US"/>
        </w:rPr>
        <w:t>Value in Health Regional Issues</w:t>
      </w:r>
      <w:r w:rsidRPr="00571280">
        <w:rPr>
          <w:rFonts w:ascii="Arial" w:hAnsi="Arial" w:cs="Arial"/>
          <w:sz w:val="24"/>
          <w:szCs w:val="24"/>
          <w:lang w:val="en-US"/>
        </w:rPr>
        <w:t xml:space="preserve">, </w:t>
      </w:r>
      <w:r w:rsidRPr="00571280">
        <w:rPr>
          <w:rFonts w:ascii="Arial" w:hAnsi="Arial" w:cs="Arial"/>
          <w:i/>
          <w:iCs/>
          <w:sz w:val="24"/>
          <w:szCs w:val="24"/>
          <w:lang w:val="en-US"/>
        </w:rPr>
        <w:t>36</w:t>
      </w:r>
      <w:r w:rsidRPr="00571280">
        <w:rPr>
          <w:rFonts w:ascii="Arial" w:hAnsi="Arial" w:cs="Arial"/>
          <w:sz w:val="24"/>
          <w:szCs w:val="24"/>
          <w:lang w:val="en-US"/>
        </w:rPr>
        <w:t xml:space="preserve">, 44-50. </w:t>
      </w:r>
      <w:r w:rsidRPr="005C426C">
        <w:rPr>
          <w:rFonts w:ascii="Arial" w:hAnsi="Arial" w:cs="Arial"/>
          <w:color w:val="002060"/>
          <w:sz w:val="24"/>
          <w:szCs w:val="24"/>
          <w:u w:val="single"/>
          <w:lang w:val="en-US"/>
        </w:rPr>
        <w:t>https://doi.org/10.1016/j.vhri.2023.02.001</w:t>
      </w:r>
    </w:p>
    <w:p w14:paraId="6BFB6C4D"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rPr>
        <w:t xml:space="preserve">Buendia, J. A., Patino, D. G., &amp; Lindarte, E. F. (2023). </w:t>
      </w:r>
      <w:r w:rsidRPr="00571280">
        <w:rPr>
          <w:rFonts w:ascii="Arial" w:hAnsi="Arial" w:cs="Arial"/>
          <w:sz w:val="24"/>
          <w:szCs w:val="24"/>
          <w:lang w:val="en-US"/>
        </w:rPr>
        <w:t xml:space="preserve">Cost-utility of ambrisentan and bosentan for pediatric pulmonary arterial hypertension. </w:t>
      </w:r>
      <w:r w:rsidRPr="00571280">
        <w:rPr>
          <w:rFonts w:ascii="Arial" w:hAnsi="Arial" w:cs="Arial"/>
          <w:i/>
          <w:iCs/>
          <w:sz w:val="24"/>
          <w:szCs w:val="24"/>
          <w:lang w:val="en-US"/>
        </w:rPr>
        <w:t>Expert Review of Pharmacoeconomics and Outcomes Research</w:t>
      </w:r>
      <w:r w:rsidRPr="00571280">
        <w:rPr>
          <w:rFonts w:ascii="Arial" w:hAnsi="Arial" w:cs="Arial"/>
          <w:sz w:val="24"/>
          <w:szCs w:val="24"/>
          <w:lang w:val="en-US"/>
        </w:rPr>
        <w:t xml:space="preserve">, </w:t>
      </w:r>
      <w:r w:rsidRPr="00571280">
        <w:rPr>
          <w:rFonts w:ascii="Arial" w:hAnsi="Arial" w:cs="Arial"/>
          <w:i/>
          <w:iCs/>
          <w:sz w:val="24"/>
          <w:szCs w:val="24"/>
          <w:lang w:val="en-US"/>
        </w:rPr>
        <w:t>23</w:t>
      </w:r>
      <w:r w:rsidRPr="00571280">
        <w:rPr>
          <w:rFonts w:ascii="Arial" w:hAnsi="Arial" w:cs="Arial"/>
          <w:sz w:val="24"/>
          <w:szCs w:val="24"/>
          <w:lang w:val="en-US"/>
        </w:rPr>
        <w:t xml:space="preserve">(8), 967-973. </w:t>
      </w:r>
      <w:r w:rsidRPr="005C426C">
        <w:rPr>
          <w:rFonts w:ascii="Arial" w:hAnsi="Arial" w:cs="Arial"/>
          <w:color w:val="002060"/>
          <w:sz w:val="24"/>
          <w:szCs w:val="24"/>
          <w:u w:val="single"/>
          <w:lang w:val="en-US"/>
        </w:rPr>
        <w:t>https://doi.org/10.1080/14737167.2023.2233698</w:t>
      </w:r>
    </w:p>
    <w:p w14:paraId="2776C14E"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rPr>
        <w:t xml:space="preserve">Buendía, J. A., &amp; Patiño, D. G. (2021). </w:t>
      </w:r>
      <w:r w:rsidRPr="00571280">
        <w:rPr>
          <w:rFonts w:ascii="Arial" w:hAnsi="Arial" w:cs="Arial"/>
          <w:sz w:val="24"/>
          <w:szCs w:val="24"/>
          <w:lang w:val="en-US"/>
        </w:rPr>
        <w:t xml:space="preserve">Costs of Respiratory Syncytial Virus Hospitalizations in Colombia. </w:t>
      </w:r>
      <w:r w:rsidRPr="00571280">
        <w:rPr>
          <w:rFonts w:ascii="Arial" w:hAnsi="Arial" w:cs="Arial"/>
          <w:i/>
          <w:iCs/>
          <w:sz w:val="24"/>
          <w:szCs w:val="24"/>
          <w:lang w:val="en-US"/>
        </w:rPr>
        <w:t>PharmacoEconomics - Open</w:t>
      </w:r>
      <w:r w:rsidRPr="00571280">
        <w:rPr>
          <w:rFonts w:ascii="Arial" w:hAnsi="Arial" w:cs="Arial"/>
          <w:sz w:val="24"/>
          <w:szCs w:val="24"/>
          <w:lang w:val="en-US"/>
        </w:rPr>
        <w:t xml:space="preserve">, </w:t>
      </w:r>
      <w:r w:rsidRPr="00571280">
        <w:rPr>
          <w:rFonts w:ascii="Arial" w:hAnsi="Arial" w:cs="Arial"/>
          <w:i/>
          <w:iCs/>
          <w:sz w:val="24"/>
          <w:szCs w:val="24"/>
          <w:lang w:val="en-US"/>
        </w:rPr>
        <w:t>5</w:t>
      </w:r>
      <w:r w:rsidRPr="00571280">
        <w:rPr>
          <w:rFonts w:ascii="Arial" w:hAnsi="Arial" w:cs="Arial"/>
          <w:sz w:val="24"/>
          <w:szCs w:val="24"/>
          <w:lang w:val="en-US"/>
        </w:rPr>
        <w:t xml:space="preserve">(1), 71-76. </w:t>
      </w:r>
      <w:r w:rsidRPr="005C426C">
        <w:rPr>
          <w:rFonts w:ascii="Arial" w:hAnsi="Arial" w:cs="Arial"/>
          <w:color w:val="002060"/>
          <w:sz w:val="24"/>
          <w:szCs w:val="24"/>
          <w:u w:val="single"/>
          <w:lang w:val="en-US"/>
        </w:rPr>
        <w:t>https://doi.org/10.1007/s41669-020-00218-7</w:t>
      </w:r>
    </w:p>
    <w:p w14:paraId="11E2A694"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lang w:val="en-US"/>
        </w:rPr>
        <w:t xml:space="preserve">Buendía, J. A., &amp; Patiño, D. G. (2023a). Corticosteroids for the treatment of respiratory infection by Mycoplasma pneumoniae in children: A cost-utility analysis. </w:t>
      </w:r>
      <w:r w:rsidRPr="00571280">
        <w:rPr>
          <w:rFonts w:ascii="Arial" w:hAnsi="Arial" w:cs="Arial"/>
          <w:i/>
          <w:iCs/>
          <w:sz w:val="24"/>
          <w:szCs w:val="24"/>
          <w:lang w:val="en-US"/>
        </w:rPr>
        <w:t>Pediatric Pulmonology</w:t>
      </w:r>
      <w:r w:rsidRPr="00571280">
        <w:rPr>
          <w:rFonts w:ascii="Arial" w:hAnsi="Arial" w:cs="Arial"/>
          <w:sz w:val="24"/>
          <w:szCs w:val="24"/>
          <w:lang w:val="en-US"/>
        </w:rPr>
        <w:t xml:space="preserve">, </w:t>
      </w:r>
      <w:r w:rsidRPr="00571280">
        <w:rPr>
          <w:rFonts w:ascii="Arial" w:hAnsi="Arial" w:cs="Arial"/>
          <w:i/>
          <w:iCs/>
          <w:sz w:val="24"/>
          <w:szCs w:val="24"/>
          <w:lang w:val="en-US"/>
        </w:rPr>
        <w:t>58</w:t>
      </w:r>
      <w:r w:rsidRPr="00571280">
        <w:rPr>
          <w:rFonts w:ascii="Arial" w:hAnsi="Arial" w:cs="Arial"/>
          <w:sz w:val="24"/>
          <w:szCs w:val="24"/>
          <w:lang w:val="en-US"/>
        </w:rPr>
        <w:t xml:space="preserve">(10), 2809-2814. </w:t>
      </w:r>
      <w:r w:rsidRPr="005C426C">
        <w:rPr>
          <w:rFonts w:ascii="Arial" w:hAnsi="Arial" w:cs="Arial"/>
          <w:color w:val="002060"/>
          <w:sz w:val="24"/>
          <w:szCs w:val="24"/>
          <w:u w:val="single"/>
          <w:lang w:val="en-US"/>
        </w:rPr>
        <w:t>https://doi.org/10.1002/ppul.26592</w:t>
      </w:r>
    </w:p>
    <w:p w14:paraId="3F1D3C0E"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lang w:val="en-US"/>
        </w:rPr>
        <w:t xml:space="preserve">Buendía, J. A., &amp; Patiño, D. G. (2023b). Cost-utility of vitamin D supplementation to prevent acute respiratory infections in children. </w:t>
      </w:r>
      <w:r w:rsidRPr="00571280">
        <w:rPr>
          <w:rFonts w:ascii="Arial" w:hAnsi="Arial" w:cs="Arial"/>
          <w:i/>
          <w:iCs/>
          <w:sz w:val="24"/>
          <w:szCs w:val="24"/>
          <w:lang w:val="en-US"/>
        </w:rPr>
        <w:t>Cost Effectiveness and Resource Allocation</w:t>
      </w:r>
      <w:r w:rsidRPr="00571280">
        <w:rPr>
          <w:rFonts w:ascii="Arial" w:hAnsi="Arial" w:cs="Arial"/>
          <w:sz w:val="24"/>
          <w:szCs w:val="24"/>
          <w:lang w:val="en-US"/>
        </w:rPr>
        <w:t xml:space="preserve">, </w:t>
      </w:r>
      <w:r w:rsidRPr="00571280">
        <w:rPr>
          <w:rFonts w:ascii="Arial" w:hAnsi="Arial" w:cs="Arial"/>
          <w:i/>
          <w:iCs/>
          <w:sz w:val="24"/>
          <w:szCs w:val="24"/>
          <w:lang w:val="en-US"/>
        </w:rPr>
        <w:t>21</w:t>
      </w:r>
      <w:r w:rsidRPr="00571280">
        <w:rPr>
          <w:rFonts w:ascii="Arial" w:hAnsi="Arial" w:cs="Arial"/>
          <w:sz w:val="24"/>
          <w:szCs w:val="24"/>
          <w:lang w:val="en-US"/>
        </w:rPr>
        <w:t>(1).</w:t>
      </w:r>
      <w:r w:rsidRPr="005C426C">
        <w:rPr>
          <w:rFonts w:ascii="Arial" w:hAnsi="Arial" w:cs="Arial"/>
          <w:color w:val="002060"/>
          <w:sz w:val="24"/>
          <w:szCs w:val="24"/>
          <w:u w:val="single"/>
          <w:lang w:val="en-US"/>
        </w:rPr>
        <w:t xml:space="preserve"> https://doi.org/10.1186/s12962-023-00433-z</w:t>
      </w:r>
    </w:p>
    <w:p w14:paraId="5F95B914"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lang w:val="en-US"/>
        </w:rPr>
        <w:t xml:space="preserve">Castro-Rodriguez, J. A., Forno, E., Rodriguez-Martinez, C. E., &amp; Celedón, J. C. (2016). Risk and Protective Factors for Childhood Asthma: What Is the </w:t>
      </w:r>
      <w:r w:rsidRPr="00571280">
        <w:rPr>
          <w:rFonts w:ascii="Arial" w:hAnsi="Arial" w:cs="Arial"/>
          <w:sz w:val="24"/>
          <w:szCs w:val="24"/>
          <w:lang w:val="en-US"/>
        </w:rPr>
        <w:lastRenderedPageBreak/>
        <w:t xml:space="preserve">Evidence? </w:t>
      </w:r>
      <w:r w:rsidRPr="00571280">
        <w:rPr>
          <w:rFonts w:ascii="Arial" w:hAnsi="Arial" w:cs="Arial"/>
          <w:i/>
          <w:iCs/>
          <w:sz w:val="24"/>
          <w:szCs w:val="24"/>
          <w:lang w:val="en-US"/>
        </w:rPr>
        <w:t>The Journal of Allergy and Clinical Immunology: In Practice</w:t>
      </w:r>
      <w:r w:rsidRPr="00571280">
        <w:rPr>
          <w:rFonts w:ascii="Arial" w:hAnsi="Arial" w:cs="Arial"/>
          <w:sz w:val="24"/>
          <w:szCs w:val="24"/>
          <w:lang w:val="en-US"/>
        </w:rPr>
        <w:t xml:space="preserve">, </w:t>
      </w:r>
      <w:r w:rsidRPr="00571280">
        <w:rPr>
          <w:rFonts w:ascii="Arial" w:hAnsi="Arial" w:cs="Arial"/>
          <w:i/>
          <w:iCs/>
          <w:sz w:val="24"/>
          <w:szCs w:val="24"/>
          <w:lang w:val="en-US"/>
        </w:rPr>
        <w:t>4</w:t>
      </w:r>
      <w:r w:rsidRPr="00571280">
        <w:rPr>
          <w:rFonts w:ascii="Arial" w:hAnsi="Arial" w:cs="Arial"/>
          <w:sz w:val="24"/>
          <w:szCs w:val="24"/>
          <w:lang w:val="en-US"/>
        </w:rPr>
        <w:t>(6), 1111-1122</w:t>
      </w:r>
      <w:r w:rsidRPr="0017048B">
        <w:rPr>
          <w:rFonts w:ascii="Arial" w:hAnsi="Arial" w:cs="Arial"/>
          <w:color w:val="2F5496" w:themeColor="accent1" w:themeShade="BF"/>
          <w:sz w:val="24"/>
          <w:szCs w:val="24"/>
          <w:lang w:val="en-US"/>
        </w:rPr>
        <w:t>.</w:t>
      </w:r>
      <w:r w:rsidRPr="005C426C">
        <w:rPr>
          <w:rFonts w:ascii="Arial" w:hAnsi="Arial" w:cs="Arial"/>
          <w:color w:val="002060"/>
          <w:sz w:val="24"/>
          <w:szCs w:val="24"/>
          <w:u w:val="single"/>
          <w:lang w:val="en-US"/>
        </w:rPr>
        <w:t xml:space="preserve"> https://doi.org/10.1016/j.jaip.2016.05.003</w:t>
      </w:r>
    </w:p>
    <w:p w14:paraId="0DEA25DC" w14:textId="77777777" w:rsidR="00571280" w:rsidRPr="00571280" w:rsidRDefault="00571280" w:rsidP="005D57C5">
      <w:pPr>
        <w:pStyle w:val="Bibliografa"/>
        <w:spacing w:after="160" w:line="360" w:lineRule="auto"/>
        <w:ind w:left="709" w:hanging="709"/>
        <w:jc w:val="both"/>
        <w:rPr>
          <w:rFonts w:ascii="Arial" w:hAnsi="Arial" w:cs="Arial"/>
          <w:sz w:val="24"/>
          <w:szCs w:val="24"/>
        </w:rPr>
      </w:pPr>
      <w:r w:rsidRPr="00571280">
        <w:rPr>
          <w:rFonts w:ascii="Arial" w:hAnsi="Arial" w:cs="Arial"/>
          <w:sz w:val="24"/>
          <w:szCs w:val="24"/>
          <w:lang w:val="en-US"/>
        </w:rPr>
        <w:t xml:space="preserve">Chew, C., &amp; Eysenbach, G. (2010). Pandemics in the Age of Twitter: Content Analysis of Tweets during the 2009 H1N1 Outbreak. </w:t>
      </w:r>
      <w:r w:rsidRPr="00571280">
        <w:rPr>
          <w:rFonts w:ascii="Arial" w:hAnsi="Arial" w:cs="Arial"/>
          <w:i/>
          <w:iCs/>
          <w:sz w:val="24"/>
          <w:szCs w:val="24"/>
        </w:rPr>
        <w:t>PLoS ONE</w:t>
      </w:r>
      <w:r w:rsidRPr="00571280">
        <w:rPr>
          <w:rFonts w:ascii="Arial" w:hAnsi="Arial" w:cs="Arial"/>
          <w:sz w:val="24"/>
          <w:szCs w:val="24"/>
        </w:rPr>
        <w:t xml:space="preserve">, </w:t>
      </w:r>
      <w:r w:rsidRPr="00571280">
        <w:rPr>
          <w:rFonts w:ascii="Arial" w:hAnsi="Arial" w:cs="Arial"/>
          <w:i/>
          <w:iCs/>
          <w:sz w:val="24"/>
          <w:szCs w:val="24"/>
        </w:rPr>
        <w:t>5</w:t>
      </w:r>
      <w:r w:rsidRPr="00571280">
        <w:rPr>
          <w:rFonts w:ascii="Arial" w:hAnsi="Arial" w:cs="Arial"/>
          <w:sz w:val="24"/>
          <w:szCs w:val="24"/>
        </w:rPr>
        <w:t>(11), e14118.</w:t>
      </w:r>
      <w:r w:rsidRPr="005C426C">
        <w:rPr>
          <w:rFonts w:ascii="Arial" w:hAnsi="Arial" w:cs="Arial"/>
          <w:color w:val="002060"/>
          <w:sz w:val="24"/>
          <w:szCs w:val="24"/>
          <w:u w:val="single"/>
        </w:rPr>
        <w:t xml:space="preserve"> https://doi.org/10.1371/journal.pone.0014118</w:t>
      </w:r>
    </w:p>
    <w:p w14:paraId="6ABB2A7B" w14:textId="77777777" w:rsidR="00571280" w:rsidRPr="00571280" w:rsidRDefault="00571280" w:rsidP="005D57C5">
      <w:pPr>
        <w:pStyle w:val="Bibliografa"/>
        <w:spacing w:after="160" w:line="360" w:lineRule="auto"/>
        <w:ind w:left="709" w:hanging="709"/>
        <w:jc w:val="both"/>
        <w:rPr>
          <w:rFonts w:ascii="Arial" w:hAnsi="Arial" w:cs="Arial"/>
          <w:sz w:val="24"/>
          <w:szCs w:val="24"/>
        </w:rPr>
      </w:pPr>
      <w:r w:rsidRPr="00571280">
        <w:rPr>
          <w:rFonts w:ascii="Arial" w:hAnsi="Arial" w:cs="Arial"/>
          <w:sz w:val="24"/>
          <w:szCs w:val="24"/>
        </w:rPr>
        <w:t xml:space="preserve">de Oliveira Avellar, W., Ferreira, É. A., Vieira, A. C. R. A., de Melo, A. C., &amp; Aran, V. (2023). </w:t>
      </w:r>
      <w:r w:rsidRPr="00571280">
        <w:rPr>
          <w:rFonts w:ascii="Arial" w:hAnsi="Arial" w:cs="Arial"/>
          <w:sz w:val="24"/>
          <w:szCs w:val="24"/>
          <w:lang w:val="en-US"/>
        </w:rPr>
        <w:t xml:space="preserve">Clinical Cancer Research in South America and Potential Health Economic Impacts. </w:t>
      </w:r>
      <w:r w:rsidRPr="00571280">
        <w:rPr>
          <w:rFonts w:ascii="Arial" w:hAnsi="Arial" w:cs="Arial"/>
          <w:i/>
          <w:iCs/>
          <w:sz w:val="24"/>
          <w:szCs w:val="24"/>
        </w:rPr>
        <w:t>Healthcare (Switzerland)</w:t>
      </w:r>
      <w:r w:rsidRPr="00571280">
        <w:rPr>
          <w:rFonts w:ascii="Arial" w:hAnsi="Arial" w:cs="Arial"/>
          <w:sz w:val="24"/>
          <w:szCs w:val="24"/>
        </w:rPr>
        <w:t xml:space="preserve">, </w:t>
      </w:r>
      <w:r w:rsidRPr="00571280">
        <w:rPr>
          <w:rFonts w:ascii="Arial" w:hAnsi="Arial" w:cs="Arial"/>
          <w:i/>
          <w:iCs/>
          <w:sz w:val="24"/>
          <w:szCs w:val="24"/>
        </w:rPr>
        <w:t>11</w:t>
      </w:r>
      <w:r w:rsidRPr="00571280">
        <w:rPr>
          <w:rFonts w:ascii="Arial" w:hAnsi="Arial" w:cs="Arial"/>
          <w:sz w:val="24"/>
          <w:szCs w:val="24"/>
        </w:rPr>
        <w:t xml:space="preserve">(12). </w:t>
      </w:r>
      <w:r w:rsidRPr="005C426C">
        <w:rPr>
          <w:rFonts w:ascii="Arial" w:hAnsi="Arial" w:cs="Arial"/>
          <w:color w:val="002060"/>
          <w:sz w:val="24"/>
          <w:szCs w:val="24"/>
          <w:u w:val="single"/>
        </w:rPr>
        <w:t>https://doi.org/10.3390/healthcare11121753</w:t>
      </w:r>
    </w:p>
    <w:p w14:paraId="2959AE6A" w14:textId="77777777" w:rsidR="00571280" w:rsidRPr="00571280" w:rsidRDefault="00571280" w:rsidP="005D57C5">
      <w:pPr>
        <w:pStyle w:val="Bibliografa"/>
        <w:spacing w:after="160" w:line="360" w:lineRule="auto"/>
        <w:ind w:left="709" w:hanging="709"/>
        <w:jc w:val="both"/>
        <w:rPr>
          <w:rFonts w:ascii="Arial" w:hAnsi="Arial" w:cs="Arial"/>
          <w:sz w:val="24"/>
          <w:szCs w:val="24"/>
        </w:rPr>
      </w:pPr>
      <w:r w:rsidRPr="00571280">
        <w:rPr>
          <w:rFonts w:ascii="Arial" w:hAnsi="Arial" w:cs="Arial"/>
          <w:sz w:val="24"/>
          <w:szCs w:val="24"/>
        </w:rPr>
        <w:t xml:space="preserve">Fajardo, R., Valenzuela, J. I., Olaya, S. C., Quintero, G., Carrasquilla, G., Pinzón, C. E., López, C., &amp; Ramírez, J. C. (2011). Costo-efectividad de la colecistectomía laparoscópica y de la abierta en una muestra de población colombiana. </w:t>
      </w:r>
      <w:r w:rsidRPr="00571280">
        <w:rPr>
          <w:rFonts w:ascii="Arial" w:hAnsi="Arial" w:cs="Arial"/>
          <w:i/>
          <w:iCs/>
          <w:sz w:val="24"/>
          <w:szCs w:val="24"/>
        </w:rPr>
        <w:t>Biomédica</w:t>
      </w:r>
      <w:r w:rsidRPr="00571280">
        <w:rPr>
          <w:rFonts w:ascii="Arial" w:hAnsi="Arial" w:cs="Arial"/>
          <w:sz w:val="24"/>
          <w:szCs w:val="24"/>
        </w:rPr>
        <w:t xml:space="preserve">, </w:t>
      </w:r>
      <w:r w:rsidRPr="00571280">
        <w:rPr>
          <w:rFonts w:ascii="Arial" w:hAnsi="Arial" w:cs="Arial"/>
          <w:i/>
          <w:iCs/>
          <w:sz w:val="24"/>
          <w:szCs w:val="24"/>
        </w:rPr>
        <w:t>31</w:t>
      </w:r>
      <w:r w:rsidRPr="00571280">
        <w:rPr>
          <w:rFonts w:ascii="Arial" w:hAnsi="Arial" w:cs="Arial"/>
          <w:sz w:val="24"/>
          <w:szCs w:val="24"/>
        </w:rPr>
        <w:t xml:space="preserve">(4), 514. </w:t>
      </w:r>
      <w:r w:rsidRPr="005C426C">
        <w:rPr>
          <w:rFonts w:ascii="Arial" w:hAnsi="Arial" w:cs="Arial"/>
          <w:color w:val="002060"/>
          <w:sz w:val="24"/>
          <w:szCs w:val="24"/>
          <w:u w:val="single"/>
        </w:rPr>
        <w:t>https://doi.org/10.7705/biomedica.v31i4.405</w:t>
      </w:r>
    </w:p>
    <w:p w14:paraId="7084EA67" w14:textId="77777777" w:rsidR="00571280" w:rsidRPr="00571280" w:rsidRDefault="00571280" w:rsidP="005D57C5">
      <w:pPr>
        <w:pStyle w:val="Bibliografa"/>
        <w:spacing w:after="160" w:line="360" w:lineRule="auto"/>
        <w:ind w:left="709" w:hanging="709"/>
        <w:jc w:val="both"/>
        <w:rPr>
          <w:rFonts w:ascii="Arial" w:hAnsi="Arial" w:cs="Arial"/>
          <w:sz w:val="24"/>
          <w:szCs w:val="24"/>
        </w:rPr>
      </w:pPr>
      <w:r w:rsidRPr="00571280">
        <w:rPr>
          <w:rFonts w:ascii="Arial" w:hAnsi="Arial" w:cs="Arial"/>
          <w:sz w:val="24"/>
          <w:szCs w:val="24"/>
        </w:rPr>
        <w:t xml:space="preserve">Feigin, V. L., Stark, B. A., Johnson, C. O., Roth, G. A., Bisignano, C., Abady, G. G., Abbasifard, M., Abbasi-Kangevari, M., Abd-Allah, F., Abedi, V., Abualhasan, A., Abu-Rmeileh, N. M., Abushouk, A. I., Adebayo, O. M., Agarwal, G., Agasthi, P., Ahinkorah, B. O., Ahmad, S., Ahmadi, S., … </w:t>
      </w:r>
      <w:r w:rsidRPr="00571280">
        <w:rPr>
          <w:rFonts w:ascii="Arial" w:hAnsi="Arial" w:cs="Arial"/>
          <w:sz w:val="24"/>
          <w:szCs w:val="24"/>
          <w:lang w:val="en-US"/>
        </w:rPr>
        <w:t xml:space="preserve">Murray, C. J. L. (2021). Global, regional, and national burden of stroke and its risk factors, 1990–2019: A systematic analysis for the Global Burden of Disease Study </w:t>
      </w:r>
      <w:r w:rsidRPr="00571280">
        <w:rPr>
          <w:rFonts w:ascii="Arial" w:hAnsi="Arial" w:cs="Arial"/>
          <w:sz w:val="24"/>
          <w:szCs w:val="24"/>
          <w:lang w:val="en-US"/>
        </w:rPr>
        <w:lastRenderedPageBreak/>
        <w:t xml:space="preserve">2019. </w:t>
      </w:r>
      <w:r w:rsidRPr="00571280">
        <w:rPr>
          <w:rFonts w:ascii="Arial" w:hAnsi="Arial" w:cs="Arial"/>
          <w:i/>
          <w:iCs/>
          <w:sz w:val="24"/>
          <w:szCs w:val="24"/>
        </w:rPr>
        <w:t>The Lancet Neurology</w:t>
      </w:r>
      <w:r w:rsidRPr="00571280">
        <w:rPr>
          <w:rFonts w:ascii="Arial" w:hAnsi="Arial" w:cs="Arial"/>
          <w:sz w:val="24"/>
          <w:szCs w:val="24"/>
        </w:rPr>
        <w:t xml:space="preserve">, </w:t>
      </w:r>
      <w:r w:rsidRPr="00571280">
        <w:rPr>
          <w:rFonts w:ascii="Arial" w:hAnsi="Arial" w:cs="Arial"/>
          <w:i/>
          <w:iCs/>
          <w:sz w:val="24"/>
          <w:szCs w:val="24"/>
        </w:rPr>
        <w:t>20</w:t>
      </w:r>
      <w:r w:rsidRPr="00571280">
        <w:rPr>
          <w:rFonts w:ascii="Arial" w:hAnsi="Arial" w:cs="Arial"/>
          <w:sz w:val="24"/>
          <w:szCs w:val="24"/>
        </w:rPr>
        <w:t xml:space="preserve">(10), 795-820. </w:t>
      </w:r>
      <w:r w:rsidRPr="005C426C">
        <w:rPr>
          <w:rFonts w:ascii="Arial" w:hAnsi="Arial" w:cs="Arial"/>
          <w:color w:val="002060"/>
          <w:sz w:val="24"/>
          <w:szCs w:val="24"/>
          <w:u w:val="single"/>
        </w:rPr>
        <w:t>https://doi.org/10.1016/S1474-4422(21)00252-0</w:t>
      </w:r>
    </w:p>
    <w:p w14:paraId="36215FB7"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rPr>
        <w:t xml:space="preserve">Garcia, P. J., Alarcón, A., Bayer, A., Buss, P., Guerra, G., Ribeiro, H., Rojas, K., Saenz, R., de Snyder, N. S., Solimano, G., Torres, R., Tobar, S., Tuesca, R., Vargas, G., &amp; Atun, R. (2020). </w:t>
      </w:r>
      <w:r w:rsidRPr="00571280">
        <w:rPr>
          <w:rFonts w:ascii="Arial" w:hAnsi="Arial" w:cs="Arial"/>
          <w:sz w:val="24"/>
          <w:szCs w:val="24"/>
          <w:lang w:val="en-US"/>
        </w:rPr>
        <w:t xml:space="preserve">COVID-19 Response in Latin America. </w:t>
      </w:r>
      <w:r w:rsidRPr="00571280">
        <w:rPr>
          <w:rFonts w:ascii="Arial" w:hAnsi="Arial" w:cs="Arial"/>
          <w:i/>
          <w:iCs/>
          <w:sz w:val="24"/>
          <w:szCs w:val="24"/>
          <w:lang w:val="en-US"/>
        </w:rPr>
        <w:t>American Journal of Tropical Medicine and Hygiene</w:t>
      </w:r>
      <w:r w:rsidRPr="00571280">
        <w:rPr>
          <w:rFonts w:ascii="Arial" w:hAnsi="Arial" w:cs="Arial"/>
          <w:sz w:val="24"/>
          <w:szCs w:val="24"/>
          <w:lang w:val="en-US"/>
        </w:rPr>
        <w:t xml:space="preserve">, </w:t>
      </w:r>
      <w:r w:rsidRPr="00571280">
        <w:rPr>
          <w:rFonts w:ascii="Arial" w:hAnsi="Arial" w:cs="Arial"/>
          <w:i/>
          <w:iCs/>
          <w:sz w:val="24"/>
          <w:szCs w:val="24"/>
          <w:lang w:val="en-US"/>
        </w:rPr>
        <w:t>103</w:t>
      </w:r>
      <w:r w:rsidRPr="00571280">
        <w:rPr>
          <w:rFonts w:ascii="Arial" w:hAnsi="Arial" w:cs="Arial"/>
          <w:sz w:val="24"/>
          <w:szCs w:val="24"/>
          <w:lang w:val="en-US"/>
        </w:rPr>
        <w:t xml:space="preserve">(5), 1765-1772. </w:t>
      </w:r>
      <w:r w:rsidRPr="005C426C">
        <w:rPr>
          <w:rFonts w:ascii="Arial" w:hAnsi="Arial" w:cs="Arial"/>
          <w:color w:val="002060"/>
          <w:sz w:val="24"/>
          <w:szCs w:val="24"/>
          <w:u w:val="single"/>
          <w:lang w:val="en-US"/>
        </w:rPr>
        <w:t>https://doi.org/10.4269/ajtmh.20-0765</w:t>
      </w:r>
    </w:p>
    <w:p w14:paraId="3961B158"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lang w:val="en-US"/>
        </w:rPr>
        <w:t xml:space="preserve">Global Burden of Disease 2019 Cancer Collaboration. (2022). Cancer Incidence, Mortality, Years of Life Lost, Years Lived With Disability, and Disability-Adjusted Life Years for 29 Cancer Groups From 2010 to 2019: A Systematic Analysis for the Global Burden of Disease Study 2019. </w:t>
      </w:r>
      <w:r w:rsidRPr="00571280">
        <w:rPr>
          <w:rFonts w:ascii="Arial" w:hAnsi="Arial" w:cs="Arial"/>
          <w:i/>
          <w:iCs/>
          <w:sz w:val="24"/>
          <w:szCs w:val="24"/>
          <w:lang w:val="en-US"/>
        </w:rPr>
        <w:t>JAMA Oncology</w:t>
      </w:r>
      <w:r w:rsidRPr="00571280">
        <w:rPr>
          <w:rFonts w:ascii="Arial" w:hAnsi="Arial" w:cs="Arial"/>
          <w:sz w:val="24"/>
          <w:szCs w:val="24"/>
          <w:lang w:val="en-US"/>
        </w:rPr>
        <w:t xml:space="preserve">, </w:t>
      </w:r>
      <w:r w:rsidRPr="00571280">
        <w:rPr>
          <w:rFonts w:ascii="Arial" w:hAnsi="Arial" w:cs="Arial"/>
          <w:i/>
          <w:iCs/>
          <w:sz w:val="24"/>
          <w:szCs w:val="24"/>
          <w:lang w:val="en-US"/>
        </w:rPr>
        <w:t>8</w:t>
      </w:r>
      <w:r w:rsidRPr="00571280">
        <w:rPr>
          <w:rFonts w:ascii="Arial" w:hAnsi="Arial" w:cs="Arial"/>
          <w:sz w:val="24"/>
          <w:szCs w:val="24"/>
          <w:lang w:val="en-US"/>
        </w:rPr>
        <w:t xml:space="preserve">(3), </w:t>
      </w:r>
      <w:r w:rsidRPr="005C426C">
        <w:rPr>
          <w:rFonts w:ascii="Arial" w:hAnsi="Arial" w:cs="Arial"/>
          <w:sz w:val="24"/>
          <w:szCs w:val="24"/>
          <w:u w:val="single"/>
          <w:lang w:val="en-US"/>
        </w:rPr>
        <w:t>420-444.</w:t>
      </w:r>
      <w:r w:rsidRPr="005C426C">
        <w:rPr>
          <w:rFonts w:ascii="Arial" w:hAnsi="Arial" w:cs="Arial"/>
          <w:color w:val="002060"/>
          <w:sz w:val="24"/>
          <w:szCs w:val="24"/>
          <w:u w:val="single"/>
          <w:lang w:val="en-US"/>
        </w:rPr>
        <w:t xml:space="preserve"> https://doi.org/10.1001/jamaoncol.2021.6987</w:t>
      </w:r>
    </w:p>
    <w:p w14:paraId="73DD49D8" w14:textId="77777777" w:rsidR="00571280" w:rsidRPr="00571280" w:rsidRDefault="00571280" w:rsidP="005D57C5">
      <w:pPr>
        <w:pStyle w:val="Bibliografa"/>
        <w:spacing w:after="160" w:line="360" w:lineRule="auto"/>
        <w:ind w:left="709" w:hanging="709"/>
        <w:jc w:val="both"/>
        <w:rPr>
          <w:rFonts w:ascii="Arial" w:hAnsi="Arial" w:cs="Arial"/>
          <w:sz w:val="24"/>
          <w:szCs w:val="24"/>
        </w:rPr>
      </w:pPr>
      <w:r w:rsidRPr="00571280">
        <w:rPr>
          <w:rFonts w:ascii="Arial" w:hAnsi="Arial" w:cs="Arial"/>
          <w:sz w:val="24"/>
          <w:szCs w:val="24"/>
          <w:lang w:val="en-US"/>
        </w:rPr>
        <w:t xml:space="preserve">Goldie, S. J., Diaz, M., Constenla, D., Alvis, N., Andrus, J. K., &amp; Kim, S.-Y. (2008). Mathematical Models of Cervical Cancer Prevention in Latin America and the Caribbean. </w:t>
      </w:r>
      <w:r w:rsidRPr="00571280">
        <w:rPr>
          <w:rFonts w:ascii="Arial" w:hAnsi="Arial" w:cs="Arial"/>
          <w:i/>
          <w:iCs/>
          <w:sz w:val="24"/>
          <w:szCs w:val="24"/>
        </w:rPr>
        <w:t>Vaccine</w:t>
      </w:r>
      <w:r w:rsidRPr="00571280">
        <w:rPr>
          <w:rFonts w:ascii="Arial" w:hAnsi="Arial" w:cs="Arial"/>
          <w:sz w:val="24"/>
          <w:szCs w:val="24"/>
        </w:rPr>
        <w:t xml:space="preserve">, </w:t>
      </w:r>
      <w:r w:rsidRPr="00571280">
        <w:rPr>
          <w:rFonts w:ascii="Arial" w:hAnsi="Arial" w:cs="Arial"/>
          <w:i/>
          <w:iCs/>
          <w:sz w:val="24"/>
          <w:szCs w:val="24"/>
        </w:rPr>
        <w:t>26</w:t>
      </w:r>
      <w:r w:rsidRPr="00571280">
        <w:rPr>
          <w:rFonts w:ascii="Arial" w:hAnsi="Arial" w:cs="Arial"/>
          <w:sz w:val="24"/>
          <w:szCs w:val="24"/>
        </w:rPr>
        <w:t xml:space="preserve">(SUPPL. 11), L59-L72. </w:t>
      </w:r>
      <w:r w:rsidRPr="005C426C">
        <w:rPr>
          <w:rFonts w:ascii="Arial" w:hAnsi="Arial" w:cs="Arial"/>
          <w:color w:val="002060"/>
          <w:sz w:val="24"/>
          <w:szCs w:val="24"/>
          <w:u w:val="single"/>
        </w:rPr>
        <w:t>https://doi.org/10.1016/j.vaccine.2008.05.063</w:t>
      </w:r>
    </w:p>
    <w:p w14:paraId="0B66CB3F"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rPr>
        <w:t xml:space="preserve">Grassi, B., Gómez, A. M., Calliari, L. E., Franco, D., Raggio, M., Riera, F., Castro, M., McVean, J., van den Heuvel, T., Arrieta, A., Castañeda, J., &amp; Cohen, O. (2023). </w:t>
      </w:r>
      <w:r w:rsidRPr="00571280">
        <w:rPr>
          <w:rFonts w:ascii="Arial" w:hAnsi="Arial" w:cs="Arial"/>
          <w:sz w:val="24"/>
          <w:szCs w:val="24"/>
          <w:lang w:val="en-US"/>
        </w:rPr>
        <w:t xml:space="preserve">Real-world performance of the MiniMed 780G advanced hybrid closed loop system in Latin America: Substantial improvement in glycaemic control with each technology iteration of the MiniMed automated insulin </w:t>
      </w:r>
      <w:r w:rsidRPr="00571280">
        <w:rPr>
          <w:rFonts w:ascii="Arial" w:hAnsi="Arial" w:cs="Arial"/>
          <w:sz w:val="24"/>
          <w:szCs w:val="24"/>
          <w:lang w:val="en-US"/>
        </w:rPr>
        <w:lastRenderedPageBreak/>
        <w:t xml:space="preserve">delivery system. </w:t>
      </w:r>
      <w:r w:rsidRPr="00571280">
        <w:rPr>
          <w:rFonts w:ascii="Arial" w:hAnsi="Arial" w:cs="Arial"/>
          <w:i/>
          <w:iCs/>
          <w:sz w:val="24"/>
          <w:szCs w:val="24"/>
          <w:lang w:val="en-US"/>
        </w:rPr>
        <w:t>Diabetes, Obesity and Metabolism</w:t>
      </w:r>
      <w:r w:rsidRPr="00571280">
        <w:rPr>
          <w:rFonts w:ascii="Arial" w:hAnsi="Arial" w:cs="Arial"/>
          <w:sz w:val="24"/>
          <w:szCs w:val="24"/>
          <w:lang w:val="en-US"/>
        </w:rPr>
        <w:t xml:space="preserve">, </w:t>
      </w:r>
      <w:r w:rsidRPr="00571280">
        <w:rPr>
          <w:rFonts w:ascii="Arial" w:hAnsi="Arial" w:cs="Arial"/>
          <w:i/>
          <w:iCs/>
          <w:sz w:val="24"/>
          <w:szCs w:val="24"/>
          <w:lang w:val="en-US"/>
        </w:rPr>
        <w:t>25</w:t>
      </w:r>
      <w:r w:rsidRPr="00571280">
        <w:rPr>
          <w:rFonts w:ascii="Arial" w:hAnsi="Arial" w:cs="Arial"/>
          <w:sz w:val="24"/>
          <w:szCs w:val="24"/>
          <w:lang w:val="en-US"/>
        </w:rPr>
        <w:t xml:space="preserve">(6), 1688-1697. </w:t>
      </w:r>
      <w:r w:rsidRPr="005C426C">
        <w:rPr>
          <w:rFonts w:ascii="Arial" w:hAnsi="Arial" w:cs="Arial"/>
          <w:color w:val="002060"/>
          <w:sz w:val="24"/>
          <w:szCs w:val="24"/>
          <w:u w:val="single"/>
          <w:lang w:val="en-US"/>
        </w:rPr>
        <w:t>https://doi.org/10.1111/dom.15023</w:t>
      </w:r>
    </w:p>
    <w:p w14:paraId="018FF965"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lang w:val="en-US"/>
        </w:rPr>
        <w:t xml:space="preserve">Hill II, G. J. (1975). Outpatient surgery-what are the indications for it? </w:t>
      </w:r>
      <w:r w:rsidRPr="00571280">
        <w:rPr>
          <w:rFonts w:ascii="Arial" w:hAnsi="Arial" w:cs="Arial"/>
          <w:i/>
          <w:iCs/>
          <w:sz w:val="24"/>
          <w:szCs w:val="24"/>
          <w:lang w:val="en-US"/>
        </w:rPr>
        <w:t>Surgery</w:t>
      </w:r>
      <w:r w:rsidRPr="00571280">
        <w:rPr>
          <w:rFonts w:ascii="Arial" w:hAnsi="Arial" w:cs="Arial"/>
          <w:sz w:val="24"/>
          <w:szCs w:val="24"/>
          <w:lang w:val="en-US"/>
        </w:rPr>
        <w:t xml:space="preserve">, </w:t>
      </w:r>
      <w:r w:rsidRPr="00571280">
        <w:rPr>
          <w:rFonts w:ascii="Arial" w:hAnsi="Arial" w:cs="Arial"/>
          <w:i/>
          <w:iCs/>
          <w:sz w:val="24"/>
          <w:szCs w:val="24"/>
          <w:lang w:val="en-US"/>
        </w:rPr>
        <w:t>77</w:t>
      </w:r>
      <w:r w:rsidRPr="00571280">
        <w:rPr>
          <w:rFonts w:ascii="Arial" w:hAnsi="Arial" w:cs="Arial"/>
          <w:sz w:val="24"/>
          <w:szCs w:val="24"/>
          <w:lang w:val="en-US"/>
        </w:rPr>
        <w:t>(3), 333-335.</w:t>
      </w:r>
    </w:p>
    <w:p w14:paraId="0B5F5270"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lang w:val="en-US"/>
        </w:rPr>
        <w:t xml:space="preserve">Iglesias, C. P., Drummond, M. F., &amp; Rovira, J. (2005). Health-care decision-making processes in Latin America: Problems and prospects for the use of economic evaluation. </w:t>
      </w:r>
      <w:r w:rsidRPr="00571280">
        <w:rPr>
          <w:rFonts w:ascii="Arial" w:hAnsi="Arial" w:cs="Arial"/>
          <w:i/>
          <w:iCs/>
          <w:sz w:val="24"/>
          <w:szCs w:val="24"/>
          <w:lang w:val="en-US"/>
        </w:rPr>
        <w:t>International Journal of Technology Assessment in Health Care</w:t>
      </w:r>
      <w:r w:rsidRPr="00571280">
        <w:rPr>
          <w:rFonts w:ascii="Arial" w:hAnsi="Arial" w:cs="Arial"/>
          <w:sz w:val="24"/>
          <w:szCs w:val="24"/>
          <w:lang w:val="en-US"/>
        </w:rPr>
        <w:t xml:space="preserve">, </w:t>
      </w:r>
      <w:r w:rsidRPr="00571280">
        <w:rPr>
          <w:rFonts w:ascii="Arial" w:hAnsi="Arial" w:cs="Arial"/>
          <w:i/>
          <w:iCs/>
          <w:sz w:val="24"/>
          <w:szCs w:val="24"/>
          <w:lang w:val="en-US"/>
        </w:rPr>
        <w:t>21</w:t>
      </w:r>
      <w:r w:rsidRPr="00571280">
        <w:rPr>
          <w:rFonts w:ascii="Arial" w:hAnsi="Arial" w:cs="Arial"/>
          <w:sz w:val="24"/>
          <w:szCs w:val="24"/>
          <w:lang w:val="en-US"/>
        </w:rPr>
        <w:t xml:space="preserve">(1), 1-14. </w:t>
      </w:r>
      <w:r w:rsidRPr="005C426C">
        <w:rPr>
          <w:rFonts w:ascii="Arial" w:hAnsi="Arial" w:cs="Arial"/>
          <w:color w:val="002060"/>
          <w:sz w:val="24"/>
          <w:szCs w:val="24"/>
          <w:u w:val="single"/>
          <w:lang w:val="en-US"/>
        </w:rPr>
        <w:t>https://doi.org/10.1017/S0266462305050014</w:t>
      </w:r>
    </w:p>
    <w:p w14:paraId="62EA55BF"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rPr>
        <w:t xml:space="preserve">Machado, M., Iskedjian, M., &amp; Einarson, T. R. (2006). </w:t>
      </w:r>
      <w:r w:rsidRPr="00571280">
        <w:rPr>
          <w:rFonts w:ascii="Arial" w:hAnsi="Arial" w:cs="Arial"/>
          <w:sz w:val="24"/>
          <w:szCs w:val="24"/>
          <w:lang w:val="en-US"/>
        </w:rPr>
        <w:t xml:space="preserve">Quality assessment of published health economic analyses from South America. </w:t>
      </w:r>
      <w:r w:rsidRPr="00571280">
        <w:rPr>
          <w:rFonts w:ascii="Arial" w:hAnsi="Arial" w:cs="Arial"/>
          <w:i/>
          <w:iCs/>
          <w:sz w:val="24"/>
          <w:szCs w:val="24"/>
          <w:lang w:val="en-US"/>
        </w:rPr>
        <w:t>Annals of Pharmacotherapy</w:t>
      </w:r>
      <w:r w:rsidRPr="00571280">
        <w:rPr>
          <w:rFonts w:ascii="Arial" w:hAnsi="Arial" w:cs="Arial"/>
          <w:sz w:val="24"/>
          <w:szCs w:val="24"/>
          <w:lang w:val="en-US"/>
        </w:rPr>
        <w:t xml:space="preserve">, </w:t>
      </w:r>
      <w:r w:rsidRPr="00571280">
        <w:rPr>
          <w:rFonts w:ascii="Arial" w:hAnsi="Arial" w:cs="Arial"/>
          <w:i/>
          <w:iCs/>
          <w:sz w:val="24"/>
          <w:szCs w:val="24"/>
          <w:lang w:val="en-US"/>
        </w:rPr>
        <w:t>40</w:t>
      </w:r>
      <w:r w:rsidRPr="00571280">
        <w:rPr>
          <w:rFonts w:ascii="Arial" w:hAnsi="Arial" w:cs="Arial"/>
          <w:sz w:val="24"/>
          <w:szCs w:val="24"/>
          <w:lang w:val="en-US"/>
        </w:rPr>
        <w:t>(5), 943-949.</w:t>
      </w:r>
      <w:r w:rsidRPr="0017048B">
        <w:rPr>
          <w:rFonts w:ascii="Arial" w:hAnsi="Arial" w:cs="Arial"/>
          <w:color w:val="2F5496" w:themeColor="accent1" w:themeShade="BF"/>
          <w:sz w:val="24"/>
          <w:szCs w:val="24"/>
          <w:lang w:val="en-US"/>
        </w:rPr>
        <w:t xml:space="preserve"> </w:t>
      </w:r>
      <w:r w:rsidRPr="005C426C">
        <w:rPr>
          <w:rFonts w:ascii="Arial" w:hAnsi="Arial" w:cs="Arial"/>
          <w:color w:val="002060"/>
          <w:sz w:val="24"/>
          <w:szCs w:val="24"/>
          <w:u w:val="single"/>
          <w:lang w:val="en-US"/>
        </w:rPr>
        <w:t>https://doi.org/10.1345/aph.1G296</w:t>
      </w:r>
    </w:p>
    <w:p w14:paraId="52E87B88" w14:textId="77777777" w:rsidR="00571280" w:rsidRPr="00571280" w:rsidRDefault="00571280" w:rsidP="005D57C5">
      <w:pPr>
        <w:pStyle w:val="Bibliografa"/>
        <w:spacing w:after="160" w:line="360" w:lineRule="auto"/>
        <w:ind w:left="709" w:hanging="709"/>
        <w:jc w:val="both"/>
        <w:rPr>
          <w:rFonts w:ascii="Arial" w:hAnsi="Arial" w:cs="Arial"/>
          <w:sz w:val="24"/>
          <w:szCs w:val="24"/>
        </w:rPr>
      </w:pPr>
      <w:r w:rsidRPr="00571280">
        <w:rPr>
          <w:rFonts w:ascii="Arial" w:hAnsi="Arial" w:cs="Arial"/>
          <w:sz w:val="24"/>
          <w:szCs w:val="24"/>
          <w:lang w:val="en-US"/>
        </w:rPr>
        <w:t xml:space="preserve">Melo-Becerra, L. A., Arango-Thomas, L. E., Ávila-Montealegre, Ó., Ayala-García, J., Bonilla-Mejía, L., Botero-García, J. A., Cardona-Badillo, M., Crispin-Fory, C., Gallo-Montaño, D. D. P., Granger-Castaño, C. J., Guzmán-Finol, K., Iregui-Bohórquez, A. M., Ospina-Tejeiro, J. J., Pinilla-Alarcón, D., Posso-Suárez, C., Ramírez-Giraldo, M. T., Ramos-Forero, J. E., Ramos-Veloza, M., Restrepo-Tobón, D. A., … </w:t>
      </w:r>
      <w:r w:rsidRPr="00571280">
        <w:rPr>
          <w:rFonts w:ascii="Arial" w:hAnsi="Arial" w:cs="Arial"/>
          <w:sz w:val="24"/>
          <w:szCs w:val="24"/>
        </w:rPr>
        <w:t xml:space="preserve">Vásquez-Escobar, D. M. (2023). Aspectos financieros y fiscales del sistema de salud en Colombia. </w:t>
      </w:r>
      <w:r w:rsidRPr="00571280">
        <w:rPr>
          <w:rFonts w:ascii="Arial" w:hAnsi="Arial" w:cs="Arial"/>
          <w:i/>
          <w:iCs/>
          <w:sz w:val="24"/>
          <w:szCs w:val="24"/>
        </w:rPr>
        <w:t>Ensayos sobre Política Económica</w:t>
      </w:r>
      <w:r w:rsidRPr="00571280">
        <w:rPr>
          <w:rFonts w:ascii="Arial" w:hAnsi="Arial" w:cs="Arial"/>
          <w:sz w:val="24"/>
          <w:szCs w:val="24"/>
        </w:rPr>
        <w:t xml:space="preserve">, </w:t>
      </w:r>
      <w:r w:rsidRPr="00571280">
        <w:rPr>
          <w:rFonts w:ascii="Arial" w:hAnsi="Arial" w:cs="Arial"/>
          <w:i/>
          <w:iCs/>
          <w:sz w:val="24"/>
          <w:szCs w:val="24"/>
        </w:rPr>
        <w:t>106</w:t>
      </w:r>
      <w:r w:rsidRPr="00571280">
        <w:rPr>
          <w:rFonts w:ascii="Arial" w:hAnsi="Arial" w:cs="Arial"/>
          <w:sz w:val="24"/>
          <w:szCs w:val="24"/>
        </w:rPr>
        <w:t>, 1-92.</w:t>
      </w:r>
      <w:r w:rsidRPr="00426CBD">
        <w:rPr>
          <w:rFonts w:ascii="Arial" w:hAnsi="Arial" w:cs="Arial"/>
          <w:color w:val="002060"/>
          <w:sz w:val="24"/>
          <w:szCs w:val="24"/>
        </w:rPr>
        <w:t xml:space="preserve"> </w:t>
      </w:r>
      <w:r w:rsidRPr="005C426C">
        <w:rPr>
          <w:rFonts w:ascii="Arial" w:hAnsi="Arial" w:cs="Arial"/>
          <w:color w:val="002060"/>
          <w:sz w:val="24"/>
          <w:szCs w:val="24"/>
          <w:u w:val="single"/>
        </w:rPr>
        <w:t>https://doi.org/10.32468/espe106</w:t>
      </w:r>
    </w:p>
    <w:p w14:paraId="3BD7EB38" w14:textId="77777777" w:rsidR="00571280" w:rsidRPr="00571280" w:rsidRDefault="00571280" w:rsidP="005D57C5">
      <w:pPr>
        <w:pStyle w:val="Bibliografa"/>
        <w:spacing w:after="160" w:line="360" w:lineRule="auto"/>
        <w:ind w:left="709" w:hanging="709"/>
        <w:jc w:val="both"/>
        <w:rPr>
          <w:rFonts w:ascii="Arial" w:hAnsi="Arial" w:cs="Arial"/>
          <w:sz w:val="24"/>
          <w:szCs w:val="24"/>
        </w:rPr>
      </w:pPr>
      <w:r w:rsidRPr="00571280">
        <w:rPr>
          <w:rFonts w:ascii="Arial" w:hAnsi="Arial" w:cs="Arial"/>
          <w:sz w:val="24"/>
          <w:szCs w:val="24"/>
        </w:rPr>
        <w:t xml:space="preserve">Mendoza, N. M., Cucunubá, Z. M., Aponte, S., Gonzalez, N. E., &amp; Bernal, S. D. (2013). Evaluación de campo de la precisión diagnóstica de la prueba de </w:t>
      </w:r>
      <w:r w:rsidRPr="00571280">
        <w:rPr>
          <w:rFonts w:ascii="Arial" w:hAnsi="Arial" w:cs="Arial"/>
          <w:sz w:val="24"/>
          <w:szCs w:val="24"/>
        </w:rPr>
        <w:lastRenderedPageBreak/>
        <w:t xml:space="preserve">diagnóstico rápido SD Bioline Malaria Antigen Pf/Pv® en Colombia. </w:t>
      </w:r>
      <w:r w:rsidRPr="00571280">
        <w:rPr>
          <w:rFonts w:ascii="Arial" w:hAnsi="Arial" w:cs="Arial"/>
          <w:i/>
          <w:iCs/>
          <w:sz w:val="24"/>
          <w:szCs w:val="24"/>
        </w:rPr>
        <w:t>Biomédica</w:t>
      </w:r>
      <w:r w:rsidRPr="00571280">
        <w:rPr>
          <w:rFonts w:ascii="Arial" w:hAnsi="Arial" w:cs="Arial"/>
          <w:sz w:val="24"/>
          <w:szCs w:val="24"/>
        </w:rPr>
        <w:t xml:space="preserve">, </w:t>
      </w:r>
      <w:r w:rsidRPr="00571280">
        <w:rPr>
          <w:rFonts w:ascii="Arial" w:hAnsi="Arial" w:cs="Arial"/>
          <w:i/>
          <w:iCs/>
          <w:sz w:val="24"/>
          <w:szCs w:val="24"/>
        </w:rPr>
        <w:t>33</w:t>
      </w:r>
      <w:r w:rsidRPr="00571280">
        <w:rPr>
          <w:rFonts w:ascii="Arial" w:hAnsi="Arial" w:cs="Arial"/>
          <w:sz w:val="24"/>
          <w:szCs w:val="24"/>
        </w:rPr>
        <w:t>(4).</w:t>
      </w:r>
      <w:r w:rsidRPr="00426CBD">
        <w:rPr>
          <w:rFonts w:ascii="Arial" w:hAnsi="Arial" w:cs="Arial"/>
          <w:color w:val="002060"/>
          <w:sz w:val="24"/>
          <w:szCs w:val="24"/>
        </w:rPr>
        <w:t xml:space="preserve"> </w:t>
      </w:r>
      <w:r w:rsidRPr="005C426C">
        <w:rPr>
          <w:rFonts w:ascii="Arial" w:hAnsi="Arial" w:cs="Arial"/>
          <w:color w:val="002060"/>
          <w:sz w:val="24"/>
          <w:szCs w:val="24"/>
          <w:u w:val="single"/>
        </w:rPr>
        <w:t>https://doi.org/10.7705/biomedica.v33i4.1464</w:t>
      </w:r>
    </w:p>
    <w:p w14:paraId="6567A2E0"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rPr>
        <w:t xml:space="preserve">Morales, A., Martinez, M. M., Tasset-Tisseau, A., Rey, E., Baron-Papillon, F., &amp; Follet, A. (2004). </w:t>
      </w:r>
      <w:r w:rsidRPr="00571280">
        <w:rPr>
          <w:rFonts w:ascii="Arial" w:hAnsi="Arial" w:cs="Arial"/>
          <w:sz w:val="24"/>
          <w:szCs w:val="24"/>
          <w:lang w:val="en-US"/>
        </w:rPr>
        <w:t xml:space="preserve">Costs and benefits of influenza vaccination and work productivity in a Colombian company from the employer’s perspective. </w:t>
      </w:r>
      <w:r w:rsidRPr="00571280">
        <w:rPr>
          <w:rFonts w:ascii="Arial" w:hAnsi="Arial" w:cs="Arial"/>
          <w:i/>
          <w:iCs/>
          <w:sz w:val="24"/>
          <w:szCs w:val="24"/>
          <w:lang w:val="en-US"/>
        </w:rPr>
        <w:t>Value in Health</w:t>
      </w:r>
      <w:r w:rsidRPr="00571280">
        <w:rPr>
          <w:rFonts w:ascii="Arial" w:hAnsi="Arial" w:cs="Arial"/>
          <w:sz w:val="24"/>
          <w:szCs w:val="24"/>
          <w:lang w:val="en-US"/>
        </w:rPr>
        <w:t xml:space="preserve">, </w:t>
      </w:r>
      <w:r w:rsidRPr="00571280">
        <w:rPr>
          <w:rFonts w:ascii="Arial" w:hAnsi="Arial" w:cs="Arial"/>
          <w:i/>
          <w:iCs/>
          <w:sz w:val="24"/>
          <w:szCs w:val="24"/>
          <w:lang w:val="en-US"/>
        </w:rPr>
        <w:t>7</w:t>
      </w:r>
      <w:r w:rsidRPr="00571280">
        <w:rPr>
          <w:rFonts w:ascii="Arial" w:hAnsi="Arial" w:cs="Arial"/>
          <w:sz w:val="24"/>
          <w:szCs w:val="24"/>
          <w:lang w:val="en-US"/>
        </w:rPr>
        <w:t>(4), 433-441</w:t>
      </w:r>
      <w:r w:rsidRPr="005C426C">
        <w:rPr>
          <w:rFonts w:ascii="Arial" w:hAnsi="Arial" w:cs="Arial"/>
          <w:sz w:val="24"/>
          <w:szCs w:val="24"/>
          <w:u w:val="single"/>
          <w:lang w:val="en-US"/>
        </w:rPr>
        <w:t>.</w:t>
      </w:r>
      <w:r w:rsidRPr="005C426C">
        <w:rPr>
          <w:rFonts w:ascii="Arial" w:hAnsi="Arial" w:cs="Arial"/>
          <w:color w:val="002060"/>
          <w:sz w:val="24"/>
          <w:szCs w:val="24"/>
          <w:u w:val="single"/>
          <w:lang w:val="en-US"/>
        </w:rPr>
        <w:t xml:space="preserve"> https://doi.org/10.1111/j.1524-4733.2004.74006.x</w:t>
      </w:r>
    </w:p>
    <w:p w14:paraId="53E05BEB"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lang w:val="en-US"/>
        </w:rPr>
        <w:t xml:space="preserve">Muñoz, N., Franco, E. L., Herrero, R., Andrus, J. K., de Quadros, C., Goldie, S. J., &amp; Bosch, F. X. (2008). Recommendations for Cervical Cancer Prevention in Latin America and the Caribbean. </w:t>
      </w:r>
      <w:r w:rsidRPr="00571280">
        <w:rPr>
          <w:rFonts w:ascii="Arial" w:hAnsi="Arial" w:cs="Arial"/>
          <w:i/>
          <w:iCs/>
          <w:sz w:val="24"/>
          <w:szCs w:val="24"/>
          <w:lang w:val="en-US"/>
        </w:rPr>
        <w:t>Vaccine</w:t>
      </w:r>
      <w:r w:rsidRPr="00571280">
        <w:rPr>
          <w:rFonts w:ascii="Arial" w:hAnsi="Arial" w:cs="Arial"/>
          <w:sz w:val="24"/>
          <w:szCs w:val="24"/>
          <w:lang w:val="en-US"/>
        </w:rPr>
        <w:t xml:space="preserve">, </w:t>
      </w:r>
      <w:r w:rsidRPr="00571280">
        <w:rPr>
          <w:rFonts w:ascii="Arial" w:hAnsi="Arial" w:cs="Arial"/>
          <w:i/>
          <w:iCs/>
          <w:sz w:val="24"/>
          <w:szCs w:val="24"/>
          <w:lang w:val="en-US"/>
        </w:rPr>
        <w:t>26</w:t>
      </w:r>
      <w:r w:rsidRPr="00571280">
        <w:rPr>
          <w:rFonts w:ascii="Arial" w:hAnsi="Arial" w:cs="Arial"/>
          <w:sz w:val="24"/>
          <w:szCs w:val="24"/>
          <w:lang w:val="en-US"/>
        </w:rPr>
        <w:t xml:space="preserve">(SUPPL. 11), L96-L107. </w:t>
      </w:r>
      <w:r w:rsidRPr="005C426C">
        <w:rPr>
          <w:rFonts w:ascii="Arial" w:hAnsi="Arial" w:cs="Arial"/>
          <w:color w:val="002060"/>
          <w:sz w:val="24"/>
          <w:szCs w:val="24"/>
          <w:u w:val="single"/>
          <w:lang w:val="en-US"/>
        </w:rPr>
        <w:t>https://doi.org/10.1016/j.vaccine.2008.05.062</w:t>
      </w:r>
    </w:p>
    <w:p w14:paraId="61331977"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lang w:val="en-US"/>
        </w:rPr>
        <w:t xml:space="preserve">Murphy, A., Palafox, B., Walli-Attaei, M., Powell-Jackson, T., Rangarajan, S., Alhabib, K. F., Avezum, A. J., Calik, K. B. T., Chifamba, J., Choudhury, T., Dagenais, G., Dans, A. L., Gupta, R., Iqbal, R., Kaur, M., Kelishadi, R., Khatib, R., Kruger, I. M., Kutty, V. R., … McKee, M. (2020). The household economic burden of non-communicable diseases in 18 countries. </w:t>
      </w:r>
      <w:r w:rsidRPr="00571280">
        <w:rPr>
          <w:rFonts w:ascii="Arial" w:hAnsi="Arial" w:cs="Arial"/>
          <w:i/>
          <w:iCs/>
          <w:sz w:val="24"/>
          <w:szCs w:val="24"/>
          <w:lang w:val="en-US"/>
        </w:rPr>
        <w:t>BMJ Global Health</w:t>
      </w:r>
      <w:r w:rsidRPr="00571280">
        <w:rPr>
          <w:rFonts w:ascii="Arial" w:hAnsi="Arial" w:cs="Arial"/>
          <w:sz w:val="24"/>
          <w:szCs w:val="24"/>
          <w:lang w:val="en-US"/>
        </w:rPr>
        <w:t xml:space="preserve">, </w:t>
      </w:r>
      <w:r w:rsidRPr="00571280">
        <w:rPr>
          <w:rFonts w:ascii="Arial" w:hAnsi="Arial" w:cs="Arial"/>
          <w:i/>
          <w:iCs/>
          <w:sz w:val="24"/>
          <w:szCs w:val="24"/>
          <w:lang w:val="en-US"/>
        </w:rPr>
        <w:t>5</w:t>
      </w:r>
      <w:r w:rsidRPr="00571280">
        <w:rPr>
          <w:rFonts w:ascii="Arial" w:hAnsi="Arial" w:cs="Arial"/>
          <w:sz w:val="24"/>
          <w:szCs w:val="24"/>
          <w:lang w:val="en-US"/>
        </w:rPr>
        <w:t xml:space="preserve">(2). </w:t>
      </w:r>
      <w:r w:rsidRPr="005C426C">
        <w:rPr>
          <w:rFonts w:ascii="Arial" w:hAnsi="Arial" w:cs="Arial"/>
          <w:color w:val="002060"/>
          <w:sz w:val="24"/>
          <w:szCs w:val="24"/>
          <w:u w:val="single"/>
          <w:lang w:val="en-US"/>
        </w:rPr>
        <w:t>https://doi.org/10.1136/bmjgh-2019-002040</w:t>
      </w:r>
    </w:p>
    <w:p w14:paraId="0064D4EF"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lang w:val="en-US"/>
        </w:rPr>
        <w:t xml:space="preserve">Pichon-Riviere, A., Elias, F. T. S., Rivero, V. G., &amp; Vaca, C. P. (2012). Early awareness and alert activities in Latin America: Current situation in four countries. </w:t>
      </w:r>
      <w:r w:rsidRPr="00571280">
        <w:rPr>
          <w:rFonts w:ascii="Arial" w:hAnsi="Arial" w:cs="Arial"/>
          <w:i/>
          <w:iCs/>
          <w:sz w:val="24"/>
          <w:szCs w:val="24"/>
          <w:lang w:val="en-US"/>
        </w:rPr>
        <w:t>International Journal of Technology Assessment in Health Care</w:t>
      </w:r>
      <w:r w:rsidRPr="00571280">
        <w:rPr>
          <w:rFonts w:ascii="Arial" w:hAnsi="Arial" w:cs="Arial"/>
          <w:sz w:val="24"/>
          <w:szCs w:val="24"/>
          <w:lang w:val="en-US"/>
        </w:rPr>
        <w:t xml:space="preserve">, </w:t>
      </w:r>
      <w:r w:rsidRPr="005C426C">
        <w:rPr>
          <w:rFonts w:ascii="Arial" w:hAnsi="Arial" w:cs="Arial"/>
          <w:i/>
          <w:iCs/>
          <w:sz w:val="24"/>
          <w:szCs w:val="24"/>
          <w:u w:val="single"/>
          <w:lang w:val="en-US"/>
        </w:rPr>
        <w:t>28</w:t>
      </w:r>
      <w:r w:rsidRPr="005C426C">
        <w:rPr>
          <w:rFonts w:ascii="Arial" w:hAnsi="Arial" w:cs="Arial"/>
          <w:sz w:val="24"/>
          <w:szCs w:val="24"/>
          <w:u w:val="single"/>
          <w:lang w:val="en-US"/>
        </w:rPr>
        <w:t xml:space="preserve">(3), 315-320. </w:t>
      </w:r>
      <w:r w:rsidRPr="005C426C">
        <w:rPr>
          <w:rFonts w:ascii="Arial" w:hAnsi="Arial" w:cs="Arial"/>
          <w:color w:val="002060"/>
          <w:sz w:val="24"/>
          <w:szCs w:val="24"/>
          <w:u w:val="single"/>
          <w:lang w:val="en-US"/>
        </w:rPr>
        <w:t>https://doi.org/10.1017/S0266462312000311</w:t>
      </w:r>
    </w:p>
    <w:p w14:paraId="37497B1D"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rPr>
        <w:lastRenderedPageBreak/>
        <w:t xml:space="preserve">Rodriguez-Martinez, C. E., Sossa-Briceño, M. P., &amp; Castro-Rodriguez, J. A. (2019). </w:t>
      </w:r>
      <w:r w:rsidRPr="00571280">
        <w:rPr>
          <w:rFonts w:ascii="Arial" w:hAnsi="Arial" w:cs="Arial"/>
          <w:sz w:val="24"/>
          <w:szCs w:val="24"/>
          <w:lang w:val="en-US"/>
        </w:rPr>
        <w:t xml:space="preserve">Cost-effectiveness of the utilization of “good practice” or the lack thereof according to a bronchiolitis evidence-based clinical practice guideline. </w:t>
      </w:r>
      <w:r w:rsidRPr="00571280">
        <w:rPr>
          <w:rFonts w:ascii="Arial" w:hAnsi="Arial" w:cs="Arial"/>
          <w:i/>
          <w:iCs/>
          <w:sz w:val="24"/>
          <w:szCs w:val="24"/>
          <w:lang w:val="en-US"/>
        </w:rPr>
        <w:t>Journal of Evaluation in Clinical Practice</w:t>
      </w:r>
      <w:r w:rsidRPr="00571280">
        <w:rPr>
          <w:rFonts w:ascii="Arial" w:hAnsi="Arial" w:cs="Arial"/>
          <w:sz w:val="24"/>
          <w:szCs w:val="24"/>
          <w:lang w:val="en-US"/>
        </w:rPr>
        <w:t xml:space="preserve">, </w:t>
      </w:r>
      <w:r w:rsidRPr="00571280">
        <w:rPr>
          <w:rFonts w:ascii="Arial" w:hAnsi="Arial" w:cs="Arial"/>
          <w:i/>
          <w:iCs/>
          <w:sz w:val="24"/>
          <w:szCs w:val="24"/>
          <w:lang w:val="en-US"/>
        </w:rPr>
        <w:t>25</w:t>
      </w:r>
      <w:r w:rsidRPr="00571280">
        <w:rPr>
          <w:rFonts w:ascii="Arial" w:hAnsi="Arial" w:cs="Arial"/>
          <w:sz w:val="24"/>
          <w:szCs w:val="24"/>
          <w:lang w:val="en-US"/>
        </w:rPr>
        <w:t xml:space="preserve">(4), 682-688. </w:t>
      </w:r>
      <w:r w:rsidRPr="005C426C">
        <w:rPr>
          <w:rFonts w:ascii="Arial" w:hAnsi="Arial" w:cs="Arial"/>
          <w:color w:val="002060"/>
          <w:sz w:val="24"/>
          <w:szCs w:val="24"/>
          <w:u w:val="single"/>
          <w:lang w:val="en-US"/>
        </w:rPr>
        <w:t>https://doi.org/10.1111/jep.13157</w:t>
      </w:r>
    </w:p>
    <w:p w14:paraId="1904DA69"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rPr>
        <w:t xml:space="preserve">Rodriguez-Martinez, C. E., Sossa-Briceño, M. P., &amp; Castro-Rodriguez, J. A. (2020a). </w:t>
      </w:r>
      <w:r w:rsidRPr="00571280">
        <w:rPr>
          <w:rFonts w:ascii="Arial" w:hAnsi="Arial" w:cs="Arial"/>
          <w:sz w:val="24"/>
          <w:szCs w:val="24"/>
          <w:lang w:val="en-US"/>
        </w:rPr>
        <w:t xml:space="preserve">Advantage of inhaled corticosteroids as additional therapy to systemic corticosteroids for pediatric acute asthma exacerbations: A cost-effectiveness analysis. </w:t>
      </w:r>
      <w:r w:rsidRPr="00571280">
        <w:rPr>
          <w:rFonts w:ascii="Arial" w:hAnsi="Arial" w:cs="Arial"/>
          <w:i/>
          <w:iCs/>
          <w:sz w:val="24"/>
          <w:szCs w:val="24"/>
          <w:lang w:val="en-US"/>
        </w:rPr>
        <w:t>Journal of Asthma</w:t>
      </w:r>
      <w:r w:rsidRPr="00571280">
        <w:rPr>
          <w:rFonts w:ascii="Arial" w:hAnsi="Arial" w:cs="Arial"/>
          <w:sz w:val="24"/>
          <w:szCs w:val="24"/>
          <w:lang w:val="en-US"/>
        </w:rPr>
        <w:t xml:space="preserve">, </w:t>
      </w:r>
      <w:r w:rsidRPr="00571280">
        <w:rPr>
          <w:rFonts w:ascii="Arial" w:hAnsi="Arial" w:cs="Arial"/>
          <w:i/>
          <w:iCs/>
          <w:sz w:val="24"/>
          <w:szCs w:val="24"/>
          <w:lang w:val="en-US"/>
        </w:rPr>
        <w:t>57</w:t>
      </w:r>
      <w:r w:rsidRPr="00571280">
        <w:rPr>
          <w:rFonts w:ascii="Arial" w:hAnsi="Arial" w:cs="Arial"/>
          <w:sz w:val="24"/>
          <w:szCs w:val="24"/>
          <w:lang w:val="en-US"/>
        </w:rPr>
        <w:t xml:space="preserve">(9), 949-958. </w:t>
      </w:r>
      <w:r w:rsidRPr="005C426C">
        <w:rPr>
          <w:rFonts w:ascii="Arial" w:hAnsi="Arial" w:cs="Arial"/>
          <w:color w:val="002060"/>
          <w:sz w:val="24"/>
          <w:szCs w:val="24"/>
          <w:u w:val="single"/>
          <w:lang w:val="en-US"/>
        </w:rPr>
        <w:t>https://doi.org/10.1080/02770903.2019.1628254</w:t>
      </w:r>
    </w:p>
    <w:p w14:paraId="6A3BABF5"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lang w:val="en-US"/>
        </w:rPr>
        <w:t xml:space="preserve">Rodriguez-Martinez, C. E., Sossa-Briceño, M. P., &amp; Castro-Rodriguez, J. A. (2020b). Direct medical costs of pediatric asthma exacerbations requiring hospital attendance in a middle-income country. </w:t>
      </w:r>
      <w:r w:rsidRPr="00571280">
        <w:rPr>
          <w:rFonts w:ascii="Arial" w:hAnsi="Arial" w:cs="Arial"/>
          <w:i/>
          <w:iCs/>
          <w:sz w:val="24"/>
          <w:szCs w:val="24"/>
          <w:lang w:val="en-US"/>
        </w:rPr>
        <w:t>Allergologia et Immunopathologia</w:t>
      </w:r>
      <w:r w:rsidRPr="00571280">
        <w:rPr>
          <w:rFonts w:ascii="Arial" w:hAnsi="Arial" w:cs="Arial"/>
          <w:sz w:val="24"/>
          <w:szCs w:val="24"/>
          <w:lang w:val="en-US"/>
        </w:rPr>
        <w:t xml:space="preserve">, </w:t>
      </w:r>
      <w:r w:rsidRPr="00571280">
        <w:rPr>
          <w:rFonts w:ascii="Arial" w:hAnsi="Arial" w:cs="Arial"/>
          <w:i/>
          <w:iCs/>
          <w:sz w:val="24"/>
          <w:szCs w:val="24"/>
          <w:lang w:val="en-US"/>
        </w:rPr>
        <w:t>48</w:t>
      </w:r>
      <w:r w:rsidRPr="00571280">
        <w:rPr>
          <w:rFonts w:ascii="Arial" w:hAnsi="Arial" w:cs="Arial"/>
          <w:sz w:val="24"/>
          <w:szCs w:val="24"/>
          <w:lang w:val="en-US"/>
        </w:rPr>
        <w:t xml:space="preserve">(2), 142-148. </w:t>
      </w:r>
      <w:r w:rsidRPr="005D1511">
        <w:rPr>
          <w:rFonts w:ascii="Arial" w:hAnsi="Arial" w:cs="Arial"/>
          <w:color w:val="002060"/>
          <w:sz w:val="24"/>
          <w:szCs w:val="24"/>
          <w:u w:val="single"/>
          <w:lang w:val="en-US"/>
        </w:rPr>
        <w:t>https://doi.org/10.1016/j.aller.2019.06.015</w:t>
      </w:r>
    </w:p>
    <w:p w14:paraId="0E40D097" w14:textId="77777777" w:rsidR="00571280" w:rsidRPr="005C426C" w:rsidRDefault="00571280" w:rsidP="005D57C5">
      <w:pPr>
        <w:pStyle w:val="Bibliografa"/>
        <w:spacing w:after="160" w:line="360" w:lineRule="auto"/>
        <w:ind w:left="709" w:hanging="709"/>
        <w:jc w:val="both"/>
        <w:rPr>
          <w:rFonts w:ascii="Arial" w:hAnsi="Arial" w:cs="Arial"/>
          <w:sz w:val="24"/>
          <w:szCs w:val="24"/>
          <w:u w:val="single"/>
          <w:lang w:val="en-US"/>
        </w:rPr>
      </w:pPr>
      <w:r w:rsidRPr="00571280">
        <w:rPr>
          <w:rFonts w:ascii="Arial" w:hAnsi="Arial" w:cs="Arial"/>
          <w:sz w:val="24"/>
          <w:szCs w:val="24"/>
          <w:lang w:val="en-US"/>
        </w:rPr>
        <w:t xml:space="preserve">Van Eck, N. J., &amp; Waltman, L. (2014). Visualizing Bibliometric Networks. En Y. Ding, R. Rousseau, &amp; D. Wolfram (Eds.), </w:t>
      </w:r>
      <w:r w:rsidRPr="00571280">
        <w:rPr>
          <w:rFonts w:ascii="Arial" w:hAnsi="Arial" w:cs="Arial"/>
          <w:i/>
          <w:iCs/>
          <w:sz w:val="24"/>
          <w:szCs w:val="24"/>
          <w:lang w:val="en-US"/>
        </w:rPr>
        <w:t>Measuring Scholarly Impact</w:t>
      </w:r>
      <w:r w:rsidRPr="00571280">
        <w:rPr>
          <w:rFonts w:ascii="Arial" w:hAnsi="Arial" w:cs="Arial"/>
          <w:sz w:val="24"/>
          <w:szCs w:val="24"/>
          <w:lang w:val="en-US"/>
        </w:rPr>
        <w:t xml:space="preserve"> (pp. 285-320). Springer International Publishing. </w:t>
      </w:r>
      <w:r w:rsidRPr="005C426C">
        <w:rPr>
          <w:rFonts w:ascii="Arial" w:hAnsi="Arial" w:cs="Arial"/>
          <w:color w:val="002060"/>
          <w:sz w:val="24"/>
          <w:szCs w:val="24"/>
          <w:u w:val="single"/>
          <w:lang w:val="en-US"/>
        </w:rPr>
        <w:t>https://doi.org/10.1007/978-3-319-10377-8_13</w:t>
      </w:r>
    </w:p>
    <w:p w14:paraId="678EEAA0" w14:textId="77777777" w:rsidR="00571280" w:rsidRPr="00571280" w:rsidRDefault="00571280" w:rsidP="005D57C5">
      <w:pPr>
        <w:pStyle w:val="Bibliografa"/>
        <w:spacing w:after="160" w:line="360" w:lineRule="auto"/>
        <w:ind w:left="709" w:hanging="709"/>
        <w:jc w:val="both"/>
        <w:rPr>
          <w:rFonts w:ascii="Arial" w:hAnsi="Arial" w:cs="Arial"/>
          <w:sz w:val="24"/>
          <w:szCs w:val="24"/>
          <w:lang w:val="en-US"/>
        </w:rPr>
      </w:pPr>
      <w:r w:rsidRPr="00571280">
        <w:rPr>
          <w:rFonts w:ascii="Arial" w:hAnsi="Arial" w:cs="Arial"/>
          <w:sz w:val="24"/>
          <w:szCs w:val="24"/>
          <w:lang w:val="en-US"/>
        </w:rPr>
        <w:t xml:space="preserve">Van Eck, N. J., &amp; Waltman, L. (2019). </w:t>
      </w:r>
      <w:r w:rsidRPr="00571280">
        <w:rPr>
          <w:rFonts w:ascii="Arial" w:hAnsi="Arial" w:cs="Arial"/>
          <w:i/>
          <w:iCs/>
          <w:sz w:val="24"/>
          <w:szCs w:val="24"/>
          <w:lang w:val="en-US"/>
        </w:rPr>
        <w:t>VOSviewer Manual</w:t>
      </w:r>
      <w:r w:rsidRPr="00571280">
        <w:rPr>
          <w:rFonts w:ascii="Arial" w:hAnsi="Arial" w:cs="Arial"/>
          <w:sz w:val="24"/>
          <w:szCs w:val="24"/>
          <w:lang w:val="en-US"/>
        </w:rPr>
        <w:t xml:space="preserve">. Leiden University. </w:t>
      </w:r>
      <w:r w:rsidRPr="005D1511">
        <w:rPr>
          <w:rFonts w:ascii="Arial" w:hAnsi="Arial" w:cs="Arial"/>
          <w:color w:val="002060"/>
          <w:sz w:val="24"/>
          <w:szCs w:val="24"/>
          <w:u w:val="single"/>
          <w:lang w:val="en-US"/>
        </w:rPr>
        <w:t>https://www.vosviewer.com/documentation/Manual_VOSviewer_1.6.10.pdf</w:t>
      </w:r>
    </w:p>
    <w:p w14:paraId="70CBD7AF" w14:textId="77777777" w:rsidR="00571280" w:rsidRPr="00571280" w:rsidRDefault="00571280" w:rsidP="005D57C5">
      <w:pPr>
        <w:pStyle w:val="Bibliografa"/>
        <w:spacing w:after="160" w:line="360" w:lineRule="auto"/>
        <w:ind w:left="709" w:hanging="709"/>
        <w:jc w:val="both"/>
        <w:rPr>
          <w:rFonts w:ascii="Arial" w:hAnsi="Arial" w:cs="Arial"/>
          <w:sz w:val="24"/>
          <w:szCs w:val="24"/>
        </w:rPr>
      </w:pPr>
      <w:r w:rsidRPr="00571280">
        <w:rPr>
          <w:rFonts w:ascii="Arial" w:hAnsi="Arial" w:cs="Arial"/>
          <w:sz w:val="24"/>
          <w:szCs w:val="24"/>
        </w:rPr>
        <w:lastRenderedPageBreak/>
        <w:t xml:space="preserve">Vences Pérez, S., Díaz-Larrea, J., Cruz-Aviña, J. R., &amp; Cabrera, R. (2022). Análisis bibliométrico de Dermochelys coriacea en México utilizando Vosviewer y Scopus. </w:t>
      </w:r>
      <w:r w:rsidRPr="00571280">
        <w:rPr>
          <w:rFonts w:ascii="Arial" w:hAnsi="Arial" w:cs="Arial"/>
          <w:i/>
          <w:iCs/>
          <w:sz w:val="24"/>
          <w:szCs w:val="24"/>
        </w:rPr>
        <w:t>Nexo Revista Científica</w:t>
      </w:r>
      <w:r w:rsidRPr="00571280">
        <w:rPr>
          <w:rFonts w:ascii="Arial" w:hAnsi="Arial" w:cs="Arial"/>
          <w:sz w:val="24"/>
          <w:szCs w:val="24"/>
        </w:rPr>
        <w:t xml:space="preserve">, </w:t>
      </w:r>
      <w:r w:rsidRPr="00571280">
        <w:rPr>
          <w:rFonts w:ascii="Arial" w:hAnsi="Arial" w:cs="Arial"/>
          <w:i/>
          <w:iCs/>
          <w:sz w:val="24"/>
          <w:szCs w:val="24"/>
        </w:rPr>
        <w:t>35</w:t>
      </w:r>
      <w:r w:rsidRPr="00571280">
        <w:rPr>
          <w:rFonts w:ascii="Arial" w:hAnsi="Arial" w:cs="Arial"/>
          <w:sz w:val="24"/>
          <w:szCs w:val="24"/>
        </w:rPr>
        <w:t xml:space="preserve">(02), 448-458. </w:t>
      </w:r>
      <w:r w:rsidRPr="005C426C">
        <w:rPr>
          <w:rFonts w:ascii="Arial" w:hAnsi="Arial" w:cs="Arial"/>
          <w:color w:val="002060"/>
          <w:sz w:val="24"/>
          <w:szCs w:val="24"/>
          <w:u w:val="single"/>
        </w:rPr>
        <w:t>https://doi.org/10.5377/nexo.v35i02.14622</w:t>
      </w:r>
    </w:p>
    <w:p w14:paraId="203C4FA8" w14:textId="22EE21BB" w:rsidR="0065526C" w:rsidRPr="00571280" w:rsidRDefault="00571280" w:rsidP="005D57C5">
      <w:pPr>
        <w:spacing w:after="160" w:line="360" w:lineRule="auto"/>
        <w:ind w:left="709" w:hanging="709"/>
        <w:jc w:val="both"/>
        <w:rPr>
          <w:rFonts w:ascii="Arial" w:hAnsi="Arial" w:cs="Arial"/>
        </w:rPr>
      </w:pPr>
      <w:r w:rsidRPr="00571280">
        <w:rPr>
          <w:rFonts w:ascii="Arial" w:hAnsi="Arial" w:cs="Arial"/>
        </w:rPr>
        <w:fldChar w:fldCharType="end"/>
      </w:r>
    </w:p>
    <w:sectPr w:rsidR="0065526C" w:rsidRPr="00571280" w:rsidSect="006853FE">
      <w:headerReference w:type="even" r:id="rId16"/>
      <w:headerReference w:type="default" r:id="rId17"/>
      <w:footerReference w:type="even" r:id="rId18"/>
      <w:footerReference w:type="default" r:id="rId19"/>
      <w:headerReference w:type="first" r:id="rId20"/>
      <w:footerReference w:type="first" r:id="rId21"/>
      <w:pgSz w:w="12240" w:h="15840"/>
      <w:pgMar w:top="1417" w:right="1750" w:bottom="1411" w:left="1701" w:header="737" w:footer="737" w:gutter="0"/>
      <w:pgNumType w:start="1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38743" w14:textId="77777777" w:rsidR="00B05CBB" w:rsidRDefault="00B05CBB" w:rsidP="003C3F58">
      <w:r>
        <w:separator/>
      </w:r>
    </w:p>
  </w:endnote>
  <w:endnote w:type="continuationSeparator" w:id="0">
    <w:p w14:paraId="0C2DA967" w14:textId="77777777" w:rsidR="00B05CBB" w:rsidRDefault="00B05CBB"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3F00B" w14:textId="77777777" w:rsidR="006426BE" w:rsidRDefault="006426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A3095B" w:rsidRPr="002E52DF" w:rsidRDefault="00A3095B"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28FFF000" w14:textId="339189CF" w:rsidR="00A3095B" w:rsidRDefault="00A3095B" w:rsidP="00F72722">
        <w:pPr>
          <w:pStyle w:val="Sinespaciado"/>
          <w:jc w:val="center"/>
          <w:rPr>
            <w:rFonts w:ascii="Agency FB" w:hAnsi="Agency FB"/>
            <w:b/>
            <w:color w:val="E36C0A"/>
          </w:rPr>
        </w:pPr>
        <w:r w:rsidRPr="007637D9">
          <w:rPr>
            <w:rFonts w:ascii="Agency FB" w:hAnsi="Agency FB"/>
            <w:b/>
            <w:color w:val="E36C0A"/>
          </w:rPr>
          <w:t>Tendencia en la producción científica con relación a la economía de la salud en Colombia</w:t>
        </w:r>
      </w:p>
      <w:p w14:paraId="02F01B5A" w14:textId="1D234CDD" w:rsidR="00A3095B" w:rsidRPr="005E7033" w:rsidRDefault="00A3095B" w:rsidP="0020679D">
        <w:pPr>
          <w:pStyle w:val="Sinespaciado"/>
          <w:jc w:val="center"/>
          <w:rPr>
            <w:rFonts w:ascii="Agency FB" w:hAnsi="Agency FB"/>
            <w:color w:val="E36C0A"/>
            <w:lang w:val="es-CR"/>
          </w:rPr>
        </w:pPr>
        <w:r w:rsidRPr="001A1AD8">
          <w:rPr>
            <w:rFonts w:ascii="Agency FB" w:hAnsi="Agency FB"/>
            <w:color w:val="E36C0A"/>
          </w:rPr>
          <w:t>Lina-Yasmín Montaño-Ramírez</w:t>
        </w:r>
        <w:r>
          <w:rPr>
            <w:rFonts w:ascii="Agency FB" w:hAnsi="Agency FB"/>
            <w:color w:val="E36C0A"/>
          </w:rPr>
          <w:t xml:space="preserve"> y</w:t>
        </w:r>
        <w:r w:rsidRPr="00C46288">
          <w:rPr>
            <w:rFonts w:ascii="Agency FB" w:hAnsi="Agency FB"/>
            <w:color w:val="E36C0A"/>
          </w:rPr>
          <w:t xml:space="preserve"> </w:t>
        </w:r>
        <w:r w:rsidRPr="001A1AD8">
          <w:rPr>
            <w:rFonts w:ascii="Agency FB" w:hAnsi="Agency FB"/>
            <w:color w:val="E36C0A"/>
          </w:rPr>
          <w:t>Oscar-Marino López-Mallama</w:t>
        </w:r>
      </w:p>
      <w:p w14:paraId="1F70B1D2" w14:textId="63B8D166" w:rsidR="00A3095B" w:rsidRPr="006426BE" w:rsidRDefault="00B05CBB" w:rsidP="0020679D">
        <w:pPr>
          <w:pStyle w:val="Sinespaciado"/>
          <w:jc w:val="center"/>
          <w:rPr>
            <w:rFonts w:ascii="Agency FB" w:hAnsi="Agency FB"/>
            <w:color w:val="002060"/>
            <w:lang w:val="en-US"/>
          </w:rPr>
        </w:pPr>
        <w:r>
          <w:fldChar w:fldCharType="begin"/>
        </w:r>
        <w:r w:rsidRPr="00921FB0">
          <w:rPr>
            <w:lang w:val="en-US"/>
          </w:rPr>
          <w:instrText xml:space="preserve"> HYPERLINK "DOI:%20http://dx.doi.org/10.22458/caes.v16i1.5817" </w:instrText>
        </w:r>
        <w:r>
          <w:fldChar w:fldCharType="separate"/>
        </w:r>
        <w:r w:rsidR="006426BE" w:rsidRPr="006426BE">
          <w:rPr>
            <w:rStyle w:val="Hipervnculo"/>
            <w:rFonts w:ascii="Agency FB" w:hAnsi="Agency FB"/>
            <w:color w:val="002060"/>
            <w:lang w:val="en-US"/>
          </w:rPr>
          <w:t>DOI: http://dx.doi.org/10.22458/caes.v16i1.5817</w:t>
        </w:r>
        <w:r>
          <w:rPr>
            <w:rStyle w:val="Hipervnculo"/>
            <w:rFonts w:ascii="Agency FB" w:hAnsi="Agency FB"/>
            <w:color w:val="002060"/>
            <w:lang w:val="en-US"/>
          </w:rPr>
          <w:fldChar w:fldCharType="end"/>
        </w:r>
      </w:p>
      <w:p w14:paraId="416290C8" w14:textId="17170D1B" w:rsidR="00A3095B" w:rsidRPr="0066186F" w:rsidRDefault="00A3095B" w:rsidP="0020679D">
        <w:pPr>
          <w:pStyle w:val="Sinespaciado"/>
          <w:tabs>
            <w:tab w:val="center" w:pos="4929"/>
            <w:tab w:val="left" w:pos="8661"/>
          </w:tabs>
          <w:rPr>
            <w:rFonts w:ascii="Agency FB" w:hAnsi="Agency FB"/>
            <w:color w:val="E36C0A"/>
          </w:rPr>
        </w:pPr>
        <w:r w:rsidRPr="006426BE">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A3095B" w:rsidRPr="0066186F" w:rsidRDefault="00A3095B"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A3095B" w:rsidRDefault="00A3095B">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A3095B" w:rsidRPr="0020679D" w:rsidRDefault="00A3095B">
    <w:pPr>
      <w:pStyle w:val="Piedepgina"/>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2F0AA" w14:textId="77777777" w:rsidR="006426BE" w:rsidRDefault="006426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26167" w14:textId="77777777" w:rsidR="00B05CBB" w:rsidRDefault="00B05CBB" w:rsidP="003C3F58">
      <w:r>
        <w:separator/>
      </w:r>
    </w:p>
  </w:footnote>
  <w:footnote w:type="continuationSeparator" w:id="0">
    <w:p w14:paraId="43EDBBC2" w14:textId="77777777" w:rsidR="00B05CBB" w:rsidRDefault="00B05CBB" w:rsidP="003C3F58">
      <w:r>
        <w:continuationSeparator/>
      </w:r>
    </w:p>
  </w:footnote>
  <w:footnote w:id="1">
    <w:p w14:paraId="56149D80" w14:textId="18F33667" w:rsidR="00A3095B" w:rsidRPr="001846BD" w:rsidRDefault="00A3095B" w:rsidP="00D2286D">
      <w:pPr>
        <w:jc w:val="both"/>
        <w:rPr>
          <w:rFonts w:ascii="Arial" w:hAnsi="Arial" w:cs="Arial"/>
          <w:sz w:val="20"/>
          <w:szCs w:val="20"/>
          <w:lang w:val="es-ES"/>
        </w:rPr>
      </w:pPr>
      <w:r w:rsidRPr="001846BD">
        <w:rPr>
          <w:rStyle w:val="Refdenotaalpie"/>
          <w:rFonts w:ascii="Arial" w:hAnsi="Arial" w:cs="Arial"/>
          <w:sz w:val="20"/>
          <w:szCs w:val="20"/>
        </w:rPr>
        <w:footnoteRef/>
      </w:r>
      <w:r w:rsidRPr="001846BD">
        <w:rPr>
          <w:rStyle w:val="Hipervnculo"/>
          <w:rFonts w:ascii="Arial" w:hAnsi="Arial" w:cs="Arial"/>
          <w:color w:val="000000" w:themeColor="text1"/>
          <w:sz w:val="20"/>
          <w:szCs w:val="20"/>
          <w:u w:val="none"/>
        </w:rPr>
        <w:t xml:space="preserve"> </w:t>
      </w:r>
      <w:r w:rsidRPr="001846BD">
        <w:rPr>
          <w:rFonts w:ascii="Arial" w:hAnsi="Arial" w:cs="Arial"/>
          <w:sz w:val="20"/>
          <w:szCs w:val="20"/>
        </w:rPr>
        <w:t xml:space="preserve">Estudiante de Administración en Salud de la </w:t>
      </w:r>
      <w:r w:rsidRPr="001846BD">
        <w:rPr>
          <w:rStyle w:val="Hipervnculo"/>
          <w:rFonts w:ascii="Arial" w:hAnsi="Arial" w:cs="Arial"/>
          <w:color w:val="000000" w:themeColor="text1"/>
          <w:sz w:val="20"/>
          <w:szCs w:val="20"/>
          <w:u w:val="none"/>
          <w:lang w:val="es-ES"/>
        </w:rPr>
        <w:t>la Institución Universitaria Antonio José Camacho, Cali, Colombia.</w:t>
      </w:r>
      <w:r w:rsidRPr="001846BD">
        <w:rPr>
          <w:rFonts w:ascii="Arial" w:hAnsi="Arial" w:cs="Arial"/>
          <w:sz w:val="20"/>
          <w:szCs w:val="20"/>
        </w:rPr>
        <w:t xml:space="preserve"> </w:t>
      </w:r>
      <w:r w:rsidRPr="001846BD">
        <w:rPr>
          <w:rFonts w:ascii="Arial" w:hAnsi="Arial" w:cs="Arial"/>
          <w:noProof/>
          <w:sz w:val="20"/>
          <w:szCs w:val="20"/>
          <w:lang w:eastAsia="es-CR"/>
        </w:rPr>
        <w:drawing>
          <wp:inline distT="0" distB="0" distL="0" distR="0" wp14:anchorId="12AE6068" wp14:editId="46B52549">
            <wp:extent cx="123825" cy="1238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846BD">
        <w:rPr>
          <w:rFonts w:ascii="Arial" w:hAnsi="Arial" w:cs="Arial"/>
          <w:sz w:val="20"/>
          <w:szCs w:val="20"/>
        </w:rPr>
        <w:t xml:space="preserve"> </w:t>
      </w:r>
      <w:r w:rsidRPr="006853FE">
        <w:rPr>
          <w:rFonts w:ascii="Arial" w:hAnsi="Arial" w:cs="Arial"/>
          <w:color w:val="002060"/>
          <w:sz w:val="20"/>
          <w:szCs w:val="20"/>
        </w:rPr>
        <w:t xml:space="preserve"> </w:t>
      </w:r>
      <w:hyperlink r:id="rId2" w:history="1">
        <w:r w:rsidRPr="006853FE">
          <w:rPr>
            <w:rStyle w:val="Hipervnculo"/>
            <w:rFonts w:ascii="Arial" w:hAnsi="Arial" w:cs="Arial"/>
            <w:color w:val="002060"/>
            <w:sz w:val="20"/>
            <w:szCs w:val="20"/>
          </w:rPr>
          <w:t>https://orcid.org/0009-0009-4207-9160</w:t>
        </w:r>
      </w:hyperlink>
    </w:p>
  </w:footnote>
  <w:footnote w:id="2">
    <w:p w14:paraId="6521243A" w14:textId="3E79DAAE" w:rsidR="00A3095B" w:rsidRPr="00B86E8E" w:rsidRDefault="00A3095B" w:rsidP="00B86E8E">
      <w:pPr>
        <w:jc w:val="both"/>
        <w:rPr>
          <w:rFonts w:ascii="Arial" w:hAnsi="Arial" w:cs="Arial"/>
          <w:sz w:val="20"/>
          <w:szCs w:val="20"/>
          <w:lang w:val="es-ES"/>
        </w:rPr>
      </w:pPr>
      <w:r w:rsidRPr="001846BD">
        <w:rPr>
          <w:rStyle w:val="Refdenotaalpie"/>
          <w:rFonts w:ascii="Arial" w:hAnsi="Arial" w:cs="Arial"/>
          <w:sz w:val="20"/>
          <w:szCs w:val="20"/>
        </w:rPr>
        <w:footnoteRef/>
      </w:r>
      <w:r w:rsidRPr="001846BD">
        <w:rPr>
          <w:rFonts w:ascii="Arial" w:hAnsi="Arial" w:cs="Arial"/>
          <w:sz w:val="20"/>
          <w:szCs w:val="20"/>
        </w:rPr>
        <w:t xml:space="preserve"> </w:t>
      </w:r>
      <w:r w:rsidRPr="001846BD">
        <w:rPr>
          <w:rStyle w:val="Hipervnculo"/>
          <w:rFonts w:ascii="Arial" w:hAnsi="Arial" w:cs="Arial"/>
          <w:color w:val="000000" w:themeColor="text1"/>
          <w:sz w:val="20"/>
          <w:szCs w:val="20"/>
          <w:u w:val="none"/>
          <w:lang w:val="es-ES"/>
        </w:rPr>
        <w:t>Docente de la Institución Universitaria Antonio José Camacho y de la Universidad del Valle, candidato a doctor en Administración.</w:t>
      </w:r>
      <w:r w:rsidRPr="001846BD">
        <w:rPr>
          <w:rFonts w:ascii="Arial" w:hAnsi="Arial" w:cs="Arial"/>
          <w:sz w:val="20"/>
          <w:szCs w:val="20"/>
        </w:rPr>
        <w:t xml:space="preserve"> </w:t>
      </w:r>
      <w:r w:rsidRPr="001846BD">
        <w:rPr>
          <w:rFonts w:ascii="Arial" w:hAnsi="Arial" w:cs="Arial"/>
          <w:noProof/>
          <w:sz w:val="20"/>
          <w:szCs w:val="20"/>
          <w:lang w:eastAsia="es-CR"/>
        </w:rPr>
        <w:drawing>
          <wp:inline distT="0" distB="0" distL="0" distR="0" wp14:anchorId="2349FB44" wp14:editId="68391713">
            <wp:extent cx="123825" cy="1238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853FE">
        <w:rPr>
          <w:rFonts w:ascii="Arial" w:hAnsi="Arial" w:cs="Arial"/>
          <w:color w:val="002060"/>
          <w:sz w:val="20"/>
          <w:szCs w:val="20"/>
        </w:rPr>
        <w:t xml:space="preserve"> </w:t>
      </w:r>
      <w:hyperlink r:id="rId3" w:history="1">
        <w:r w:rsidRPr="006853FE">
          <w:rPr>
            <w:rStyle w:val="Hipervnculo"/>
            <w:rFonts w:ascii="Arial" w:hAnsi="Arial" w:cs="Arial"/>
            <w:color w:val="002060"/>
            <w:sz w:val="20"/>
            <w:szCs w:val="20"/>
          </w:rPr>
          <w:t>https://orcid.org/0000-0002-3543-9123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D304E" w14:textId="77777777" w:rsidR="006426BE" w:rsidRDefault="006426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75F32C71" w:rsidR="00A3095B" w:rsidRPr="00504537" w:rsidRDefault="00A3095B" w:rsidP="008A1766">
    <w:pPr>
      <w:pStyle w:val="Sinespaciado"/>
      <w:jc w:val="center"/>
      <w:rPr>
        <w:rFonts w:ascii="Agency FB" w:hAnsi="Agency FB"/>
        <w:color w:val="E36C0A"/>
        <w:sz w:val="22"/>
        <w:szCs w:val="22"/>
      </w:rPr>
    </w:pPr>
    <w:bookmarkStart w:id="11" w:name="_Hlk151106753"/>
    <w:r w:rsidRPr="00504537">
      <w:rPr>
        <w:rFonts w:ascii="Agency FB" w:hAnsi="Agency FB"/>
        <w:color w:val="E36C0A"/>
        <w:sz w:val="22"/>
        <w:szCs w:val="22"/>
      </w:rPr>
      <w:t>REVISTA ELECTRÓNICA CALIDAD EN LA EDUCACIÓN SUPERIOR ISSN: 1659</w:t>
    </w:r>
    <w:r>
      <w:rPr>
        <w:rFonts w:ascii="Agency FB" w:hAnsi="Agency FB"/>
        <w:color w:val="E36C0A"/>
        <w:sz w:val="22"/>
        <w:szCs w:val="22"/>
      </w:rPr>
      <w:t xml:space="preserve"> </w:t>
    </w:r>
    <w:r w:rsidRPr="00504537">
      <w:rPr>
        <w:rFonts w:ascii="Agency FB" w:hAnsi="Agency FB"/>
        <w:color w:val="E36C0A"/>
        <w:sz w:val="22"/>
        <w:szCs w:val="22"/>
      </w:rPr>
      <w:t>-</w:t>
    </w:r>
    <w:r>
      <w:rPr>
        <w:rFonts w:ascii="Agency FB" w:hAnsi="Agency FB"/>
        <w:color w:val="E36C0A"/>
        <w:sz w:val="22"/>
        <w:szCs w:val="22"/>
      </w:rPr>
      <w:t xml:space="preserve"> </w:t>
    </w:r>
    <w:r w:rsidRPr="00504537">
      <w:rPr>
        <w:rFonts w:ascii="Agency FB" w:hAnsi="Agency FB"/>
        <w:color w:val="E36C0A"/>
        <w:sz w:val="22"/>
        <w:szCs w:val="22"/>
      </w:rPr>
      <w:t>4703, VOL.</w:t>
    </w:r>
    <w:r>
      <w:rPr>
        <w:rFonts w:ascii="Agency FB" w:hAnsi="Agency FB"/>
        <w:color w:val="E36C0A"/>
        <w:sz w:val="22"/>
        <w:szCs w:val="22"/>
      </w:rPr>
      <w:t xml:space="preserve"> </w:t>
    </w:r>
    <w:r w:rsidRPr="00504537">
      <w:rPr>
        <w:rFonts w:ascii="Agency FB" w:hAnsi="Agency FB"/>
        <w:color w:val="E36C0A"/>
        <w:sz w:val="22"/>
        <w:szCs w:val="22"/>
      </w:rPr>
      <w:t>16 (E</w:t>
    </w:r>
    <w:r>
      <w:rPr>
        <w:rFonts w:ascii="Agency FB" w:hAnsi="Agency FB"/>
        <w:color w:val="E36C0A"/>
        <w:sz w:val="22"/>
        <w:szCs w:val="22"/>
      </w:rPr>
      <w:t xml:space="preserve">SPECIAL </w:t>
    </w:r>
    <w:r w:rsidRPr="00504537">
      <w:rPr>
        <w:rFonts w:ascii="Agency FB" w:hAnsi="Agency FB"/>
        <w:color w:val="E36C0A"/>
        <w:sz w:val="22"/>
        <w:szCs w:val="22"/>
      </w:rPr>
      <w:t>1) ENERO-MAYO, 2025: 110-150</w:t>
    </w:r>
  </w:p>
  <w:p w14:paraId="505074AE" w14:textId="4D68327B" w:rsidR="00A3095B" w:rsidRPr="00FE0969" w:rsidRDefault="00A3095B"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A3095B" w:rsidRPr="0081623B" w:rsidRDefault="00B05CBB" w:rsidP="00A82B98">
    <w:pPr>
      <w:pStyle w:val="Sinespaciado"/>
      <w:jc w:val="center"/>
      <w:rPr>
        <w:rFonts w:ascii="Agency FB" w:hAnsi="Agency FB"/>
        <w:color w:val="E36C0A"/>
      </w:rPr>
    </w:pPr>
    <w:hyperlink r:id="rId2" w:history="1">
      <w:r w:rsidR="00A3095B" w:rsidRPr="0081623B">
        <w:rPr>
          <w:color w:val="E36C0A"/>
        </w:rPr>
        <w:t>http://revistas.uned.ac.cr./index.php/revistacalidad</w:t>
      </w:r>
    </w:hyperlink>
  </w:p>
  <w:p w14:paraId="3F557B39" w14:textId="77777777" w:rsidR="00A3095B" w:rsidRPr="0081623B" w:rsidRDefault="00A3095B"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3095B" w:rsidRDefault="00A3095B"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1"/>
  <w:p w14:paraId="65D9EF25" w14:textId="77777777" w:rsidR="00A3095B" w:rsidRDefault="00A3095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5D2A9" w14:textId="77777777" w:rsidR="006426BE" w:rsidRDefault="006426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140"/>
    <w:multiLevelType w:val="hybridMultilevel"/>
    <w:tmpl w:val="B54A7D64"/>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3"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5" w15:restartNumberingAfterBreak="0">
    <w:nsid w:val="172062B5"/>
    <w:multiLevelType w:val="hybridMultilevel"/>
    <w:tmpl w:val="0860B7CC"/>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1"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6" w15:restartNumberingAfterBreak="0">
    <w:nsid w:val="3A045EDD"/>
    <w:multiLevelType w:val="multilevel"/>
    <w:tmpl w:val="3BD22F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EA5003A"/>
    <w:multiLevelType w:val="multilevel"/>
    <w:tmpl w:val="C3448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3"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6"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9"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0" w15:restartNumberingAfterBreak="0">
    <w:nsid w:val="54D4093D"/>
    <w:multiLevelType w:val="hybridMultilevel"/>
    <w:tmpl w:val="4C0CFFE4"/>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2"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4"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15:restartNumberingAfterBreak="0">
    <w:nsid w:val="745B099F"/>
    <w:multiLevelType w:val="hybridMultilevel"/>
    <w:tmpl w:val="917A9CE2"/>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5"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8"/>
  </w:num>
  <w:num w:numId="2">
    <w:abstractNumId w:val="37"/>
  </w:num>
  <w:num w:numId="3">
    <w:abstractNumId w:val="24"/>
  </w:num>
  <w:num w:numId="4">
    <w:abstractNumId w:val="28"/>
  </w:num>
  <w:num w:numId="5">
    <w:abstractNumId w:val="3"/>
  </w:num>
  <w:num w:numId="6">
    <w:abstractNumId w:val="27"/>
  </w:num>
  <w:num w:numId="7">
    <w:abstractNumId w:val="45"/>
  </w:num>
  <w:num w:numId="8">
    <w:abstractNumId w:val="17"/>
  </w:num>
  <w:num w:numId="9">
    <w:abstractNumId w:val="35"/>
  </w:num>
  <w:num w:numId="10">
    <w:abstractNumId w:val="25"/>
  </w:num>
  <w:num w:numId="11">
    <w:abstractNumId w:val="1"/>
  </w:num>
  <w:num w:numId="12">
    <w:abstractNumId w:val="44"/>
  </w:num>
  <w:num w:numId="13">
    <w:abstractNumId w:val="32"/>
  </w:num>
  <w:num w:numId="14">
    <w:abstractNumId w:val="6"/>
  </w:num>
  <w:num w:numId="15">
    <w:abstractNumId w:val="15"/>
  </w:num>
  <w:num w:numId="16">
    <w:abstractNumId w:val="9"/>
  </w:num>
  <w:num w:numId="17">
    <w:abstractNumId w:val="11"/>
  </w:num>
  <w:num w:numId="18">
    <w:abstractNumId w:val="36"/>
  </w:num>
  <w:num w:numId="19">
    <w:abstractNumId w:val="10"/>
  </w:num>
  <w:num w:numId="20">
    <w:abstractNumId w:val="34"/>
  </w:num>
  <w:num w:numId="21">
    <w:abstractNumId w:val="2"/>
  </w:num>
  <w:num w:numId="22">
    <w:abstractNumId w:val="8"/>
  </w:num>
  <w:num w:numId="23">
    <w:abstractNumId w:val="4"/>
  </w:num>
  <w:num w:numId="24">
    <w:abstractNumId w:val="14"/>
  </w:num>
  <w:num w:numId="25">
    <w:abstractNumId w:val="47"/>
  </w:num>
  <w:num w:numId="26">
    <w:abstractNumId w:val="43"/>
  </w:num>
  <w:num w:numId="27">
    <w:abstractNumId w:val="13"/>
  </w:num>
  <w:num w:numId="28">
    <w:abstractNumId w:val="20"/>
  </w:num>
  <w:num w:numId="29">
    <w:abstractNumId w:val="33"/>
  </w:num>
  <w:num w:numId="30">
    <w:abstractNumId w:val="22"/>
  </w:num>
  <w:num w:numId="31">
    <w:abstractNumId w:val="12"/>
  </w:num>
  <w:num w:numId="32">
    <w:abstractNumId w:val="46"/>
  </w:num>
  <w:num w:numId="33">
    <w:abstractNumId w:val="29"/>
  </w:num>
  <w:num w:numId="34">
    <w:abstractNumId w:val="21"/>
  </w:num>
  <w:num w:numId="35">
    <w:abstractNumId w:val="39"/>
  </w:num>
  <w:num w:numId="36">
    <w:abstractNumId w:val="26"/>
  </w:num>
  <w:num w:numId="37">
    <w:abstractNumId w:val="7"/>
  </w:num>
  <w:num w:numId="38">
    <w:abstractNumId w:val="23"/>
  </w:num>
  <w:num w:numId="39">
    <w:abstractNumId w:val="38"/>
  </w:num>
  <w:num w:numId="40">
    <w:abstractNumId w:val="31"/>
  </w:num>
  <w:num w:numId="41">
    <w:abstractNumId w:val="40"/>
  </w:num>
  <w:num w:numId="42">
    <w:abstractNumId w:val="42"/>
  </w:num>
  <w:num w:numId="43">
    <w:abstractNumId w:val="16"/>
  </w:num>
  <w:num w:numId="44">
    <w:abstractNumId w:val="19"/>
  </w:num>
  <w:num w:numId="45">
    <w:abstractNumId w:val="41"/>
  </w:num>
  <w:num w:numId="46">
    <w:abstractNumId w:val="0"/>
  </w:num>
  <w:num w:numId="47">
    <w:abstractNumId w:val="3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7D8"/>
    <w:rsid w:val="00000B61"/>
    <w:rsid w:val="00001E80"/>
    <w:rsid w:val="000032FD"/>
    <w:rsid w:val="00006F80"/>
    <w:rsid w:val="000079D2"/>
    <w:rsid w:val="00010FBB"/>
    <w:rsid w:val="00014278"/>
    <w:rsid w:val="00015D9E"/>
    <w:rsid w:val="00016045"/>
    <w:rsid w:val="0001748B"/>
    <w:rsid w:val="0001780B"/>
    <w:rsid w:val="00017E6D"/>
    <w:rsid w:val="0002238C"/>
    <w:rsid w:val="000232B5"/>
    <w:rsid w:val="00024251"/>
    <w:rsid w:val="000254AB"/>
    <w:rsid w:val="00025A7E"/>
    <w:rsid w:val="00025BB8"/>
    <w:rsid w:val="00026707"/>
    <w:rsid w:val="00033525"/>
    <w:rsid w:val="0003520A"/>
    <w:rsid w:val="00036860"/>
    <w:rsid w:val="00041B5C"/>
    <w:rsid w:val="00041F99"/>
    <w:rsid w:val="00045E66"/>
    <w:rsid w:val="00046D6E"/>
    <w:rsid w:val="000508C4"/>
    <w:rsid w:val="00050CBC"/>
    <w:rsid w:val="00051E67"/>
    <w:rsid w:val="000534BC"/>
    <w:rsid w:val="0005594E"/>
    <w:rsid w:val="00057376"/>
    <w:rsid w:val="0005774B"/>
    <w:rsid w:val="00057A12"/>
    <w:rsid w:val="00061C1E"/>
    <w:rsid w:val="000628BC"/>
    <w:rsid w:val="000660BD"/>
    <w:rsid w:val="0007083E"/>
    <w:rsid w:val="00073695"/>
    <w:rsid w:val="000749E7"/>
    <w:rsid w:val="00075680"/>
    <w:rsid w:val="00076624"/>
    <w:rsid w:val="00081189"/>
    <w:rsid w:val="00081EA1"/>
    <w:rsid w:val="00084C26"/>
    <w:rsid w:val="00091331"/>
    <w:rsid w:val="00091D68"/>
    <w:rsid w:val="00095A07"/>
    <w:rsid w:val="000971A6"/>
    <w:rsid w:val="00097C08"/>
    <w:rsid w:val="00097DE7"/>
    <w:rsid w:val="000A1290"/>
    <w:rsid w:val="000A227F"/>
    <w:rsid w:val="000A6D9A"/>
    <w:rsid w:val="000A7E22"/>
    <w:rsid w:val="000B3179"/>
    <w:rsid w:val="000B7151"/>
    <w:rsid w:val="000C08B0"/>
    <w:rsid w:val="000C1371"/>
    <w:rsid w:val="000C680B"/>
    <w:rsid w:val="000D04F5"/>
    <w:rsid w:val="000D11AE"/>
    <w:rsid w:val="000D1334"/>
    <w:rsid w:val="000D144D"/>
    <w:rsid w:val="000D1B92"/>
    <w:rsid w:val="000D1F91"/>
    <w:rsid w:val="000D2567"/>
    <w:rsid w:val="000D296F"/>
    <w:rsid w:val="000D4392"/>
    <w:rsid w:val="000D44E1"/>
    <w:rsid w:val="000D5935"/>
    <w:rsid w:val="000D6CBD"/>
    <w:rsid w:val="000D6E20"/>
    <w:rsid w:val="000E184A"/>
    <w:rsid w:val="000E31F9"/>
    <w:rsid w:val="000E320A"/>
    <w:rsid w:val="000E32AD"/>
    <w:rsid w:val="000E4202"/>
    <w:rsid w:val="000E4253"/>
    <w:rsid w:val="000E434F"/>
    <w:rsid w:val="000E4F1A"/>
    <w:rsid w:val="000E6F43"/>
    <w:rsid w:val="000E7A28"/>
    <w:rsid w:val="000F1259"/>
    <w:rsid w:val="000F28A9"/>
    <w:rsid w:val="000F2B5D"/>
    <w:rsid w:val="000F393F"/>
    <w:rsid w:val="000F4C49"/>
    <w:rsid w:val="000F618C"/>
    <w:rsid w:val="000F61B7"/>
    <w:rsid w:val="00101707"/>
    <w:rsid w:val="0010201D"/>
    <w:rsid w:val="00102586"/>
    <w:rsid w:val="00104E6F"/>
    <w:rsid w:val="00106270"/>
    <w:rsid w:val="00107071"/>
    <w:rsid w:val="00107EBF"/>
    <w:rsid w:val="00111083"/>
    <w:rsid w:val="00116616"/>
    <w:rsid w:val="00116C20"/>
    <w:rsid w:val="00120219"/>
    <w:rsid w:val="001207A6"/>
    <w:rsid w:val="001234AE"/>
    <w:rsid w:val="00125F0E"/>
    <w:rsid w:val="0012727A"/>
    <w:rsid w:val="00127D54"/>
    <w:rsid w:val="00127E7E"/>
    <w:rsid w:val="00130994"/>
    <w:rsid w:val="0013192D"/>
    <w:rsid w:val="00131B54"/>
    <w:rsid w:val="00131B9C"/>
    <w:rsid w:val="00131E8D"/>
    <w:rsid w:val="0013417D"/>
    <w:rsid w:val="0013435F"/>
    <w:rsid w:val="00134741"/>
    <w:rsid w:val="00137270"/>
    <w:rsid w:val="00137271"/>
    <w:rsid w:val="00140857"/>
    <w:rsid w:val="00140C9E"/>
    <w:rsid w:val="00142E05"/>
    <w:rsid w:val="001438E3"/>
    <w:rsid w:val="00143C3B"/>
    <w:rsid w:val="00144A93"/>
    <w:rsid w:val="001463B8"/>
    <w:rsid w:val="00147093"/>
    <w:rsid w:val="00147F21"/>
    <w:rsid w:val="00150640"/>
    <w:rsid w:val="001508AE"/>
    <w:rsid w:val="00152545"/>
    <w:rsid w:val="001561AF"/>
    <w:rsid w:val="00156C8F"/>
    <w:rsid w:val="00160030"/>
    <w:rsid w:val="001621C3"/>
    <w:rsid w:val="001624E8"/>
    <w:rsid w:val="001650EE"/>
    <w:rsid w:val="0017048B"/>
    <w:rsid w:val="001749A5"/>
    <w:rsid w:val="00174B0E"/>
    <w:rsid w:val="0017598B"/>
    <w:rsid w:val="00175BE9"/>
    <w:rsid w:val="00176B61"/>
    <w:rsid w:val="001809CE"/>
    <w:rsid w:val="00181457"/>
    <w:rsid w:val="00182C69"/>
    <w:rsid w:val="001836F5"/>
    <w:rsid w:val="00183ACC"/>
    <w:rsid w:val="001846BD"/>
    <w:rsid w:val="001850F9"/>
    <w:rsid w:val="001862C7"/>
    <w:rsid w:val="001867BB"/>
    <w:rsid w:val="00190DE8"/>
    <w:rsid w:val="001910DA"/>
    <w:rsid w:val="00191751"/>
    <w:rsid w:val="00192C9E"/>
    <w:rsid w:val="00193AFC"/>
    <w:rsid w:val="00193DA2"/>
    <w:rsid w:val="00194303"/>
    <w:rsid w:val="001951A4"/>
    <w:rsid w:val="001976C0"/>
    <w:rsid w:val="001A0561"/>
    <w:rsid w:val="001A1AD8"/>
    <w:rsid w:val="001A43CA"/>
    <w:rsid w:val="001A5BBC"/>
    <w:rsid w:val="001A5FB1"/>
    <w:rsid w:val="001A6625"/>
    <w:rsid w:val="001A6A7E"/>
    <w:rsid w:val="001A7A64"/>
    <w:rsid w:val="001B0709"/>
    <w:rsid w:val="001B1F0E"/>
    <w:rsid w:val="001B2892"/>
    <w:rsid w:val="001B2F02"/>
    <w:rsid w:val="001B33FD"/>
    <w:rsid w:val="001B38E2"/>
    <w:rsid w:val="001B49A7"/>
    <w:rsid w:val="001B52E9"/>
    <w:rsid w:val="001B5814"/>
    <w:rsid w:val="001B6563"/>
    <w:rsid w:val="001B72FE"/>
    <w:rsid w:val="001C017C"/>
    <w:rsid w:val="001C0FDB"/>
    <w:rsid w:val="001C395C"/>
    <w:rsid w:val="001C77F9"/>
    <w:rsid w:val="001D06ED"/>
    <w:rsid w:val="001D09C1"/>
    <w:rsid w:val="001D204F"/>
    <w:rsid w:val="001D2A22"/>
    <w:rsid w:val="001D437A"/>
    <w:rsid w:val="001D589A"/>
    <w:rsid w:val="001D7279"/>
    <w:rsid w:val="001E202F"/>
    <w:rsid w:val="001E2221"/>
    <w:rsid w:val="001E34E7"/>
    <w:rsid w:val="001E5DA2"/>
    <w:rsid w:val="001E64FE"/>
    <w:rsid w:val="001E705D"/>
    <w:rsid w:val="001E7C80"/>
    <w:rsid w:val="001F018B"/>
    <w:rsid w:val="001F1C42"/>
    <w:rsid w:val="001F2282"/>
    <w:rsid w:val="001F308D"/>
    <w:rsid w:val="001F4C2D"/>
    <w:rsid w:val="001F51E1"/>
    <w:rsid w:val="001F69CF"/>
    <w:rsid w:val="00200F57"/>
    <w:rsid w:val="00202760"/>
    <w:rsid w:val="00202DC8"/>
    <w:rsid w:val="002033B3"/>
    <w:rsid w:val="0020679D"/>
    <w:rsid w:val="00210253"/>
    <w:rsid w:val="002116E0"/>
    <w:rsid w:val="00211B63"/>
    <w:rsid w:val="002144FC"/>
    <w:rsid w:val="0021492A"/>
    <w:rsid w:val="00216703"/>
    <w:rsid w:val="002205F4"/>
    <w:rsid w:val="00220D72"/>
    <w:rsid w:val="00220FE2"/>
    <w:rsid w:val="00222CA0"/>
    <w:rsid w:val="00224C62"/>
    <w:rsid w:val="002258EE"/>
    <w:rsid w:val="00226640"/>
    <w:rsid w:val="00226CC3"/>
    <w:rsid w:val="00231519"/>
    <w:rsid w:val="002323C1"/>
    <w:rsid w:val="00232EB9"/>
    <w:rsid w:val="00233067"/>
    <w:rsid w:val="00233172"/>
    <w:rsid w:val="00235E34"/>
    <w:rsid w:val="00236788"/>
    <w:rsid w:val="00240604"/>
    <w:rsid w:val="00240D80"/>
    <w:rsid w:val="00241400"/>
    <w:rsid w:val="002436B0"/>
    <w:rsid w:val="00247C59"/>
    <w:rsid w:val="00251912"/>
    <w:rsid w:val="002539E8"/>
    <w:rsid w:val="00253E0B"/>
    <w:rsid w:val="0025487F"/>
    <w:rsid w:val="0025499F"/>
    <w:rsid w:val="00255248"/>
    <w:rsid w:val="00257BE1"/>
    <w:rsid w:val="0026094D"/>
    <w:rsid w:val="00260DDC"/>
    <w:rsid w:val="002639FE"/>
    <w:rsid w:val="002657AB"/>
    <w:rsid w:val="00265B26"/>
    <w:rsid w:val="00270225"/>
    <w:rsid w:val="00270564"/>
    <w:rsid w:val="00270F16"/>
    <w:rsid w:val="002719BB"/>
    <w:rsid w:val="00273226"/>
    <w:rsid w:val="002742B4"/>
    <w:rsid w:val="00274740"/>
    <w:rsid w:val="00274C76"/>
    <w:rsid w:val="002752CB"/>
    <w:rsid w:val="002758BC"/>
    <w:rsid w:val="00275FC3"/>
    <w:rsid w:val="0027680F"/>
    <w:rsid w:val="00280261"/>
    <w:rsid w:val="0028058F"/>
    <w:rsid w:val="00282AEC"/>
    <w:rsid w:val="00282C90"/>
    <w:rsid w:val="002841FB"/>
    <w:rsid w:val="00284D6F"/>
    <w:rsid w:val="00285DA3"/>
    <w:rsid w:val="002863C4"/>
    <w:rsid w:val="002877F5"/>
    <w:rsid w:val="00291424"/>
    <w:rsid w:val="002917C9"/>
    <w:rsid w:val="002923A7"/>
    <w:rsid w:val="00294E8A"/>
    <w:rsid w:val="002977E3"/>
    <w:rsid w:val="002A060D"/>
    <w:rsid w:val="002A25D1"/>
    <w:rsid w:val="002A4611"/>
    <w:rsid w:val="002A467A"/>
    <w:rsid w:val="002A4803"/>
    <w:rsid w:val="002A546A"/>
    <w:rsid w:val="002A7A61"/>
    <w:rsid w:val="002B0032"/>
    <w:rsid w:val="002B21BA"/>
    <w:rsid w:val="002B24C1"/>
    <w:rsid w:val="002B26BE"/>
    <w:rsid w:val="002B39C2"/>
    <w:rsid w:val="002B3DFB"/>
    <w:rsid w:val="002B5501"/>
    <w:rsid w:val="002B623A"/>
    <w:rsid w:val="002B6304"/>
    <w:rsid w:val="002C16C3"/>
    <w:rsid w:val="002C3F42"/>
    <w:rsid w:val="002D0B75"/>
    <w:rsid w:val="002D1536"/>
    <w:rsid w:val="002D1F58"/>
    <w:rsid w:val="002D21CD"/>
    <w:rsid w:val="002D30E6"/>
    <w:rsid w:val="002D63B3"/>
    <w:rsid w:val="002D662D"/>
    <w:rsid w:val="002D7179"/>
    <w:rsid w:val="002D7B15"/>
    <w:rsid w:val="002D7BA5"/>
    <w:rsid w:val="002D7FA0"/>
    <w:rsid w:val="002E0F85"/>
    <w:rsid w:val="002E447F"/>
    <w:rsid w:val="002E52DF"/>
    <w:rsid w:val="002F047C"/>
    <w:rsid w:val="002F069B"/>
    <w:rsid w:val="002F4536"/>
    <w:rsid w:val="002F51CC"/>
    <w:rsid w:val="002F541D"/>
    <w:rsid w:val="002F5D90"/>
    <w:rsid w:val="00300366"/>
    <w:rsid w:val="00301975"/>
    <w:rsid w:val="00302FF9"/>
    <w:rsid w:val="003038CB"/>
    <w:rsid w:val="00304107"/>
    <w:rsid w:val="00304692"/>
    <w:rsid w:val="0030625A"/>
    <w:rsid w:val="003072E5"/>
    <w:rsid w:val="003111A0"/>
    <w:rsid w:val="00311E7C"/>
    <w:rsid w:val="003138F4"/>
    <w:rsid w:val="00315C55"/>
    <w:rsid w:val="00316745"/>
    <w:rsid w:val="003167BC"/>
    <w:rsid w:val="00316D64"/>
    <w:rsid w:val="003172E9"/>
    <w:rsid w:val="003172FD"/>
    <w:rsid w:val="00317744"/>
    <w:rsid w:val="00317EF9"/>
    <w:rsid w:val="00320F3E"/>
    <w:rsid w:val="00323EC0"/>
    <w:rsid w:val="00325D10"/>
    <w:rsid w:val="0032656D"/>
    <w:rsid w:val="00326D5D"/>
    <w:rsid w:val="00331067"/>
    <w:rsid w:val="00331E99"/>
    <w:rsid w:val="00333698"/>
    <w:rsid w:val="00335279"/>
    <w:rsid w:val="003354A4"/>
    <w:rsid w:val="0033689E"/>
    <w:rsid w:val="00336BAC"/>
    <w:rsid w:val="00337BFF"/>
    <w:rsid w:val="00340ED9"/>
    <w:rsid w:val="00342643"/>
    <w:rsid w:val="00342683"/>
    <w:rsid w:val="0034275A"/>
    <w:rsid w:val="00345C30"/>
    <w:rsid w:val="00346E6A"/>
    <w:rsid w:val="00347892"/>
    <w:rsid w:val="0035096D"/>
    <w:rsid w:val="003527FC"/>
    <w:rsid w:val="00352916"/>
    <w:rsid w:val="00352BEC"/>
    <w:rsid w:val="003534F4"/>
    <w:rsid w:val="00356311"/>
    <w:rsid w:val="003569DD"/>
    <w:rsid w:val="00356BC7"/>
    <w:rsid w:val="003570BE"/>
    <w:rsid w:val="00357FE9"/>
    <w:rsid w:val="0036277B"/>
    <w:rsid w:val="0036524A"/>
    <w:rsid w:val="00365ACA"/>
    <w:rsid w:val="003676E3"/>
    <w:rsid w:val="00370F45"/>
    <w:rsid w:val="00372B3B"/>
    <w:rsid w:val="003740EE"/>
    <w:rsid w:val="00376A84"/>
    <w:rsid w:val="003777DF"/>
    <w:rsid w:val="003800B4"/>
    <w:rsid w:val="0038147B"/>
    <w:rsid w:val="00384F2B"/>
    <w:rsid w:val="003871D4"/>
    <w:rsid w:val="003874BD"/>
    <w:rsid w:val="003910DD"/>
    <w:rsid w:val="00391758"/>
    <w:rsid w:val="00393257"/>
    <w:rsid w:val="00396255"/>
    <w:rsid w:val="00397F3C"/>
    <w:rsid w:val="003A14BA"/>
    <w:rsid w:val="003A5572"/>
    <w:rsid w:val="003A57EF"/>
    <w:rsid w:val="003A6498"/>
    <w:rsid w:val="003A67D3"/>
    <w:rsid w:val="003A6B4B"/>
    <w:rsid w:val="003A6C5E"/>
    <w:rsid w:val="003B19CC"/>
    <w:rsid w:val="003B37A9"/>
    <w:rsid w:val="003B4896"/>
    <w:rsid w:val="003B4B60"/>
    <w:rsid w:val="003B6BFD"/>
    <w:rsid w:val="003B719E"/>
    <w:rsid w:val="003B7E8E"/>
    <w:rsid w:val="003C3F29"/>
    <w:rsid w:val="003C3F58"/>
    <w:rsid w:val="003C566D"/>
    <w:rsid w:val="003C6426"/>
    <w:rsid w:val="003C64F3"/>
    <w:rsid w:val="003C740F"/>
    <w:rsid w:val="003D0DC8"/>
    <w:rsid w:val="003D4A9E"/>
    <w:rsid w:val="003D4B45"/>
    <w:rsid w:val="003D72C8"/>
    <w:rsid w:val="003D7CFE"/>
    <w:rsid w:val="003D7F15"/>
    <w:rsid w:val="003E0A0B"/>
    <w:rsid w:val="003E0BC8"/>
    <w:rsid w:val="003E1C5F"/>
    <w:rsid w:val="003E388A"/>
    <w:rsid w:val="003E4CB5"/>
    <w:rsid w:val="003E5BD2"/>
    <w:rsid w:val="003F0481"/>
    <w:rsid w:val="003F44F5"/>
    <w:rsid w:val="003F4747"/>
    <w:rsid w:val="00400EA4"/>
    <w:rsid w:val="00403008"/>
    <w:rsid w:val="00403009"/>
    <w:rsid w:val="00403E7A"/>
    <w:rsid w:val="00410140"/>
    <w:rsid w:val="0041152C"/>
    <w:rsid w:val="004115EC"/>
    <w:rsid w:val="00413EE0"/>
    <w:rsid w:val="004168C6"/>
    <w:rsid w:val="00416F62"/>
    <w:rsid w:val="00417F4D"/>
    <w:rsid w:val="004225FB"/>
    <w:rsid w:val="00424D73"/>
    <w:rsid w:val="00425DD9"/>
    <w:rsid w:val="00426CBD"/>
    <w:rsid w:val="004307AF"/>
    <w:rsid w:val="00432FDC"/>
    <w:rsid w:val="00433155"/>
    <w:rsid w:val="004338FF"/>
    <w:rsid w:val="00434831"/>
    <w:rsid w:val="004356F4"/>
    <w:rsid w:val="00435F9F"/>
    <w:rsid w:val="00436C08"/>
    <w:rsid w:val="00441292"/>
    <w:rsid w:val="00441C89"/>
    <w:rsid w:val="00443AA3"/>
    <w:rsid w:val="00446A43"/>
    <w:rsid w:val="004504F0"/>
    <w:rsid w:val="00450ADB"/>
    <w:rsid w:val="00450AEF"/>
    <w:rsid w:val="00451552"/>
    <w:rsid w:val="004516C5"/>
    <w:rsid w:val="00456B5B"/>
    <w:rsid w:val="00457E3C"/>
    <w:rsid w:val="00460E28"/>
    <w:rsid w:val="00461563"/>
    <w:rsid w:val="00461AFC"/>
    <w:rsid w:val="004626A2"/>
    <w:rsid w:val="00462700"/>
    <w:rsid w:val="00462858"/>
    <w:rsid w:val="00462C8D"/>
    <w:rsid w:val="00462EDE"/>
    <w:rsid w:val="00463916"/>
    <w:rsid w:val="00463EF0"/>
    <w:rsid w:val="00464BAC"/>
    <w:rsid w:val="004675E8"/>
    <w:rsid w:val="00467754"/>
    <w:rsid w:val="00467A94"/>
    <w:rsid w:val="00472848"/>
    <w:rsid w:val="00473428"/>
    <w:rsid w:val="00475446"/>
    <w:rsid w:val="00477B8F"/>
    <w:rsid w:val="0048057E"/>
    <w:rsid w:val="00480DE1"/>
    <w:rsid w:val="00481BCA"/>
    <w:rsid w:val="0048384E"/>
    <w:rsid w:val="00483C75"/>
    <w:rsid w:val="00485B80"/>
    <w:rsid w:val="00485BC0"/>
    <w:rsid w:val="004860FC"/>
    <w:rsid w:val="00491411"/>
    <w:rsid w:val="0049185D"/>
    <w:rsid w:val="00492FCD"/>
    <w:rsid w:val="004969B8"/>
    <w:rsid w:val="00497788"/>
    <w:rsid w:val="004A20DB"/>
    <w:rsid w:val="004A4F2D"/>
    <w:rsid w:val="004A5542"/>
    <w:rsid w:val="004A769E"/>
    <w:rsid w:val="004B2D90"/>
    <w:rsid w:val="004B51BC"/>
    <w:rsid w:val="004B5ADB"/>
    <w:rsid w:val="004B5BAF"/>
    <w:rsid w:val="004B7156"/>
    <w:rsid w:val="004B722B"/>
    <w:rsid w:val="004B723A"/>
    <w:rsid w:val="004B7852"/>
    <w:rsid w:val="004B7B50"/>
    <w:rsid w:val="004C1755"/>
    <w:rsid w:val="004C39B6"/>
    <w:rsid w:val="004C521F"/>
    <w:rsid w:val="004C6D4B"/>
    <w:rsid w:val="004C7B42"/>
    <w:rsid w:val="004D0092"/>
    <w:rsid w:val="004D0DC5"/>
    <w:rsid w:val="004D2193"/>
    <w:rsid w:val="004D5004"/>
    <w:rsid w:val="004D50F4"/>
    <w:rsid w:val="004E18C0"/>
    <w:rsid w:val="004E19C3"/>
    <w:rsid w:val="004E3408"/>
    <w:rsid w:val="004E55A8"/>
    <w:rsid w:val="004E7499"/>
    <w:rsid w:val="004E788A"/>
    <w:rsid w:val="004F08D4"/>
    <w:rsid w:val="004F0FE0"/>
    <w:rsid w:val="004F13B1"/>
    <w:rsid w:val="004F1C1D"/>
    <w:rsid w:val="004F2378"/>
    <w:rsid w:val="004F5215"/>
    <w:rsid w:val="004F56C9"/>
    <w:rsid w:val="00501B4A"/>
    <w:rsid w:val="00502FAB"/>
    <w:rsid w:val="00503594"/>
    <w:rsid w:val="00504537"/>
    <w:rsid w:val="00507793"/>
    <w:rsid w:val="00510A08"/>
    <w:rsid w:val="00510AD4"/>
    <w:rsid w:val="0051132E"/>
    <w:rsid w:val="005122DF"/>
    <w:rsid w:val="00512D0C"/>
    <w:rsid w:val="00514477"/>
    <w:rsid w:val="00515D08"/>
    <w:rsid w:val="00515DC7"/>
    <w:rsid w:val="005213B5"/>
    <w:rsid w:val="005249ED"/>
    <w:rsid w:val="00524C06"/>
    <w:rsid w:val="00525FB4"/>
    <w:rsid w:val="00527687"/>
    <w:rsid w:val="00527ABE"/>
    <w:rsid w:val="00527BEC"/>
    <w:rsid w:val="005300FD"/>
    <w:rsid w:val="0053097E"/>
    <w:rsid w:val="00530CFF"/>
    <w:rsid w:val="0053263A"/>
    <w:rsid w:val="00534225"/>
    <w:rsid w:val="00535984"/>
    <w:rsid w:val="0053666D"/>
    <w:rsid w:val="00540688"/>
    <w:rsid w:val="00541167"/>
    <w:rsid w:val="0054427B"/>
    <w:rsid w:val="005442E2"/>
    <w:rsid w:val="00547768"/>
    <w:rsid w:val="0055071D"/>
    <w:rsid w:val="00550F44"/>
    <w:rsid w:val="00552769"/>
    <w:rsid w:val="00552A42"/>
    <w:rsid w:val="00553DF9"/>
    <w:rsid w:val="00555884"/>
    <w:rsid w:val="00556450"/>
    <w:rsid w:val="00557239"/>
    <w:rsid w:val="00560910"/>
    <w:rsid w:val="00561B3D"/>
    <w:rsid w:val="00562168"/>
    <w:rsid w:val="00562FCB"/>
    <w:rsid w:val="005646D7"/>
    <w:rsid w:val="0056480E"/>
    <w:rsid w:val="00565B9C"/>
    <w:rsid w:val="005665D1"/>
    <w:rsid w:val="00567046"/>
    <w:rsid w:val="0057122B"/>
    <w:rsid w:val="00571280"/>
    <w:rsid w:val="005718CC"/>
    <w:rsid w:val="005724B5"/>
    <w:rsid w:val="00572F5A"/>
    <w:rsid w:val="00573754"/>
    <w:rsid w:val="00576175"/>
    <w:rsid w:val="0057631B"/>
    <w:rsid w:val="0057733A"/>
    <w:rsid w:val="00580CF6"/>
    <w:rsid w:val="0058405B"/>
    <w:rsid w:val="005849F5"/>
    <w:rsid w:val="00586E8C"/>
    <w:rsid w:val="00587689"/>
    <w:rsid w:val="005900C6"/>
    <w:rsid w:val="0059013A"/>
    <w:rsid w:val="005903F7"/>
    <w:rsid w:val="00591603"/>
    <w:rsid w:val="005977D8"/>
    <w:rsid w:val="005A009A"/>
    <w:rsid w:val="005A07B6"/>
    <w:rsid w:val="005A0BA2"/>
    <w:rsid w:val="005A5427"/>
    <w:rsid w:val="005A7116"/>
    <w:rsid w:val="005A7216"/>
    <w:rsid w:val="005A7337"/>
    <w:rsid w:val="005B14D6"/>
    <w:rsid w:val="005B22C6"/>
    <w:rsid w:val="005B3285"/>
    <w:rsid w:val="005B4B06"/>
    <w:rsid w:val="005B5BEA"/>
    <w:rsid w:val="005C026C"/>
    <w:rsid w:val="005C13D6"/>
    <w:rsid w:val="005C20EE"/>
    <w:rsid w:val="005C37CC"/>
    <w:rsid w:val="005C426C"/>
    <w:rsid w:val="005C45C9"/>
    <w:rsid w:val="005C543F"/>
    <w:rsid w:val="005C5940"/>
    <w:rsid w:val="005C5A64"/>
    <w:rsid w:val="005C70D0"/>
    <w:rsid w:val="005C7E1C"/>
    <w:rsid w:val="005D0E06"/>
    <w:rsid w:val="005D127D"/>
    <w:rsid w:val="005D1511"/>
    <w:rsid w:val="005D5306"/>
    <w:rsid w:val="005D57C5"/>
    <w:rsid w:val="005D57F3"/>
    <w:rsid w:val="005D5E43"/>
    <w:rsid w:val="005D6952"/>
    <w:rsid w:val="005D7D0D"/>
    <w:rsid w:val="005E0495"/>
    <w:rsid w:val="005E0CC7"/>
    <w:rsid w:val="005E2D85"/>
    <w:rsid w:val="005E4587"/>
    <w:rsid w:val="005E67D7"/>
    <w:rsid w:val="005E6E39"/>
    <w:rsid w:val="005E7033"/>
    <w:rsid w:val="005F024D"/>
    <w:rsid w:val="005F04E9"/>
    <w:rsid w:val="005F0ADA"/>
    <w:rsid w:val="005F1206"/>
    <w:rsid w:val="005F2A1A"/>
    <w:rsid w:val="005F2C40"/>
    <w:rsid w:val="005F39FA"/>
    <w:rsid w:val="005F7470"/>
    <w:rsid w:val="00600E64"/>
    <w:rsid w:val="00601FE6"/>
    <w:rsid w:val="00602E79"/>
    <w:rsid w:val="00603BD0"/>
    <w:rsid w:val="006063A3"/>
    <w:rsid w:val="00606630"/>
    <w:rsid w:val="00607B78"/>
    <w:rsid w:val="00610B37"/>
    <w:rsid w:val="006129EB"/>
    <w:rsid w:val="006133CB"/>
    <w:rsid w:val="006139A0"/>
    <w:rsid w:val="00613BE0"/>
    <w:rsid w:val="00614ADE"/>
    <w:rsid w:val="006158E1"/>
    <w:rsid w:val="00616400"/>
    <w:rsid w:val="006164E6"/>
    <w:rsid w:val="00617408"/>
    <w:rsid w:val="006176ED"/>
    <w:rsid w:val="006218FC"/>
    <w:rsid w:val="0062395B"/>
    <w:rsid w:val="006239E6"/>
    <w:rsid w:val="0062566E"/>
    <w:rsid w:val="0062570F"/>
    <w:rsid w:val="00625DE5"/>
    <w:rsid w:val="00627E00"/>
    <w:rsid w:val="006309AF"/>
    <w:rsid w:val="00633D94"/>
    <w:rsid w:val="00634922"/>
    <w:rsid w:val="00636E5E"/>
    <w:rsid w:val="006426BE"/>
    <w:rsid w:val="00643A38"/>
    <w:rsid w:val="00645E24"/>
    <w:rsid w:val="0064609D"/>
    <w:rsid w:val="006460F4"/>
    <w:rsid w:val="006512E1"/>
    <w:rsid w:val="00652F95"/>
    <w:rsid w:val="00653068"/>
    <w:rsid w:val="006532E1"/>
    <w:rsid w:val="0065526C"/>
    <w:rsid w:val="00655CB0"/>
    <w:rsid w:val="00656A5A"/>
    <w:rsid w:val="00657240"/>
    <w:rsid w:val="0066002E"/>
    <w:rsid w:val="00660FF6"/>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3FE"/>
    <w:rsid w:val="00685A6B"/>
    <w:rsid w:val="0068657D"/>
    <w:rsid w:val="00686D9E"/>
    <w:rsid w:val="00687F30"/>
    <w:rsid w:val="006902EB"/>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1975"/>
    <w:rsid w:val="006B31C4"/>
    <w:rsid w:val="006B47F4"/>
    <w:rsid w:val="006B5776"/>
    <w:rsid w:val="006C170C"/>
    <w:rsid w:val="006C2D94"/>
    <w:rsid w:val="006C4E91"/>
    <w:rsid w:val="006C638B"/>
    <w:rsid w:val="006C66FD"/>
    <w:rsid w:val="006C69E4"/>
    <w:rsid w:val="006D1379"/>
    <w:rsid w:val="006D1AFF"/>
    <w:rsid w:val="006D3FA8"/>
    <w:rsid w:val="006D40C4"/>
    <w:rsid w:val="006D4368"/>
    <w:rsid w:val="006D4785"/>
    <w:rsid w:val="006D7DF4"/>
    <w:rsid w:val="006E2B35"/>
    <w:rsid w:val="006E472E"/>
    <w:rsid w:val="006E5984"/>
    <w:rsid w:val="006F0707"/>
    <w:rsid w:val="006F2D34"/>
    <w:rsid w:val="006F48A6"/>
    <w:rsid w:val="006F55E9"/>
    <w:rsid w:val="006F695F"/>
    <w:rsid w:val="007012CF"/>
    <w:rsid w:val="007013AE"/>
    <w:rsid w:val="007013D8"/>
    <w:rsid w:val="007053EE"/>
    <w:rsid w:val="007072FE"/>
    <w:rsid w:val="007077DC"/>
    <w:rsid w:val="00707E77"/>
    <w:rsid w:val="00711661"/>
    <w:rsid w:val="0071178D"/>
    <w:rsid w:val="007118C9"/>
    <w:rsid w:val="00712C68"/>
    <w:rsid w:val="0071551E"/>
    <w:rsid w:val="00716571"/>
    <w:rsid w:val="0072045D"/>
    <w:rsid w:val="00720A83"/>
    <w:rsid w:val="007215EF"/>
    <w:rsid w:val="007220F0"/>
    <w:rsid w:val="0072344A"/>
    <w:rsid w:val="00723A62"/>
    <w:rsid w:val="00723B49"/>
    <w:rsid w:val="00723D31"/>
    <w:rsid w:val="00723FEB"/>
    <w:rsid w:val="00727ABF"/>
    <w:rsid w:val="007305B9"/>
    <w:rsid w:val="00731AC3"/>
    <w:rsid w:val="007321F5"/>
    <w:rsid w:val="00733199"/>
    <w:rsid w:val="007336C1"/>
    <w:rsid w:val="00734975"/>
    <w:rsid w:val="0073623C"/>
    <w:rsid w:val="0073740C"/>
    <w:rsid w:val="007430BA"/>
    <w:rsid w:val="00744BFD"/>
    <w:rsid w:val="00745B70"/>
    <w:rsid w:val="00746A6B"/>
    <w:rsid w:val="00751F7B"/>
    <w:rsid w:val="007520A0"/>
    <w:rsid w:val="00752F9F"/>
    <w:rsid w:val="00753B73"/>
    <w:rsid w:val="00753D2B"/>
    <w:rsid w:val="00754B72"/>
    <w:rsid w:val="00755684"/>
    <w:rsid w:val="00755F1F"/>
    <w:rsid w:val="007564BC"/>
    <w:rsid w:val="00756A15"/>
    <w:rsid w:val="00756E9B"/>
    <w:rsid w:val="00757C2B"/>
    <w:rsid w:val="00760793"/>
    <w:rsid w:val="00760845"/>
    <w:rsid w:val="00760C31"/>
    <w:rsid w:val="00762450"/>
    <w:rsid w:val="007637D9"/>
    <w:rsid w:val="007649A8"/>
    <w:rsid w:val="00764EB1"/>
    <w:rsid w:val="00766517"/>
    <w:rsid w:val="00766BBE"/>
    <w:rsid w:val="00771D81"/>
    <w:rsid w:val="0077268C"/>
    <w:rsid w:val="007755F2"/>
    <w:rsid w:val="00775FAB"/>
    <w:rsid w:val="00777310"/>
    <w:rsid w:val="007800DA"/>
    <w:rsid w:val="0078065A"/>
    <w:rsid w:val="00781934"/>
    <w:rsid w:val="00782430"/>
    <w:rsid w:val="00784A71"/>
    <w:rsid w:val="00786818"/>
    <w:rsid w:val="00790FE6"/>
    <w:rsid w:val="007950C3"/>
    <w:rsid w:val="007954C7"/>
    <w:rsid w:val="00795E38"/>
    <w:rsid w:val="00796F5C"/>
    <w:rsid w:val="007A016F"/>
    <w:rsid w:val="007A1631"/>
    <w:rsid w:val="007A1D81"/>
    <w:rsid w:val="007A1D9C"/>
    <w:rsid w:val="007A6C7D"/>
    <w:rsid w:val="007A7C23"/>
    <w:rsid w:val="007B5052"/>
    <w:rsid w:val="007B5AC4"/>
    <w:rsid w:val="007B5EF9"/>
    <w:rsid w:val="007B6A0C"/>
    <w:rsid w:val="007B6A7D"/>
    <w:rsid w:val="007B7D24"/>
    <w:rsid w:val="007C1A67"/>
    <w:rsid w:val="007C33A1"/>
    <w:rsid w:val="007C3B20"/>
    <w:rsid w:val="007C41DE"/>
    <w:rsid w:val="007C506F"/>
    <w:rsid w:val="007C6BCF"/>
    <w:rsid w:val="007C7FBC"/>
    <w:rsid w:val="007D209C"/>
    <w:rsid w:val="007D5276"/>
    <w:rsid w:val="007D556B"/>
    <w:rsid w:val="007D5A67"/>
    <w:rsid w:val="007D665F"/>
    <w:rsid w:val="007D6E9F"/>
    <w:rsid w:val="007E2654"/>
    <w:rsid w:val="007E28CD"/>
    <w:rsid w:val="007E3044"/>
    <w:rsid w:val="007E3C28"/>
    <w:rsid w:val="007E3D5A"/>
    <w:rsid w:val="007E4199"/>
    <w:rsid w:val="007E4D0D"/>
    <w:rsid w:val="007E59C3"/>
    <w:rsid w:val="007E7C2E"/>
    <w:rsid w:val="007E7F01"/>
    <w:rsid w:val="007F0774"/>
    <w:rsid w:val="007F1913"/>
    <w:rsid w:val="007F28DC"/>
    <w:rsid w:val="007F38EF"/>
    <w:rsid w:val="007F3DC0"/>
    <w:rsid w:val="007F5066"/>
    <w:rsid w:val="007F7494"/>
    <w:rsid w:val="007F7714"/>
    <w:rsid w:val="008000FD"/>
    <w:rsid w:val="008007E2"/>
    <w:rsid w:val="00800898"/>
    <w:rsid w:val="00801CB0"/>
    <w:rsid w:val="008048EC"/>
    <w:rsid w:val="00807AD4"/>
    <w:rsid w:val="00807BCD"/>
    <w:rsid w:val="0081319A"/>
    <w:rsid w:val="00813FEA"/>
    <w:rsid w:val="00814594"/>
    <w:rsid w:val="008210E2"/>
    <w:rsid w:val="008239A8"/>
    <w:rsid w:val="00825310"/>
    <w:rsid w:val="00826E25"/>
    <w:rsid w:val="0083253F"/>
    <w:rsid w:val="008325B7"/>
    <w:rsid w:val="00832BEC"/>
    <w:rsid w:val="00832D4D"/>
    <w:rsid w:val="008363AD"/>
    <w:rsid w:val="008377E1"/>
    <w:rsid w:val="008408EE"/>
    <w:rsid w:val="00842ADC"/>
    <w:rsid w:val="0084340D"/>
    <w:rsid w:val="00843913"/>
    <w:rsid w:val="00843D05"/>
    <w:rsid w:val="00843D95"/>
    <w:rsid w:val="008464C6"/>
    <w:rsid w:val="00851BB2"/>
    <w:rsid w:val="00852F2A"/>
    <w:rsid w:val="00853AAF"/>
    <w:rsid w:val="00853CC3"/>
    <w:rsid w:val="00854DB2"/>
    <w:rsid w:val="00855E5D"/>
    <w:rsid w:val="0085755A"/>
    <w:rsid w:val="00861146"/>
    <w:rsid w:val="00861876"/>
    <w:rsid w:val="008624AC"/>
    <w:rsid w:val="008643E6"/>
    <w:rsid w:val="008649AB"/>
    <w:rsid w:val="00864B6F"/>
    <w:rsid w:val="00865600"/>
    <w:rsid w:val="00870F4D"/>
    <w:rsid w:val="00873DD9"/>
    <w:rsid w:val="00875594"/>
    <w:rsid w:val="00875E4B"/>
    <w:rsid w:val="008765EE"/>
    <w:rsid w:val="00876939"/>
    <w:rsid w:val="00877DFA"/>
    <w:rsid w:val="00880477"/>
    <w:rsid w:val="008804CE"/>
    <w:rsid w:val="008806DB"/>
    <w:rsid w:val="00882E05"/>
    <w:rsid w:val="00883D29"/>
    <w:rsid w:val="0088562A"/>
    <w:rsid w:val="008969E5"/>
    <w:rsid w:val="00896C63"/>
    <w:rsid w:val="00896CBC"/>
    <w:rsid w:val="00897031"/>
    <w:rsid w:val="00897072"/>
    <w:rsid w:val="008972B9"/>
    <w:rsid w:val="00897C60"/>
    <w:rsid w:val="008A1766"/>
    <w:rsid w:val="008A315B"/>
    <w:rsid w:val="008A3B1E"/>
    <w:rsid w:val="008A61C9"/>
    <w:rsid w:val="008B0429"/>
    <w:rsid w:val="008B0F62"/>
    <w:rsid w:val="008B26CA"/>
    <w:rsid w:val="008B354C"/>
    <w:rsid w:val="008B554A"/>
    <w:rsid w:val="008C08FC"/>
    <w:rsid w:val="008C0B8F"/>
    <w:rsid w:val="008C351D"/>
    <w:rsid w:val="008C38EA"/>
    <w:rsid w:val="008C3C7A"/>
    <w:rsid w:val="008C40C9"/>
    <w:rsid w:val="008C5DF7"/>
    <w:rsid w:val="008C7F3C"/>
    <w:rsid w:val="008D5FD5"/>
    <w:rsid w:val="008D6912"/>
    <w:rsid w:val="008D6BF4"/>
    <w:rsid w:val="008D792C"/>
    <w:rsid w:val="008E1E64"/>
    <w:rsid w:val="008E251D"/>
    <w:rsid w:val="008E5B01"/>
    <w:rsid w:val="008E5DEB"/>
    <w:rsid w:val="008E7CA4"/>
    <w:rsid w:val="008F2B1D"/>
    <w:rsid w:val="008F2F8D"/>
    <w:rsid w:val="008F309F"/>
    <w:rsid w:val="008F3EC0"/>
    <w:rsid w:val="008F463D"/>
    <w:rsid w:val="008F46F0"/>
    <w:rsid w:val="008F59E5"/>
    <w:rsid w:val="008F6810"/>
    <w:rsid w:val="008F72A0"/>
    <w:rsid w:val="008F7F29"/>
    <w:rsid w:val="00900DB9"/>
    <w:rsid w:val="00900F34"/>
    <w:rsid w:val="00902121"/>
    <w:rsid w:val="009035EA"/>
    <w:rsid w:val="00903813"/>
    <w:rsid w:val="00905724"/>
    <w:rsid w:val="00906526"/>
    <w:rsid w:val="009070A1"/>
    <w:rsid w:val="00907BAF"/>
    <w:rsid w:val="009100EC"/>
    <w:rsid w:val="0091059A"/>
    <w:rsid w:val="00911167"/>
    <w:rsid w:val="00911888"/>
    <w:rsid w:val="009139A3"/>
    <w:rsid w:val="009140A0"/>
    <w:rsid w:val="00914B87"/>
    <w:rsid w:val="00916187"/>
    <w:rsid w:val="009174C3"/>
    <w:rsid w:val="00917E0E"/>
    <w:rsid w:val="0092045D"/>
    <w:rsid w:val="00921D22"/>
    <w:rsid w:val="00921F8D"/>
    <w:rsid w:val="00921FB0"/>
    <w:rsid w:val="00922B3F"/>
    <w:rsid w:val="0092714F"/>
    <w:rsid w:val="00930946"/>
    <w:rsid w:val="00931ED5"/>
    <w:rsid w:val="0093204C"/>
    <w:rsid w:val="00933DC1"/>
    <w:rsid w:val="009344B8"/>
    <w:rsid w:val="009372E8"/>
    <w:rsid w:val="00942003"/>
    <w:rsid w:val="00942C4E"/>
    <w:rsid w:val="00942D51"/>
    <w:rsid w:val="0094364A"/>
    <w:rsid w:val="00943894"/>
    <w:rsid w:val="0094448D"/>
    <w:rsid w:val="00945BE0"/>
    <w:rsid w:val="00950D2E"/>
    <w:rsid w:val="00951F9C"/>
    <w:rsid w:val="009537BC"/>
    <w:rsid w:val="00953E41"/>
    <w:rsid w:val="00954B63"/>
    <w:rsid w:val="00955AE3"/>
    <w:rsid w:val="00956120"/>
    <w:rsid w:val="00956A77"/>
    <w:rsid w:val="00957B57"/>
    <w:rsid w:val="009645A3"/>
    <w:rsid w:val="00964D14"/>
    <w:rsid w:val="00966C65"/>
    <w:rsid w:val="00967CEE"/>
    <w:rsid w:val="00970866"/>
    <w:rsid w:val="009708D8"/>
    <w:rsid w:val="009725F1"/>
    <w:rsid w:val="00972659"/>
    <w:rsid w:val="009731DB"/>
    <w:rsid w:val="0097396C"/>
    <w:rsid w:val="00974080"/>
    <w:rsid w:val="00974568"/>
    <w:rsid w:val="00976851"/>
    <w:rsid w:val="00981B3A"/>
    <w:rsid w:val="0098224F"/>
    <w:rsid w:val="00982482"/>
    <w:rsid w:val="00983099"/>
    <w:rsid w:val="00983E31"/>
    <w:rsid w:val="00985FC2"/>
    <w:rsid w:val="00986E21"/>
    <w:rsid w:val="00991097"/>
    <w:rsid w:val="00991623"/>
    <w:rsid w:val="0099203B"/>
    <w:rsid w:val="009947C9"/>
    <w:rsid w:val="00994CD1"/>
    <w:rsid w:val="00996769"/>
    <w:rsid w:val="0099684D"/>
    <w:rsid w:val="009A0B29"/>
    <w:rsid w:val="009A24C0"/>
    <w:rsid w:val="009A24D0"/>
    <w:rsid w:val="009A3F86"/>
    <w:rsid w:val="009A5D77"/>
    <w:rsid w:val="009A602B"/>
    <w:rsid w:val="009A72CA"/>
    <w:rsid w:val="009B093A"/>
    <w:rsid w:val="009B0C9D"/>
    <w:rsid w:val="009B32D6"/>
    <w:rsid w:val="009B3DBF"/>
    <w:rsid w:val="009B5349"/>
    <w:rsid w:val="009B5613"/>
    <w:rsid w:val="009C2A48"/>
    <w:rsid w:val="009C623F"/>
    <w:rsid w:val="009D0575"/>
    <w:rsid w:val="009D0AC3"/>
    <w:rsid w:val="009D0F40"/>
    <w:rsid w:val="009D1310"/>
    <w:rsid w:val="009D2091"/>
    <w:rsid w:val="009D27D7"/>
    <w:rsid w:val="009D405E"/>
    <w:rsid w:val="009D482A"/>
    <w:rsid w:val="009D5742"/>
    <w:rsid w:val="009D6880"/>
    <w:rsid w:val="009D7BA1"/>
    <w:rsid w:val="009D7EB4"/>
    <w:rsid w:val="009E0339"/>
    <w:rsid w:val="009E07DC"/>
    <w:rsid w:val="009E0A47"/>
    <w:rsid w:val="009E17B4"/>
    <w:rsid w:val="009E1C9E"/>
    <w:rsid w:val="009E1CF4"/>
    <w:rsid w:val="009E26F8"/>
    <w:rsid w:val="009E28AA"/>
    <w:rsid w:val="009E301E"/>
    <w:rsid w:val="009E3DBE"/>
    <w:rsid w:val="009E49C2"/>
    <w:rsid w:val="009E6C6B"/>
    <w:rsid w:val="009E7EBB"/>
    <w:rsid w:val="009F0D19"/>
    <w:rsid w:val="009F10DB"/>
    <w:rsid w:val="009F20EE"/>
    <w:rsid w:val="009F6AF8"/>
    <w:rsid w:val="00A02C72"/>
    <w:rsid w:val="00A05AA6"/>
    <w:rsid w:val="00A05C29"/>
    <w:rsid w:val="00A0714B"/>
    <w:rsid w:val="00A10BD9"/>
    <w:rsid w:val="00A115F8"/>
    <w:rsid w:val="00A11A38"/>
    <w:rsid w:val="00A12931"/>
    <w:rsid w:val="00A14BFF"/>
    <w:rsid w:val="00A158DF"/>
    <w:rsid w:val="00A16DCD"/>
    <w:rsid w:val="00A20A87"/>
    <w:rsid w:val="00A229C0"/>
    <w:rsid w:val="00A2300C"/>
    <w:rsid w:val="00A23BAD"/>
    <w:rsid w:val="00A2745F"/>
    <w:rsid w:val="00A27677"/>
    <w:rsid w:val="00A3095B"/>
    <w:rsid w:val="00A332A4"/>
    <w:rsid w:val="00A36366"/>
    <w:rsid w:val="00A3672F"/>
    <w:rsid w:val="00A36B7C"/>
    <w:rsid w:val="00A379A4"/>
    <w:rsid w:val="00A42036"/>
    <w:rsid w:val="00A45C89"/>
    <w:rsid w:val="00A464E4"/>
    <w:rsid w:val="00A4691A"/>
    <w:rsid w:val="00A51C74"/>
    <w:rsid w:val="00A53FEC"/>
    <w:rsid w:val="00A54E27"/>
    <w:rsid w:val="00A6025E"/>
    <w:rsid w:val="00A613E1"/>
    <w:rsid w:val="00A62147"/>
    <w:rsid w:val="00A63DA5"/>
    <w:rsid w:val="00A642AB"/>
    <w:rsid w:val="00A659B7"/>
    <w:rsid w:val="00A65BDD"/>
    <w:rsid w:val="00A67253"/>
    <w:rsid w:val="00A714C6"/>
    <w:rsid w:val="00A72AAA"/>
    <w:rsid w:val="00A72F88"/>
    <w:rsid w:val="00A74424"/>
    <w:rsid w:val="00A74B1A"/>
    <w:rsid w:val="00A74CFD"/>
    <w:rsid w:val="00A753C8"/>
    <w:rsid w:val="00A75810"/>
    <w:rsid w:val="00A77687"/>
    <w:rsid w:val="00A80D4D"/>
    <w:rsid w:val="00A816D2"/>
    <w:rsid w:val="00A82B98"/>
    <w:rsid w:val="00A831C5"/>
    <w:rsid w:val="00A84189"/>
    <w:rsid w:val="00A849E6"/>
    <w:rsid w:val="00A850E7"/>
    <w:rsid w:val="00A910D1"/>
    <w:rsid w:val="00A91A83"/>
    <w:rsid w:val="00A92906"/>
    <w:rsid w:val="00A94B92"/>
    <w:rsid w:val="00A95E12"/>
    <w:rsid w:val="00A96900"/>
    <w:rsid w:val="00A97DA5"/>
    <w:rsid w:val="00AA06F4"/>
    <w:rsid w:val="00AA0784"/>
    <w:rsid w:val="00AA0C8B"/>
    <w:rsid w:val="00AA156F"/>
    <w:rsid w:val="00AA19BD"/>
    <w:rsid w:val="00AA2883"/>
    <w:rsid w:val="00AA2D4F"/>
    <w:rsid w:val="00AA3F8E"/>
    <w:rsid w:val="00AA7E7E"/>
    <w:rsid w:val="00AB18FF"/>
    <w:rsid w:val="00AB23E8"/>
    <w:rsid w:val="00AB2572"/>
    <w:rsid w:val="00AB3130"/>
    <w:rsid w:val="00AB3461"/>
    <w:rsid w:val="00AB502B"/>
    <w:rsid w:val="00AB714D"/>
    <w:rsid w:val="00AB728D"/>
    <w:rsid w:val="00AB767F"/>
    <w:rsid w:val="00AB7847"/>
    <w:rsid w:val="00AC70B9"/>
    <w:rsid w:val="00AD0D81"/>
    <w:rsid w:val="00AD1492"/>
    <w:rsid w:val="00AD1D1B"/>
    <w:rsid w:val="00AD24A6"/>
    <w:rsid w:val="00AD2804"/>
    <w:rsid w:val="00AD2B2D"/>
    <w:rsid w:val="00AD60CF"/>
    <w:rsid w:val="00AD7BF3"/>
    <w:rsid w:val="00AE0ABC"/>
    <w:rsid w:val="00AE2A0F"/>
    <w:rsid w:val="00AE398C"/>
    <w:rsid w:val="00AE4078"/>
    <w:rsid w:val="00AE6B8E"/>
    <w:rsid w:val="00AF29BA"/>
    <w:rsid w:val="00AF3165"/>
    <w:rsid w:val="00AF3170"/>
    <w:rsid w:val="00AF4ABF"/>
    <w:rsid w:val="00AF56F6"/>
    <w:rsid w:val="00AF6E60"/>
    <w:rsid w:val="00AF746C"/>
    <w:rsid w:val="00B022DE"/>
    <w:rsid w:val="00B02E66"/>
    <w:rsid w:val="00B04F39"/>
    <w:rsid w:val="00B05CBB"/>
    <w:rsid w:val="00B10E7C"/>
    <w:rsid w:val="00B114F7"/>
    <w:rsid w:val="00B14A6F"/>
    <w:rsid w:val="00B151B6"/>
    <w:rsid w:val="00B1656A"/>
    <w:rsid w:val="00B21A3F"/>
    <w:rsid w:val="00B233CD"/>
    <w:rsid w:val="00B2388D"/>
    <w:rsid w:val="00B255EE"/>
    <w:rsid w:val="00B26013"/>
    <w:rsid w:val="00B31323"/>
    <w:rsid w:val="00B32B9A"/>
    <w:rsid w:val="00B32E84"/>
    <w:rsid w:val="00B33CA5"/>
    <w:rsid w:val="00B344FA"/>
    <w:rsid w:val="00B35B89"/>
    <w:rsid w:val="00B363BB"/>
    <w:rsid w:val="00B36BB0"/>
    <w:rsid w:val="00B37206"/>
    <w:rsid w:val="00B40EB5"/>
    <w:rsid w:val="00B44DFF"/>
    <w:rsid w:val="00B4569C"/>
    <w:rsid w:val="00B459DC"/>
    <w:rsid w:val="00B4647D"/>
    <w:rsid w:val="00B47C76"/>
    <w:rsid w:val="00B51AF9"/>
    <w:rsid w:val="00B51B25"/>
    <w:rsid w:val="00B52B4E"/>
    <w:rsid w:val="00B53056"/>
    <w:rsid w:val="00B53069"/>
    <w:rsid w:val="00B547E6"/>
    <w:rsid w:val="00B55452"/>
    <w:rsid w:val="00B56973"/>
    <w:rsid w:val="00B56C5F"/>
    <w:rsid w:val="00B62C34"/>
    <w:rsid w:val="00B64379"/>
    <w:rsid w:val="00B653F4"/>
    <w:rsid w:val="00B707E8"/>
    <w:rsid w:val="00B70807"/>
    <w:rsid w:val="00B72467"/>
    <w:rsid w:val="00B73158"/>
    <w:rsid w:val="00B74422"/>
    <w:rsid w:val="00B74D99"/>
    <w:rsid w:val="00B7794A"/>
    <w:rsid w:val="00B83C33"/>
    <w:rsid w:val="00B85E0C"/>
    <w:rsid w:val="00B86E8E"/>
    <w:rsid w:val="00B87C6A"/>
    <w:rsid w:val="00B91CD6"/>
    <w:rsid w:val="00B925AA"/>
    <w:rsid w:val="00B92A02"/>
    <w:rsid w:val="00B92AAE"/>
    <w:rsid w:val="00B92F45"/>
    <w:rsid w:val="00B93825"/>
    <w:rsid w:val="00B93855"/>
    <w:rsid w:val="00B95B67"/>
    <w:rsid w:val="00B96872"/>
    <w:rsid w:val="00B9742D"/>
    <w:rsid w:val="00BA59F2"/>
    <w:rsid w:val="00BA6BA5"/>
    <w:rsid w:val="00BB1F20"/>
    <w:rsid w:val="00BB2162"/>
    <w:rsid w:val="00BB2A2E"/>
    <w:rsid w:val="00BB36EC"/>
    <w:rsid w:val="00BB44B1"/>
    <w:rsid w:val="00BB66F0"/>
    <w:rsid w:val="00BB71CE"/>
    <w:rsid w:val="00BC0725"/>
    <w:rsid w:val="00BC0A56"/>
    <w:rsid w:val="00BC1832"/>
    <w:rsid w:val="00BC3BCD"/>
    <w:rsid w:val="00BC4115"/>
    <w:rsid w:val="00BC4D54"/>
    <w:rsid w:val="00BC5D54"/>
    <w:rsid w:val="00BC634D"/>
    <w:rsid w:val="00BD0279"/>
    <w:rsid w:val="00BD07D3"/>
    <w:rsid w:val="00BD17B5"/>
    <w:rsid w:val="00BD25E2"/>
    <w:rsid w:val="00BD2D5A"/>
    <w:rsid w:val="00BD4163"/>
    <w:rsid w:val="00BD6531"/>
    <w:rsid w:val="00BE1276"/>
    <w:rsid w:val="00BE1C79"/>
    <w:rsid w:val="00BE4806"/>
    <w:rsid w:val="00BE58F6"/>
    <w:rsid w:val="00BE698A"/>
    <w:rsid w:val="00BE73F4"/>
    <w:rsid w:val="00BE77DF"/>
    <w:rsid w:val="00BE7F12"/>
    <w:rsid w:val="00BF03F6"/>
    <w:rsid w:val="00BF0C07"/>
    <w:rsid w:val="00BF1831"/>
    <w:rsid w:val="00BF36FD"/>
    <w:rsid w:val="00BF3A55"/>
    <w:rsid w:val="00BF3B5F"/>
    <w:rsid w:val="00BF79E3"/>
    <w:rsid w:val="00C011E5"/>
    <w:rsid w:val="00C015B7"/>
    <w:rsid w:val="00C03587"/>
    <w:rsid w:val="00C038BE"/>
    <w:rsid w:val="00C04057"/>
    <w:rsid w:val="00C04AC7"/>
    <w:rsid w:val="00C050CA"/>
    <w:rsid w:val="00C11D99"/>
    <w:rsid w:val="00C1393F"/>
    <w:rsid w:val="00C175C1"/>
    <w:rsid w:val="00C208CE"/>
    <w:rsid w:val="00C216A9"/>
    <w:rsid w:val="00C23100"/>
    <w:rsid w:val="00C24041"/>
    <w:rsid w:val="00C24E68"/>
    <w:rsid w:val="00C25291"/>
    <w:rsid w:val="00C261B5"/>
    <w:rsid w:val="00C266BF"/>
    <w:rsid w:val="00C310F5"/>
    <w:rsid w:val="00C320A8"/>
    <w:rsid w:val="00C33A53"/>
    <w:rsid w:val="00C35E02"/>
    <w:rsid w:val="00C35E8E"/>
    <w:rsid w:val="00C40B3F"/>
    <w:rsid w:val="00C42075"/>
    <w:rsid w:val="00C42462"/>
    <w:rsid w:val="00C443FD"/>
    <w:rsid w:val="00C45017"/>
    <w:rsid w:val="00C45725"/>
    <w:rsid w:val="00C45C2A"/>
    <w:rsid w:val="00C46288"/>
    <w:rsid w:val="00C46C36"/>
    <w:rsid w:val="00C46E6E"/>
    <w:rsid w:val="00C50506"/>
    <w:rsid w:val="00C52052"/>
    <w:rsid w:val="00C522AA"/>
    <w:rsid w:val="00C525D0"/>
    <w:rsid w:val="00C55CE7"/>
    <w:rsid w:val="00C6143A"/>
    <w:rsid w:val="00C6281D"/>
    <w:rsid w:val="00C62FD0"/>
    <w:rsid w:val="00C63D25"/>
    <w:rsid w:val="00C6401D"/>
    <w:rsid w:val="00C66FA3"/>
    <w:rsid w:val="00C67D90"/>
    <w:rsid w:val="00C67FB2"/>
    <w:rsid w:val="00C72092"/>
    <w:rsid w:val="00C74527"/>
    <w:rsid w:val="00C74F96"/>
    <w:rsid w:val="00C75E59"/>
    <w:rsid w:val="00C77132"/>
    <w:rsid w:val="00C7717E"/>
    <w:rsid w:val="00C777C5"/>
    <w:rsid w:val="00C80A80"/>
    <w:rsid w:val="00C861A3"/>
    <w:rsid w:val="00C87000"/>
    <w:rsid w:val="00C90293"/>
    <w:rsid w:val="00C904C7"/>
    <w:rsid w:val="00C91386"/>
    <w:rsid w:val="00C916FD"/>
    <w:rsid w:val="00C93696"/>
    <w:rsid w:val="00C93707"/>
    <w:rsid w:val="00C93BE2"/>
    <w:rsid w:val="00C94B5F"/>
    <w:rsid w:val="00C96E8D"/>
    <w:rsid w:val="00C97672"/>
    <w:rsid w:val="00C97D87"/>
    <w:rsid w:val="00CA1E85"/>
    <w:rsid w:val="00CA4DFD"/>
    <w:rsid w:val="00CA52A7"/>
    <w:rsid w:val="00CA5B98"/>
    <w:rsid w:val="00CA78A3"/>
    <w:rsid w:val="00CB1891"/>
    <w:rsid w:val="00CB196B"/>
    <w:rsid w:val="00CB5853"/>
    <w:rsid w:val="00CB76BB"/>
    <w:rsid w:val="00CC04A1"/>
    <w:rsid w:val="00CC20E9"/>
    <w:rsid w:val="00CC4041"/>
    <w:rsid w:val="00CC7344"/>
    <w:rsid w:val="00CC7AB7"/>
    <w:rsid w:val="00CC7F17"/>
    <w:rsid w:val="00CD1043"/>
    <w:rsid w:val="00CD19E0"/>
    <w:rsid w:val="00CD2678"/>
    <w:rsid w:val="00CD3495"/>
    <w:rsid w:val="00CD6E5A"/>
    <w:rsid w:val="00CD6E79"/>
    <w:rsid w:val="00CD71E3"/>
    <w:rsid w:val="00CD72E1"/>
    <w:rsid w:val="00CD7845"/>
    <w:rsid w:val="00CE108E"/>
    <w:rsid w:val="00CE118A"/>
    <w:rsid w:val="00CE29F0"/>
    <w:rsid w:val="00CE2A21"/>
    <w:rsid w:val="00CE41DC"/>
    <w:rsid w:val="00CE608E"/>
    <w:rsid w:val="00CE7EBD"/>
    <w:rsid w:val="00CF0A7F"/>
    <w:rsid w:val="00CF3F10"/>
    <w:rsid w:val="00CF57CD"/>
    <w:rsid w:val="00CF747F"/>
    <w:rsid w:val="00CF7556"/>
    <w:rsid w:val="00D00471"/>
    <w:rsid w:val="00D028F1"/>
    <w:rsid w:val="00D02BCE"/>
    <w:rsid w:val="00D0340F"/>
    <w:rsid w:val="00D04B0E"/>
    <w:rsid w:val="00D056CE"/>
    <w:rsid w:val="00D057BF"/>
    <w:rsid w:val="00D073F9"/>
    <w:rsid w:val="00D16262"/>
    <w:rsid w:val="00D1670A"/>
    <w:rsid w:val="00D16D63"/>
    <w:rsid w:val="00D176BB"/>
    <w:rsid w:val="00D2050D"/>
    <w:rsid w:val="00D20629"/>
    <w:rsid w:val="00D21FCB"/>
    <w:rsid w:val="00D2286D"/>
    <w:rsid w:val="00D24E57"/>
    <w:rsid w:val="00D25BFA"/>
    <w:rsid w:val="00D264EA"/>
    <w:rsid w:val="00D26555"/>
    <w:rsid w:val="00D27374"/>
    <w:rsid w:val="00D31D1A"/>
    <w:rsid w:val="00D32ADB"/>
    <w:rsid w:val="00D33152"/>
    <w:rsid w:val="00D335B8"/>
    <w:rsid w:val="00D33FAA"/>
    <w:rsid w:val="00D35FF7"/>
    <w:rsid w:val="00D37C84"/>
    <w:rsid w:val="00D40019"/>
    <w:rsid w:val="00D4075F"/>
    <w:rsid w:val="00D4193A"/>
    <w:rsid w:val="00D42AEC"/>
    <w:rsid w:val="00D43C57"/>
    <w:rsid w:val="00D4529A"/>
    <w:rsid w:val="00D462D4"/>
    <w:rsid w:val="00D47002"/>
    <w:rsid w:val="00D47746"/>
    <w:rsid w:val="00D50334"/>
    <w:rsid w:val="00D50426"/>
    <w:rsid w:val="00D504BB"/>
    <w:rsid w:val="00D510F3"/>
    <w:rsid w:val="00D51EB6"/>
    <w:rsid w:val="00D567FB"/>
    <w:rsid w:val="00D56BA6"/>
    <w:rsid w:val="00D57E8F"/>
    <w:rsid w:val="00D62879"/>
    <w:rsid w:val="00D64D77"/>
    <w:rsid w:val="00D664F4"/>
    <w:rsid w:val="00D71653"/>
    <w:rsid w:val="00D726F9"/>
    <w:rsid w:val="00D72F85"/>
    <w:rsid w:val="00D7347E"/>
    <w:rsid w:val="00D76148"/>
    <w:rsid w:val="00D826B8"/>
    <w:rsid w:val="00D82EF8"/>
    <w:rsid w:val="00D83A9B"/>
    <w:rsid w:val="00D83D86"/>
    <w:rsid w:val="00D84C94"/>
    <w:rsid w:val="00D8512E"/>
    <w:rsid w:val="00D85507"/>
    <w:rsid w:val="00D86A91"/>
    <w:rsid w:val="00D87C50"/>
    <w:rsid w:val="00D90802"/>
    <w:rsid w:val="00D911A5"/>
    <w:rsid w:val="00D920FA"/>
    <w:rsid w:val="00D929AD"/>
    <w:rsid w:val="00D92A1C"/>
    <w:rsid w:val="00D941B3"/>
    <w:rsid w:val="00D9530B"/>
    <w:rsid w:val="00D9595B"/>
    <w:rsid w:val="00D9680F"/>
    <w:rsid w:val="00DA1354"/>
    <w:rsid w:val="00DA3F34"/>
    <w:rsid w:val="00DA5531"/>
    <w:rsid w:val="00DA585B"/>
    <w:rsid w:val="00DB1AC2"/>
    <w:rsid w:val="00DB2619"/>
    <w:rsid w:val="00DB3216"/>
    <w:rsid w:val="00DB3B84"/>
    <w:rsid w:val="00DB4549"/>
    <w:rsid w:val="00DB53EE"/>
    <w:rsid w:val="00DB7AE2"/>
    <w:rsid w:val="00DC2054"/>
    <w:rsid w:val="00DC2246"/>
    <w:rsid w:val="00DC3156"/>
    <w:rsid w:val="00DC321B"/>
    <w:rsid w:val="00DC355F"/>
    <w:rsid w:val="00DC3685"/>
    <w:rsid w:val="00DC3DA3"/>
    <w:rsid w:val="00DC3E1C"/>
    <w:rsid w:val="00DC47A1"/>
    <w:rsid w:val="00DC587F"/>
    <w:rsid w:val="00DC6B15"/>
    <w:rsid w:val="00DD01D0"/>
    <w:rsid w:val="00DD19F9"/>
    <w:rsid w:val="00DD267F"/>
    <w:rsid w:val="00DD72DD"/>
    <w:rsid w:val="00DD7912"/>
    <w:rsid w:val="00DE2B10"/>
    <w:rsid w:val="00DE43FB"/>
    <w:rsid w:val="00DE4737"/>
    <w:rsid w:val="00DE61E0"/>
    <w:rsid w:val="00DF1513"/>
    <w:rsid w:val="00DF2728"/>
    <w:rsid w:val="00DF341B"/>
    <w:rsid w:val="00DF4461"/>
    <w:rsid w:val="00DF465D"/>
    <w:rsid w:val="00DF4747"/>
    <w:rsid w:val="00DF7148"/>
    <w:rsid w:val="00E035A0"/>
    <w:rsid w:val="00E049B7"/>
    <w:rsid w:val="00E0577F"/>
    <w:rsid w:val="00E05EED"/>
    <w:rsid w:val="00E07B33"/>
    <w:rsid w:val="00E100D5"/>
    <w:rsid w:val="00E129A2"/>
    <w:rsid w:val="00E1546C"/>
    <w:rsid w:val="00E179DF"/>
    <w:rsid w:val="00E20D87"/>
    <w:rsid w:val="00E23F6F"/>
    <w:rsid w:val="00E247BE"/>
    <w:rsid w:val="00E24E58"/>
    <w:rsid w:val="00E253EA"/>
    <w:rsid w:val="00E274B1"/>
    <w:rsid w:val="00E329CC"/>
    <w:rsid w:val="00E32BF1"/>
    <w:rsid w:val="00E33540"/>
    <w:rsid w:val="00E40710"/>
    <w:rsid w:val="00E40CC5"/>
    <w:rsid w:val="00E40F1E"/>
    <w:rsid w:val="00E411E4"/>
    <w:rsid w:val="00E4260B"/>
    <w:rsid w:val="00E426AC"/>
    <w:rsid w:val="00E43539"/>
    <w:rsid w:val="00E43CBC"/>
    <w:rsid w:val="00E44732"/>
    <w:rsid w:val="00E44AAA"/>
    <w:rsid w:val="00E4522A"/>
    <w:rsid w:val="00E471D0"/>
    <w:rsid w:val="00E47287"/>
    <w:rsid w:val="00E4795D"/>
    <w:rsid w:val="00E50194"/>
    <w:rsid w:val="00E50FAA"/>
    <w:rsid w:val="00E52C0C"/>
    <w:rsid w:val="00E531B4"/>
    <w:rsid w:val="00E53956"/>
    <w:rsid w:val="00E54154"/>
    <w:rsid w:val="00E54D9A"/>
    <w:rsid w:val="00E54EE4"/>
    <w:rsid w:val="00E558A1"/>
    <w:rsid w:val="00E562D0"/>
    <w:rsid w:val="00E56473"/>
    <w:rsid w:val="00E5693D"/>
    <w:rsid w:val="00E5773F"/>
    <w:rsid w:val="00E57DAE"/>
    <w:rsid w:val="00E60DA1"/>
    <w:rsid w:val="00E60EDA"/>
    <w:rsid w:val="00E61075"/>
    <w:rsid w:val="00E62282"/>
    <w:rsid w:val="00E6380C"/>
    <w:rsid w:val="00E63A37"/>
    <w:rsid w:val="00E720D7"/>
    <w:rsid w:val="00E72A92"/>
    <w:rsid w:val="00E743C9"/>
    <w:rsid w:val="00E847BA"/>
    <w:rsid w:val="00E84AFB"/>
    <w:rsid w:val="00E855EF"/>
    <w:rsid w:val="00E90070"/>
    <w:rsid w:val="00E94C2D"/>
    <w:rsid w:val="00E96DEC"/>
    <w:rsid w:val="00EA2D86"/>
    <w:rsid w:val="00EA3CE3"/>
    <w:rsid w:val="00EA4C11"/>
    <w:rsid w:val="00EB14B3"/>
    <w:rsid w:val="00EB1D3A"/>
    <w:rsid w:val="00EB3291"/>
    <w:rsid w:val="00EB3DF8"/>
    <w:rsid w:val="00EB4F14"/>
    <w:rsid w:val="00EB5002"/>
    <w:rsid w:val="00EB752B"/>
    <w:rsid w:val="00EC0231"/>
    <w:rsid w:val="00EC1E6D"/>
    <w:rsid w:val="00EC2840"/>
    <w:rsid w:val="00EC2ADD"/>
    <w:rsid w:val="00EC371D"/>
    <w:rsid w:val="00EC4EEA"/>
    <w:rsid w:val="00EC5562"/>
    <w:rsid w:val="00EC6B3F"/>
    <w:rsid w:val="00ED0CEF"/>
    <w:rsid w:val="00ED3C72"/>
    <w:rsid w:val="00ED4847"/>
    <w:rsid w:val="00ED7720"/>
    <w:rsid w:val="00EE1709"/>
    <w:rsid w:val="00EE3008"/>
    <w:rsid w:val="00EE3DF6"/>
    <w:rsid w:val="00EE78DD"/>
    <w:rsid w:val="00EF0AE0"/>
    <w:rsid w:val="00EF2A33"/>
    <w:rsid w:val="00EF2EE0"/>
    <w:rsid w:val="00EF3268"/>
    <w:rsid w:val="00EF475D"/>
    <w:rsid w:val="00EF625B"/>
    <w:rsid w:val="00EF6528"/>
    <w:rsid w:val="00EF7504"/>
    <w:rsid w:val="00F01CDD"/>
    <w:rsid w:val="00F02930"/>
    <w:rsid w:val="00F031C2"/>
    <w:rsid w:val="00F03615"/>
    <w:rsid w:val="00F04141"/>
    <w:rsid w:val="00F05A8C"/>
    <w:rsid w:val="00F07DF0"/>
    <w:rsid w:val="00F10336"/>
    <w:rsid w:val="00F12987"/>
    <w:rsid w:val="00F1530A"/>
    <w:rsid w:val="00F20DFF"/>
    <w:rsid w:val="00F21908"/>
    <w:rsid w:val="00F22026"/>
    <w:rsid w:val="00F2569C"/>
    <w:rsid w:val="00F258ED"/>
    <w:rsid w:val="00F260DC"/>
    <w:rsid w:val="00F270D0"/>
    <w:rsid w:val="00F33CBE"/>
    <w:rsid w:val="00F34F9E"/>
    <w:rsid w:val="00F35CCD"/>
    <w:rsid w:val="00F3745C"/>
    <w:rsid w:val="00F37D47"/>
    <w:rsid w:val="00F37D74"/>
    <w:rsid w:val="00F41D31"/>
    <w:rsid w:val="00F423EC"/>
    <w:rsid w:val="00F42B1E"/>
    <w:rsid w:val="00F44BB9"/>
    <w:rsid w:val="00F45938"/>
    <w:rsid w:val="00F461E5"/>
    <w:rsid w:val="00F50667"/>
    <w:rsid w:val="00F51894"/>
    <w:rsid w:val="00F53375"/>
    <w:rsid w:val="00F54108"/>
    <w:rsid w:val="00F5739F"/>
    <w:rsid w:val="00F6074D"/>
    <w:rsid w:val="00F60BCB"/>
    <w:rsid w:val="00F61BAE"/>
    <w:rsid w:val="00F63D5C"/>
    <w:rsid w:val="00F64977"/>
    <w:rsid w:val="00F65B31"/>
    <w:rsid w:val="00F65C9A"/>
    <w:rsid w:val="00F67C00"/>
    <w:rsid w:val="00F71F9A"/>
    <w:rsid w:val="00F72722"/>
    <w:rsid w:val="00F72CC4"/>
    <w:rsid w:val="00F730FC"/>
    <w:rsid w:val="00F74A88"/>
    <w:rsid w:val="00F76E94"/>
    <w:rsid w:val="00F76EA2"/>
    <w:rsid w:val="00F77272"/>
    <w:rsid w:val="00F81DC1"/>
    <w:rsid w:val="00F82B45"/>
    <w:rsid w:val="00F8549F"/>
    <w:rsid w:val="00F86AA2"/>
    <w:rsid w:val="00F87210"/>
    <w:rsid w:val="00F87D82"/>
    <w:rsid w:val="00F917EE"/>
    <w:rsid w:val="00F92BD0"/>
    <w:rsid w:val="00F93D89"/>
    <w:rsid w:val="00F97097"/>
    <w:rsid w:val="00F9714A"/>
    <w:rsid w:val="00FA08C6"/>
    <w:rsid w:val="00FA415A"/>
    <w:rsid w:val="00FA4ADB"/>
    <w:rsid w:val="00FA6176"/>
    <w:rsid w:val="00FB073F"/>
    <w:rsid w:val="00FB2524"/>
    <w:rsid w:val="00FB2746"/>
    <w:rsid w:val="00FB3992"/>
    <w:rsid w:val="00FB399B"/>
    <w:rsid w:val="00FB39BF"/>
    <w:rsid w:val="00FB3FF8"/>
    <w:rsid w:val="00FB5E07"/>
    <w:rsid w:val="00FB7255"/>
    <w:rsid w:val="00FC1EF0"/>
    <w:rsid w:val="00FC1F4B"/>
    <w:rsid w:val="00FC5670"/>
    <w:rsid w:val="00FC5B4F"/>
    <w:rsid w:val="00FC7F41"/>
    <w:rsid w:val="00FC7F4E"/>
    <w:rsid w:val="00FD0A1B"/>
    <w:rsid w:val="00FD16F0"/>
    <w:rsid w:val="00FD6359"/>
    <w:rsid w:val="00FE0969"/>
    <w:rsid w:val="00FE09FF"/>
    <w:rsid w:val="00FE3251"/>
    <w:rsid w:val="00FE3841"/>
    <w:rsid w:val="00FE6557"/>
    <w:rsid w:val="00FE7AE2"/>
    <w:rsid w:val="00FF289D"/>
    <w:rsid w:val="00FF4159"/>
    <w:rsid w:val="00FF63E2"/>
    <w:rsid w:val="00FF658A"/>
    <w:rsid w:val="00FF6A60"/>
    <w:rsid w:val="00FF706A"/>
    <w:rsid w:val="00FF742F"/>
    <w:rsid w:val="00FF75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120219"/>
    <w:pPr>
      <w:spacing w:before="100" w:beforeAutospacing="1" w:after="100" w:afterAutospacing="1"/>
    </w:pPr>
  </w:style>
  <w:style w:type="table" w:styleId="Tablaconcuadrcula">
    <w:name w:val="Table Grid"/>
    <w:basedOn w:val="Tablanormal"/>
    <w:uiPriority w:val="5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Contenido1">
    <w:name w:val="Contenido_1"/>
    <w:basedOn w:val="Normal"/>
    <w:link w:val="Contenido1Car"/>
    <w:qFormat/>
    <w:rsid w:val="00462858"/>
    <w:pPr>
      <w:spacing w:line="276" w:lineRule="auto"/>
      <w:ind w:firstLine="708"/>
      <w:jc w:val="both"/>
    </w:pPr>
    <w:rPr>
      <w:rFonts w:asciiTheme="minorHAnsi" w:eastAsiaTheme="minorHAnsi" w:hAnsiTheme="minorHAnsi" w:cstheme="minorHAnsi"/>
      <w:sz w:val="22"/>
      <w:szCs w:val="22"/>
      <w:lang w:val="es-ES_tradnl" w:eastAsia="ja-JP"/>
    </w:rPr>
  </w:style>
  <w:style w:type="character" w:customStyle="1" w:styleId="Contenido1Car">
    <w:name w:val="Contenido_1 Car"/>
    <w:basedOn w:val="Fuentedeprrafopredeter"/>
    <w:link w:val="Contenido1"/>
    <w:rsid w:val="00462858"/>
    <w:rPr>
      <w:rFonts w:cstheme="minorHAnsi"/>
      <w:sz w:val="22"/>
      <w:szCs w:val="22"/>
      <w:lang w:val="es-ES_tradnl" w:eastAsia="ja-JP"/>
    </w:rPr>
  </w:style>
  <w:style w:type="character" w:customStyle="1" w:styleId="m3062600942643913808gmail-m3924406302619508286gmail-">
    <w:name w:val="m_3062600942643913808gmail-m_3924406302619508286gmail-"/>
    <w:basedOn w:val="Fuentedeprrafopredeter"/>
    <w:rsid w:val="00462858"/>
  </w:style>
  <w:style w:type="paragraph" w:customStyle="1" w:styleId="Subtitulos1">
    <w:name w:val="Subtitulos_1"/>
    <w:basedOn w:val="Normal"/>
    <w:link w:val="Subtitulos1Car"/>
    <w:qFormat/>
    <w:rsid w:val="00C80A80"/>
    <w:pPr>
      <w:spacing w:line="276" w:lineRule="auto"/>
    </w:pPr>
    <w:rPr>
      <w:rFonts w:ascii="Calibri" w:eastAsiaTheme="minorHAnsi" w:hAnsi="Calibri" w:cstheme="minorBidi"/>
      <w:b/>
      <w:caps/>
      <w:lang w:val="es-ES_tradnl" w:eastAsia="ja-JP"/>
    </w:rPr>
  </w:style>
  <w:style w:type="character" w:customStyle="1" w:styleId="Subtitulos1Car">
    <w:name w:val="Subtitulos_1 Car"/>
    <w:basedOn w:val="Fuentedeprrafopredeter"/>
    <w:link w:val="Subtitulos1"/>
    <w:rsid w:val="00C80A80"/>
    <w:rPr>
      <w:rFonts w:ascii="Calibri" w:hAnsi="Calibri"/>
      <w:b/>
      <w:caps/>
      <w:lang w:val="es-ES_tradnl" w:eastAsia="ja-JP"/>
    </w:rPr>
  </w:style>
  <w:style w:type="paragraph" w:customStyle="1" w:styleId="Abstract">
    <w:name w:val="Abstract"/>
    <w:basedOn w:val="Normal"/>
    <w:link w:val="AbstractCar"/>
    <w:qFormat/>
    <w:rsid w:val="00DF465D"/>
    <w:pPr>
      <w:spacing w:after="200" w:line="276" w:lineRule="auto"/>
      <w:jc w:val="both"/>
    </w:pPr>
    <w:rPr>
      <w:rFonts w:ascii="Calibri" w:eastAsiaTheme="minorHAnsi" w:hAnsi="Calibri" w:cs="Calibri"/>
      <w:sz w:val="20"/>
      <w:szCs w:val="22"/>
      <w:lang w:eastAsia="en-US"/>
    </w:rPr>
  </w:style>
  <w:style w:type="character" w:customStyle="1" w:styleId="AbstractCar">
    <w:name w:val="Abstract Car"/>
    <w:basedOn w:val="Fuentedeprrafopredeter"/>
    <w:link w:val="Abstract"/>
    <w:rsid w:val="00DF465D"/>
    <w:rPr>
      <w:rFonts w:ascii="Calibri" w:hAnsi="Calibri" w:cs="Calibri"/>
      <w:sz w:val="20"/>
      <w:szCs w:val="22"/>
    </w:rPr>
  </w:style>
  <w:style w:type="character" w:customStyle="1" w:styleId="longtext">
    <w:name w:val="long_text"/>
    <w:rsid w:val="00B36BB0"/>
  </w:style>
  <w:style w:type="paragraph" w:styleId="Bibliografa">
    <w:name w:val="Bibliography"/>
    <w:basedOn w:val="Normal"/>
    <w:next w:val="Normal"/>
    <w:uiPriority w:val="37"/>
    <w:unhideWhenUsed/>
    <w:rsid w:val="00571280"/>
    <w:pPr>
      <w:spacing w:after="200" w:line="276"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marinolopez@admon.uniajc.edu.co"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3543-9123" TargetMode="External"/><Relationship Id="rId2" Type="http://schemas.openxmlformats.org/officeDocument/2006/relationships/hyperlink" Target="https://orcid.org/0009-0009-4207-9160" TargetMode="External"/><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5.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OSCAR%20MARINO%20LOPEZ\Documents\UNIAJC%20-%20Decanato%20de%20Investigacion\2024\Copia%20de%20Graficos%207-3-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15048118985127"/>
          <c:y val="0.11237171009868428"/>
          <c:w val="0.80596062992125983"/>
          <c:h val="0.69571769177209042"/>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Año!$A$2:$A$36</c:f>
              <c:numCache>
                <c:formatCode>General</c:formatCode>
                <c:ptCount val="35"/>
                <c:pt idx="1">
                  <c:v>2023</c:v>
                </c:pt>
                <c:pt idx="2">
                  <c:v>2022</c:v>
                </c:pt>
                <c:pt idx="3">
                  <c:v>2021</c:v>
                </c:pt>
                <c:pt idx="4">
                  <c:v>2020</c:v>
                </c:pt>
                <c:pt idx="5">
                  <c:v>2019</c:v>
                </c:pt>
                <c:pt idx="6">
                  <c:v>2018</c:v>
                </c:pt>
                <c:pt idx="7">
                  <c:v>2017</c:v>
                </c:pt>
                <c:pt idx="8">
                  <c:v>2016</c:v>
                </c:pt>
                <c:pt idx="9">
                  <c:v>2015</c:v>
                </c:pt>
                <c:pt idx="10">
                  <c:v>2014</c:v>
                </c:pt>
                <c:pt idx="11">
                  <c:v>2013</c:v>
                </c:pt>
                <c:pt idx="12">
                  <c:v>2012</c:v>
                </c:pt>
                <c:pt idx="13">
                  <c:v>2011</c:v>
                </c:pt>
                <c:pt idx="14">
                  <c:v>2009</c:v>
                </c:pt>
                <c:pt idx="15">
                  <c:v>2008</c:v>
                </c:pt>
                <c:pt idx="16">
                  <c:v>2007</c:v>
                </c:pt>
                <c:pt idx="17">
                  <c:v>2006</c:v>
                </c:pt>
                <c:pt idx="18">
                  <c:v>2005</c:v>
                </c:pt>
                <c:pt idx="19">
                  <c:v>2004</c:v>
                </c:pt>
                <c:pt idx="20">
                  <c:v>2003</c:v>
                </c:pt>
                <c:pt idx="21">
                  <c:v>1994</c:v>
                </c:pt>
                <c:pt idx="22">
                  <c:v>1976</c:v>
                </c:pt>
                <c:pt idx="23">
                  <c:v>1975</c:v>
                </c:pt>
              </c:numCache>
            </c:numRef>
          </c:xVal>
          <c:yVal>
            <c:numRef>
              <c:f>Año!$B$2:$B$36</c:f>
              <c:numCache>
                <c:formatCode>General</c:formatCode>
                <c:ptCount val="35"/>
                <c:pt idx="1">
                  <c:v>17</c:v>
                </c:pt>
                <c:pt idx="2">
                  <c:v>16</c:v>
                </c:pt>
                <c:pt idx="3">
                  <c:v>6</c:v>
                </c:pt>
                <c:pt idx="4">
                  <c:v>10</c:v>
                </c:pt>
                <c:pt idx="5">
                  <c:v>4</c:v>
                </c:pt>
                <c:pt idx="6">
                  <c:v>5</c:v>
                </c:pt>
                <c:pt idx="7">
                  <c:v>5</c:v>
                </c:pt>
                <c:pt idx="8">
                  <c:v>5</c:v>
                </c:pt>
                <c:pt idx="9">
                  <c:v>2</c:v>
                </c:pt>
                <c:pt idx="10">
                  <c:v>2</c:v>
                </c:pt>
                <c:pt idx="11">
                  <c:v>5</c:v>
                </c:pt>
                <c:pt idx="12">
                  <c:v>3</c:v>
                </c:pt>
                <c:pt idx="13">
                  <c:v>3</c:v>
                </c:pt>
                <c:pt idx="14">
                  <c:v>3</c:v>
                </c:pt>
                <c:pt idx="15">
                  <c:v>2</c:v>
                </c:pt>
                <c:pt idx="16">
                  <c:v>1</c:v>
                </c:pt>
                <c:pt idx="17">
                  <c:v>4</c:v>
                </c:pt>
                <c:pt idx="18">
                  <c:v>1</c:v>
                </c:pt>
                <c:pt idx="19">
                  <c:v>2</c:v>
                </c:pt>
                <c:pt idx="20">
                  <c:v>3</c:v>
                </c:pt>
                <c:pt idx="21">
                  <c:v>1</c:v>
                </c:pt>
                <c:pt idx="22">
                  <c:v>1</c:v>
                </c:pt>
                <c:pt idx="23">
                  <c:v>2</c:v>
                </c:pt>
              </c:numCache>
            </c:numRef>
          </c:yVal>
          <c:smooth val="0"/>
          <c:extLst>
            <c:ext xmlns:c16="http://schemas.microsoft.com/office/drawing/2014/chart" uri="{C3380CC4-5D6E-409C-BE32-E72D297353CC}">
              <c16:uniqueId val="{00000000-AE13-4DA6-A7EB-35268DDD57BD}"/>
            </c:ext>
          </c:extLst>
        </c:ser>
        <c:dLbls>
          <c:showLegendKey val="0"/>
          <c:showVal val="0"/>
          <c:showCatName val="0"/>
          <c:showSerName val="0"/>
          <c:showPercent val="0"/>
          <c:showBubbleSize val="0"/>
        </c:dLbls>
        <c:axId val="99195936"/>
        <c:axId val="1117571440"/>
      </c:scatterChart>
      <c:valAx>
        <c:axId val="991959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117571440"/>
        <c:crosses val="autoZero"/>
        <c:crossBetween val="midCat"/>
      </c:valAx>
      <c:valAx>
        <c:axId val="1117571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Articulos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991959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Min203</b:Tag>
    <b:SourceType>InternetSite</b:SourceType>
    <b:Guid>{FB637ECF-054C-BF48-AEFB-3F3D7177B8FE}</b:Guid>
    <b:Title> El reto del covid-19 para los sistemas de salud en el mundo</b:Title>
    <b:Year>2020</b:Year>
    <b:Author>
      <b:Author>
        <b:NameList>
          <b:Person>
            <b:Last>Social</b:Last>
            <b:First>Ministerio</b:First>
            <b:Middle>de Salud y Protección</b:Middle>
          </b:Person>
        </b:NameList>
      </b:Author>
    </b:Author>
    <b:URL>https://www.minsalud.gov.co/Paginas/El-reto-del-covid-19-para-los-sistemas-de-salud-en-el-mundo.aspx</b:URL>
    <b:Month>Junio</b:Month>
    <b:Day>08</b:Day>
    <b:RefOrder>12</b:RefOrder>
  </b:Source>
  <b:Source>
    <b:Tag>ONU20</b:Tag>
    <b:SourceType>InternetSite</b:SourceType>
    <b:Guid>{97CD6FD2-41AE-C747-AAAC-799779997AC6}</b:Guid>
    <b:Author>
      <b:Author>
        <b:NameList>
          <b:Person>
            <b:Last>ONU</b:Last>
          </b:Person>
        </b:NameList>
      </b:Author>
    </b:Author>
    <b:Title>La pandemia de coronavirus interrumpe los tratamientos contra el cáncer y otras enfermedades crónicas</b:Title>
    <b:URL>https://news.un.org/es/story/2020/06/1475312</b:URL>
    <b:Year>2020</b:Year>
    <b:Month>Junio</b:Month>
    <b:Day>01</b:Day>
    <b:RefOrder>15</b:RefOrder>
  </b:Source>
  <b:Source>
    <b:Tag>Min21</b:Tag>
    <b:SourceType>InternetSite</b:SourceType>
    <b:Guid>{124505D4-7C3A-1749-8865-7355038C8AF5}</b:Guid>
    <b:Author>
      <b:Author>
        <b:NameList>
          <b:Person>
            <b:Last>Social</b:Last>
            <b:First>Ministerio</b:First>
            <b:Middle>de Salud y Protección</b:Middle>
          </b:Person>
        </b:NameList>
      </b:Author>
    </b:Author>
    <b:Title>Atención oportuna de pacientes con enfermedades no transmisibles es un reto</b:Title>
    <b:URL>https://www.minsalud.gov.co/Paginas/Atencion-oportuna-de-pacientes-con-enfermedades-no-transmisibles-es-un-reto.aspx</b:URL>
    <b:Year>2021</b:Year>
    <b:Month>Noviembre</b:Month>
    <b:Day>18</b:Day>
    <b:RefOrder>17</b:RefOrder>
  </b:Source>
  <b:Source>
    <b:Tag>Col206</b:Tag>
    <b:SourceType>InternetSite</b:SourceType>
    <b:Guid>{9C5D77A5-B721-E141-8CB9-B31B0740F052}</b:Guid>
    <b:Title>Ministerio de Salud y Protección Social</b:Title>
    <b:Year>2020</b:Year>
    <b:Author>
      <b:Author>
        <b:NameList>
          <b:Person>
            <b:Last>Colombia</b:Last>
          </b:Person>
        </b:NameList>
      </b:Author>
    </b:Author>
    <b:InternetSiteTitle>Cronología del COVID19 en Cali y las medidas de la alcaldía para enfrentarlo</b:InternetSiteTitle>
    <b:URL>https://www.minsalud.gov.co/Regiones/Paginas/Cali-12-de-abril-de-2020---Cronologia-del-COVID19-en-Cali-y-las-medidas-de-la-alcaldia-para.aspx</b:URL>
    <b:Month>04</b:Month>
    <b:Day>12</b:Day>
    <b:RefOrder>18</b:RefOrder>
  </b:Source>
  <b:Source>
    <b:Tag>Alc1</b:Tag>
    <b:SourceType>InternetSite</b:SourceType>
    <b:Guid>{3C2D0C11-C785-D548-96C1-5FECACA3A02C}</b:Guid>
    <b:Author>
      <b:Author>
        <b:NameList>
          <b:Person>
            <b:Last>Cali</b:Last>
            <b:First>Alcaldia</b:First>
            <b:Middle>de</b:Middle>
          </b:Person>
        </b:NameList>
      </b:Author>
    </b:Author>
    <b:Title>Red de servicios</b:Title>
    <b:InternetSiteTitle>Información General de la Ese Oriente</b:InternetSiteTitle>
    <b:URL>http://calisaludable.cali.gov.co/redServicios/Ese_oriente_info_adicional.php</b:URL>
    <b:RefOrder>56</b:RefOrder>
  </b:Source>
  <b:Source>
    <b:Tag>CIE18</b:Tag>
    <b:SourceType>InternetSite</b:SourceType>
    <b:Guid>{6B90023A-D7B7-5B40-95FF-5ED3A4BF9C15}</b:Guid>
    <b:Year>2018</b:Year>
    <b:Author>
      <b:Author>
        <b:NameList>
          <b:Person>
            <b:Last>CIEC</b:Last>
            <b:First>Centro</b:First>
            <b:Middle>de Inteligencia Económica y Competitividad</b:Middle>
          </b:Person>
        </b:NameList>
      </b:Author>
    </b:Author>
    <b:InternetSiteTitle>Diagnóstico Socioeconómico de la Comuna 13</b:InternetSiteTitle>
    <b:URL>file:///Users/jic/Downloads/Diagnostico%20Desarrollo%20Economico%20Comuna%2013-1.pdf</b:URL>
    <b:RefOrder>63</b:RefOrder>
  </b:Source>
  <b:Source>
    <b:Tag>Sec231</b:Tag>
    <b:SourceType>InternetSite</b:SourceType>
    <b:Guid>{A44C7875-ADD7-3F44-964C-FFDC4D8E5B63}</b:Guid>
    <b:Author>
      <b:Author>
        <b:NameList>
          <b:Person>
            <b:Last>Cali</b:Last>
          </b:Person>
        </b:NameList>
      </b:Author>
    </b:Author>
    <b:InternetSiteTitle>Diagnóstico del Sector Salud</b:InternetSiteTitle>
    <b:URL>file:///Users/jic/Downloads/Diagnostico%20General%20Salud.pdf</b:URL>
    <b:Year>2023</b:Year>
    <b:RefOrder>54</b:RefOrder>
  </b:Source>
  <b:Source>
    <b:Tag>DNP20</b:Tag>
    <b:SourceType>InternetSite</b:SourceType>
    <b:Guid>{782EEE5B-4618-9A42-A5B2-C265473B06A4}</b:Guid>
    <b:Author>
      <b:Author>
        <b:NameList>
          <b:Person>
            <b:Last>DNP</b:Last>
            <b:First>Departamento</b:First>
            <b:Middle>Nacional de Planeación</b:Middle>
          </b:Person>
        </b:NameList>
      </b:Author>
    </b:Author>
    <b:InternetSiteTitle>Mercado Laboral Urbano Cali </b:InternetSiteTitle>
    <b:URL>https://colaboracion.dnp.gov.co/CDT/Estudios%20Econmicos/4%20Informe%20Cali%202020.pdf</b:URL>
    <b:Year>2020</b:Year>
    <b:RefOrder>68</b:RefOrder>
  </b:Source>
  <b:Source>
    <b:Tag>CIE23</b:Tag>
    <b:SourceType>InternetSite</b:SourceType>
    <b:Guid>{25BD892F-5EB8-B74F-9473-181C1D112D1E}</b:Guid>
    <b:Author>
      <b:Author>
        <b:NameList>
          <b:Person>
            <b:Last>Centro de Inteligencia Económica y Competitividad</b:Last>
          </b:Person>
        </b:NameList>
      </b:Author>
    </b:Author>
    <b:InternetSiteTitle>Dinámica de la pobreza monetaria y desigualdad en Cali</b:InternetSiteTitle>
    <b:URL>file:///Users/jic/Downloads/43.%20Informe%20Pobreza%20monetaria%20Cali%202023.pdf</b:URL>
    <b:Year>2023</b:Year>
    <b:Month>09</b:Month>
    <b:Day>25</b:Day>
    <b:RefOrder>69</b:RefOrder>
  </b:Source>
  <b:Source>
    <b:Tag>Org20</b:Tag>
    <b:SourceType>InternetSite</b:SourceType>
    <b:Guid>{C2EF4B60-B06A-45F6-B7EC-C58280E62419}</b:Guid>
    <b:Title>Organización Panamericana de la Salud/ Organización Mundial de la Salud (OPS/OMS)</b:Title>
    <b:Year>2020</b:Year>
    <b:Author>
      <b:Author>
        <b:Corporate>Organización Panamericana de la Salud/ Organización Mundial de la Salud (OPS/OMS)</b:Corporate>
      </b:Author>
    </b:Author>
    <b:Month>Junio</b:Month>
    <b:Day>17</b:Day>
    <b:URL>https://www.paho.org/es/noticias/17-6-2020-covid-19-afecto-funcionamiento-servicios-salud-para-enfermedades-no</b:URL>
    <b:RefOrder>1</b:RefOrder>
  </b:Source>
</b:Sources>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9DDA7-C93A-4242-8F5B-4472D8B2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24043</Words>
  <Characters>132237</Characters>
  <Application>Microsoft Office Word</Application>
  <DocSecurity>0</DocSecurity>
  <Lines>1101</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2025-04-23T16:57:00Z</dcterms:created>
  <dcterms:modified xsi:type="dcterms:W3CDTF">2025-05-21T17:32:00Z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