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525CF" w14:textId="492DFB63" w:rsidR="00BF79E3" w:rsidRDefault="00BF79E3" w:rsidP="00134741">
      <w:pPr>
        <w:pStyle w:val="NormalWeb"/>
        <w:spacing w:line="360" w:lineRule="auto"/>
        <w:jc w:val="center"/>
        <w:rPr>
          <w:rFonts w:ascii="Arial" w:hAnsi="Arial" w:cs="Arial"/>
          <w:b/>
          <w:bCs/>
          <w:color w:val="C45911" w:themeColor="accent2" w:themeShade="BF"/>
        </w:rPr>
      </w:pPr>
      <w:bookmarkStart w:id="0" w:name="_Hlk197081851"/>
      <w:bookmarkStart w:id="1" w:name="_Hlk197071050"/>
      <w:bookmarkStart w:id="2" w:name="_Hlk145952311"/>
      <w:bookmarkStart w:id="3" w:name="_GoBack"/>
      <w:bookmarkEnd w:id="3"/>
      <w:r w:rsidRPr="00BF79E3">
        <w:rPr>
          <w:rFonts w:ascii="Arial" w:hAnsi="Arial" w:cs="Arial"/>
          <w:b/>
          <w:bCs/>
          <w:color w:val="C45911" w:themeColor="accent2" w:themeShade="BF"/>
        </w:rPr>
        <w:t>Efectos de la pandemia en el acceso a los servicios de salud en Santiago de Cali durante el periodo 2020 a 2021</w:t>
      </w:r>
    </w:p>
    <w:bookmarkEnd w:id="0"/>
    <w:p w14:paraId="0411EC85" w14:textId="49FDE553" w:rsidR="00CB1891" w:rsidRPr="00CB1891" w:rsidRDefault="00CB1891" w:rsidP="00134741">
      <w:pPr>
        <w:pStyle w:val="NormalWeb"/>
        <w:spacing w:line="360" w:lineRule="auto"/>
        <w:jc w:val="center"/>
        <w:rPr>
          <w:rFonts w:ascii="Arial" w:hAnsi="Arial" w:cs="Arial"/>
          <w:b/>
          <w:bCs/>
          <w:color w:val="C45911" w:themeColor="accent2" w:themeShade="BF"/>
          <w:lang w:val="en-US"/>
        </w:rPr>
      </w:pPr>
      <w:r w:rsidRPr="00CB1891">
        <w:rPr>
          <w:rFonts w:ascii="Arial" w:hAnsi="Arial" w:cs="Arial"/>
          <w:b/>
          <w:bCs/>
          <w:color w:val="C45911" w:themeColor="accent2" w:themeShade="BF"/>
          <w:lang w:val="en-US"/>
        </w:rPr>
        <w:t>Effects of the pandemic on access to health services in Santiago de Cali during the period 2020 to 2021</w:t>
      </w:r>
    </w:p>
    <w:p w14:paraId="62FAC193" w14:textId="00D55521" w:rsidR="006139A0" w:rsidRPr="006902EB" w:rsidRDefault="003910DD" w:rsidP="006139A0">
      <w:pPr>
        <w:pStyle w:val="NormalWeb"/>
        <w:spacing w:before="0" w:beforeAutospacing="0" w:after="0" w:afterAutospacing="0" w:line="276" w:lineRule="auto"/>
        <w:jc w:val="both"/>
        <w:rPr>
          <w:rFonts w:ascii="Arial" w:eastAsia="Arial" w:hAnsi="Arial" w:cs="Arial"/>
        </w:rPr>
      </w:pPr>
      <w:bookmarkStart w:id="4" w:name="_Hlk197081932"/>
      <w:bookmarkEnd w:id="1"/>
      <w:r w:rsidRPr="006902EB">
        <w:rPr>
          <w:rFonts w:ascii="Arial" w:hAnsi="Arial" w:cs="Arial"/>
        </w:rPr>
        <w:t>Melisa-Amparo Marquínez-Preciad</w:t>
      </w:r>
      <w:bookmarkEnd w:id="4"/>
      <w:r w:rsidRPr="006902EB">
        <w:rPr>
          <w:rFonts w:ascii="Arial" w:hAnsi="Arial" w:cs="Arial"/>
        </w:rPr>
        <w:t>o</w:t>
      </w:r>
      <w:r w:rsidR="00134741" w:rsidRPr="006902EB">
        <w:rPr>
          <w:rStyle w:val="Refdenotaalpie"/>
          <w:rFonts w:ascii="Arial" w:eastAsia="Arial" w:hAnsi="Arial" w:cs="Arial"/>
        </w:rPr>
        <w:footnoteReference w:id="1"/>
      </w:r>
      <w:r w:rsidR="006139A0">
        <w:rPr>
          <w:rFonts w:ascii="Arial" w:hAnsi="Arial" w:cs="Arial"/>
        </w:rPr>
        <w:t xml:space="preserve">             </w:t>
      </w:r>
      <w:r w:rsidR="004C7B42">
        <w:rPr>
          <w:rFonts w:ascii="Arial" w:hAnsi="Arial" w:cs="Arial"/>
        </w:rPr>
        <w:t xml:space="preserve"> </w:t>
      </w:r>
      <w:bookmarkStart w:id="5" w:name="_Hlk197081977"/>
      <w:r w:rsidR="006139A0" w:rsidRPr="006902EB">
        <w:rPr>
          <w:rFonts w:ascii="Arial" w:eastAsia="Arial" w:hAnsi="Arial" w:cs="Arial"/>
        </w:rPr>
        <w:t>Johan Idárraga</w:t>
      </w:r>
      <w:r w:rsidR="00D27374">
        <w:rPr>
          <w:rFonts w:ascii="Arial" w:eastAsia="Arial" w:hAnsi="Arial" w:cs="Arial"/>
        </w:rPr>
        <w:t>-</w:t>
      </w:r>
      <w:r w:rsidR="006139A0" w:rsidRPr="006902EB">
        <w:rPr>
          <w:rFonts w:ascii="Arial" w:eastAsia="Arial" w:hAnsi="Arial" w:cs="Arial"/>
        </w:rPr>
        <w:t>Cárdenas</w:t>
      </w:r>
      <w:bookmarkEnd w:id="5"/>
      <w:r w:rsidR="00756A15">
        <w:rPr>
          <w:rStyle w:val="Refdenotaalpie"/>
          <w:rFonts w:ascii="Arial" w:eastAsia="Arial" w:hAnsi="Arial" w:cs="Arial"/>
        </w:rPr>
        <w:footnoteReference w:id="2"/>
      </w:r>
    </w:p>
    <w:p w14:paraId="5957D59B" w14:textId="63A5DD09" w:rsidR="00134741" w:rsidRPr="006902EB" w:rsidRDefault="00510A08" w:rsidP="006139A0">
      <w:pPr>
        <w:pStyle w:val="NormalWeb"/>
        <w:spacing w:before="0" w:beforeAutospacing="0" w:after="0" w:afterAutospacing="0" w:line="276" w:lineRule="auto"/>
        <w:jc w:val="both"/>
        <w:rPr>
          <w:rFonts w:ascii="Arial" w:hAnsi="Arial" w:cs="Arial"/>
        </w:rPr>
      </w:pPr>
      <w:bookmarkStart w:id="6" w:name="_Hlk197080479"/>
      <w:bookmarkStart w:id="7" w:name="_Hlk197080169"/>
      <w:bookmarkStart w:id="8" w:name="_Hlk197080050"/>
      <w:r w:rsidRPr="006902EB">
        <w:rPr>
          <w:rFonts w:ascii="Arial" w:hAnsi="Arial" w:cs="Arial"/>
        </w:rPr>
        <w:t>I</w:t>
      </w:r>
      <w:r w:rsidR="0054427B">
        <w:rPr>
          <w:rFonts w:ascii="Arial" w:hAnsi="Arial" w:cs="Arial"/>
        </w:rPr>
        <w:t xml:space="preserve">.U. </w:t>
      </w:r>
      <w:r w:rsidRPr="006902EB">
        <w:rPr>
          <w:rFonts w:ascii="Arial" w:hAnsi="Arial" w:cs="Arial"/>
        </w:rPr>
        <w:t>Antonio José Camacho</w:t>
      </w:r>
      <w:r w:rsidR="006139A0">
        <w:rPr>
          <w:rFonts w:ascii="Arial" w:hAnsi="Arial" w:cs="Arial"/>
        </w:rPr>
        <w:t xml:space="preserve">  </w:t>
      </w:r>
      <w:bookmarkEnd w:id="6"/>
      <w:r w:rsidR="006139A0">
        <w:rPr>
          <w:rFonts w:ascii="Arial" w:hAnsi="Arial" w:cs="Arial"/>
        </w:rPr>
        <w:t xml:space="preserve">   </w:t>
      </w:r>
      <w:r w:rsidR="0054427B">
        <w:rPr>
          <w:rFonts w:ascii="Arial" w:hAnsi="Arial" w:cs="Arial"/>
        </w:rPr>
        <w:t xml:space="preserve">                       </w:t>
      </w:r>
      <w:r w:rsidR="004C7B42">
        <w:rPr>
          <w:rFonts w:ascii="Arial" w:hAnsi="Arial" w:cs="Arial"/>
        </w:rPr>
        <w:t xml:space="preserve"> </w:t>
      </w:r>
      <w:r w:rsidR="006139A0" w:rsidRPr="006902EB">
        <w:rPr>
          <w:rFonts w:ascii="Arial" w:hAnsi="Arial" w:cs="Arial"/>
        </w:rPr>
        <w:t>I</w:t>
      </w:r>
      <w:r w:rsidR="006139A0">
        <w:rPr>
          <w:rFonts w:ascii="Arial" w:hAnsi="Arial" w:cs="Arial"/>
        </w:rPr>
        <w:t xml:space="preserve">.U. </w:t>
      </w:r>
      <w:r w:rsidR="006139A0" w:rsidRPr="006902EB">
        <w:rPr>
          <w:rFonts w:ascii="Arial" w:hAnsi="Arial" w:cs="Arial"/>
        </w:rPr>
        <w:t>Antonio José Camacho</w:t>
      </w:r>
      <w:r w:rsidR="006139A0">
        <w:rPr>
          <w:rFonts w:ascii="Arial" w:hAnsi="Arial" w:cs="Arial"/>
        </w:rPr>
        <w:t xml:space="preserve">  </w:t>
      </w:r>
    </w:p>
    <w:p w14:paraId="19AA87F5" w14:textId="384FACD3" w:rsidR="00134741" w:rsidRPr="006902EB" w:rsidRDefault="00510A08" w:rsidP="006139A0">
      <w:pPr>
        <w:pStyle w:val="NormalWeb"/>
        <w:spacing w:before="0" w:beforeAutospacing="0" w:after="0" w:afterAutospacing="0" w:line="276" w:lineRule="auto"/>
        <w:jc w:val="both"/>
        <w:rPr>
          <w:rFonts w:ascii="Arial" w:hAnsi="Arial" w:cs="Arial"/>
        </w:rPr>
      </w:pPr>
      <w:r w:rsidRPr="006902EB">
        <w:rPr>
          <w:rFonts w:ascii="Arial" w:hAnsi="Arial" w:cs="Arial"/>
        </w:rPr>
        <w:t>Cali, Colombia</w:t>
      </w:r>
      <w:bookmarkEnd w:id="7"/>
      <w:r w:rsidR="0054427B">
        <w:rPr>
          <w:rFonts w:ascii="Arial" w:hAnsi="Arial" w:cs="Arial"/>
        </w:rPr>
        <w:t xml:space="preserve">                                                </w:t>
      </w:r>
      <w:r w:rsidR="004C7B42">
        <w:rPr>
          <w:rFonts w:ascii="Arial" w:hAnsi="Arial" w:cs="Arial"/>
        </w:rPr>
        <w:t xml:space="preserve"> </w:t>
      </w:r>
      <w:r w:rsidR="0054427B">
        <w:rPr>
          <w:rFonts w:ascii="Arial" w:hAnsi="Arial" w:cs="Arial"/>
        </w:rPr>
        <w:t>Cali, Colombia</w:t>
      </w:r>
    </w:p>
    <w:bookmarkEnd w:id="8"/>
    <w:p w14:paraId="38AFDE77" w14:textId="32C2FECB" w:rsidR="0054427B" w:rsidRPr="006902EB" w:rsidRDefault="00E035A0" w:rsidP="0054427B">
      <w:pPr>
        <w:pStyle w:val="NormalWeb"/>
        <w:spacing w:before="0" w:beforeAutospacing="0" w:after="0" w:afterAutospacing="0" w:line="276" w:lineRule="auto"/>
        <w:jc w:val="both"/>
        <w:rPr>
          <w:rStyle w:val="Hipervnculo"/>
          <w:rFonts w:ascii="Arial" w:hAnsi="Arial" w:cs="Arial"/>
          <w:color w:val="2E74B5" w:themeColor="accent5" w:themeShade="BF"/>
        </w:rPr>
      </w:pPr>
      <w:r w:rsidRPr="006E0311">
        <w:rPr>
          <w:rFonts w:ascii="Arial" w:hAnsi="Arial" w:cs="Arial"/>
          <w:color w:val="002060"/>
        </w:rPr>
        <w:fldChar w:fldCharType="begin"/>
      </w:r>
      <w:r w:rsidRPr="006E0311">
        <w:rPr>
          <w:rFonts w:ascii="Arial" w:hAnsi="Arial" w:cs="Arial"/>
          <w:color w:val="002060"/>
        </w:rPr>
        <w:instrText xml:space="preserve"> HYPERLINK "mailto:mmarquinez@estudiante.uniajc.edu.co" </w:instrText>
      </w:r>
      <w:r w:rsidRPr="006E0311">
        <w:rPr>
          <w:rFonts w:ascii="Arial" w:hAnsi="Arial" w:cs="Arial"/>
          <w:color w:val="002060"/>
        </w:rPr>
        <w:fldChar w:fldCharType="separate"/>
      </w:r>
      <w:r w:rsidRPr="006E0311">
        <w:rPr>
          <w:rStyle w:val="Hipervnculo"/>
          <w:rFonts w:ascii="Arial" w:hAnsi="Arial" w:cs="Arial"/>
          <w:color w:val="002060"/>
        </w:rPr>
        <w:t>mmarquinez@estudiante.uniajc.edu.co</w:t>
      </w:r>
      <w:r w:rsidRPr="006E0311">
        <w:rPr>
          <w:rFonts w:ascii="Arial" w:hAnsi="Arial" w:cs="Arial"/>
          <w:color w:val="002060"/>
        </w:rPr>
        <w:fldChar w:fldCharType="end"/>
      </w:r>
      <w:r w:rsidR="0054427B" w:rsidRPr="00103C6D">
        <w:rPr>
          <w:rFonts w:ascii="Arial" w:hAnsi="Arial" w:cs="Arial"/>
          <w:color w:val="2F5496" w:themeColor="accent1" w:themeShade="BF"/>
        </w:rPr>
        <w:t xml:space="preserve">         </w:t>
      </w:r>
      <w:r w:rsidR="00E253EA" w:rsidRPr="00103C6D">
        <w:rPr>
          <w:rFonts w:ascii="Arial" w:hAnsi="Arial" w:cs="Arial"/>
          <w:color w:val="2F5496" w:themeColor="accent1" w:themeShade="BF"/>
        </w:rPr>
        <w:t xml:space="preserve"> </w:t>
      </w:r>
      <w:hyperlink r:id="rId11" w:history="1">
        <w:r w:rsidR="0054427B" w:rsidRPr="006E0311">
          <w:rPr>
            <w:rStyle w:val="Hipervnculo"/>
            <w:rFonts w:ascii="Arial" w:eastAsia="Arial" w:hAnsi="Arial" w:cs="Arial"/>
            <w:color w:val="002060"/>
          </w:rPr>
          <w:t>jidarragac@estudiante.uniajc.edu.co</w:t>
        </w:r>
      </w:hyperlink>
    </w:p>
    <w:p w14:paraId="24A3169D" w14:textId="77777777" w:rsidR="00D21FCB" w:rsidRPr="006902EB" w:rsidRDefault="00D21FCB" w:rsidP="006139A0">
      <w:pPr>
        <w:pStyle w:val="NormalWeb"/>
        <w:spacing w:before="0" w:beforeAutospacing="0" w:after="0" w:afterAutospacing="0" w:line="276" w:lineRule="auto"/>
        <w:jc w:val="both"/>
        <w:rPr>
          <w:rFonts w:ascii="Arial" w:hAnsi="Arial" w:cs="Arial"/>
        </w:rPr>
      </w:pPr>
    </w:p>
    <w:p w14:paraId="010EC06A" w14:textId="01052D49" w:rsidR="00E253EA" w:rsidRPr="006902EB" w:rsidRDefault="004B2D90" w:rsidP="00E253EA">
      <w:pPr>
        <w:pStyle w:val="NormalWeb"/>
        <w:spacing w:before="0" w:beforeAutospacing="0" w:after="0" w:afterAutospacing="0" w:line="276" w:lineRule="auto"/>
        <w:jc w:val="both"/>
        <w:rPr>
          <w:rFonts w:ascii="Arial" w:eastAsia="Arial" w:hAnsi="Arial" w:cs="Arial"/>
          <w:vertAlign w:val="superscript"/>
        </w:rPr>
      </w:pPr>
      <w:bookmarkStart w:id="9" w:name="_Hlk173698266"/>
      <w:bookmarkStart w:id="10" w:name="_Hlk197082033"/>
      <w:r w:rsidRPr="006902EB">
        <w:rPr>
          <w:rFonts w:ascii="Arial" w:eastAsia="Arial" w:hAnsi="Arial" w:cs="Arial"/>
        </w:rPr>
        <w:t>Nayibe</w:t>
      </w:r>
      <w:r w:rsidR="00D27374">
        <w:rPr>
          <w:rFonts w:ascii="Arial" w:eastAsia="Arial" w:hAnsi="Arial" w:cs="Arial"/>
        </w:rPr>
        <w:t>-</w:t>
      </w:r>
      <w:r w:rsidRPr="006902EB">
        <w:rPr>
          <w:rFonts w:ascii="Arial" w:eastAsia="Arial" w:hAnsi="Arial" w:cs="Arial"/>
        </w:rPr>
        <w:t>Eliana Valencia</w:t>
      </w:r>
      <w:r w:rsidR="00D27374">
        <w:rPr>
          <w:rFonts w:ascii="Arial" w:eastAsia="Arial" w:hAnsi="Arial" w:cs="Arial"/>
        </w:rPr>
        <w:t>-</w:t>
      </w:r>
      <w:r w:rsidRPr="006902EB">
        <w:rPr>
          <w:rFonts w:ascii="Arial" w:eastAsia="Arial" w:hAnsi="Arial" w:cs="Arial"/>
        </w:rPr>
        <w:t>Parad</w:t>
      </w:r>
      <w:bookmarkEnd w:id="9"/>
      <w:r w:rsidRPr="006902EB">
        <w:rPr>
          <w:rFonts w:ascii="Arial" w:eastAsia="Arial" w:hAnsi="Arial" w:cs="Arial"/>
        </w:rPr>
        <w:t>a</w:t>
      </w:r>
      <w:bookmarkStart w:id="11" w:name="_Hlk173698299"/>
      <w:bookmarkEnd w:id="10"/>
      <w:r w:rsidR="009D7BA1">
        <w:rPr>
          <w:rStyle w:val="Refdenotaalpie"/>
          <w:rFonts w:ascii="Arial" w:eastAsia="Arial" w:hAnsi="Arial" w:cs="Arial"/>
        </w:rPr>
        <w:footnoteReference w:id="3"/>
      </w:r>
      <w:r w:rsidR="00E253EA">
        <w:rPr>
          <w:rFonts w:ascii="Arial" w:eastAsia="Arial" w:hAnsi="Arial" w:cs="Arial"/>
        </w:rPr>
        <w:t xml:space="preserve">     </w:t>
      </w:r>
      <w:r w:rsidR="00E253EA" w:rsidRPr="00E253EA">
        <w:rPr>
          <w:rFonts w:ascii="Arial" w:eastAsia="Arial" w:hAnsi="Arial" w:cs="Arial"/>
        </w:rPr>
        <w:t xml:space="preserve"> </w:t>
      </w:r>
      <w:r w:rsidR="00E253EA">
        <w:rPr>
          <w:rFonts w:ascii="Arial" w:eastAsia="Arial" w:hAnsi="Arial" w:cs="Arial"/>
        </w:rPr>
        <w:t xml:space="preserve">              </w:t>
      </w:r>
      <w:bookmarkStart w:id="12" w:name="_Hlk197082076"/>
      <w:r w:rsidR="00E253EA" w:rsidRPr="006902EB">
        <w:rPr>
          <w:rFonts w:ascii="Arial" w:eastAsia="Arial" w:hAnsi="Arial" w:cs="Arial"/>
        </w:rPr>
        <w:t>Gustavo</w:t>
      </w:r>
      <w:r w:rsidR="00D27374">
        <w:rPr>
          <w:rFonts w:ascii="Arial" w:eastAsia="Arial" w:hAnsi="Arial" w:cs="Arial"/>
        </w:rPr>
        <w:t>-</w:t>
      </w:r>
      <w:r w:rsidR="00E253EA" w:rsidRPr="006902EB">
        <w:rPr>
          <w:rFonts w:ascii="Arial" w:eastAsia="Arial" w:hAnsi="Arial" w:cs="Arial"/>
        </w:rPr>
        <w:t>Adolfo Girón</w:t>
      </w:r>
      <w:r w:rsidR="00D27374">
        <w:rPr>
          <w:rFonts w:ascii="Arial" w:eastAsia="Arial" w:hAnsi="Arial" w:cs="Arial"/>
        </w:rPr>
        <w:t>-</w:t>
      </w:r>
      <w:r w:rsidR="00E253EA" w:rsidRPr="006902EB">
        <w:rPr>
          <w:rFonts w:ascii="Arial" w:eastAsia="Arial" w:hAnsi="Arial" w:cs="Arial"/>
        </w:rPr>
        <w:t>Restrepo</w:t>
      </w:r>
      <w:bookmarkEnd w:id="11"/>
      <w:bookmarkEnd w:id="12"/>
      <w:r w:rsidR="009D7BA1">
        <w:rPr>
          <w:rStyle w:val="Refdenotaalpie"/>
          <w:rFonts w:ascii="Arial" w:eastAsia="Arial" w:hAnsi="Arial" w:cs="Arial"/>
        </w:rPr>
        <w:footnoteReference w:id="4"/>
      </w:r>
    </w:p>
    <w:p w14:paraId="63DC8D9D" w14:textId="6B30C574" w:rsidR="00E253EA" w:rsidRPr="006902EB" w:rsidRDefault="00E253EA" w:rsidP="00E253EA">
      <w:pPr>
        <w:pStyle w:val="NormalWeb"/>
        <w:spacing w:before="0" w:beforeAutospacing="0" w:after="0" w:afterAutospacing="0" w:line="276" w:lineRule="auto"/>
        <w:jc w:val="both"/>
        <w:rPr>
          <w:rFonts w:ascii="Arial" w:hAnsi="Arial" w:cs="Arial"/>
        </w:rPr>
      </w:pPr>
      <w:bookmarkStart w:id="13" w:name="_Hlk197080766"/>
      <w:r>
        <w:rPr>
          <w:rFonts w:ascii="Arial" w:hAnsi="Arial" w:cs="Arial"/>
        </w:rPr>
        <w:t xml:space="preserve">I.U. </w:t>
      </w:r>
      <w:r w:rsidR="004B2D90" w:rsidRPr="006902EB">
        <w:rPr>
          <w:rFonts w:ascii="Arial" w:hAnsi="Arial" w:cs="Arial"/>
        </w:rPr>
        <w:t>Antonio José Camacho</w:t>
      </w:r>
      <w:r w:rsidRPr="00E253EA">
        <w:rPr>
          <w:rFonts w:ascii="Arial" w:hAnsi="Arial" w:cs="Arial"/>
        </w:rPr>
        <w:t xml:space="preserve"> </w:t>
      </w:r>
      <w:r>
        <w:rPr>
          <w:rFonts w:ascii="Arial" w:hAnsi="Arial" w:cs="Arial"/>
        </w:rPr>
        <w:t xml:space="preserve">                           I.U. </w:t>
      </w:r>
      <w:r w:rsidRPr="006902EB">
        <w:rPr>
          <w:rFonts w:ascii="Arial" w:hAnsi="Arial" w:cs="Arial"/>
        </w:rPr>
        <w:t>Antonio José Camacho</w:t>
      </w:r>
    </w:p>
    <w:bookmarkEnd w:id="13"/>
    <w:p w14:paraId="5130A87A" w14:textId="4913DCA4" w:rsidR="004B2D90" w:rsidRPr="006902EB" w:rsidRDefault="004B2D90" w:rsidP="006139A0">
      <w:pPr>
        <w:pStyle w:val="NormalWeb"/>
        <w:spacing w:before="0" w:beforeAutospacing="0" w:after="0" w:afterAutospacing="0" w:line="276" w:lineRule="auto"/>
        <w:jc w:val="both"/>
        <w:rPr>
          <w:rFonts w:ascii="Arial" w:hAnsi="Arial" w:cs="Arial"/>
        </w:rPr>
      </w:pPr>
      <w:r w:rsidRPr="006902EB">
        <w:rPr>
          <w:rFonts w:ascii="Arial" w:hAnsi="Arial" w:cs="Arial"/>
        </w:rPr>
        <w:t>Cali, Colombia</w:t>
      </w:r>
      <w:r w:rsidR="00E253EA">
        <w:rPr>
          <w:rFonts w:ascii="Arial" w:hAnsi="Arial" w:cs="Arial"/>
        </w:rPr>
        <w:t xml:space="preserve">                                                Cali, Colombia</w:t>
      </w:r>
    </w:p>
    <w:p w14:paraId="12A481B5" w14:textId="1A044FD4" w:rsidR="00260DDC" w:rsidRPr="006E0311" w:rsidRDefault="00E10EC9" w:rsidP="00260DDC">
      <w:pPr>
        <w:pStyle w:val="NormalWeb"/>
        <w:spacing w:before="0" w:beforeAutospacing="0" w:after="0" w:afterAutospacing="0" w:line="276" w:lineRule="auto"/>
        <w:jc w:val="both"/>
        <w:rPr>
          <w:rFonts w:ascii="Arial" w:hAnsi="Arial" w:cs="Arial"/>
          <w:color w:val="002060"/>
        </w:rPr>
      </w:pPr>
      <w:hyperlink r:id="rId12" w:history="1">
        <w:r w:rsidR="004B2D90" w:rsidRPr="006E0311">
          <w:rPr>
            <w:rStyle w:val="Hipervnculo"/>
            <w:rFonts w:ascii="Arial" w:hAnsi="Arial" w:cs="Arial"/>
            <w:color w:val="002060"/>
            <w:lang w:val="es-ES"/>
          </w:rPr>
          <w:t>nelianavalencia@profesores.uniajc.edu.co</w:t>
        </w:r>
      </w:hyperlink>
      <w:r w:rsidR="00260DDC" w:rsidRPr="006E0311">
        <w:rPr>
          <w:rFonts w:ascii="Arial" w:hAnsi="Arial" w:cs="Arial"/>
          <w:color w:val="002060"/>
        </w:rPr>
        <w:t xml:space="preserve">    </w:t>
      </w:r>
      <w:hyperlink r:id="rId13" w:history="1">
        <w:r w:rsidR="00260DDC" w:rsidRPr="006E0311">
          <w:rPr>
            <w:rStyle w:val="Hipervnculo"/>
            <w:rFonts w:ascii="Arial" w:hAnsi="Arial" w:cs="Arial"/>
            <w:color w:val="002060"/>
            <w:lang w:val="es-ES"/>
          </w:rPr>
          <w:t>gagiron@admon.uniajc.edu.co</w:t>
        </w:r>
      </w:hyperlink>
    </w:p>
    <w:p w14:paraId="69821D0C" w14:textId="040B0930" w:rsidR="00260DDC" w:rsidRPr="006E0311" w:rsidRDefault="00BB2162" w:rsidP="00134741">
      <w:pPr>
        <w:tabs>
          <w:tab w:val="left" w:pos="5865"/>
        </w:tabs>
        <w:jc w:val="center"/>
        <w:rPr>
          <w:rFonts w:ascii="Arial" w:hAnsi="Arial" w:cs="Arial"/>
          <w:bCs/>
          <w:color w:val="002060"/>
          <w:u w:val="single"/>
          <w:lang w:val="en-US"/>
        </w:rPr>
      </w:pPr>
      <w:r w:rsidRPr="006E0311">
        <w:rPr>
          <w:rFonts w:ascii="Arial" w:hAnsi="Arial" w:cs="Arial"/>
          <w:bCs/>
          <w:color w:val="002060"/>
          <w:u w:val="single"/>
          <w:lang w:val="en-US"/>
        </w:rPr>
        <w:t>.</w:t>
      </w:r>
    </w:p>
    <w:p w14:paraId="1049EAB4" w14:textId="72F39D3F" w:rsidR="00134741" w:rsidRPr="006E0311" w:rsidRDefault="00134741" w:rsidP="00134741">
      <w:pPr>
        <w:tabs>
          <w:tab w:val="left" w:pos="5865"/>
        </w:tabs>
        <w:jc w:val="center"/>
        <w:rPr>
          <w:rFonts w:ascii="Arial" w:hAnsi="Arial" w:cs="Arial"/>
          <w:bCs/>
          <w:color w:val="002060"/>
          <w:u w:val="single"/>
          <w:lang w:val="en-US"/>
        </w:rPr>
      </w:pPr>
      <w:r w:rsidRPr="006E0311">
        <w:rPr>
          <w:rFonts w:ascii="Arial" w:hAnsi="Arial" w:cs="Arial"/>
          <w:bCs/>
          <w:color w:val="002060"/>
          <w:u w:val="single"/>
          <w:lang w:val="en-US"/>
        </w:rPr>
        <w:t>DOI: http://dx.doi.org/10.22458/caes.v16i1.</w:t>
      </w:r>
      <w:r w:rsidR="00633B12">
        <w:rPr>
          <w:rFonts w:ascii="Arial" w:hAnsi="Arial" w:cs="Arial"/>
          <w:bCs/>
          <w:color w:val="002060"/>
          <w:u w:val="single"/>
          <w:lang w:val="en-US"/>
        </w:rPr>
        <w:t>5813</w:t>
      </w:r>
    </w:p>
    <w:p w14:paraId="0AA83A79" w14:textId="77777777" w:rsidR="00134741" w:rsidRDefault="00134741" w:rsidP="00134741">
      <w:pPr>
        <w:tabs>
          <w:tab w:val="left" w:pos="5865"/>
        </w:tabs>
        <w:spacing w:line="276" w:lineRule="auto"/>
        <w:jc w:val="center"/>
        <w:rPr>
          <w:rFonts w:ascii="Arial" w:hAnsi="Arial" w:cs="Arial"/>
          <w:bCs/>
        </w:rPr>
      </w:pPr>
      <w:r>
        <w:rPr>
          <w:rFonts w:ascii="Arial" w:hAnsi="Arial" w:cs="Arial"/>
          <w:bCs/>
        </w:rPr>
        <w:t>Volumen 16, Número 1</w:t>
      </w:r>
    </w:p>
    <w:p w14:paraId="72D7E3C2" w14:textId="77777777" w:rsidR="00134741" w:rsidRDefault="00134741" w:rsidP="00134741">
      <w:pPr>
        <w:tabs>
          <w:tab w:val="left" w:pos="5865"/>
        </w:tabs>
        <w:spacing w:line="276" w:lineRule="auto"/>
        <w:jc w:val="center"/>
        <w:rPr>
          <w:rFonts w:ascii="Arial" w:hAnsi="Arial" w:cs="Arial"/>
          <w:bCs/>
        </w:rPr>
      </w:pPr>
      <w:r>
        <w:rPr>
          <w:rFonts w:ascii="Arial" w:hAnsi="Arial" w:cs="Arial"/>
          <w:bCs/>
        </w:rPr>
        <w:t>30 de mayo de 2025</w:t>
      </w:r>
    </w:p>
    <w:p w14:paraId="1417FEB5" w14:textId="5AC0054F" w:rsidR="00134741" w:rsidRPr="00E96DEC" w:rsidRDefault="00134741" w:rsidP="00E96DEC">
      <w:pPr>
        <w:tabs>
          <w:tab w:val="left" w:pos="5865"/>
        </w:tabs>
        <w:spacing w:line="276" w:lineRule="auto"/>
        <w:jc w:val="center"/>
        <w:rPr>
          <w:rFonts w:ascii="Arial" w:hAnsi="Arial" w:cs="Arial"/>
          <w:bCs/>
        </w:rPr>
      </w:pPr>
      <w:r w:rsidRPr="001A2EAA">
        <w:rPr>
          <w:rFonts w:ascii="Arial" w:hAnsi="Arial" w:cs="Arial"/>
          <w:bCs/>
        </w:rPr>
        <w:t xml:space="preserve">pp. </w:t>
      </w:r>
      <w:r w:rsidR="005D127D">
        <w:rPr>
          <w:rFonts w:ascii="Arial" w:hAnsi="Arial" w:cs="Arial"/>
          <w:bCs/>
        </w:rPr>
        <w:t>17</w:t>
      </w:r>
      <w:r w:rsidRPr="001A2EAA">
        <w:rPr>
          <w:rFonts w:ascii="Arial" w:hAnsi="Arial" w:cs="Arial"/>
          <w:bCs/>
        </w:rPr>
        <w:t>-</w:t>
      </w:r>
      <w:r w:rsidR="00A10BD9">
        <w:rPr>
          <w:rFonts w:ascii="Arial" w:hAnsi="Arial" w:cs="Arial"/>
          <w:bCs/>
        </w:rPr>
        <w:t>3</w:t>
      </w:r>
      <w:r w:rsidR="002734EC">
        <w:rPr>
          <w:rFonts w:ascii="Arial" w:hAnsi="Arial" w:cs="Arial"/>
          <w:bCs/>
        </w:rPr>
        <w:t>9</w:t>
      </w:r>
    </w:p>
    <w:p w14:paraId="79C539F4" w14:textId="398DF630" w:rsidR="00EE78DD" w:rsidRDefault="00134741" w:rsidP="006D3FA8">
      <w:pPr>
        <w:tabs>
          <w:tab w:val="left" w:pos="5865"/>
        </w:tabs>
        <w:spacing w:line="276" w:lineRule="auto"/>
        <w:jc w:val="both"/>
        <w:rPr>
          <w:rFonts w:ascii="Arial" w:hAnsi="Arial" w:cs="Arial"/>
          <w:bCs/>
        </w:rPr>
      </w:pPr>
      <w:r w:rsidRPr="00CB3836">
        <w:rPr>
          <w:rFonts w:ascii="Arial" w:hAnsi="Arial" w:cs="Arial"/>
          <w:bCs/>
        </w:rPr>
        <w:t>Recibido: 01 de octubre de 2024</w:t>
      </w:r>
      <w:r w:rsidR="00EE78DD">
        <w:rPr>
          <w:rFonts w:ascii="Arial" w:hAnsi="Arial" w:cs="Arial"/>
          <w:bCs/>
        </w:rPr>
        <w:t xml:space="preserve">                 </w:t>
      </w:r>
      <w:r w:rsidR="00606630">
        <w:rPr>
          <w:rFonts w:ascii="Arial" w:hAnsi="Arial" w:cs="Arial"/>
          <w:bCs/>
        </w:rPr>
        <w:t xml:space="preserve"> </w:t>
      </w:r>
      <w:r w:rsidR="00EE78DD" w:rsidRPr="00CB3836">
        <w:rPr>
          <w:rFonts w:ascii="Arial" w:hAnsi="Arial" w:cs="Arial"/>
          <w:bCs/>
        </w:rPr>
        <w:t>Aprobado: 30 de enero de 2025</w:t>
      </w:r>
    </w:p>
    <w:p w14:paraId="554EF5FD" w14:textId="76D26D4D" w:rsidR="00C80A80" w:rsidRPr="000F4927" w:rsidRDefault="00C80A80" w:rsidP="000F4927">
      <w:pPr>
        <w:spacing w:line="360" w:lineRule="auto"/>
        <w:jc w:val="both"/>
        <w:rPr>
          <w:rFonts w:ascii="Arial" w:hAnsi="Arial" w:cs="Arial"/>
        </w:rPr>
      </w:pPr>
      <w:r w:rsidRPr="000F4927">
        <w:rPr>
          <w:rFonts w:ascii="Arial" w:hAnsi="Arial" w:cs="Arial"/>
          <w:b/>
          <w:bCs/>
        </w:rPr>
        <w:lastRenderedPageBreak/>
        <w:t>RESUMEN:</w:t>
      </w:r>
      <w:r w:rsidRPr="000F4927">
        <w:rPr>
          <w:rFonts w:ascii="Arial" w:hAnsi="Arial" w:cs="Arial"/>
        </w:rPr>
        <w:t xml:space="preserve"> Los sistemas de salud y gobiernos en todo el mundo no estaban preparados para prestar la atención en salud durante el periodo de pandemia por </w:t>
      </w:r>
      <w:proofErr w:type="spellStart"/>
      <w:r w:rsidRPr="000F4927">
        <w:rPr>
          <w:rFonts w:ascii="Arial" w:hAnsi="Arial" w:cs="Arial"/>
        </w:rPr>
        <w:t>Covid</w:t>
      </w:r>
      <w:proofErr w:type="spellEnd"/>
      <w:r w:rsidRPr="000F4927">
        <w:rPr>
          <w:rFonts w:ascii="Arial" w:hAnsi="Arial" w:cs="Arial"/>
        </w:rPr>
        <w:t xml:space="preserve"> – 19: la mayoría de los países presentaron problemas para velar por las enfermedades no transmisibles, de alto costo y crónicas sumado esto a la atención medica de la pandemia por </w:t>
      </w:r>
      <w:proofErr w:type="spellStart"/>
      <w:r w:rsidRPr="000F4927">
        <w:rPr>
          <w:rFonts w:ascii="Arial" w:hAnsi="Arial" w:cs="Arial"/>
        </w:rPr>
        <w:t>covid</w:t>
      </w:r>
      <w:proofErr w:type="spellEnd"/>
      <w:r w:rsidRPr="000F4927">
        <w:rPr>
          <w:rFonts w:ascii="Arial" w:hAnsi="Arial" w:cs="Arial"/>
        </w:rPr>
        <w:t xml:space="preserve">. Cali no fue ajena a esta problemática pese a las estrategias implementadas tales como atención domiciliaria, </w:t>
      </w:r>
      <w:proofErr w:type="spellStart"/>
      <w:r w:rsidRPr="000F4927">
        <w:rPr>
          <w:rFonts w:ascii="Arial" w:hAnsi="Arial" w:cs="Arial"/>
        </w:rPr>
        <w:t>teleconsulta</w:t>
      </w:r>
      <w:proofErr w:type="spellEnd"/>
      <w:r w:rsidRPr="000F4927">
        <w:rPr>
          <w:rFonts w:ascii="Arial" w:hAnsi="Arial" w:cs="Arial"/>
        </w:rPr>
        <w:t xml:space="preserve"> y priorización de grupos de población vulnerable. </w:t>
      </w:r>
    </w:p>
    <w:p w14:paraId="01B81E15" w14:textId="77777777" w:rsidR="001E705D" w:rsidRPr="000F4927" w:rsidRDefault="001E705D" w:rsidP="000F4927">
      <w:pPr>
        <w:spacing w:line="360" w:lineRule="auto"/>
        <w:jc w:val="both"/>
        <w:rPr>
          <w:rFonts w:ascii="Arial" w:hAnsi="Arial" w:cs="Arial"/>
        </w:rPr>
      </w:pPr>
    </w:p>
    <w:p w14:paraId="513FBDC8" w14:textId="77777777" w:rsidR="00C80A80" w:rsidRPr="000F4927" w:rsidRDefault="00C80A80" w:rsidP="000F4927">
      <w:pPr>
        <w:spacing w:line="360" w:lineRule="auto"/>
        <w:jc w:val="both"/>
        <w:rPr>
          <w:rFonts w:ascii="Arial" w:hAnsi="Arial" w:cs="Arial"/>
        </w:rPr>
      </w:pPr>
      <w:r w:rsidRPr="000F4927">
        <w:rPr>
          <w:rFonts w:ascii="Arial" w:hAnsi="Arial" w:cs="Arial"/>
        </w:rPr>
        <w:t>OBJETIVO: Identificar las principales barreras de acceso que afectan la prestación de servicios de salud en Santiago de Cali durante la pandemia COVID 19 en el periodo 2020 a 2021.</w:t>
      </w:r>
    </w:p>
    <w:p w14:paraId="76422383" w14:textId="77777777" w:rsidR="001E705D" w:rsidRPr="000F4927" w:rsidRDefault="001E705D" w:rsidP="000F4927">
      <w:pPr>
        <w:spacing w:line="360" w:lineRule="auto"/>
        <w:jc w:val="both"/>
        <w:rPr>
          <w:rFonts w:ascii="Arial" w:hAnsi="Arial" w:cs="Arial"/>
        </w:rPr>
      </w:pPr>
    </w:p>
    <w:p w14:paraId="15607774" w14:textId="0F66CFE4" w:rsidR="00C80A80" w:rsidRPr="000F4927" w:rsidRDefault="00C80A80" w:rsidP="000F4927">
      <w:pPr>
        <w:spacing w:line="360" w:lineRule="auto"/>
        <w:jc w:val="both"/>
        <w:rPr>
          <w:rFonts w:ascii="Arial" w:hAnsi="Arial" w:cs="Arial"/>
        </w:rPr>
      </w:pPr>
      <w:r w:rsidRPr="000F4927">
        <w:rPr>
          <w:rFonts w:ascii="Arial" w:hAnsi="Arial" w:cs="Arial"/>
        </w:rPr>
        <w:t xml:space="preserve">MATERIAL Y METODOS: Se realizó un estudio descriptivo de corte transversal, utilizando la información recolectada por la Secretaría de Salud Pública de Cali a través del Servicio de Atención a la Comunidad (SAC) durante los años 2020 a 2021. Se utilizaron un total de 47.253 reportes. </w:t>
      </w:r>
    </w:p>
    <w:p w14:paraId="15F5B4D9" w14:textId="77777777" w:rsidR="001E705D" w:rsidRPr="000F4927" w:rsidRDefault="001E705D" w:rsidP="000F4927">
      <w:pPr>
        <w:spacing w:line="360" w:lineRule="auto"/>
        <w:jc w:val="both"/>
        <w:rPr>
          <w:rFonts w:ascii="Arial" w:hAnsi="Arial" w:cs="Arial"/>
        </w:rPr>
      </w:pPr>
    </w:p>
    <w:p w14:paraId="30D34FCB" w14:textId="0FF5614B" w:rsidR="00C80A80" w:rsidRPr="000F4927" w:rsidRDefault="00C80A80" w:rsidP="000F4927">
      <w:pPr>
        <w:spacing w:line="360" w:lineRule="auto"/>
        <w:jc w:val="both"/>
        <w:rPr>
          <w:rFonts w:ascii="Arial" w:hAnsi="Arial" w:cs="Arial"/>
        </w:rPr>
      </w:pPr>
      <w:r w:rsidRPr="000F4927">
        <w:rPr>
          <w:rFonts w:ascii="Arial" w:hAnsi="Arial" w:cs="Arial"/>
        </w:rPr>
        <w:t xml:space="preserve">RESULTADOS: </w:t>
      </w:r>
      <w:r w:rsidR="001D271D">
        <w:rPr>
          <w:rFonts w:ascii="Arial" w:hAnsi="Arial" w:cs="Arial"/>
        </w:rPr>
        <w:t>E</w:t>
      </w:r>
      <w:r w:rsidRPr="000F4927">
        <w:rPr>
          <w:rFonts w:ascii="Arial" w:hAnsi="Arial" w:cs="Arial"/>
        </w:rPr>
        <w:t xml:space="preserve">l Distrito de Aguablanca (comunas 13, 14, 15 y 21) presentó el mayor porcentaje de reportes de barreras por accesibilidad con un 21% y el sur de la ciudad (comunas 10, 17 y 18) con el 16%. El impacto del Covid-19 en materia económica aumentó la precarización y pobreza en la ciudad  </w:t>
      </w:r>
    </w:p>
    <w:p w14:paraId="212B6E4C" w14:textId="77777777" w:rsidR="001E705D" w:rsidRPr="000F4927" w:rsidRDefault="001E705D" w:rsidP="000F4927">
      <w:pPr>
        <w:spacing w:line="360" w:lineRule="auto"/>
        <w:jc w:val="both"/>
        <w:rPr>
          <w:rFonts w:ascii="Arial" w:hAnsi="Arial" w:cs="Arial"/>
        </w:rPr>
      </w:pPr>
    </w:p>
    <w:p w14:paraId="35A8F07E" w14:textId="0E279FD5" w:rsidR="00C80A80" w:rsidRPr="000F4927" w:rsidRDefault="00C80A80" w:rsidP="000F4927">
      <w:pPr>
        <w:spacing w:line="360" w:lineRule="auto"/>
        <w:jc w:val="both"/>
        <w:rPr>
          <w:rFonts w:ascii="Arial" w:hAnsi="Arial" w:cs="Arial"/>
        </w:rPr>
      </w:pPr>
      <w:r w:rsidRPr="000F4927">
        <w:rPr>
          <w:rFonts w:ascii="Arial" w:hAnsi="Arial" w:cs="Arial"/>
        </w:rPr>
        <w:lastRenderedPageBreak/>
        <w:t>CONCLUSIONES: La infraestructura sanitaria limitada en áreas como el distrito de Aguablanca incrementó las disparidades en la atención médica, dificultando especialmente el acceso para los sectores más vulnerables de la población.</w:t>
      </w:r>
    </w:p>
    <w:p w14:paraId="2D1EF222" w14:textId="77777777" w:rsidR="00C80A80" w:rsidRPr="000F4927" w:rsidRDefault="00C80A80" w:rsidP="000F4927">
      <w:pPr>
        <w:spacing w:line="360" w:lineRule="auto"/>
        <w:jc w:val="both"/>
        <w:rPr>
          <w:rFonts w:ascii="Arial" w:hAnsi="Arial" w:cs="Arial"/>
        </w:rPr>
      </w:pPr>
    </w:p>
    <w:p w14:paraId="173BCC75" w14:textId="77777777" w:rsidR="00C80A80" w:rsidRPr="000F4927" w:rsidRDefault="00C80A80" w:rsidP="000F4927">
      <w:pPr>
        <w:spacing w:line="360" w:lineRule="auto"/>
        <w:jc w:val="both"/>
        <w:rPr>
          <w:rFonts w:ascii="Arial" w:hAnsi="Arial" w:cs="Arial"/>
        </w:rPr>
      </w:pPr>
      <w:r w:rsidRPr="000F4927">
        <w:rPr>
          <w:rFonts w:ascii="Arial" w:hAnsi="Arial" w:cs="Arial"/>
          <w:b/>
          <w:bCs/>
        </w:rPr>
        <w:t>Palabras clave:</w:t>
      </w:r>
      <w:r w:rsidRPr="000F4927">
        <w:rPr>
          <w:rFonts w:ascii="Arial" w:hAnsi="Arial" w:cs="Arial"/>
        </w:rPr>
        <w:t xml:space="preserve"> Barreras, acceso, </w:t>
      </w:r>
      <w:proofErr w:type="spellStart"/>
      <w:r w:rsidRPr="000F4927">
        <w:rPr>
          <w:rFonts w:ascii="Arial" w:hAnsi="Arial" w:cs="Arial"/>
        </w:rPr>
        <w:t>covid</w:t>
      </w:r>
      <w:proofErr w:type="spellEnd"/>
      <w:r w:rsidRPr="000F4927">
        <w:rPr>
          <w:rFonts w:ascii="Arial" w:hAnsi="Arial" w:cs="Arial"/>
        </w:rPr>
        <w:t xml:space="preserve">, atención, pandemia, accesibilidad, salud </w:t>
      </w:r>
    </w:p>
    <w:p w14:paraId="24CEBD8C" w14:textId="77777777" w:rsidR="00DA3F34" w:rsidRPr="000F4927" w:rsidRDefault="00DA3F34" w:rsidP="000F4927">
      <w:pPr>
        <w:spacing w:line="360" w:lineRule="auto"/>
        <w:jc w:val="both"/>
        <w:rPr>
          <w:rFonts w:ascii="Arial" w:hAnsi="Arial" w:cs="Arial"/>
          <w:b/>
        </w:rPr>
      </w:pPr>
    </w:p>
    <w:p w14:paraId="0D30BF50" w14:textId="405C023D" w:rsidR="00C80A80" w:rsidRPr="000F4927" w:rsidRDefault="00C80A80" w:rsidP="000F4927">
      <w:pPr>
        <w:spacing w:line="360" w:lineRule="auto"/>
        <w:jc w:val="both"/>
        <w:rPr>
          <w:rFonts w:ascii="Arial" w:hAnsi="Arial" w:cs="Arial"/>
          <w:lang w:val="en-US"/>
        </w:rPr>
      </w:pPr>
      <w:r w:rsidRPr="000F4927">
        <w:rPr>
          <w:rFonts w:ascii="Arial" w:hAnsi="Arial" w:cs="Arial"/>
          <w:b/>
          <w:lang w:val="en-US"/>
        </w:rPr>
        <w:t>ABSTRACT</w:t>
      </w:r>
      <w:r w:rsidRPr="000F4927">
        <w:rPr>
          <w:rFonts w:ascii="Arial" w:hAnsi="Arial" w:cs="Arial"/>
          <w:lang w:val="en-US"/>
        </w:rPr>
        <w:t xml:space="preserve">: Health systems and governments around the world were not prepared to provide health care during the Covid-19 pandemic period: most countries had problems in ensuring non-communicable, high-cost and chronic diseases, in addition to the medical care of the </w:t>
      </w:r>
      <w:proofErr w:type="spellStart"/>
      <w:r w:rsidRPr="000F4927">
        <w:rPr>
          <w:rFonts w:ascii="Arial" w:hAnsi="Arial" w:cs="Arial"/>
          <w:lang w:val="en-US"/>
        </w:rPr>
        <w:t>Covid</w:t>
      </w:r>
      <w:proofErr w:type="spellEnd"/>
      <w:r w:rsidRPr="000F4927">
        <w:rPr>
          <w:rFonts w:ascii="Arial" w:hAnsi="Arial" w:cs="Arial"/>
          <w:lang w:val="en-US"/>
        </w:rPr>
        <w:t xml:space="preserve"> pandemic. Cali was not exempt to this problem despite the strategies implemented such as home care, teleconsultation and prioritization of vulnerable population groups.</w:t>
      </w:r>
    </w:p>
    <w:p w14:paraId="0255A0C9" w14:textId="77777777" w:rsidR="00DA3F34" w:rsidRPr="000F4927" w:rsidRDefault="00DA3F34" w:rsidP="000F4927">
      <w:pPr>
        <w:spacing w:line="360" w:lineRule="auto"/>
        <w:jc w:val="both"/>
        <w:rPr>
          <w:rFonts w:ascii="Arial" w:hAnsi="Arial" w:cs="Arial"/>
          <w:lang w:val="en-US"/>
        </w:rPr>
      </w:pPr>
    </w:p>
    <w:p w14:paraId="2228060E" w14:textId="2A4A601A" w:rsidR="00C80A80" w:rsidRPr="000F4927" w:rsidRDefault="00C80A80" w:rsidP="000F4927">
      <w:pPr>
        <w:spacing w:line="360" w:lineRule="auto"/>
        <w:jc w:val="both"/>
        <w:rPr>
          <w:rFonts w:ascii="Arial" w:hAnsi="Arial" w:cs="Arial"/>
          <w:lang w:val="en-US"/>
        </w:rPr>
      </w:pPr>
      <w:r w:rsidRPr="000F4927">
        <w:rPr>
          <w:rFonts w:ascii="Arial" w:hAnsi="Arial" w:cs="Arial"/>
          <w:lang w:val="en-US"/>
        </w:rPr>
        <w:t>OBJECTIVE: To identify the main access barriers that affect the provision of health services in Santiago de Cali during the COVID-19 pandemic in the period 2020 to 2021.</w:t>
      </w:r>
    </w:p>
    <w:p w14:paraId="14120E65" w14:textId="77777777" w:rsidR="00DA3F34" w:rsidRPr="000F4927" w:rsidRDefault="00DA3F34" w:rsidP="000F4927">
      <w:pPr>
        <w:spacing w:line="360" w:lineRule="auto"/>
        <w:jc w:val="both"/>
        <w:rPr>
          <w:rFonts w:ascii="Arial" w:hAnsi="Arial" w:cs="Arial"/>
          <w:lang w:val="en-US"/>
        </w:rPr>
      </w:pPr>
    </w:p>
    <w:p w14:paraId="747CFE15" w14:textId="5D0E990A" w:rsidR="00C80A80" w:rsidRPr="000F4927" w:rsidRDefault="00C80A80" w:rsidP="000F4927">
      <w:pPr>
        <w:spacing w:line="360" w:lineRule="auto"/>
        <w:jc w:val="both"/>
        <w:rPr>
          <w:rFonts w:ascii="Arial" w:hAnsi="Arial" w:cs="Arial"/>
          <w:lang w:val="en-US"/>
        </w:rPr>
      </w:pPr>
      <w:r w:rsidRPr="000F4927">
        <w:rPr>
          <w:rFonts w:ascii="Arial" w:hAnsi="Arial" w:cs="Arial"/>
          <w:lang w:val="en-US"/>
        </w:rPr>
        <w:t>MATERIAL AND METHODS: A descriptive cross-sectional study was carried out, using the information collected by the Cali Public Health Secretariat through the Community Care Service (SAC) during the years 2020 to 2021. A total of 47,253 reports were used.</w:t>
      </w:r>
    </w:p>
    <w:p w14:paraId="1F6B544D" w14:textId="77777777" w:rsidR="00DA3F34" w:rsidRPr="000F4927" w:rsidRDefault="00DA3F34" w:rsidP="000F4927">
      <w:pPr>
        <w:spacing w:line="360" w:lineRule="auto"/>
        <w:jc w:val="both"/>
        <w:rPr>
          <w:rFonts w:ascii="Arial" w:hAnsi="Arial" w:cs="Arial"/>
          <w:lang w:val="en-US"/>
        </w:rPr>
      </w:pPr>
    </w:p>
    <w:p w14:paraId="7A2C51E7" w14:textId="13BEF28A" w:rsidR="00C80A80" w:rsidRPr="000F4927" w:rsidRDefault="00C80A80" w:rsidP="000F4927">
      <w:pPr>
        <w:spacing w:line="360" w:lineRule="auto"/>
        <w:jc w:val="both"/>
        <w:rPr>
          <w:rFonts w:ascii="Arial" w:hAnsi="Arial" w:cs="Arial"/>
          <w:lang w:val="en-US"/>
        </w:rPr>
      </w:pPr>
      <w:r w:rsidRPr="000F4927">
        <w:rPr>
          <w:rFonts w:ascii="Arial" w:hAnsi="Arial" w:cs="Arial"/>
          <w:lang w:val="en-US"/>
        </w:rPr>
        <w:lastRenderedPageBreak/>
        <w:t xml:space="preserve">RESULTS: The </w:t>
      </w:r>
      <w:proofErr w:type="spellStart"/>
      <w:r w:rsidRPr="000F4927">
        <w:rPr>
          <w:rFonts w:ascii="Arial" w:hAnsi="Arial" w:cs="Arial"/>
          <w:lang w:val="en-US"/>
        </w:rPr>
        <w:t>Aguablanca</w:t>
      </w:r>
      <w:proofErr w:type="spellEnd"/>
      <w:r w:rsidRPr="000F4927">
        <w:rPr>
          <w:rFonts w:ascii="Arial" w:hAnsi="Arial" w:cs="Arial"/>
          <w:lang w:val="en-US"/>
        </w:rPr>
        <w:t xml:space="preserve"> District (communes 13, 14, 15 and 21) had the highest percentage of reports of accessibility barriers with 21% and the south of the city (communes 10, 17 and 18) with 16%. The economic impact of Covid-19 increased precariousness and poverty in the city.</w:t>
      </w:r>
    </w:p>
    <w:p w14:paraId="253111AD" w14:textId="77777777" w:rsidR="00DA3F34" w:rsidRPr="000F4927" w:rsidRDefault="00DA3F34" w:rsidP="000F4927">
      <w:pPr>
        <w:spacing w:line="360" w:lineRule="auto"/>
        <w:jc w:val="both"/>
        <w:rPr>
          <w:rFonts w:ascii="Arial" w:hAnsi="Arial" w:cs="Arial"/>
          <w:lang w:val="en-US"/>
        </w:rPr>
      </w:pPr>
    </w:p>
    <w:p w14:paraId="114F08E0" w14:textId="738DE257" w:rsidR="00C80A80" w:rsidRPr="000F4927" w:rsidRDefault="00C80A80" w:rsidP="000F4927">
      <w:pPr>
        <w:spacing w:line="360" w:lineRule="auto"/>
        <w:jc w:val="both"/>
        <w:rPr>
          <w:rFonts w:ascii="Arial" w:hAnsi="Arial" w:cs="Arial"/>
          <w:lang w:val="en-US"/>
        </w:rPr>
      </w:pPr>
      <w:r w:rsidRPr="000F4927">
        <w:rPr>
          <w:rFonts w:ascii="Arial" w:hAnsi="Arial" w:cs="Arial"/>
          <w:lang w:val="en-US"/>
        </w:rPr>
        <w:t xml:space="preserve">CONCLUSIONS: The limited health infrastructure in areas such as the </w:t>
      </w:r>
      <w:proofErr w:type="spellStart"/>
      <w:r w:rsidRPr="000F4927">
        <w:rPr>
          <w:rFonts w:ascii="Arial" w:hAnsi="Arial" w:cs="Arial"/>
          <w:lang w:val="en-US"/>
        </w:rPr>
        <w:t>Aguablanca</w:t>
      </w:r>
      <w:proofErr w:type="spellEnd"/>
      <w:r w:rsidRPr="000F4927">
        <w:rPr>
          <w:rFonts w:ascii="Arial" w:hAnsi="Arial" w:cs="Arial"/>
          <w:lang w:val="en-US"/>
        </w:rPr>
        <w:t xml:space="preserve"> district increased disparities in health care, making access especially difficult for the most vulnerable sectors of the population.</w:t>
      </w:r>
    </w:p>
    <w:p w14:paraId="201439E4" w14:textId="77777777" w:rsidR="00C80A80" w:rsidRPr="000F4927" w:rsidRDefault="00C80A80" w:rsidP="000F4927">
      <w:pPr>
        <w:spacing w:line="360" w:lineRule="auto"/>
        <w:jc w:val="both"/>
        <w:rPr>
          <w:rFonts w:ascii="Arial" w:hAnsi="Arial" w:cs="Arial"/>
          <w:lang w:val="en-US"/>
        </w:rPr>
      </w:pPr>
    </w:p>
    <w:p w14:paraId="42FDA25D" w14:textId="77777777" w:rsidR="00C80A80" w:rsidRPr="000F4927" w:rsidRDefault="00C80A80" w:rsidP="000F4927">
      <w:pPr>
        <w:spacing w:line="360" w:lineRule="auto"/>
        <w:jc w:val="both"/>
        <w:rPr>
          <w:rFonts w:ascii="Arial" w:hAnsi="Arial" w:cs="Arial"/>
          <w:lang w:val="en-US"/>
        </w:rPr>
      </w:pPr>
      <w:r w:rsidRPr="000F4927">
        <w:rPr>
          <w:rFonts w:ascii="Arial" w:hAnsi="Arial" w:cs="Arial"/>
          <w:b/>
          <w:bCs/>
          <w:lang w:val="en-US"/>
        </w:rPr>
        <w:t>Key words</w:t>
      </w:r>
      <w:r w:rsidRPr="000F4927">
        <w:rPr>
          <w:rFonts w:ascii="Arial" w:hAnsi="Arial" w:cs="Arial"/>
          <w:lang w:val="en-US"/>
        </w:rPr>
        <w:t xml:space="preserve">: Barriers, access, </w:t>
      </w:r>
      <w:proofErr w:type="spellStart"/>
      <w:r w:rsidRPr="000F4927">
        <w:rPr>
          <w:rFonts w:ascii="Arial" w:hAnsi="Arial" w:cs="Arial"/>
          <w:lang w:val="en-US"/>
        </w:rPr>
        <w:t>covid</w:t>
      </w:r>
      <w:proofErr w:type="spellEnd"/>
      <w:r w:rsidRPr="000F4927">
        <w:rPr>
          <w:rFonts w:ascii="Arial" w:hAnsi="Arial" w:cs="Arial"/>
          <w:lang w:val="en-US"/>
        </w:rPr>
        <w:t>, care,</w:t>
      </w:r>
      <w:r w:rsidRPr="000F4927">
        <w:rPr>
          <w:rFonts w:ascii="Arial" w:hAnsi="Arial" w:cs="Arial"/>
          <w:color w:val="FF0000"/>
          <w:lang w:val="en-US"/>
        </w:rPr>
        <w:t xml:space="preserve"> </w:t>
      </w:r>
      <w:r w:rsidRPr="000F4927">
        <w:rPr>
          <w:rFonts w:ascii="Arial" w:hAnsi="Arial" w:cs="Arial"/>
          <w:lang w:val="en-US"/>
        </w:rPr>
        <w:t>pandemic, accessibility, health</w:t>
      </w:r>
    </w:p>
    <w:p w14:paraId="54BD43BB" w14:textId="77777777" w:rsidR="00DA3F34" w:rsidRPr="000F4927" w:rsidRDefault="00DA3F34" w:rsidP="000F4927">
      <w:pPr>
        <w:pStyle w:val="Contenido1"/>
        <w:spacing w:line="360" w:lineRule="auto"/>
        <w:ind w:firstLine="0"/>
        <w:rPr>
          <w:rFonts w:ascii="Arial" w:hAnsi="Arial" w:cs="Arial"/>
          <w:b/>
          <w:bCs/>
          <w:sz w:val="24"/>
          <w:szCs w:val="24"/>
          <w:lang w:val="en-US"/>
        </w:rPr>
      </w:pPr>
    </w:p>
    <w:p w14:paraId="285B4916" w14:textId="77777777" w:rsidR="00A556BE" w:rsidRPr="00A556BE" w:rsidRDefault="00A556BE" w:rsidP="000F4927">
      <w:pPr>
        <w:pStyle w:val="Contenido1"/>
        <w:spacing w:line="360" w:lineRule="auto"/>
        <w:ind w:firstLine="0"/>
        <w:rPr>
          <w:rFonts w:ascii="Arial" w:hAnsi="Arial" w:cs="Arial"/>
          <w:b/>
          <w:bCs/>
          <w:sz w:val="24"/>
          <w:szCs w:val="24"/>
          <w:lang w:val="en-US"/>
        </w:rPr>
      </w:pPr>
    </w:p>
    <w:p w14:paraId="5E1CE173" w14:textId="77777777" w:rsidR="00A556BE" w:rsidRDefault="00A556BE" w:rsidP="000F4927">
      <w:pPr>
        <w:pStyle w:val="Contenido1"/>
        <w:spacing w:line="360" w:lineRule="auto"/>
        <w:ind w:firstLine="0"/>
        <w:rPr>
          <w:rFonts w:ascii="Arial" w:hAnsi="Arial" w:cs="Arial"/>
          <w:b/>
          <w:bCs/>
          <w:sz w:val="24"/>
          <w:szCs w:val="24"/>
          <w:lang w:val="en-US"/>
        </w:rPr>
      </w:pPr>
    </w:p>
    <w:p w14:paraId="0535A3D4" w14:textId="77777777" w:rsidR="00A556BE" w:rsidRPr="006E0311" w:rsidRDefault="00A556BE" w:rsidP="000F4927">
      <w:pPr>
        <w:pStyle w:val="Contenido1"/>
        <w:spacing w:line="360" w:lineRule="auto"/>
        <w:ind w:firstLine="0"/>
        <w:rPr>
          <w:rFonts w:ascii="Arial" w:hAnsi="Arial" w:cs="Arial"/>
          <w:b/>
          <w:bCs/>
          <w:sz w:val="24"/>
          <w:szCs w:val="24"/>
          <w:lang w:val="en-US"/>
        </w:rPr>
      </w:pPr>
    </w:p>
    <w:p w14:paraId="61D60315" w14:textId="77777777" w:rsidR="00A556BE" w:rsidRPr="006E0311" w:rsidRDefault="00A556BE" w:rsidP="000F4927">
      <w:pPr>
        <w:pStyle w:val="Contenido1"/>
        <w:spacing w:line="360" w:lineRule="auto"/>
        <w:ind w:firstLine="0"/>
        <w:rPr>
          <w:rFonts w:ascii="Arial" w:hAnsi="Arial" w:cs="Arial"/>
          <w:b/>
          <w:bCs/>
          <w:sz w:val="24"/>
          <w:szCs w:val="24"/>
          <w:lang w:val="en-US"/>
        </w:rPr>
      </w:pPr>
    </w:p>
    <w:p w14:paraId="5F273E55" w14:textId="77777777" w:rsidR="00A556BE" w:rsidRPr="006E0311" w:rsidRDefault="00A556BE" w:rsidP="000F4927">
      <w:pPr>
        <w:pStyle w:val="Contenido1"/>
        <w:spacing w:line="360" w:lineRule="auto"/>
        <w:ind w:firstLine="0"/>
        <w:rPr>
          <w:rFonts w:ascii="Arial" w:hAnsi="Arial" w:cs="Arial"/>
          <w:b/>
          <w:bCs/>
          <w:sz w:val="24"/>
          <w:szCs w:val="24"/>
          <w:lang w:val="en-US"/>
        </w:rPr>
      </w:pPr>
    </w:p>
    <w:p w14:paraId="31B7C039" w14:textId="77777777" w:rsidR="00A556BE" w:rsidRPr="006E0311" w:rsidRDefault="00A556BE" w:rsidP="000F4927">
      <w:pPr>
        <w:pStyle w:val="Contenido1"/>
        <w:spacing w:line="360" w:lineRule="auto"/>
        <w:ind w:firstLine="0"/>
        <w:rPr>
          <w:rFonts w:ascii="Arial" w:hAnsi="Arial" w:cs="Arial"/>
          <w:b/>
          <w:bCs/>
          <w:sz w:val="24"/>
          <w:szCs w:val="24"/>
          <w:lang w:val="en-US"/>
        </w:rPr>
      </w:pPr>
    </w:p>
    <w:p w14:paraId="0DA004BF" w14:textId="77777777" w:rsidR="00A556BE" w:rsidRPr="006E0311" w:rsidRDefault="00A556BE" w:rsidP="000F4927">
      <w:pPr>
        <w:pStyle w:val="Contenido1"/>
        <w:spacing w:line="360" w:lineRule="auto"/>
        <w:ind w:firstLine="0"/>
        <w:rPr>
          <w:rFonts w:ascii="Arial" w:hAnsi="Arial" w:cs="Arial"/>
          <w:b/>
          <w:bCs/>
          <w:sz w:val="24"/>
          <w:szCs w:val="24"/>
          <w:lang w:val="en-US"/>
        </w:rPr>
      </w:pPr>
    </w:p>
    <w:p w14:paraId="6D5B594C" w14:textId="77777777" w:rsidR="00A556BE" w:rsidRPr="006E0311" w:rsidRDefault="00A556BE" w:rsidP="000F4927">
      <w:pPr>
        <w:pStyle w:val="Contenido1"/>
        <w:spacing w:line="360" w:lineRule="auto"/>
        <w:ind w:firstLine="0"/>
        <w:rPr>
          <w:rFonts w:ascii="Arial" w:hAnsi="Arial" w:cs="Arial"/>
          <w:b/>
          <w:bCs/>
          <w:sz w:val="24"/>
          <w:szCs w:val="24"/>
          <w:lang w:val="en-US"/>
        </w:rPr>
      </w:pPr>
    </w:p>
    <w:p w14:paraId="46DA0D4A" w14:textId="77777777" w:rsidR="00A556BE" w:rsidRPr="006E0311" w:rsidRDefault="00A556BE" w:rsidP="000F4927">
      <w:pPr>
        <w:pStyle w:val="Contenido1"/>
        <w:spacing w:line="360" w:lineRule="auto"/>
        <w:ind w:firstLine="0"/>
        <w:rPr>
          <w:rFonts w:ascii="Arial" w:hAnsi="Arial" w:cs="Arial"/>
          <w:b/>
          <w:bCs/>
          <w:sz w:val="24"/>
          <w:szCs w:val="24"/>
          <w:lang w:val="en-US"/>
        </w:rPr>
      </w:pPr>
    </w:p>
    <w:p w14:paraId="53362E20" w14:textId="77777777" w:rsidR="00A556BE" w:rsidRPr="006E0311" w:rsidRDefault="00A556BE" w:rsidP="000F4927">
      <w:pPr>
        <w:pStyle w:val="Contenido1"/>
        <w:spacing w:line="360" w:lineRule="auto"/>
        <w:ind w:firstLine="0"/>
        <w:rPr>
          <w:rFonts w:ascii="Arial" w:hAnsi="Arial" w:cs="Arial"/>
          <w:b/>
          <w:bCs/>
          <w:sz w:val="24"/>
          <w:szCs w:val="24"/>
          <w:lang w:val="en-US"/>
        </w:rPr>
      </w:pPr>
    </w:p>
    <w:p w14:paraId="363DD923" w14:textId="77777777" w:rsidR="00A556BE" w:rsidRPr="006E0311" w:rsidRDefault="00A556BE" w:rsidP="000F4927">
      <w:pPr>
        <w:pStyle w:val="Contenido1"/>
        <w:spacing w:line="360" w:lineRule="auto"/>
        <w:ind w:firstLine="0"/>
        <w:rPr>
          <w:rFonts w:ascii="Arial" w:hAnsi="Arial" w:cs="Arial"/>
          <w:b/>
          <w:bCs/>
          <w:sz w:val="24"/>
          <w:szCs w:val="24"/>
          <w:lang w:val="en-US"/>
        </w:rPr>
      </w:pPr>
    </w:p>
    <w:p w14:paraId="174AAF04" w14:textId="60945997" w:rsidR="00C80A80" w:rsidRPr="000F4927" w:rsidRDefault="00C80A80" w:rsidP="000F4927">
      <w:pPr>
        <w:pStyle w:val="Contenido1"/>
        <w:spacing w:line="360" w:lineRule="auto"/>
        <w:ind w:firstLine="0"/>
        <w:rPr>
          <w:rFonts w:ascii="Arial" w:hAnsi="Arial" w:cs="Arial"/>
          <w:b/>
          <w:bCs/>
          <w:sz w:val="24"/>
          <w:szCs w:val="24"/>
        </w:rPr>
      </w:pPr>
      <w:r w:rsidRPr="000F4927">
        <w:rPr>
          <w:rFonts w:ascii="Arial" w:hAnsi="Arial" w:cs="Arial"/>
          <w:b/>
          <w:bCs/>
          <w:sz w:val="24"/>
          <w:szCs w:val="24"/>
        </w:rPr>
        <w:lastRenderedPageBreak/>
        <w:t>INTRODUCCIÓN</w:t>
      </w:r>
    </w:p>
    <w:p w14:paraId="5FC8753D" w14:textId="77777777" w:rsidR="00DA3F34" w:rsidRPr="000F4927" w:rsidRDefault="00DA3F34" w:rsidP="000F4927">
      <w:pPr>
        <w:spacing w:line="360" w:lineRule="auto"/>
        <w:jc w:val="both"/>
        <w:rPr>
          <w:rFonts w:ascii="Arial" w:hAnsi="Arial" w:cs="Arial"/>
          <w:lang w:val="es-ES" w:eastAsia="ja-JP"/>
        </w:rPr>
      </w:pPr>
    </w:p>
    <w:p w14:paraId="2728EF24" w14:textId="297DF262" w:rsidR="00C80A80" w:rsidRPr="000F4927" w:rsidRDefault="00C80A80" w:rsidP="000F4927">
      <w:pPr>
        <w:spacing w:line="360" w:lineRule="auto"/>
        <w:jc w:val="both"/>
        <w:rPr>
          <w:rFonts w:ascii="Arial" w:hAnsi="Arial" w:cs="Arial"/>
          <w:lang w:val="es-ES" w:eastAsia="ja-JP"/>
        </w:rPr>
      </w:pPr>
      <w:r w:rsidRPr="000F4927">
        <w:rPr>
          <w:rFonts w:ascii="Arial" w:hAnsi="Arial" w:cs="Arial"/>
          <w:lang w:val="es-ES" w:eastAsia="ja-JP"/>
        </w:rPr>
        <w:t xml:space="preserve">Los sistemas de salud y gobiernos mundiales no estaban preparados ante la aparición del Sars-Cov2, motivo por el cual se convirtió en un gran reto para todos y planteó desafíos a nivel de salud pública en cuanto a las estrategias de implementación inmediata para contención del virus, medición de la propagación y las capacidades hospitalarias de las instituciones de salud para la atención de la salud de las personas con patologías preexistentes y las emergentes gracias al Covid-19. </w:t>
      </w:r>
      <w:sdt>
        <w:sdtPr>
          <w:rPr>
            <w:rFonts w:ascii="Arial" w:hAnsi="Arial" w:cs="Arial"/>
            <w:lang w:val="es-ES" w:eastAsia="ja-JP"/>
          </w:rPr>
          <w:id w:val="951133790"/>
          <w:citation/>
        </w:sdtPr>
        <w:sdtEndPr/>
        <w:sdtContent>
          <w:r w:rsidRPr="000F4927">
            <w:rPr>
              <w:rFonts w:ascii="Arial" w:hAnsi="Arial" w:cs="Arial"/>
              <w:lang w:val="es-ES" w:eastAsia="ja-JP"/>
            </w:rPr>
            <w:fldChar w:fldCharType="begin"/>
          </w:r>
          <w:r w:rsidRPr="000F4927">
            <w:rPr>
              <w:rFonts w:ascii="Arial" w:hAnsi="Arial" w:cs="Arial"/>
              <w:lang w:val="es-ES" w:eastAsia="ja-JP"/>
            </w:rPr>
            <w:instrText xml:space="preserve">CITATION Min203 \t  \l 3082 </w:instrText>
          </w:r>
          <w:r w:rsidRPr="000F4927">
            <w:rPr>
              <w:rFonts w:ascii="Arial" w:hAnsi="Arial" w:cs="Arial"/>
              <w:lang w:val="es-ES" w:eastAsia="ja-JP"/>
            </w:rPr>
            <w:fldChar w:fldCharType="separate"/>
          </w:r>
          <w:r w:rsidRPr="000F4927">
            <w:rPr>
              <w:rFonts w:ascii="Arial" w:hAnsi="Arial" w:cs="Arial"/>
              <w:lang w:val="es-ES" w:eastAsia="ja-JP"/>
            </w:rPr>
            <w:t>(Social, 2020)</w:t>
          </w:r>
          <w:r w:rsidRPr="000F4927">
            <w:rPr>
              <w:rFonts w:ascii="Arial" w:hAnsi="Arial" w:cs="Arial"/>
              <w:lang w:val="es-ES" w:eastAsia="ja-JP"/>
            </w:rPr>
            <w:fldChar w:fldCharType="end"/>
          </w:r>
        </w:sdtContent>
      </w:sdt>
      <w:r w:rsidRPr="000F4927">
        <w:rPr>
          <w:rFonts w:ascii="Arial" w:hAnsi="Arial" w:cs="Arial"/>
          <w:lang w:val="es-ES" w:eastAsia="ja-JP"/>
        </w:rPr>
        <w:t>.</w:t>
      </w:r>
    </w:p>
    <w:p w14:paraId="686B04E1" w14:textId="77777777" w:rsidR="00C80A80" w:rsidRPr="000F4927" w:rsidRDefault="00C80A80" w:rsidP="000F4927">
      <w:pPr>
        <w:spacing w:line="360" w:lineRule="auto"/>
        <w:jc w:val="both"/>
        <w:rPr>
          <w:rFonts w:ascii="Arial" w:hAnsi="Arial" w:cs="Arial"/>
          <w:lang w:val="es-ES" w:eastAsia="ja-JP"/>
        </w:rPr>
      </w:pPr>
    </w:p>
    <w:p w14:paraId="6CA70C8B" w14:textId="77777777" w:rsidR="00C80A80" w:rsidRPr="000F4927" w:rsidRDefault="00C80A80" w:rsidP="000F4927">
      <w:pPr>
        <w:pStyle w:val="NormalWeb"/>
        <w:spacing w:before="0" w:beforeAutospacing="0" w:after="0" w:afterAutospacing="0" w:line="360" w:lineRule="auto"/>
        <w:jc w:val="both"/>
        <w:rPr>
          <w:rFonts w:ascii="Arial" w:eastAsiaTheme="minorHAnsi" w:hAnsi="Arial" w:cs="Arial"/>
          <w:lang w:eastAsia="ja-JP"/>
        </w:rPr>
      </w:pPr>
      <w:r w:rsidRPr="000F4927">
        <w:rPr>
          <w:rFonts w:ascii="Arial" w:eastAsiaTheme="minorHAnsi" w:hAnsi="Arial" w:cs="Arial"/>
          <w:lang w:eastAsia="ja-JP"/>
        </w:rPr>
        <w:t xml:space="preserve">Según una encuesta de la Organización Panamericana de la Salud (OPS) y Organización Mundial de la Salud (OMS), los servicios de salud preventivos y tratamiento de enfermedades crónicas como la diabetes, enfermedades cardiovasculares y cáncer se vieron perjudicados desde el inicio de la pandemia en el continente americano. Según el sondeo realizado por la OMS que se llevó a cabo en 155 países durante las tres primeras semanas de mayo de 2020, confirmó que más del 50% de los países suspendieron total o parcialmente los tratamientos de hipertensión, diabetes y las dificultades relacionadas con estas enfermedades, dando como resultado un riesgo para la salud de las personas que padecían estas enfermedades por el hecho de no recibir un tratamiento oportuno y por el riesgo de contagiarse de </w:t>
      </w:r>
      <w:proofErr w:type="spellStart"/>
      <w:r w:rsidRPr="000F4927">
        <w:rPr>
          <w:rFonts w:ascii="Arial" w:eastAsiaTheme="minorHAnsi" w:hAnsi="Arial" w:cs="Arial"/>
          <w:lang w:eastAsia="ja-JP"/>
        </w:rPr>
        <w:t>Covid</w:t>
      </w:r>
      <w:proofErr w:type="spellEnd"/>
      <w:r w:rsidRPr="000F4927">
        <w:rPr>
          <w:rFonts w:ascii="Arial" w:eastAsiaTheme="minorHAnsi" w:hAnsi="Arial" w:cs="Arial"/>
          <w:lang w:eastAsia="ja-JP"/>
        </w:rPr>
        <w:t xml:space="preserve"> con la probabilidad de fallecer. Del mismo modo, el sondeo </w:t>
      </w:r>
      <w:r w:rsidRPr="000F4927">
        <w:rPr>
          <w:rFonts w:ascii="Arial" w:eastAsiaTheme="minorHAnsi" w:hAnsi="Arial" w:cs="Arial"/>
          <w:lang w:eastAsia="ja-JP"/>
        </w:rPr>
        <w:lastRenderedPageBreak/>
        <w:t xml:space="preserve">reveló que, aunque el impacto del virus fue global, los países subdesarrollados y naciones con economías frágiles eran los más afectados. </w:t>
      </w:r>
      <w:sdt>
        <w:sdtPr>
          <w:rPr>
            <w:rFonts w:ascii="Arial" w:eastAsiaTheme="minorHAnsi" w:hAnsi="Arial" w:cs="Arial"/>
            <w:lang w:eastAsia="ja-JP"/>
          </w:rPr>
          <w:id w:val="-1459790424"/>
          <w:citation/>
        </w:sdtPr>
        <w:sdtEndPr/>
        <w:sdtContent>
          <w:r w:rsidRPr="000F4927">
            <w:rPr>
              <w:rFonts w:ascii="Arial" w:eastAsiaTheme="minorHAnsi" w:hAnsi="Arial" w:cs="Arial"/>
              <w:lang w:eastAsia="ja-JP"/>
            </w:rPr>
            <w:fldChar w:fldCharType="begin"/>
          </w:r>
          <w:r w:rsidRPr="000F4927">
            <w:rPr>
              <w:rFonts w:ascii="Arial" w:eastAsiaTheme="minorHAnsi" w:hAnsi="Arial" w:cs="Arial"/>
              <w:lang w:eastAsia="ja-JP"/>
            </w:rPr>
            <w:instrText xml:space="preserve"> CITATION ONU20 \l 3082 </w:instrText>
          </w:r>
          <w:r w:rsidRPr="000F4927">
            <w:rPr>
              <w:rFonts w:ascii="Arial" w:eastAsiaTheme="minorHAnsi" w:hAnsi="Arial" w:cs="Arial"/>
              <w:lang w:eastAsia="ja-JP"/>
            </w:rPr>
            <w:fldChar w:fldCharType="separate"/>
          </w:r>
          <w:r w:rsidRPr="000F4927">
            <w:rPr>
              <w:rFonts w:ascii="Arial" w:eastAsiaTheme="minorHAnsi" w:hAnsi="Arial" w:cs="Arial"/>
              <w:lang w:eastAsia="ja-JP"/>
            </w:rPr>
            <w:t>(ONU, 2020)</w:t>
          </w:r>
          <w:r w:rsidRPr="000F4927">
            <w:rPr>
              <w:rFonts w:ascii="Arial" w:eastAsiaTheme="minorHAnsi" w:hAnsi="Arial" w:cs="Arial"/>
              <w:lang w:eastAsia="ja-JP"/>
            </w:rPr>
            <w:fldChar w:fldCharType="end"/>
          </w:r>
        </w:sdtContent>
      </w:sdt>
      <w:r w:rsidRPr="000F4927">
        <w:rPr>
          <w:rFonts w:ascii="Arial" w:eastAsiaTheme="minorHAnsi" w:hAnsi="Arial" w:cs="Arial"/>
          <w:lang w:eastAsia="ja-JP"/>
        </w:rPr>
        <w:t>.</w:t>
      </w:r>
    </w:p>
    <w:p w14:paraId="5F992469" w14:textId="77777777" w:rsidR="00C80A80" w:rsidRPr="000F4927" w:rsidRDefault="00C80A80" w:rsidP="000F4927">
      <w:pPr>
        <w:pStyle w:val="NormalWeb"/>
        <w:spacing w:before="0" w:beforeAutospacing="0" w:after="0" w:afterAutospacing="0" w:line="360" w:lineRule="auto"/>
        <w:rPr>
          <w:rFonts w:ascii="Arial" w:eastAsiaTheme="minorHAnsi" w:hAnsi="Arial" w:cs="Arial"/>
          <w:lang w:eastAsia="ja-JP"/>
        </w:rPr>
      </w:pPr>
    </w:p>
    <w:p w14:paraId="1116A9FD" w14:textId="77777777" w:rsidR="00C80A80" w:rsidRPr="000F4927" w:rsidRDefault="00C80A80" w:rsidP="000F4927">
      <w:pPr>
        <w:pStyle w:val="NormalWeb"/>
        <w:spacing w:before="0" w:beforeAutospacing="0" w:after="0" w:afterAutospacing="0" w:line="360" w:lineRule="auto"/>
        <w:jc w:val="both"/>
        <w:rPr>
          <w:rFonts w:ascii="Arial" w:eastAsiaTheme="minorHAnsi" w:hAnsi="Arial" w:cs="Arial"/>
          <w:lang w:eastAsia="ja-JP"/>
        </w:rPr>
      </w:pPr>
      <w:r w:rsidRPr="000F4927">
        <w:rPr>
          <w:rFonts w:ascii="Arial" w:eastAsiaTheme="minorHAnsi" w:hAnsi="Arial" w:cs="Arial"/>
          <w:lang w:eastAsia="ja-JP"/>
        </w:rPr>
        <w:t xml:space="preserve">Para el contexto de Colombia, el principal desafío que tuvo el sistema de salud fue la atención integral de pacientes que contaban con una patología no relacionada con Covid-19. La prevención de la enfermedad, la oportunidad en el diagnóstico y el tratamiento y seguimiento tanto ambulatorio como hospitalario fueron factores que se vieron afectados por la emergencia sanitaria de salud pública que enfrentaba el país y la red hospitalaria de cada ciudad colombiana. Cabe resaltar que durante el 2019, el 74% de las muertes en Colombia fueron a causa de las enfermedades no transmisibles como enfermedades renales crónicas, cáncer, enfermedades respiratorias y cardiovasculares, implicando el deterioro en la calidad de vida de la persona, carga de la enfermedad, requerimiento de un tratamiento adecuado y carga para el sistema de salud en cuanto a la atención y gastos en el tratamiento; hechos que se agravaron y se vieron afectados en la pandemia Covid-19 por tres factores principales: las medidas preventivas implementadas en el país como el aislamiento obligatorio y priorización de pacientes Covid-19 dentro de las instituciones, la desvinculación de las personas con los servicios sanitarios como los controles y exámenes diagnósticos de la enfermedad por el temor al contagio y la saturación del sistema de salud por falta de infraestructura y personal asistencial médico y paramédico. </w:t>
      </w:r>
      <w:sdt>
        <w:sdtPr>
          <w:rPr>
            <w:rFonts w:ascii="Arial" w:eastAsiaTheme="minorHAnsi" w:hAnsi="Arial" w:cs="Arial"/>
            <w:lang w:eastAsia="ja-JP"/>
          </w:rPr>
          <w:id w:val="1215244454"/>
          <w:citation/>
        </w:sdtPr>
        <w:sdtEndPr/>
        <w:sdtContent>
          <w:r w:rsidRPr="000F4927">
            <w:rPr>
              <w:rFonts w:ascii="Arial" w:eastAsiaTheme="minorHAnsi" w:hAnsi="Arial" w:cs="Arial"/>
              <w:lang w:eastAsia="ja-JP"/>
            </w:rPr>
            <w:fldChar w:fldCharType="begin"/>
          </w:r>
          <w:r w:rsidRPr="000F4927">
            <w:rPr>
              <w:rFonts w:ascii="Arial" w:eastAsiaTheme="minorHAnsi" w:hAnsi="Arial" w:cs="Arial"/>
              <w:lang w:eastAsia="ja-JP"/>
            </w:rPr>
            <w:instrText xml:space="preserve">CITATION Min21 \t  \l 3082 </w:instrText>
          </w:r>
          <w:r w:rsidRPr="000F4927">
            <w:rPr>
              <w:rFonts w:ascii="Arial" w:eastAsiaTheme="minorHAnsi" w:hAnsi="Arial" w:cs="Arial"/>
              <w:lang w:eastAsia="ja-JP"/>
            </w:rPr>
            <w:fldChar w:fldCharType="separate"/>
          </w:r>
          <w:r w:rsidRPr="000F4927">
            <w:rPr>
              <w:rFonts w:ascii="Arial" w:eastAsiaTheme="minorHAnsi" w:hAnsi="Arial" w:cs="Arial"/>
              <w:lang w:eastAsia="ja-JP"/>
            </w:rPr>
            <w:t>(Social, 2021)</w:t>
          </w:r>
          <w:r w:rsidRPr="000F4927">
            <w:rPr>
              <w:rFonts w:ascii="Arial" w:eastAsiaTheme="minorHAnsi" w:hAnsi="Arial" w:cs="Arial"/>
              <w:lang w:eastAsia="ja-JP"/>
            </w:rPr>
            <w:fldChar w:fldCharType="end"/>
          </w:r>
        </w:sdtContent>
      </w:sdt>
      <w:r w:rsidRPr="000F4927">
        <w:rPr>
          <w:rFonts w:ascii="Arial" w:eastAsiaTheme="minorHAnsi" w:hAnsi="Arial" w:cs="Arial"/>
          <w:lang w:eastAsia="ja-JP"/>
        </w:rPr>
        <w:t>.</w:t>
      </w:r>
    </w:p>
    <w:p w14:paraId="2D83FA38" w14:textId="77777777" w:rsidR="00C80A80" w:rsidRPr="000F4927" w:rsidRDefault="00C80A80" w:rsidP="000F4927">
      <w:pPr>
        <w:pStyle w:val="NormalWeb"/>
        <w:spacing w:before="0" w:beforeAutospacing="0" w:after="0" w:afterAutospacing="0" w:line="360" w:lineRule="auto"/>
        <w:rPr>
          <w:rFonts w:ascii="Arial" w:eastAsiaTheme="minorHAnsi" w:hAnsi="Arial" w:cs="Arial"/>
          <w:lang w:eastAsia="ja-JP"/>
        </w:rPr>
      </w:pPr>
    </w:p>
    <w:p w14:paraId="3B230FBC" w14:textId="77777777" w:rsidR="00C80A80" w:rsidRPr="000F4927" w:rsidRDefault="00C80A80" w:rsidP="000F4927">
      <w:pPr>
        <w:pStyle w:val="NormalWeb"/>
        <w:spacing w:before="0" w:beforeAutospacing="0" w:after="0" w:afterAutospacing="0" w:line="360" w:lineRule="auto"/>
        <w:jc w:val="both"/>
        <w:rPr>
          <w:rFonts w:ascii="Arial" w:eastAsiaTheme="minorHAnsi" w:hAnsi="Arial" w:cs="Arial"/>
          <w:lang w:eastAsia="ja-JP"/>
        </w:rPr>
      </w:pPr>
      <w:r w:rsidRPr="000F4927">
        <w:rPr>
          <w:rFonts w:ascii="Arial" w:eastAsiaTheme="minorHAnsi" w:hAnsi="Arial" w:cs="Arial"/>
          <w:lang w:eastAsia="ja-JP"/>
        </w:rPr>
        <w:lastRenderedPageBreak/>
        <w:t xml:space="preserve">La ciudad de Cali no fue indiferente ante esta situación y pese a las estrategias implementadas tales como la telemedicina, la atención domiciliaria, la entrega de medicamentos en el hogar estas no lograron llegar a toda la población incidiendo en la atención integral, evidenciando  problemáticas tales como la saturación de la red hospitalaria, las dificultades de acceso a los servicios de salud, la falta de infraestructura de las instituciones, el temor al contagio del virus y la adaptación de los servicios hacia la virtualización. </w:t>
      </w:r>
      <w:sdt>
        <w:sdtPr>
          <w:rPr>
            <w:rFonts w:ascii="Arial" w:eastAsiaTheme="minorHAnsi" w:hAnsi="Arial" w:cs="Arial"/>
            <w:lang w:eastAsia="ja-JP"/>
          </w:rPr>
          <w:id w:val="875814714"/>
          <w:citation/>
        </w:sdtPr>
        <w:sdtEndPr/>
        <w:sdtContent>
          <w:r w:rsidRPr="000F4927">
            <w:rPr>
              <w:rFonts w:ascii="Arial" w:eastAsiaTheme="minorHAnsi" w:hAnsi="Arial" w:cs="Arial"/>
              <w:lang w:eastAsia="ja-JP"/>
            </w:rPr>
            <w:fldChar w:fldCharType="begin"/>
          </w:r>
          <w:r w:rsidRPr="000F4927">
            <w:rPr>
              <w:rFonts w:ascii="Arial" w:eastAsiaTheme="minorHAnsi" w:hAnsi="Arial" w:cs="Arial"/>
              <w:lang w:eastAsia="ja-JP"/>
            </w:rPr>
            <w:instrText xml:space="preserve">CITATION Col206 \t  \l 3082 </w:instrText>
          </w:r>
          <w:r w:rsidRPr="000F4927">
            <w:rPr>
              <w:rFonts w:ascii="Arial" w:eastAsiaTheme="minorHAnsi" w:hAnsi="Arial" w:cs="Arial"/>
              <w:lang w:eastAsia="ja-JP"/>
            </w:rPr>
            <w:fldChar w:fldCharType="separate"/>
          </w:r>
          <w:r w:rsidRPr="000F4927">
            <w:rPr>
              <w:rFonts w:ascii="Arial" w:eastAsiaTheme="minorHAnsi" w:hAnsi="Arial" w:cs="Arial"/>
              <w:lang w:eastAsia="ja-JP"/>
            </w:rPr>
            <w:t>(Colombia, 2020)</w:t>
          </w:r>
          <w:r w:rsidRPr="000F4927">
            <w:rPr>
              <w:rFonts w:ascii="Arial" w:eastAsiaTheme="minorHAnsi" w:hAnsi="Arial" w:cs="Arial"/>
              <w:lang w:eastAsia="ja-JP"/>
            </w:rPr>
            <w:fldChar w:fldCharType="end"/>
          </w:r>
        </w:sdtContent>
      </w:sdt>
      <w:r w:rsidRPr="000F4927">
        <w:rPr>
          <w:rFonts w:ascii="Arial" w:eastAsiaTheme="minorHAnsi" w:hAnsi="Arial" w:cs="Arial"/>
          <w:lang w:eastAsia="ja-JP"/>
        </w:rPr>
        <w:t>.</w:t>
      </w:r>
    </w:p>
    <w:p w14:paraId="4B1F6D86" w14:textId="77777777" w:rsidR="00C80A80" w:rsidRPr="000F4927" w:rsidRDefault="00C80A80" w:rsidP="000F4927">
      <w:pPr>
        <w:pStyle w:val="NormalWeb"/>
        <w:spacing w:before="0" w:beforeAutospacing="0" w:after="0" w:afterAutospacing="0" w:line="360" w:lineRule="auto"/>
        <w:rPr>
          <w:rFonts w:ascii="Arial" w:eastAsiaTheme="minorHAnsi" w:hAnsi="Arial" w:cs="Arial"/>
          <w:lang w:eastAsia="ja-JP"/>
        </w:rPr>
      </w:pPr>
    </w:p>
    <w:p w14:paraId="0FB9796F" w14:textId="77777777" w:rsidR="00C80A80" w:rsidRPr="000F4927" w:rsidRDefault="00C80A80" w:rsidP="000F4927">
      <w:pPr>
        <w:pStyle w:val="NormalWeb"/>
        <w:spacing w:before="0" w:beforeAutospacing="0" w:after="0" w:afterAutospacing="0" w:line="360" w:lineRule="auto"/>
        <w:jc w:val="both"/>
        <w:rPr>
          <w:rFonts w:ascii="Arial" w:eastAsiaTheme="minorHAnsi" w:hAnsi="Arial" w:cs="Arial"/>
          <w:lang w:eastAsia="ja-JP"/>
        </w:rPr>
      </w:pPr>
      <w:r w:rsidRPr="000F4927">
        <w:rPr>
          <w:rFonts w:ascii="Arial" w:eastAsiaTheme="minorHAnsi" w:hAnsi="Arial" w:cs="Arial"/>
          <w:lang w:eastAsia="ja-JP"/>
        </w:rPr>
        <w:t xml:space="preserve">Teniendo en cuenta lo anterior, surgió la necesidad de identificar las principales barreras de acceso que afectaron la prestación de los servicios de salud en la población residente de Cali durante el marco de la pandemia por Covid-19 en el periodo 2020 a 2021 y estimar la frecuencia de las barreras que más afectaron a la población, precisando los sectores de la ciudad y los eventos más frecuentes.  </w:t>
      </w:r>
    </w:p>
    <w:p w14:paraId="5974634D" w14:textId="77777777" w:rsidR="00C80A80" w:rsidRPr="000F4927" w:rsidRDefault="00C80A80" w:rsidP="000F4927">
      <w:pPr>
        <w:spacing w:line="360" w:lineRule="auto"/>
        <w:rPr>
          <w:rFonts w:ascii="Arial" w:hAnsi="Arial" w:cs="Arial"/>
          <w:lang w:val="es-ES_tradnl" w:eastAsia="ja-JP"/>
        </w:rPr>
      </w:pPr>
    </w:p>
    <w:p w14:paraId="611261DA" w14:textId="77777777" w:rsidR="00C80A80" w:rsidRPr="000F4927" w:rsidRDefault="00C80A80" w:rsidP="000F4927">
      <w:pPr>
        <w:pStyle w:val="Subtitulos1"/>
        <w:spacing w:line="360" w:lineRule="auto"/>
        <w:outlineLvl w:val="0"/>
        <w:rPr>
          <w:rFonts w:ascii="Arial" w:hAnsi="Arial" w:cs="Arial"/>
        </w:rPr>
      </w:pPr>
      <w:r w:rsidRPr="000F4927">
        <w:rPr>
          <w:rFonts w:ascii="Arial" w:hAnsi="Arial" w:cs="Arial"/>
        </w:rPr>
        <w:t>Materiales y métodos</w:t>
      </w:r>
    </w:p>
    <w:p w14:paraId="1940E315" w14:textId="77777777" w:rsidR="00C80A80" w:rsidRPr="000F4927" w:rsidRDefault="00C80A80" w:rsidP="000F4927">
      <w:pPr>
        <w:spacing w:line="360" w:lineRule="auto"/>
        <w:rPr>
          <w:rFonts w:ascii="Arial" w:hAnsi="Arial" w:cs="Arial"/>
          <w:lang w:val="es-ES_tradnl" w:eastAsia="ja-JP"/>
        </w:rPr>
      </w:pPr>
    </w:p>
    <w:p w14:paraId="69544BE8" w14:textId="77777777" w:rsidR="00C80A80" w:rsidRPr="000F4927" w:rsidRDefault="00C80A80" w:rsidP="000F4927">
      <w:pPr>
        <w:spacing w:line="360" w:lineRule="auto"/>
        <w:jc w:val="both"/>
        <w:rPr>
          <w:rFonts w:ascii="Arial" w:hAnsi="Arial" w:cs="Arial"/>
          <w:color w:val="000000"/>
        </w:rPr>
      </w:pPr>
      <w:r w:rsidRPr="000F4927">
        <w:rPr>
          <w:rFonts w:ascii="Arial" w:hAnsi="Arial" w:cs="Arial"/>
          <w:color w:val="000000"/>
        </w:rPr>
        <w:t xml:space="preserve">Se realizó un estudio descriptivo de corte transversal, utilizando la información recolectada por la Secretaría de Salud Pública de Cali a través del Servicio de Atención a la Comunidad (SAC) durante los años 2020 a 2021. Se utilizaron un total de 47.253 reportes. </w:t>
      </w:r>
    </w:p>
    <w:p w14:paraId="61F0F4B9" w14:textId="77777777" w:rsidR="00C80A80" w:rsidRPr="000F4927" w:rsidRDefault="00C80A80" w:rsidP="000F4927">
      <w:pPr>
        <w:spacing w:line="360" w:lineRule="auto"/>
        <w:rPr>
          <w:rFonts w:ascii="Arial" w:hAnsi="Arial" w:cs="Arial"/>
          <w:color w:val="000000"/>
        </w:rPr>
      </w:pPr>
    </w:p>
    <w:p w14:paraId="3763C2AF" w14:textId="77777777" w:rsidR="00A02D09" w:rsidRDefault="00A02D09" w:rsidP="000F4927">
      <w:pPr>
        <w:spacing w:line="360" w:lineRule="auto"/>
        <w:rPr>
          <w:rFonts w:ascii="Arial" w:hAnsi="Arial" w:cs="Arial"/>
          <w:b/>
          <w:bCs/>
          <w:color w:val="000000"/>
        </w:rPr>
      </w:pPr>
    </w:p>
    <w:p w14:paraId="73E93731" w14:textId="78A39A4F" w:rsidR="00C80A80" w:rsidRPr="000F4927" w:rsidRDefault="00C80A80" w:rsidP="000F4927">
      <w:pPr>
        <w:spacing w:line="360" w:lineRule="auto"/>
        <w:rPr>
          <w:rFonts w:ascii="Arial" w:hAnsi="Arial" w:cs="Arial"/>
          <w:b/>
          <w:bCs/>
          <w:color w:val="000000"/>
        </w:rPr>
      </w:pPr>
      <w:r w:rsidRPr="000F4927">
        <w:rPr>
          <w:rFonts w:ascii="Arial" w:hAnsi="Arial" w:cs="Arial"/>
          <w:b/>
          <w:bCs/>
          <w:color w:val="000000"/>
        </w:rPr>
        <w:lastRenderedPageBreak/>
        <w:t>Criterios de Inclusión</w:t>
      </w:r>
    </w:p>
    <w:p w14:paraId="39545D10" w14:textId="77777777" w:rsidR="002A25D1" w:rsidRPr="000F4927" w:rsidRDefault="002A25D1" w:rsidP="000F4927">
      <w:pPr>
        <w:spacing w:line="360" w:lineRule="auto"/>
        <w:rPr>
          <w:rFonts w:ascii="Arial" w:hAnsi="Arial" w:cs="Arial"/>
          <w:b/>
          <w:bCs/>
          <w:color w:val="000000"/>
        </w:rPr>
      </w:pPr>
    </w:p>
    <w:p w14:paraId="54F758C6" w14:textId="77777777" w:rsidR="00C80A80" w:rsidRPr="000F4927" w:rsidRDefault="00C80A80" w:rsidP="001E66AB">
      <w:pPr>
        <w:numPr>
          <w:ilvl w:val="0"/>
          <w:numId w:val="43"/>
        </w:numPr>
        <w:spacing w:line="360" w:lineRule="auto"/>
        <w:ind w:left="357" w:hanging="357"/>
        <w:jc w:val="both"/>
        <w:textAlignment w:val="baseline"/>
        <w:rPr>
          <w:rFonts w:ascii="Arial" w:hAnsi="Arial" w:cs="Arial"/>
          <w:color w:val="000000" w:themeColor="text1"/>
        </w:rPr>
      </w:pPr>
      <w:r w:rsidRPr="000F4927">
        <w:rPr>
          <w:rFonts w:ascii="Arial" w:hAnsi="Arial" w:cs="Arial"/>
          <w:color w:val="000000" w:themeColor="text1"/>
          <w:shd w:val="clear" w:color="auto" w:fill="FFFFFF"/>
        </w:rPr>
        <w:t>Personas que reportaron al SAC las dificultades presentadas en relación con la accesibilidad y atención en salud durante la pandemia en los años 2020 a 2021.</w:t>
      </w:r>
    </w:p>
    <w:p w14:paraId="30157514" w14:textId="77777777" w:rsidR="00C80A80" w:rsidRPr="000F4927" w:rsidRDefault="00C80A80" w:rsidP="001E66AB">
      <w:pPr>
        <w:numPr>
          <w:ilvl w:val="0"/>
          <w:numId w:val="43"/>
        </w:numPr>
        <w:spacing w:line="360" w:lineRule="auto"/>
        <w:ind w:left="357" w:hanging="357"/>
        <w:jc w:val="both"/>
        <w:textAlignment w:val="baseline"/>
        <w:rPr>
          <w:rFonts w:ascii="Arial" w:hAnsi="Arial" w:cs="Arial"/>
          <w:color w:val="000000" w:themeColor="text1"/>
        </w:rPr>
      </w:pPr>
      <w:r w:rsidRPr="000F4927">
        <w:rPr>
          <w:rFonts w:ascii="Arial" w:hAnsi="Arial" w:cs="Arial"/>
          <w:color w:val="000000" w:themeColor="text1"/>
          <w:shd w:val="clear" w:color="auto" w:fill="FFFFFF"/>
        </w:rPr>
        <w:t>Hombres y mujeres desde los 0 años hasta los más de 80 años pertenecientes al municipio de Cali.</w:t>
      </w:r>
    </w:p>
    <w:p w14:paraId="42394F3E" w14:textId="77777777" w:rsidR="00C80A80" w:rsidRPr="000F4927" w:rsidRDefault="00C80A80" w:rsidP="001E66AB">
      <w:pPr>
        <w:numPr>
          <w:ilvl w:val="0"/>
          <w:numId w:val="43"/>
        </w:numPr>
        <w:spacing w:line="360" w:lineRule="auto"/>
        <w:ind w:left="357" w:hanging="357"/>
        <w:jc w:val="both"/>
        <w:textAlignment w:val="baseline"/>
        <w:rPr>
          <w:rFonts w:ascii="Arial" w:hAnsi="Arial" w:cs="Arial"/>
          <w:color w:val="000000" w:themeColor="text1"/>
        </w:rPr>
      </w:pPr>
      <w:r w:rsidRPr="000F4927">
        <w:rPr>
          <w:rFonts w:ascii="Arial" w:hAnsi="Arial" w:cs="Arial"/>
          <w:color w:val="000000" w:themeColor="text1"/>
          <w:shd w:val="clear" w:color="auto" w:fill="FFFFFF"/>
        </w:rPr>
        <w:t>Personas que pertenezcan a cualquier régimen de salud como el contributivo, subsidiado, especial o población pobre no asegurada.</w:t>
      </w:r>
    </w:p>
    <w:p w14:paraId="2BA1C23C" w14:textId="77777777" w:rsidR="00C80A80" w:rsidRPr="000F4927" w:rsidRDefault="00C80A80" w:rsidP="001E66AB">
      <w:pPr>
        <w:numPr>
          <w:ilvl w:val="0"/>
          <w:numId w:val="43"/>
        </w:numPr>
        <w:spacing w:line="360" w:lineRule="auto"/>
        <w:ind w:left="357" w:hanging="357"/>
        <w:jc w:val="both"/>
        <w:textAlignment w:val="baseline"/>
        <w:rPr>
          <w:rFonts w:ascii="Arial" w:hAnsi="Arial" w:cs="Arial"/>
          <w:color w:val="000000" w:themeColor="text1"/>
        </w:rPr>
      </w:pPr>
      <w:r w:rsidRPr="000F4927">
        <w:rPr>
          <w:rFonts w:ascii="Arial" w:hAnsi="Arial" w:cs="Arial"/>
          <w:color w:val="000000" w:themeColor="text1"/>
          <w:shd w:val="clear" w:color="auto" w:fill="FFFFFF"/>
        </w:rPr>
        <w:t>Personas residentes en el área rural del municipio de Cali.</w:t>
      </w:r>
    </w:p>
    <w:p w14:paraId="13F666DF" w14:textId="77777777" w:rsidR="001E66AB" w:rsidRDefault="001E66AB" w:rsidP="000F4927">
      <w:pPr>
        <w:spacing w:line="360" w:lineRule="auto"/>
        <w:rPr>
          <w:rFonts w:ascii="Arial" w:hAnsi="Arial" w:cs="Arial"/>
          <w:b/>
          <w:bCs/>
          <w:color w:val="000000"/>
        </w:rPr>
      </w:pPr>
    </w:p>
    <w:p w14:paraId="19B8A8BB" w14:textId="530578C1" w:rsidR="00C80A80" w:rsidRPr="000F4927" w:rsidRDefault="00C80A80" w:rsidP="000F4927">
      <w:pPr>
        <w:spacing w:line="360" w:lineRule="auto"/>
        <w:rPr>
          <w:rFonts w:ascii="Arial" w:hAnsi="Arial" w:cs="Arial"/>
          <w:b/>
          <w:bCs/>
          <w:color w:val="000000"/>
        </w:rPr>
      </w:pPr>
      <w:r w:rsidRPr="000F4927">
        <w:rPr>
          <w:rFonts w:ascii="Arial" w:hAnsi="Arial" w:cs="Arial"/>
          <w:b/>
          <w:bCs/>
          <w:color w:val="000000"/>
        </w:rPr>
        <w:t>Criterios de Exclusión</w:t>
      </w:r>
    </w:p>
    <w:p w14:paraId="6096CFDB" w14:textId="77777777" w:rsidR="002A25D1" w:rsidRPr="000F4927" w:rsidRDefault="002A25D1" w:rsidP="000F4927">
      <w:pPr>
        <w:spacing w:line="360" w:lineRule="auto"/>
        <w:rPr>
          <w:rFonts w:ascii="Arial" w:hAnsi="Arial" w:cs="Arial"/>
          <w:b/>
          <w:bCs/>
          <w:color w:val="000000"/>
        </w:rPr>
      </w:pPr>
    </w:p>
    <w:p w14:paraId="5C2DBF4F" w14:textId="77777777" w:rsidR="00C80A80" w:rsidRPr="000F4927" w:rsidRDefault="00C80A80" w:rsidP="001E66AB">
      <w:pPr>
        <w:numPr>
          <w:ilvl w:val="0"/>
          <w:numId w:val="44"/>
        </w:numPr>
        <w:spacing w:line="360" w:lineRule="auto"/>
        <w:ind w:left="357" w:hanging="357"/>
        <w:jc w:val="both"/>
        <w:textAlignment w:val="baseline"/>
        <w:rPr>
          <w:rFonts w:ascii="Arial" w:hAnsi="Arial" w:cs="Arial"/>
          <w:color w:val="000000"/>
        </w:rPr>
      </w:pPr>
      <w:r w:rsidRPr="000F4927">
        <w:rPr>
          <w:rFonts w:ascii="Arial" w:hAnsi="Arial" w:cs="Arial"/>
          <w:color w:val="000000"/>
        </w:rPr>
        <w:t>Personas que a pesar de haber utilizado SAC, no son residentes de la ciudad de Cali.</w:t>
      </w:r>
    </w:p>
    <w:p w14:paraId="62112E70" w14:textId="77777777" w:rsidR="00C80A80" w:rsidRPr="000F4927" w:rsidRDefault="00C80A80" w:rsidP="001E66AB">
      <w:pPr>
        <w:numPr>
          <w:ilvl w:val="0"/>
          <w:numId w:val="44"/>
        </w:numPr>
        <w:spacing w:line="360" w:lineRule="auto"/>
        <w:ind w:left="357" w:hanging="357"/>
        <w:jc w:val="both"/>
        <w:textAlignment w:val="baseline"/>
        <w:rPr>
          <w:rFonts w:ascii="Arial" w:hAnsi="Arial" w:cs="Arial"/>
          <w:color w:val="000000" w:themeColor="text1"/>
        </w:rPr>
      </w:pPr>
      <w:r w:rsidRPr="000F4927">
        <w:rPr>
          <w:rFonts w:ascii="Arial" w:hAnsi="Arial" w:cs="Arial"/>
          <w:color w:val="000000" w:themeColor="text1"/>
        </w:rPr>
        <w:t>Variables o datos que no sean acordes a accesibilidad en salud.</w:t>
      </w:r>
    </w:p>
    <w:p w14:paraId="482F5860" w14:textId="77777777" w:rsidR="00C80A80" w:rsidRPr="000F4927" w:rsidRDefault="00C80A80" w:rsidP="001E66AB">
      <w:pPr>
        <w:numPr>
          <w:ilvl w:val="0"/>
          <w:numId w:val="44"/>
        </w:numPr>
        <w:spacing w:line="360" w:lineRule="auto"/>
        <w:ind w:left="357" w:hanging="357"/>
        <w:jc w:val="both"/>
        <w:textAlignment w:val="baseline"/>
        <w:rPr>
          <w:rFonts w:ascii="Arial" w:hAnsi="Arial" w:cs="Arial"/>
          <w:color w:val="000000"/>
        </w:rPr>
      </w:pPr>
      <w:r w:rsidRPr="000F4927">
        <w:rPr>
          <w:rFonts w:ascii="Arial" w:hAnsi="Arial" w:cs="Arial"/>
          <w:color w:val="000000"/>
        </w:rPr>
        <w:t>Variables que no aporten información significativa para el desarrollo de los objetivos planteados en el estudio.</w:t>
      </w:r>
    </w:p>
    <w:p w14:paraId="5B5E44F9" w14:textId="77777777" w:rsidR="00C80A80" w:rsidRPr="000F4927" w:rsidRDefault="00C80A80" w:rsidP="000F4927">
      <w:pPr>
        <w:spacing w:line="360" w:lineRule="auto"/>
        <w:jc w:val="both"/>
        <w:rPr>
          <w:rFonts w:ascii="Arial" w:hAnsi="Arial" w:cs="Arial"/>
          <w:b/>
          <w:color w:val="000000"/>
        </w:rPr>
      </w:pPr>
    </w:p>
    <w:p w14:paraId="4A88E617" w14:textId="51AEA86B" w:rsidR="00C80A80" w:rsidRPr="000F4927" w:rsidRDefault="00C80A80" w:rsidP="000F4927">
      <w:pPr>
        <w:spacing w:line="360" w:lineRule="auto"/>
        <w:jc w:val="both"/>
        <w:rPr>
          <w:rFonts w:ascii="Arial" w:hAnsi="Arial" w:cs="Arial"/>
          <w:color w:val="000000"/>
        </w:rPr>
      </w:pPr>
      <w:r w:rsidRPr="000F4927">
        <w:rPr>
          <w:rFonts w:ascii="Arial" w:hAnsi="Arial" w:cs="Arial"/>
          <w:b/>
          <w:color w:val="000000"/>
        </w:rPr>
        <w:t xml:space="preserve">Análisis de datos: </w:t>
      </w:r>
      <w:r w:rsidRPr="000F4927">
        <w:rPr>
          <w:rFonts w:ascii="Arial" w:hAnsi="Arial" w:cs="Arial"/>
          <w:color w:val="000000"/>
        </w:rPr>
        <w:t xml:space="preserve">la base de datos se depuró y el procesamiento y organización de la información se realizó a través de la herramienta ofimática Excel, se calcularon frecuencias, proporciones y porcentajes de las diferentes variables. </w:t>
      </w:r>
    </w:p>
    <w:p w14:paraId="347FE7F0" w14:textId="77777777" w:rsidR="0027680F" w:rsidRPr="000F4927" w:rsidRDefault="0027680F" w:rsidP="000F4927">
      <w:pPr>
        <w:spacing w:line="360" w:lineRule="auto"/>
        <w:jc w:val="both"/>
        <w:rPr>
          <w:rFonts w:ascii="Arial" w:hAnsi="Arial" w:cs="Arial"/>
        </w:rPr>
      </w:pPr>
    </w:p>
    <w:p w14:paraId="00EFCDD6" w14:textId="77777777" w:rsidR="00C80A80" w:rsidRPr="000F4927" w:rsidRDefault="00C80A80" w:rsidP="000F4927">
      <w:pPr>
        <w:spacing w:line="360" w:lineRule="auto"/>
        <w:jc w:val="both"/>
        <w:rPr>
          <w:rFonts w:ascii="Arial" w:hAnsi="Arial" w:cs="Arial"/>
          <w:color w:val="000000"/>
        </w:rPr>
      </w:pPr>
      <w:r w:rsidRPr="000F4927">
        <w:rPr>
          <w:rFonts w:ascii="Arial" w:hAnsi="Arial" w:cs="Arial"/>
          <w:b/>
          <w:color w:val="000000"/>
        </w:rPr>
        <w:lastRenderedPageBreak/>
        <w:t>Ética, conflicto de intereses y declaración de financiamiento:</w:t>
      </w:r>
      <w:r w:rsidRPr="000F4927">
        <w:rPr>
          <w:rFonts w:ascii="Arial" w:hAnsi="Arial" w:cs="Arial"/>
          <w:color w:val="000000"/>
        </w:rPr>
        <w:t xml:space="preserve"> Los autores declaran haber cumplido con todos los requisitos éticos y legales pertinentes, tanto durante el estudio como en el manuscrito; que no hay conflictos de interés de ningún tipo, y que todas las fuentes financieras se detallan plena y claramente en la sección de agradecimientos. Asimismo, están de acuerdo con la versión editada final del documento. El respectivo documento legal firmado se encuentra en los archivos de la revista. </w:t>
      </w:r>
    </w:p>
    <w:p w14:paraId="0AB8372E" w14:textId="77777777" w:rsidR="00C80A80" w:rsidRPr="000F4927" w:rsidRDefault="00C80A80" w:rsidP="000F4927">
      <w:pPr>
        <w:pStyle w:val="Subtitulos1"/>
        <w:spacing w:line="360" w:lineRule="auto"/>
        <w:outlineLvl w:val="0"/>
        <w:rPr>
          <w:rFonts w:ascii="Arial" w:hAnsi="Arial" w:cs="Arial"/>
        </w:rPr>
      </w:pPr>
    </w:p>
    <w:p w14:paraId="5829882C" w14:textId="49516F8A" w:rsidR="00C80A80" w:rsidRPr="000F4927" w:rsidRDefault="00C80A80" w:rsidP="000F4927">
      <w:pPr>
        <w:pStyle w:val="Subtitulos1"/>
        <w:spacing w:line="360" w:lineRule="auto"/>
        <w:outlineLvl w:val="0"/>
        <w:rPr>
          <w:rFonts w:ascii="Arial" w:hAnsi="Arial" w:cs="Arial"/>
        </w:rPr>
      </w:pPr>
      <w:r w:rsidRPr="000F4927">
        <w:rPr>
          <w:rFonts w:ascii="Arial" w:hAnsi="Arial" w:cs="Arial"/>
        </w:rPr>
        <w:t>RESULTADOS:</w:t>
      </w:r>
    </w:p>
    <w:p w14:paraId="4C59E89F" w14:textId="77777777" w:rsidR="00C80A80" w:rsidRPr="000F4927" w:rsidRDefault="00C80A80" w:rsidP="000F4927">
      <w:pPr>
        <w:pStyle w:val="Subtitulos1"/>
        <w:spacing w:line="360" w:lineRule="auto"/>
        <w:outlineLvl w:val="0"/>
        <w:rPr>
          <w:rFonts w:ascii="Arial" w:hAnsi="Arial" w:cs="Arial"/>
        </w:rPr>
      </w:pPr>
    </w:p>
    <w:p w14:paraId="303DFBD2" w14:textId="77777777" w:rsidR="00C80A80" w:rsidRPr="000F4927" w:rsidRDefault="00C80A80" w:rsidP="000F4927">
      <w:pPr>
        <w:pStyle w:val="NormalWeb"/>
        <w:spacing w:before="0" w:beforeAutospacing="0" w:after="0" w:afterAutospacing="0" w:line="360" w:lineRule="auto"/>
        <w:jc w:val="both"/>
        <w:rPr>
          <w:rFonts w:ascii="Arial" w:hAnsi="Arial" w:cs="Arial"/>
        </w:rPr>
      </w:pPr>
      <w:bookmarkStart w:id="14" w:name="_Hlk172565327"/>
      <w:r w:rsidRPr="000F4927">
        <w:rPr>
          <w:rFonts w:ascii="Arial" w:hAnsi="Arial" w:cs="Arial"/>
        </w:rPr>
        <w:t xml:space="preserve">Dentro de los principales resultados se encontró que, según la división política-administrativa de la ciudad de Cali, el Distrito de Aguablanca (comunas 13, 14, 15 y 21) presentó el mayor porcentaje de reportes de barreras por accesibilidad con un 21% y el sur de la ciudad </w:t>
      </w:r>
      <w:bookmarkEnd w:id="14"/>
      <w:r w:rsidRPr="000F4927">
        <w:rPr>
          <w:rFonts w:ascii="Arial" w:hAnsi="Arial" w:cs="Arial"/>
        </w:rPr>
        <w:t>(comunas 10, 17 y 18) con el 16%.  </w:t>
      </w:r>
    </w:p>
    <w:p w14:paraId="54F27BE2" w14:textId="77777777" w:rsidR="00C80A80" w:rsidRPr="000F4927" w:rsidRDefault="00C80A80" w:rsidP="000F4927">
      <w:pPr>
        <w:pStyle w:val="NormalWeb"/>
        <w:spacing w:before="0" w:beforeAutospacing="0" w:after="0" w:afterAutospacing="0" w:line="360" w:lineRule="auto"/>
        <w:rPr>
          <w:rFonts w:ascii="Arial" w:hAnsi="Arial" w:cs="Arial"/>
        </w:rPr>
      </w:pPr>
    </w:p>
    <w:p w14:paraId="25048052" w14:textId="77777777" w:rsidR="00A02D09" w:rsidRDefault="00A02D09" w:rsidP="000F4927">
      <w:pPr>
        <w:spacing w:line="360" w:lineRule="auto"/>
        <w:jc w:val="center"/>
        <w:rPr>
          <w:rFonts w:ascii="Arial" w:eastAsia="Arial" w:hAnsi="Arial" w:cs="Arial"/>
          <w:b/>
          <w:sz w:val="20"/>
          <w:szCs w:val="20"/>
        </w:rPr>
      </w:pPr>
    </w:p>
    <w:p w14:paraId="10DA70AA" w14:textId="77777777" w:rsidR="00A02D09" w:rsidRDefault="00A02D09" w:rsidP="000F4927">
      <w:pPr>
        <w:spacing w:line="360" w:lineRule="auto"/>
        <w:jc w:val="center"/>
        <w:rPr>
          <w:rFonts w:ascii="Arial" w:eastAsia="Arial" w:hAnsi="Arial" w:cs="Arial"/>
          <w:b/>
          <w:sz w:val="20"/>
          <w:szCs w:val="20"/>
        </w:rPr>
      </w:pPr>
    </w:p>
    <w:p w14:paraId="341609FC" w14:textId="77777777" w:rsidR="00A02D09" w:rsidRDefault="00A02D09" w:rsidP="000F4927">
      <w:pPr>
        <w:spacing w:line="360" w:lineRule="auto"/>
        <w:jc w:val="center"/>
        <w:rPr>
          <w:rFonts w:ascii="Arial" w:eastAsia="Arial" w:hAnsi="Arial" w:cs="Arial"/>
          <w:b/>
          <w:sz w:val="20"/>
          <w:szCs w:val="20"/>
        </w:rPr>
      </w:pPr>
    </w:p>
    <w:p w14:paraId="607F847B" w14:textId="77777777" w:rsidR="00A02D09" w:rsidRDefault="00A02D09" w:rsidP="000F4927">
      <w:pPr>
        <w:spacing w:line="360" w:lineRule="auto"/>
        <w:jc w:val="center"/>
        <w:rPr>
          <w:rFonts w:ascii="Arial" w:eastAsia="Arial" w:hAnsi="Arial" w:cs="Arial"/>
          <w:b/>
          <w:sz w:val="20"/>
          <w:szCs w:val="20"/>
        </w:rPr>
      </w:pPr>
    </w:p>
    <w:p w14:paraId="00C61B14" w14:textId="77777777" w:rsidR="00A02D09" w:rsidRDefault="00A02D09" w:rsidP="000F4927">
      <w:pPr>
        <w:spacing w:line="360" w:lineRule="auto"/>
        <w:jc w:val="center"/>
        <w:rPr>
          <w:rFonts w:ascii="Arial" w:eastAsia="Arial" w:hAnsi="Arial" w:cs="Arial"/>
          <w:b/>
          <w:sz w:val="20"/>
          <w:szCs w:val="20"/>
        </w:rPr>
      </w:pPr>
    </w:p>
    <w:p w14:paraId="44C37EB7" w14:textId="77777777" w:rsidR="00A02D09" w:rsidRDefault="00A02D09" w:rsidP="000F4927">
      <w:pPr>
        <w:spacing w:line="360" w:lineRule="auto"/>
        <w:jc w:val="center"/>
        <w:rPr>
          <w:rFonts w:ascii="Arial" w:eastAsia="Arial" w:hAnsi="Arial" w:cs="Arial"/>
          <w:b/>
          <w:sz w:val="20"/>
          <w:szCs w:val="20"/>
        </w:rPr>
      </w:pPr>
    </w:p>
    <w:p w14:paraId="48FB3C6E" w14:textId="77777777" w:rsidR="00A02D09" w:rsidRDefault="00A02D09" w:rsidP="000F4927">
      <w:pPr>
        <w:spacing w:line="360" w:lineRule="auto"/>
        <w:jc w:val="center"/>
        <w:rPr>
          <w:rFonts w:ascii="Arial" w:eastAsia="Arial" w:hAnsi="Arial" w:cs="Arial"/>
          <w:b/>
          <w:sz w:val="20"/>
          <w:szCs w:val="20"/>
        </w:rPr>
      </w:pPr>
    </w:p>
    <w:p w14:paraId="5F160394" w14:textId="77777777" w:rsidR="00A02D09" w:rsidRDefault="00A02D09" w:rsidP="000F4927">
      <w:pPr>
        <w:spacing w:line="360" w:lineRule="auto"/>
        <w:jc w:val="center"/>
        <w:rPr>
          <w:rFonts w:ascii="Arial" w:eastAsia="Arial" w:hAnsi="Arial" w:cs="Arial"/>
          <w:b/>
          <w:sz w:val="20"/>
          <w:szCs w:val="20"/>
        </w:rPr>
      </w:pPr>
    </w:p>
    <w:p w14:paraId="66EF586F" w14:textId="694A3667" w:rsidR="00C80A80" w:rsidRPr="008C7A25" w:rsidRDefault="00C80A80" w:rsidP="000F4927">
      <w:pPr>
        <w:spacing w:line="360" w:lineRule="auto"/>
        <w:jc w:val="center"/>
        <w:rPr>
          <w:rFonts w:ascii="Arial" w:eastAsia="Arial" w:hAnsi="Arial" w:cs="Arial"/>
          <w:b/>
          <w:noProof/>
          <w:sz w:val="20"/>
          <w:szCs w:val="20"/>
        </w:rPr>
      </w:pPr>
      <w:r w:rsidRPr="008C7A25">
        <w:rPr>
          <w:rFonts w:ascii="Arial" w:eastAsia="Arial" w:hAnsi="Arial" w:cs="Arial"/>
          <w:b/>
          <w:sz w:val="20"/>
          <w:szCs w:val="20"/>
        </w:rPr>
        <w:lastRenderedPageBreak/>
        <w:t xml:space="preserve">Figura 1 </w:t>
      </w:r>
      <w:r w:rsidRPr="008C7A25">
        <w:rPr>
          <w:rFonts w:ascii="Arial" w:hAnsi="Arial" w:cs="Arial"/>
          <w:b/>
          <w:sz w:val="20"/>
          <w:szCs w:val="20"/>
        </w:rPr>
        <w:t>División política-administrativa de la ciudad de Cali</w:t>
      </w:r>
      <w:r w:rsidRPr="008C7A25">
        <w:rPr>
          <w:rFonts w:ascii="Arial" w:eastAsia="Arial" w:hAnsi="Arial" w:cs="Arial"/>
          <w:b/>
          <w:noProof/>
          <w:sz w:val="20"/>
          <w:szCs w:val="20"/>
        </w:rPr>
        <w:t xml:space="preserve"> </w:t>
      </w:r>
    </w:p>
    <w:p w14:paraId="142923AB" w14:textId="094A140B" w:rsidR="005E0CC7" w:rsidRPr="004B68ED" w:rsidRDefault="005E0CC7" w:rsidP="000F4927">
      <w:pPr>
        <w:tabs>
          <w:tab w:val="left" w:pos="5865"/>
        </w:tabs>
        <w:spacing w:line="360" w:lineRule="auto"/>
        <w:jc w:val="both"/>
        <w:rPr>
          <w:rFonts w:ascii="Arial" w:hAnsi="Arial" w:cs="Arial"/>
          <w:bCs/>
          <w:sz w:val="20"/>
          <w:szCs w:val="20"/>
        </w:rPr>
      </w:pPr>
    </w:p>
    <w:p w14:paraId="35347C36" w14:textId="6596AC35" w:rsidR="00606630" w:rsidRPr="000F4927" w:rsidRDefault="00257BE1" w:rsidP="000F4927">
      <w:pPr>
        <w:tabs>
          <w:tab w:val="left" w:pos="5865"/>
        </w:tabs>
        <w:spacing w:line="360" w:lineRule="auto"/>
        <w:jc w:val="center"/>
        <w:rPr>
          <w:rFonts w:ascii="Arial" w:hAnsi="Arial" w:cs="Arial"/>
          <w:bCs/>
        </w:rPr>
      </w:pPr>
      <w:r w:rsidRPr="000F4927">
        <w:rPr>
          <w:rFonts w:ascii="Arial" w:eastAsia="Arial" w:hAnsi="Arial" w:cs="Arial"/>
          <w:noProof/>
        </w:rPr>
        <w:drawing>
          <wp:inline distT="0" distB="0" distL="0" distR="0" wp14:anchorId="31F2F90E" wp14:editId="056205EB">
            <wp:extent cx="3657600" cy="3139710"/>
            <wp:effectExtent l="0" t="0" r="0" b="3810"/>
            <wp:docPr id="1732739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6084" cy="3164161"/>
                    </a:xfrm>
                    <a:prstGeom prst="rect">
                      <a:avLst/>
                    </a:prstGeom>
                    <a:noFill/>
                    <a:ln>
                      <a:noFill/>
                    </a:ln>
                  </pic:spPr>
                </pic:pic>
              </a:graphicData>
            </a:graphic>
          </wp:inline>
        </w:drawing>
      </w:r>
    </w:p>
    <w:p w14:paraId="45DE8ABD" w14:textId="77777777" w:rsidR="00257BE1" w:rsidRPr="001E66AB" w:rsidRDefault="00257BE1" w:rsidP="000F4927">
      <w:pPr>
        <w:spacing w:line="360" w:lineRule="auto"/>
        <w:jc w:val="center"/>
        <w:rPr>
          <w:rFonts w:ascii="Arial" w:eastAsia="Arial" w:hAnsi="Arial" w:cs="Arial"/>
          <w:sz w:val="20"/>
          <w:szCs w:val="20"/>
        </w:rPr>
      </w:pPr>
      <w:bookmarkStart w:id="15" w:name="_Hlk172565449"/>
      <w:r w:rsidRPr="001E66AB">
        <w:rPr>
          <w:rFonts w:ascii="Arial" w:eastAsia="Arial" w:hAnsi="Arial" w:cs="Arial"/>
          <w:iCs/>
          <w:sz w:val="20"/>
          <w:szCs w:val="20"/>
        </w:rPr>
        <w:t>Fuente: Alcaldía de Santiago de Cali</w:t>
      </w:r>
    </w:p>
    <w:p w14:paraId="51F9345D" w14:textId="77777777" w:rsidR="00A02D09" w:rsidRDefault="00A02D09" w:rsidP="000F4927">
      <w:pPr>
        <w:pStyle w:val="NormalWeb"/>
        <w:spacing w:before="0" w:beforeAutospacing="0" w:after="0" w:afterAutospacing="0" w:line="360" w:lineRule="auto"/>
        <w:jc w:val="both"/>
        <w:rPr>
          <w:rFonts w:ascii="Arial" w:hAnsi="Arial" w:cs="Arial"/>
        </w:rPr>
      </w:pPr>
      <w:bookmarkStart w:id="16" w:name="_Hlk172565479"/>
      <w:bookmarkEnd w:id="15"/>
    </w:p>
    <w:p w14:paraId="057D55EC" w14:textId="6A942FC3"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t xml:space="preserve">El Distrito de Aguablanca es uno de los sectores con más zonas de vulnerabilidad y deficiencias en cuanto a salud, educación y recreación, este sector de la ciudad se caracteriza también por contar principalmente con procesos de invasión y urbanizaciones ilegales. Por otro lado, las comunas 10, 17 y 18 que comprenden parte del sur de la ciudad, se caracterizan por ser de los sectores con mejor desarrollo económico y social. </w:t>
      </w:r>
      <w:sdt>
        <w:sdtPr>
          <w:rPr>
            <w:rFonts w:ascii="Arial" w:hAnsi="Arial" w:cs="Arial"/>
          </w:rPr>
          <w:id w:val="2016723221"/>
          <w:citation/>
        </w:sdtPr>
        <w:sdtEndPr/>
        <w:sdtContent>
          <w:r w:rsidRPr="000F4927">
            <w:rPr>
              <w:rFonts w:ascii="Arial" w:hAnsi="Arial" w:cs="Arial"/>
            </w:rPr>
            <w:fldChar w:fldCharType="begin"/>
          </w:r>
          <w:r w:rsidRPr="000F4927">
            <w:rPr>
              <w:rFonts w:ascii="Arial" w:hAnsi="Arial" w:cs="Arial"/>
            </w:rPr>
            <w:instrText xml:space="preserve">CITATION Alc1 \n  \l 3082 </w:instrText>
          </w:r>
          <w:r w:rsidRPr="000F4927">
            <w:rPr>
              <w:rFonts w:ascii="Arial" w:hAnsi="Arial" w:cs="Arial"/>
            </w:rPr>
            <w:fldChar w:fldCharType="separate"/>
          </w:r>
          <w:r w:rsidRPr="000F4927">
            <w:rPr>
              <w:rFonts w:ascii="Arial" w:hAnsi="Arial" w:cs="Arial"/>
              <w:noProof/>
            </w:rPr>
            <w:t>(Red de servicios, s.f.)</w:t>
          </w:r>
          <w:r w:rsidRPr="000F4927">
            <w:rPr>
              <w:rFonts w:ascii="Arial" w:hAnsi="Arial" w:cs="Arial"/>
            </w:rPr>
            <w:fldChar w:fldCharType="end"/>
          </w:r>
        </w:sdtContent>
      </w:sdt>
      <w:r w:rsidRPr="000F4927">
        <w:rPr>
          <w:rFonts w:ascii="Arial" w:hAnsi="Arial" w:cs="Arial"/>
        </w:rPr>
        <w:t>.</w:t>
      </w:r>
    </w:p>
    <w:p w14:paraId="3455E95F" w14:textId="3A8E718F" w:rsidR="00257BE1" w:rsidRPr="000F4927" w:rsidRDefault="00257BE1" w:rsidP="000F4927">
      <w:pPr>
        <w:pStyle w:val="NormalWeb"/>
        <w:spacing w:before="0" w:beforeAutospacing="0" w:after="0" w:afterAutospacing="0" w:line="360" w:lineRule="auto"/>
        <w:jc w:val="both"/>
        <w:rPr>
          <w:rFonts w:ascii="Arial" w:hAnsi="Arial" w:cs="Arial"/>
        </w:rPr>
      </w:pPr>
      <w:bookmarkStart w:id="17" w:name="_Hlk172565513"/>
      <w:bookmarkEnd w:id="16"/>
      <w:r w:rsidRPr="000F4927">
        <w:rPr>
          <w:rFonts w:ascii="Arial" w:hAnsi="Arial" w:cs="Arial"/>
        </w:rPr>
        <w:lastRenderedPageBreak/>
        <w:t xml:space="preserve">En cuanto al Distrito de Aguablanca, prevalece la alta tasa de notificación de inconformidades por accesibilidad en los grupos poblacionales mayores entre 40 y 79 años con el 56%, en cambio, los grupos de personas de edades entre 10 y 39 años solamente cuentan con el 30% y los niños de 0 a 9 con el 9%.  La zona sur coincide con el mismo comportamiento en los grupos poblacionales, el mayor porcentaje (68%) </w:t>
      </w:r>
      <w:bookmarkStart w:id="18" w:name="_Hlk172565536"/>
      <w:bookmarkEnd w:id="17"/>
      <w:r w:rsidRPr="000F4927">
        <w:rPr>
          <w:rFonts w:ascii="Arial" w:hAnsi="Arial" w:cs="Arial"/>
        </w:rPr>
        <w:t>que pertenece a personas entre los 30 y 69 años.</w:t>
      </w:r>
    </w:p>
    <w:bookmarkEnd w:id="18"/>
    <w:p w14:paraId="5C883CC6" w14:textId="77777777" w:rsidR="004B68ED" w:rsidRDefault="004B68ED" w:rsidP="000F4927">
      <w:pPr>
        <w:pStyle w:val="NormalWeb"/>
        <w:spacing w:before="0" w:beforeAutospacing="0" w:after="0" w:afterAutospacing="0" w:line="360" w:lineRule="auto"/>
        <w:jc w:val="center"/>
        <w:rPr>
          <w:rFonts w:ascii="Arial" w:hAnsi="Arial" w:cs="Arial"/>
          <w:b/>
          <w:bCs/>
        </w:rPr>
      </w:pPr>
    </w:p>
    <w:p w14:paraId="5EE6A28C" w14:textId="0DD5C236" w:rsidR="00257BE1" w:rsidRPr="004B68ED" w:rsidRDefault="00257BE1" w:rsidP="000F4927">
      <w:pPr>
        <w:pStyle w:val="NormalWeb"/>
        <w:spacing w:before="0" w:beforeAutospacing="0" w:after="0" w:afterAutospacing="0" w:line="360" w:lineRule="auto"/>
        <w:jc w:val="center"/>
        <w:rPr>
          <w:rFonts w:ascii="Arial" w:hAnsi="Arial" w:cs="Arial"/>
          <w:b/>
          <w:iCs/>
          <w:sz w:val="20"/>
          <w:szCs w:val="20"/>
        </w:rPr>
      </w:pPr>
      <w:r w:rsidRPr="004B68ED">
        <w:rPr>
          <w:rFonts w:ascii="Arial" w:hAnsi="Arial" w:cs="Arial"/>
          <w:b/>
          <w:bCs/>
          <w:sz w:val="20"/>
          <w:szCs w:val="20"/>
        </w:rPr>
        <w:t xml:space="preserve">Figura 2 </w:t>
      </w:r>
      <w:r w:rsidRPr="004B68ED">
        <w:rPr>
          <w:rFonts w:ascii="Arial" w:hAnsi="Arial" w:cs="Arial"/>
          <w:b/>
          <w:iCs/>
          <w:sz w:val="20"/>
          <w:szCs w:val="20"/>
        </w:rPr>
        <w:t>Comparación del número de reportes por grupo de edad y género para el distrito de Aguablanca y zona sur</w:t>
      </w:r>
    </w:p>
    <w:p w14:paraId="5C60AC98" w14:textId="77777777" w:rsidR="00EC1E6D" w:rsidRPr="004B68ED" w:rsidRDefault="00EC1E6D" w:rsidP="000F4927">
      <w:pPr>
        <w:pStyle w:val="NormalWeb"/>
        <w:spacing w:before="0" w:beforeAutospacing="0" w:after="0" w:afterAutospacing="0" w:line="360" w:lineRule="auto"/>
        <w:jc w:val="center"/>
        <w:rPr>
          <w:rFonts w:ascii="Arial" w:hAnsi="Arial" w:cs="Arial"/>
          <w:b/>
          <w:iCs/>
          <w:sz w:val="20"/>
          <w:szCs w:val="20"/>
        </w:rPr>
      </w:pPr>
    </w:p>
    <w:p w14:paraId="50F6C82C" w14:textId="77777777" w:rsidR="00257BE1" w:rsidRPr="000F4927" w:rsidRDefault="00257BE1" w:rsidP="000F4927">
      <w:pPr>
        <w:pStyle w:val="NormalWeb"/>
        <w:spacing w:before="0" w:beforeAutospacing="0" w:after="0" w:afterAutospacing="0" w:line="360" w:lineRule="auto"/>
        <w:jc w:val="center"/>
        <w:rPr>
          <w:rFonts w:ascii="Arial" w:hAnsi="Arial" w:cs="Arial"/>
          <w:b/>
          <w:iCs/>
        </w:rPr>
      </w:pPr>
      <w:r w:rsidRPr="000F4927">
        <w:rPr>
          <w:rFonts w:ascii="Arial" w:hAnsi="Arial" w:cs="Arial"/>
          <w:noProof/>
          <w:lang w:val="es-CO" w:eastAsia="es-CO"/>
        </w:rPr>
        <w:drawing>
          <wp:inline distT="0" distB="0" distL="0" distR="0" wp14:anchorId="7D40DAD2" wp14:editId="6738DAEE">
            <wp:extent cx="4229100" cy="2721304"/>
            <wp:effectExtent l="0" t="0" r="0" b="3175"/>
            <wp:docPr id="20" name="Imagen 20"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Gráfico&#10;&#10;Descripción generada automáticamente"/>
                    <pic:cNvPicPr/>
                  </pic:nvPicPr>
                  <pic:blipFill>
                    <a:blip r:embed="rId15"/>
                    <a:stretch>
                      <a:fillRect/>
                    </a:stretch>
                  </pic:blipFill>
                  <pic:spPr>
                    <a:xfrm>
                      <a:off x="0" y="0"/>
                      <a:ext cx="4314022" cy="2775949"/>
                    </a:xfrm>
                    <a:prstGeom prst="rect">
                      <a:avLst/>
                    </a:prstGeom>
                  </pic:spPr>
                </pic:pic>
              </a:graphicData>
            </a:graphic>
          </wp:inline>
        </w:drawing>
      </w:r>
    </w:p>
    <w:p w14:paraId="266A2EBB" w14:textId="77777777" w:rsidR="00257BE1" w:rsidRPr="004B68ED" w:rsidRDefault="00257BE1" w:rsidP="000F4927">
      <w:pPr>
        <w:spacing w:line="360" w:lineRule="auto"/>
        <w:jc w:val="center"/>
        <w:rPr>
          <w:rFonts w:ascii="Arial" w:eastAsia="Arial" w:hAnsi="Arial" w:cs="Arial"/>
          <w:sz w:val="20"/>
          <w:szCs w:val="20"/>
        </w:rPr>
      </w:pPr>
      <w:r w:rsidRPr="004B68ED">
        <w:rPr>
          <w:rFonts w:ascii="Arial" w:eastAsia="Arial" w:hAnsi="Arial" w:cs="Arial"/>
          <w:iCs/>
          <w:sz w:val="20"/>
          <w:szCs w:val="20"/>
        </w:rPr>
        <w:t xml:space="preserve">Fuente: Base de datos abiertos SAC </w:t>
      </w:r>
      <w:r w:rsidRPr="004B68ED">
        <w:rPr>
          <w:rFonts w:ascii="Arial" w:hAnsi="Arial" w:cs="Arial"/>
          <w:iCs/>
          <w:sz w:val="20"/>
          <w:szCs w:val="20"/>
        </w:rPr>
        <w:t>Secretaría de Salud Pública de Cali 2020-2021.</w:t>
      </w:r>
    </w:p>
    <w:p w14:paraId="554C5FCD" w14:textId="77777777" w:rsidR="004B68ED" w:rsidRDefault="004B68ED" w:rsidP="000F4927">
      <w:pPr>
        <w:pStyle w:val="NormalWeb"/>
        <w:spacing w:before="0" w:beforeAutospacing="0" w:after="0" w:afterAutospacing="0" w:line="360" w:lineRule="auto"/>
        <w:jc w:val="both"/>
        <w:rPr>
          <w:rFonts w:ascii="Arial" w:hAnsi="Arial" w:cs="Arial"/>
        </w:rPr>
      </w:pPr>
    </w:p>
    <w:p w14:paraId="665E0209" w14:textId="00F1BF81"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lastRenderedPageBreak/>
        <w:t xml:space="preserve">A nivel Cali, desde el componente económico y en relación con el tipo de régimen del usuario, el régimen contributivo ocupa el 52% (24.787) de los reportes y el 44% (20.816) al subsidiado. Sin embargo, cuando se analizó el Distrito de Aguablanca se observó que el mayor porcentaje de reportes en este sector (60%) es para el régimen subsidiado. Si esto se asocia con los grupos de edad, encontramos que de las 10.141 de los reportes correspondientes a las comunas del distrito de Aguablanca, los grupos de mayor edad, de 40 años en adelante son los que más quejas instauraron en ambos regímenes, con un 57% para el régimen contributivo y 64% para el subsidiado. La población del Distrito de Aguablanca se encuentra afiliada en su mayoría al régimen subsidiado por las condiciones económicas de sus habitantes donde se observa que el 16.7% se encuentra en pobreza extrema y el 37.9% se encuentra en pobreza moderada. </w:t>
      </w:r>
      <w:sdt>
        <w:sdtPr>
          <w:rPr>
            <w:rFonts w:ascii="Arial" w:hAnsi="Arial" w:cs="Arial"/>
          </w:rPr>
          <w:id w:val="453915798"/>
          <w:citation/>
        </w:sdtPr>
        <w:sdtEndPr/>
        <w:sdtContent>
          <w:r w:rsidRPr="000F4927">
            <w:rPr>
              <w:rFonts w:ascii="Arial" w:hAnsi="Arial" w:cs="Arial"/>
            </w:rPr>
            <w:fldChar w:fldCharType="begin"/>
          </w:r>
          <w:r w:rsidRPr="000F4927">
            <w:rPr>
              <w:rFonts w:ascii="Arial" w:hAnsi="Arial" w:cs="Arial"/>
            </w:rPr>
            <w:instrText xml:space="preserve">CITATION CIE18 \l 3082 </w:instrText>
          </w:r>
          <w:r w:rsidRPr="000F4927">
            <w:rPr>
              <w:rFonts w:ascii="Arial" w:hAnsi="Arial" w:cs="Arial"/>
            </w:rPr>
            <w:fldChar w:fldCharType="separate"/>
          </w:r>
          <w:r w:rsidRPr="000F4927">
            <w:rPr>
              <w:rFonts w:ascii="Arial" w:hAnsi="Arial" w:cs="Arial"/>
              <w:noProof/>
            </w:rPr>
            <w:t>(CIEC, 2018)</w:t>
          </w:r>
          <w:r w:rsidRPr="000F4927">
            <w:rPr>
              <w:rFonts w:ascii="Arial" w:hAnsi="Arial" w:cs="Arial"/>
            </w:rPr>
            <w:fldChar w:fldCharType="end"/>
          </w:r>
        </w:sdtContent>
      </w:sdt>
      <w:r w:rsidRPr="000F4927">
        <w:rPr>
          <w:rFonts w:ascii="Arial" w:hAnsi="Arial" w:cs="Arial"/>
        </w:rPr>
        <w:t xml:space="preserve"> </w:t>
      </w:r>
    </w:p>
    <w:p w14:paraId="4DB93788" w14:textId="77777777" w:rsidR="006D4785" w:rsidRPr="000F4927" w:rsidRDefault="006D4785" w:rsidP="000F4927">
      <w:pPr>
        <w:pStyle w:val="NormalWeb"/>
        <w:spacing w:before="0" w:beforeAutospacing="0" w:after="0" w:afterAutospacing="0" w:line="360" w:lineRule="auto"/>
        <w:jc w:val="both"/>
        <w:rPr>
          <w:rFonts w:ascii="Arial" w:hAnsi="Arial" w:cs="Arial"/>
        </w:rPr>
      </w:pPr>
    </w:p>
    <w:p w14:paraId="3F80FD4B" w14:textId="77777777"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t xml:space="preserve">En Cali, según el Registro Especial de Prestadores de Servicios de Salud (REPS), la red de prestación de servicios de salud está conformada por 1.050 instituciones prestadoras de salud, las cuales el 89% son entidades privadas ofertando 6.971 servicios, y el 11% son instituciones que hacen parte de la red pública de la ciudad con 1.316 servicios a ofertar </w:t>
      </w:r>
      <w:sdt>
        <w:sdtPr>
          <w:rPr>
            <w:rFonts w:ascii="Arial" w:hAnsi="Arial" w:cs="Arial"/>
          </w:rPr>
          <w:id w:val="-1895271612"/>
          <w:citation/>
        </w:sdtPr>
        <w:sdtEndPr/>
        <w:sdtContent>
          <w:r w:rsidRPr="000F4927">
            <w:rPr>
              <w:rFonts w:ascii="Arial" w:hAnsi="Arial" w:cs="Arial"/>
            </w:rPr>
            <w:fldChar w:fldCharType="begin"/>
          </w:r>
          <w:r w:rsidRPr="000F4927">
            <w:rPr>
              <w:rFonts w:ascii="Arial" w:hAnsi="Arial" w:cs="Arial"/>
            </w:rPr>
            <w:instrText xml:space="preserve"> CITATION Sec231 \l 3082 </w:instrText>
          </w:r>
          <w:r w:rsidRPr="000F4927">
            <w:rPr>
              <w:rFonts w:ascii="Arial" w:hAnsi="Arial" w:cs="Arial"/>
            </w:rPr>
            <w:fldChar w:fldCharType="separate"/>
          </w:r>
          <w:r w:rsidRPr="000F4927">
            <w:rPr>
              <w:rFonts w:ascii="Arial" w:hAnsi="Arial" w:cs="Arial"/>
            </w:rPr>
            <w:t>(Cali, Diagnóstico del Sector Salud, 2023)</w:t>
          </w:r>
          <w:r w:rsidRPr="000F4927">
            <w:rPr>
              <w:rFonts w:ascii="Arial" w:hAnsi="Arial" w:cs="Arial"/>
            </w:rPr>
            <w:fldChar w:fldCharType="end"/>
          </w:r>
        </w:sdtContent>
      </w:sdt>
      <w:r w:rsidRPr="000F4927">
        <w:rPr>
          <w:rFonts w:ascii="Arial" w:hAnsi="Arial" w:cs="Arial"/>
        </w:rPr>
        <w:t>.</w:t>
      </w:r>
    </w:p>
    <w:p w14:paraId="2CA1677C" w14:textId="77777777" w:rsidR="004B68ED" w:rsidRDefault="004B68ED" w:rsidP="000F4927">
      <w:pPr>
        <w:pStyle w:val="NormalWeb"/>
        <w:spacing w:before="0" w:beforeAutospacing="0" w:after="0" w:afterAutospacing="0" w:line="360" w:lineRule="auto"/>
        <w:jc w:val="both"/>
        <w:rPr>
          <w:rFonts w:ascii="Arial" w:hAnsi="Arial" w:cs="Arial"/>
        </w:rPr>
      </w:pPr>
    </w:p>
    <w:p w14:paraId="528200E9" w14:textId="6E040E31"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t xml:space="preserve">En cuanto a los atributos de calidad en la zona sur la oportunidad representó el 45% en relación con el total de reportes mientras que en el distrito de Aguablanca el atributo con mayor reporte fue accesibilidad con un 47%. En cuanto a la </w:t>
      </w:r>
      <w:r w:rsidRPr="000F4927">
        <w:rPr>
          <w:rFonts w:ascii="Arial" w:hAnsi="Arial" w:cs="Arial"/>
        </w:rPr>
        <w:lastRenderedPageBreak/>
        <w:t xml:space="preserve">infraestructura en salud, se encontró que la falta de IPS (Instituciones Prestadoras de Servicios de Salud) con capacidad hospitalaria en el Distrito de Aguablanca y la saturación de las IPS en el sur fueron los factores que afectaron la prestación de los servicios de salud tanto para pacientes contagiados por </w:t>
      </w:r>
      <w:proofErr w:type="spellStart"/>
      <w:r w:rsidRPr="000F4927">
        <w:rPr>
          <w:rFonts w:ascii="Arial" w:hAnsi="Arial" w:cs="Arial"/>
        </w:rPr>
        <w:t>Covid</w:t>
      </w:r>
      <w:proofErr w:type="spellEnd"/>
      <w:r w:rsidRPr="000F4927">
        <w:rPr>
          <w:rFonts w:ascii="Arial" w:hAnsi="Arial" w:cs="Arial"/>
        </w:rPr>
        <w:t xml:space="preserve"> como de otras patologías crónicas. </w:t>
      </w:r>
    </w:p>
    <w:p w14:paraId="6A13718F" w14:textId="77777777" w:rsidR="006D4785" w:rsidRPr="000F4927" w:rsidRDefault="006D4785" w:rsidP="000F4927">
      <w:pPr>
        <w:pStyle w:val="NormalWeb"/>
        <w:spacing w:before="0" w:beforeAutospacing="0" w:after="0" w:afterAutospacing="0" w:line="360" w:lineRule="auto"/>
        <w:jc w:val="center"/>
        <w:textAlignment w:val="baseline"/>
        <w:rPr>
          <w:rFonts w:ascii="Arial" w:hAnsi="Arial" w:cs="Arial"/>
          <w:bCs/>
        </w:rPr>
      </w:pPr>
    </w:p>
    <w:p w14:paraId="6069BC3D" w14:textId="044BC8A3" w:rsidR="00257BE1" w:rsidRPr="004B68ED" w:rsidRDefault="00257BE1" w:rsidP="000F4927">
      <w:pPr>
        <w:pStyle w:val="NormalWeb"/>
        <w:spacing w:before="0" w:beforeAutospacing="0" w:after="0" w:afterAutospacing="0" w:line="360" w:lineRule="auto"/>
        <w:jc w:val="center"/>
        <w:textAlignment w:val="baseline"/>
        <w:rPr>
          <w:rFonts w:ascii="Arial" w:hAnsi="Arial" w:cs="Arial"/>
          <w:b/>
          <w:bCs/>
          <w:sz w:val="20"/>
          <w:szCs w:val="20"/>
        </w:rPr>
      </w:pPr>
      <w:r w:rsidRPr="004B68ED">
        <w:rPr>
          <w:rFonts w:ascii="Arial" w:hAnsi="Arial" w:cs="Arial"/>
          <w:b/>
          <w:bCs/>
          <w:sz w:val="20"/>
          <w:szCs w:val="20"/>
        </w:rPr>
        <w:t>Figura 3 Frecuencia de la afectación de atributos de la Calidad durante el 2021</w:t>
      </w:r>
    </w:p>
    <w:p w14:paraId="6A5CC145" w14:textId="77777777" w:rsidR="00EC1E6D" w:rsidRPr="004B68ED" w:rsidRDefault="00EC1E6D" w:rsidP="000F4927">
      <w:pPr>
        <w:pStyle w:val="NormalWeb"/>
        <w:spacing w:before="0" w:beforeAutospacing="0" w:after="0" w:afterAutospacing="0" w:line="360" w:lineRule="auto"/>
        <w:jc w:val="center"/>
        <w:textAlignment w:val="baseline"/>
        <w:rPr>
          <w:rFonts w:ascii="Arial" w:hAnsi="Arial" w:cs="Arial"/>
          <w:b/>
          <w:bCs/>
          <w:kern w:val="24"/>
          <w:sz w:val="20"/>
          <w:szCs w:val="20"/>
          <w:lang w:eastAsia="es-CO"/>
        </w:rPr>
      </w:pPr>
    </w:p>
    <w:p w14:paraId="536768F2" w14:textId="77777777" w:rsidR="00257BE1" w:rsidRPr="000F4927" w:rsidRDefault="00257BE1" w:rsidP="000F4927">
      <w:pPr>
        <w:pStyle w:val="NormalWeb"/>
        <w:spacing w:before="0" w:beforeAutospacing="0" w:after="0" w:afterAutospacing="0" w:line="360" w:lineRule="auto"/>
        <w:jc w:val="center"/>
        <w:rPr>
          <w:rFonts w:ascii="Arial" w:hAnsi="Arial" w:cs="Arial"/>
          <w:iCs/>
        </w:rPr>
      </w:pPr>
      <w:r w:rsidRPr="000F4927">
        <w:rPr>
          <w:rFonts w:ascii="Arial" w:hAnsi="Arial" w:cs="Arial"/>
          <w:iCs/>
          <w:noProof/>
        </w:rPr>
        <w:drawing>
          <wp:inline distT="0" distB="0" distL="0" distR="0" wp14:anchorId="72F47584" wp14:editId="62686917">
            <wp:extent cx="5501640" cy="3248025"/>
            <wp:effectExtent l="0" t="0" r="3810" b="9525"/>
            <wp:docPr id="103467882" name="Imagen 10"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7882" name="Imagen 10" descr="Gráfico, Gráfico en cascad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9650" cy="3270465"/>
                    </a:xfrm>
                    <a:prstGeom prst="rect">
                      <a:avLst/>
                    </a:prstGeom>
                    <a:noFill/>
                  </pic:spPr>
                </pic:pic>
              </a:graphicData>
            </a:graphic>
          </wp:inline>
        </w:drawing>
      </w:r>
    </w:p>
    <w:p w14:paraId="4131DE43" w14:textId="77777777" w:rsidR="00257BE1" w:rsidRPr="004B68ED" w:rsidRDefault="00257BE1" w:rsidP="000F4927">
      <w:pPr>
        <w:spacing w:line="360" w:lineRule="auto"/>
        <w:jc w:val="center"/>
        <w:rPr>
          <w:rFonts w:ascii="Arial" w:eastAsia="Arial" w:hAnsi="Arial" w:cs="Arial"/>
          <w:sz w:val="20"/>
          <w:szCs w:val="20"/>
        </w:rPr>
      </w:pPr>
      <w:r w:rsidRPr="004B68ED">
        <w:rPr>
          <w:rFonts w:ascii="Arial" w:eastAsia="Arial" w:hAnsi="Arial" w:cs="Arial"/>
          <w:iCs/>
          <w:sz w:val="20"/>
          <w:szCs w:val="20"/>
        </w:rPr>
        <w:t xml:space="preserve">Fuente: Base de datos abiertos SAC </w:t>
      </w:r>
      <w:r w:rsidRPr="004B68ED">
        <w:rPr>
          <w:rFonts w:ascii="Arial" w:hAnsi="Arial" w:cs="Arial"/>
          <w:iCs/>
          <w:sz w:val="20"/>
          <w:szCs w:val="20"/>
        </w:rPr>
        <w:t>Secretaría de Salud Pública de Cali 2021.</w:t>
      </w:r>
    </w:p>
    <w:p w14:paraId="31287BB8" w14:textId="77777777" w:rsidR="00257BE1" w:rsidRPr="000F4927" w:rsidRDefault="00257BE1" w:rsidP="000F4927">
      <w:pPr>
        <w:pStyle w:val="NormalWeb"/>
        <w:spacing w:before="0" w:beforeAutospacing="0" w:after="0" w:afterAutospacing="0" w:line="360" w:lineRule="auto"/>
        <w:jc w:val="center"/>
        <w:rPr>
          <w:rFonts w:ascii="Arial" w:hAnsi="Arial" w:cs="Arial"/>
          <w:iCs/>
        </w:rPr>
      </w:pPr>
    </w:p>
    <w:p w14:paraId="791F1157" w14:textId="77777777"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lastRenderedPageBreak/>
        <w:t xml:space="preserve">El impacto del Covid-19 en materia económica aumentó la precarización y pobreza en la ciudad, en especial, para las poblaciones en estado de vulnerabilidad como son el distrito de Aguablanca y parte del sur de la ciudad. Según el Departamento Administrativo Nacional de Estadística (DANE), la tasa de desempleo en la ciudad alcanzó 20,4% respecto al 2019, lo que representó un aumento de 7.9 puntos porcentuales a diferencia del año previo a la pandemia. El confinamiento obligatorio, el cierre de empresas, la pérdida de empleos, suspensión de actividades económicas (con excepción de las esenciales), el impacto del virus en la sociedad y por ende en la informalidad de las personas, fueron algunas razones del aumento del desempleo en la ciudad </w:t>
      </w:r>
      <w:sdt>
        <w:sdtPr>
          <w:rPr>
            <w:rFonts w:ascii="Arial" w:hAnsi="Arial" w:cs="Arial"/>
          </w:rPr>
          <w:id w:val="1102921322"/>
          <w:citation/>
        </w:sdtPr>
        <w:sdtEndPr/>
        <w:sdtContent>
          <w:r w:rsidRPr="000F4927">
            <w:rPr>
              <w:rFonts w:ascii="Arial" w:hAnsi="Arial" w:cs="Arial"/>
            </w:rPr>
            <w:fldChar w:fldCharType="begin"/>
          </w:r>
          <w:r w:rsidRPr="000F4927">
            <w:rPr>
              <w:rFonts w:ascii="Arial" w:hAnsi="Arial" w:cs="Arial"/>
            </w:rPr>
            <w:instrText xml:space="preserve"> CITATION DNP20 \l 3082 </w:instrText>
          </w:r>
          <w:r w:rsidRPr="000F4927">
            <w:rPr>
              <w:rFonts w:ascii="Arial" w:hAnsi="Arial" w:cs="Arial"/>
            </w:rPr>
            <w:fldChar w:fldCharType="separate"/>
          </w:r>
          <w:r w:rsidRPr="000F4927">
            <w:rPr>
              <w:rFonts w:ascii="Arial" w:hAnsi="Arial" w:cs="Arial"/>
            </w:rPr>
            <w:t>(DNP, 2020)</w:t>
          </w:r>
          <w:r w:rsidRPr="000F4927">
            <w:rPr>
              <w:rFonts w:ascii="Arial" w:hAnsi="Arial" w:cs="Arial"/>
            </w:rPr>
            <w:fldChar w:fldCharType="end"/>
          </w:r>
        </w:sdtContent>
      </w:sdt>
      <w:r w:rsidRPr="000F4927">
        <w:rPr>
          <w:rFonts w:ascii="Arial" w:hAnsi="Arial" w:cs="Arial"/>
        </w:rPr>
        <w:t>.</w:t>
      </w:r>
    </w:p>
    <w:p w14:paraId="72A86F9E" w14:textId="77777777" w:rsidR="004B68ED" w:rsidRDefault="004B68ED" w:rsidP="000F4927">
      <w:pPr>
        <w:pStyle w:val="NormalWeb"/>
        <w:spacing w:before="0" w:beforeAutospacing="0" w:after="0" w:afterAutospacing="0" w:line="360" w:lineRule="auto"/>
        <w:jc w:val="both"/>
        <w:rPr>
          <w:rFonts w:ascii="Arial" w:hAnsi="Arial" w:cs="Arial"/>
        </w:rPr>
      </w:pPr>
    </w:p>
    <w:p w14:paraId="37E92C18" w14:textId="2A7F59E5"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t>Las condiciones socioeconómicas como el nivel de pobreza monetaria, el bajo nivel educativo, la informalidad y las diferentes oportunidades de acceder a un empleo son factores sociales que influyen en la accesibilidad a los servicios de salud. Las comunas 13 por sus condiciones representó el 7% del total de reportes de accesibilidad lo cual está muy relacionado con que no cuenta con infraestructura de infraestructura en salud lo que hace que tenga más gasto de bolsillo al tener que pagar desplazamiento a otros sectores de la ciudad</w:t>
      </w:r>
      <w:sdt>
        <w:sdtPr>
          <w:rPr>
            <w:rFonts w:ascii="Arial" w:hAnsi="Arial" w:cs="Arial"/>
          </w:rPr>
          <w:id w:val="-371304949"/>
          <w:citation/>
        </w:sdtPr>
        <w:sdtEndPr/>
        <w:sdtContent>
          <w:r w:rsidRPr="000F4927">
            <w:rPr>
              <w:rFonts w:ascii="Arial" w:hAnsi="Arial" w:cs="Arial"/>
            </w:rPr>
            <w:fldChar w:fldCharType="begin"/>
          </w:r>
          <w:r w:rsidRPr="000F4927">
            <w:rPr>
              <w:rFonts w:ascii="Arial" w:hAnsi="Arial" w:cs="Arial"/>
            </w:rPr>
            <w:instrText xml:space="preserve"> CITATION DNP20 \l 3082 </w:instrText>
          </w:r>
          <w:r w:rsidRPr="000F4927">
            <w:rPr>
              <w:rFonts w:ascii="Arial" w:hAnsi="Arial" w:cs="Arial"/>
            </w:rPr>
            <w:fldChar w:fldCharType="separate"/>
          </w:r>
          <w:r w:rsidRPr="000F4927">
            <w:rPr>
              <w:rFonts w:ascii="Arial" w:hAnsi="Arial" w:cs="Arial"/>
            </w:rPr>
            <w:t>(DNP, 2020)</w:t>
          </w:r>
          <w:r w:rsidRPr="000F4927">
            <w:rPr>
              <w:rFonts w:ascii="Arial" w:hAnsi="Arial" w:cs="Arial"/>
            </w:rPr>
            <w:fldChar w:fldCharType="end"/>
          </w:r>
        </w:sdtContent>
      </w:sdt>
      <w:r w:rsidRPr="000F4927">
        <w:rPr>
          <w:rFonts w:ascii="Arial" w:hAnsi="Arial" w:cs="Arial"/>
        </w:rPr>
        <w:t>.</w:t>
      </w:r>
    </w:p>
    <w:p w14:paraId="1A62652D" w14:textId="77777777" w:rsidR="004B68ED" w:rsidRDefault="004B68ED" w:rsidP="000F4927">
      <w:pPr>
        <w:pStyle w:val="NormalWeb"/>
        <w:spacing w:before="0" w:beforeAutospacing="0" w:after="0" w:afterAutospacing="0" w:line="360" w:lineRule="auto"/>
        <w:jc w:val="both"/>
        <w:rPr>
          <w:rFonts w:ascii="Arial" w:hAnsi="Arial" w:cs="Arial"/>
        </w:rPr>
      </w:pPr>
    </w:p>
    <w:p w14:paraId="074D675E" w14:textId="605ABC89" w:rsidR="00257BE1"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t xml:space="preserve">Desde el origen de la pandemia por Covid-19, la desigualdad económica en Cali se vio afectada por la recesión económica en todo el país. El índice de GINI en 2020 aumentó 0.058 puntos en comparación con el año 2019 previo a la pandemia, en </w:t>
      </w:r>
      <w:r w:rsidRPr="000F4927">
        <w:rPr>
          <w:rFonts w:ascii="Arial" w:hAnsi="Arial" w:cs="Arial"/>
        </w:rPr>
        <w:lastRenderedPageBreak/>
        <w:t xml:space="preserve">cifras, más de un 1.500.000 de personas nuevas entró en estado de vulnerabilidad, demostrando que el ingreso económico de los habitantes sufrió una reducción durante el 2020, y parte del 2021 por las repercusiones del virus; dichas condiciones son determinantes para el acceso en salud </w:t>
      </w:r>
      <w:sdt>
        <w:sdtPr>
          <w:rPr>
            <w:rFonts w:ascii="Arial" w:hAnsi="Arial" w:cs="Arial"/>
          </w:rPr>
          <w:id w:val="889540192"/>
          <w:citation/>
        </w:sdtPr>
        <w:sdtEndPr/>
        <w:sdtContent>
          <w:r w:rsidRPr="000F4927">
            <w:rPr>
              <w:rFonts w:ascii="Arial" w:hAnsi="Arial" w:cs="Arial"/>
            </w:rPr>
            <w:fldChar w:fldCharType="begin"/>
          </w:r>
          <w:r w:rsidRPr="000F4927">
            <w:rPr>
              <w:rFonts w:ascii="Arial" w:hAnsi="Arial" w:cs="Arial"/>
            </w:rPr>
            <w:instrText xml:space="preserve"> CITATION CIE23 \l 3082 </w:instrText>
          </w:r>
          <w:r w:rsidRPr="000F4927">
            <w:rPr>
              <w:rFonts w:ascii="Arial" w:hAnsi="Arial" w:cs="Arial"/>
            </w:rPr>
            <w:fldChar w:fldCharType="separate"/>
          </w:r>
          <w:r w:rsidRPr="000F4927">
            <w:rPr>
              <w:rFonts w:ascii="Arial" w:hAnsi="Arial" w:cs="Arial"/>
            </w:rPr>
            <w:t>(Centro de Inteligencia Económica y Competitividad, 2023)</w:t>
          </w:r>
          <w:r w:rsidRPr="000F4927">
            <w:rPr>
              <w:rFonts w:ascii="Arial" w:hAnsi="Arial" w:cs="Arial"/>
            </w:rPr>
            <w:fldChar w:fldCharType="end"/>
          </w:r>
        </w:sdtContent>
      </w:sdt>
      <w:r w:rsidRPr="000F4927">
        <w:rPr>
          <w:rFonts w:ascii="Arial" w:hAnsi="Arial" w:cs="Arial"/>
        </w:rPr>
        <w:t>.</w:t>
      </w:r>
    </w:p>
    <w:p w14:paraId="13FFAB10" w14:textId="77777777" w:rsidR="00A02D09" w:rsidRPr="000F4927" w:rsidRDefault="00A02D09" w:rsidP="000F4927">
      <w:pPr>
        <w:pStyle w:val="NormalWeb"/>
        <w:spacing w:before="0" w:beforeAutospacing="0" w:after="0" w:afterAutospacing="0" w:line="360" w:lineRule="auto"/>
        <w:jc w:val="both"/>
        <w:rPr>
          <w:rFonts w:ascii="Arial" w:hAnsi="Arial" w:cs="Arial"/>
        </w:rPr>
      </w:pPr>
    </w:p>
    <w:p w14:paraId="3F834209" w14:textId="77777777"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t xml:space="preserve">Los resultados obtenidos del análisis determinaron que una proporción importante de la población de Santiago de Cali enfrento diversos obstáculos para acceder a los servicios de salud durante la pandemia. Estas barreras estuvieron relacionadas con el acceso a EPS con el 26% de los reportes los cuales estuvieron relacionados con problemas de autorizaciones de procedimientos médicos, exámenes y ayudas diagnósticas. La atención por Covid-19 representó el 25% especialmente la inoportunidad en la toma de la prueba diagnóstica, la oportunidad y acceso a la vacunación, la demora en los resultados y la asignación de citas médicas. Y finalmente el acceso IPS obtuvo el 19%.  Ya que las instituciones de salud experimentaron colapsos en su capacidad instalada, en recursos humanos y en materiales para atender a todos los pacientes de manera oportuna. Esto resultó en demoras en la atención, cancelaciones de citas médicas y una reducción general en la disponibilidad de servicios de salud, conjuntamente el acceso a medicamentos representó el 7% del total principalmente por la escasez de materias primas durante el confinamiento afectó la producción local, dificultando el acceso a medicamentos. </w:t>
      </w:r>
    </w:p>
    <w:p w14:paraId="298938A6" w14:textId="77777777"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lastRenderedPageBreak/>
        <w:t xml:space="preserve">Durante el periodo analizado en Cali, los eventos de salud que presentaron más barreras de acceso en la prestación de servicios fueron principalmente la atención de consultas por enfermedad general, que representaron el 84% de los reportes. Este alto porcentaje se debió a que los recursos del sistema de salud se destinaron principalmente al tratamiento y prevención del COVID-19, lo que resultó en la postergación o cancelación de muchas consultas, tratamientos y procedimientos médicos rutinarios. Seguida del Cáncer con 6% respectivamente. </w:t>
      </w:r>
    </w:p>
    <w:p w14:paraId="3AC9F814" w14:textId="77777777" w:rsidR="00A02D09" w:rsidRDefault="00A02D09" w:rsidP="000F4927">
      <w:pPr>
        <w:pStyle w:val="NormalWeb"/>
        <w:spacing w:before="0" w:beforeAutospacing="0" w:after="0" w:afterAutospacing="0" w:line="360" w:lineRule="auto"/>
        <w:jc w:val="both"/>
        <w:rPr>
          <w:rFonts w:ascii="Arial" w:hAnsi="Arial" w:cs="Arial"/>
        </w:rPr>
      </w:pPr>
    </w:p>
    <w:p w14:paraId="104F08EE" w14:textId="52524FBD"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t>La atención ambulatoria fue particularmente afectada debido a la falta de oportunidad y pertinencia en la continuidad de tratamientos para diferentes patologías de base. Y en las zonas del Distrito de Aguablanca y el sur de la ciudad, el comportamiento de los reportes fue similar, superando el 80% del total en ambas áreas. Esto indica que, previamente a la pandemia, ya había una alta proporción de la población con patologías no transmisibles, y la pandemia agudizó el manejo de estos pacientes, lo que ocasionó un aumento en el reporte de inconformidades.</w:t>
      </w:r>
    </w:p>
    <w:p w14:paraId="43165705" w14:textId="77777777"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t>Se determinó que la compleja interacción entre las condiciones sociodemográfica y económicas en la que se vio envuelta la ciudad durante la pandemia en los años analizados tuvo un impacto significativo y a su vez negativo en el acceso a los servicios de salud, las áreas urbanas y económicas de la ciudad, principalmente las que se encuentran con mayor densidad poblacional y con bajos recursos económicos como se evidencio en el distrito de Aguablanca fueron los que enfrentaron mayores desafíos durante este periodo.</w:t>
      </w:r>
    </w:p>
    <w:p w14:paraId="4B153C5F" w14:textId="4BD03F39"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lastRenderedPageBreak/>
        <w:t>La infraestructura sanitaria limitada en áreas como el distrito de Aguablanca incrementó las disparidades en la atención médica, dificultando especialmente el acceso para los sectores más vulnerables de la población. A pesar de la existencia de una amplia red de instituciones de salud, tanto públicas como privadas, la distribución desigual de estos establecimientos en todos los territorios de la ciudad de Cali y la baja prevalencia de servicios de mediana complejidad representaron obstáculos adicionales para prestar una atención equitativa y de calidad. Es así como la falta disponibilidad de IPS de segundo nivel de atención fueron determinantes para darle accesibilidad a las personas que lo requerían en las zonas descritas en esta investigación.</w:t>
      </w:r>
    </w:p>
    <w:p w14:paraId="66567E91" w14:textId="77777777" w:rsidR="004B68ED" w:rsidRDefault="004B68ED" w:rsidP="000F4927">
      <w:pPr>
        <w:pStyle w:val="NormalWeb"/>
        <w:spacing w:before="0" w:beforeAutospacing="0" w:after="0" w:afterAutospacing="0" w:line="360" w:lineRule="auto"/>
        <w:jc w:val="both"/>
        <w:rPr>
          <w:rFonts w:ascii="Arial" w:hAnsi="Arial" w:cs="Arial"/>
        </w:rPr>
      </w:pPr>
    </w:p>
    <w:p w14:paraId="08B9F563" w14:textId="62A1701A"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t>Se estimó que hubo una amplia gama de barreras de acceso a los servicios de salud que dificultaron el acceso oportuno y efectivo a la población durante la pandemia de COVID-19 en los años 2020 y 2021, estas influyeron en la atención  médica, el acceso a las EPS e IPS, la obtención de medicamentos necesarios, las citas médicas y los procedimientos médicos anudado a esto se observó la sobrecarga que presentó el sector salud por la escasez de recursos tanto  humanos como hospitalarios, la tecnología deficiente y las restricciones impuesta para contener la propagación del virus contribuyeron al aumento de reportes de inconformidades por parte de los ciudadanos. Estas barreras afectaron negativamente el tratamiento de enfermedades crónicas, la distribución de medicamentos y la realización de procedimientos médicos.</w:t>
      </w:r>
    </w:p>
    <w:p w14:paraId="61078784" w14:textId="1F427AD0" w:rsidR="00257BE1" w:rsidRPr="000F4927" w:rsidRDefault="00257BE1" w:rsidP="000F4927">
      <w:pPr>
        <w:pStyle w:val="NormalWeb"/>
        <w:spacing w:before="0" w:beforeAutospacing="0" w:after="0" w:afterAutospacing="0" w:line="360" w:lineRule="auto"/>
        <w:jc w:val="both"/>
        <w:rPr>
          <w:rFonts w:ascii="Arial" w:hAnsi="Arial" w:cs="Arial"/>
        </w:rPr>
      </w:pPr>
      <w:r w:rsidRPr="000F4927">
        <w:rPr>
          <w:rFonts w:ascii="Arial" w:hAnsi="Arial" w:cs="Arial"/>
        </w:rPr>
        <w:lastRenderedPageBreak/>
        <w:t>La enfermedad general predomino entre los 13 eventos analizados, seguida del cáncer. Es evidente que, por la reorganización, la gran demanda de paciente COVID-19, las readecuaciones de los servicios que realizaron las instituciones de salud, durante la pandemia, agravo los obstáculos existentes en el sistema de salud, principalmente la falta de acceso oportuno y la continuidad de tratamientos para enfermedades crónicas, esto causó un impacto negativo en los habitantes de Santiago de Cali, motivándolos a emitir quejas y reclamos por la falta de oportunidad y pertinencia.</w:t>
      </w:r>
    </w:p>
    <w:p w14:paraId="21772793" w14:textId="77777777" w:rsidR="004B68ED" w:rsidRDefault="004B68ED" w:rsidP="000F4927">
      <w:pPr>
        <w:pStyle w:val="NormalWeb"/>
        <w:spacing w:before="0" w:beforeAutospacing="0" w:after="0" w:afterAutospacing="0" w:line="360" w:lineRule="auto"/>
        <w:jc w:val="both"/>
        <w:rPr>
          <w:rFonts w:ascii="Arial" w:hAnsi="Arial" w:cs="Arial"/>
          <w:color w:val="000000" w:themeColor="text1"/>
        </w:rPr>
      </w:pPr>
    </w:p>
    <w:p w14:paraId="717DBBAE" w14:textId="7335E87F" w:rsidR="004F2378" w:rsidRPr="004B68ED" w:rsidRDefault="00257BE1" w:rsidP="004B68ED">
      <w:pPr>
        <w:pStyle w:val="NormalWeb"/>
        <w:spacing w:before="0" w:beforeAutospacing="0" w:after="0" w:afterAutospacing="0" w:line="360" w:lineRule="auto"/>
        <w:jc w:val="both"/>
        <w:rPr>
          <w:rFonts w:ascii="Arial" w:hAnsi="Arial" w:cs="Arial"/>
          <w:color w:val="000000" w:themeColor="text1"/>
        </w:rPr>
      </w:pPr>
      <w:r w:rsidRPr="000F4927">
        <w:rPr>
          <w:rFonts w:ascii="Arial" w:hAnsi="Arial" w:cs="Arial"/>
          <w:color w:val="000000" w:themeColor="text1"/>
        </w:rPr>
        <w:t>Estas situaciones influyeron especialmente en el retraso del diagnóstico de enfermedades no relacionadas con el COVID -19, demoras e interrupciones en los tratamientos de enfermedades prevalentes, disminución de la incidencia de enfermedades esperadas y cambios en el perfil epidemiológico durante el tiempo la pandemia. Además del impacto negativo en la salud mental, las violencias intrafamiliares y la seguridad alimentaria que afecto a la población en general.</w:t>
      </w:r>
    </w:p>
    <w:p w14:paraId="397447D8" w14:textId="77777777" w:rsidR="004F2378" w:rsidRPr="000F4927" w:rsidRDefault="004F2378" w:rsidP="000F4927">
      <w:pPr>
        <w:spacing w:line="360" w:lineRule="auto"/>
        <w:rPr>
          <w:rFonts w:ascii="Arial" w:eastAsia="Arial" w:hAnsi="Arial" w:cs="Arial"/>
          <w:b/>
          <w:iCs/>
        </w:rPr>
      </w:pPr>
    </w:p>
    <w:p w14:paraId="488A8ADC" w14:textId="7F960615" w:rsidR="00257BE1" w:rsidRPr="000F4927" w:rsidRDefault="00257BE1" w:rsidP="000F4927">
      <w:pPr>
        <w:spacing w:line="360" w:lineRule="auto"/>
        <w:rPr>
          <w:rFonts w:ascii="Arial" w:eastAsia="Arial" w:hAnsi="Arial" w:cs="Arial"/>
          <w:b/>
          <w:iCs/>
        </w:rPr>
      </w:pPr>
      <w:r w:rsidRPr="000F4927">
        <w:rPr>
          <w:rFonts w:ascii="Arial" w:eastAsia="Arial" w:hAnsi="Arial" w:cs="Arial"/>
          <w:b/>
          <w:iCs/>
        </w:rPr>
        <w:t>REFERENCIAS BIBLIOGRÁFICAS</w:t>
      </w:r>
      <w:bookmarkStart w:id="19" w:name="_Hlk173704394"/>
    </w:p>
    <w:p w14:paraId="3E7690D9" w14:textId="77777777" w:rsidR="00480DE1" w:rsidRPr="000F4927" w:rsidRDefault="00480DE1" w:rsidP="000F4927">
      <w:pPr>
        <w:spacing w:line="360" w:lineRule="auto"/>
        <w:rPr>
          <w:rFonts w:ascii="Arial" w:eastAsia="Arial" w:hAnsi="Arial" w:cs="Arial"/>
          <w:b/>
          <w:iCs/>
        </w:rPr>
      </w:pPr>
    </w:p>
    <w:p w14:paraId="05FE000E" w14:textId="77777777" w:rsidR="00257BE1" w:rsidRPr="00806C39" w:rsidRDefault="00257BE1" w:rsidP="006E35E7">
      <w:pPr>
        <w:spacing w:line="360" w:lineRule="auto"/>
        <w:ind w:left="567" w:hanging="567"/>
        <w:contextualSpacing/>
        <w:jc w:val="both"/>
        <w:rPr>
          <w:rFonts w:ascii="Arial" w:hAnsi="Arial" w:cs="Arial"/>
          <w:color w:val="002060"/>
        </w:rPr>
      </w:pPr>
      <w:r w:rsidRPr="000F4927">
        <w:rPr>
          <w:rFonts w:ascii="Arial" w:hAnsi="Arial" w:cs="Arial"/>
        </w:rPr>
        <w:t xml:space="preserve">Aranda, C., Yury, S., Mantilla, V., &amp; </w:t>
      </w:r>
      <w:proofErr w:type="spellStart"/>
      <w:r w:rsidRPr="000F4927">
        <w:rPr>
          <w:rFonts w:ascii="Arial" w:hAnsi="Arial" w:cs="Arial"/>
        </w:rPr>
        <w:t>Josianne</w:t>
      </w:r>
      <w:proofErr w:type="spellEnd"/>
      <w:r w:rsidRPr="000F4927">
        <w:rPr>
          <w:rFonts w:ascii="Arial" w:hAnsi="Arial" w:cs="Arial"/>
        </w:rPr>
        <w:t xml:space="preserve">, S. (2022). Acceso a los servicios de salud durante la pandemia Covid-19 en pobladores de la comunidad nativa Chuquibambilla adscritos al centro de salud </w:t>
      </w:r>
      <w:proofErr w:type="spellStart"/>
      <w:r w:rsidRPr="000F4927">
        <w:rPr>
          <w:rFonts w:ascii="Arial" w:hAnsi="Arial" w:cs="Arial"/>
        </w:rPr>
        <w:t>Cubantia</w:t>
      </w:r>
      <w:proofErr w:type="spellEnd"/>
      <w:r w:rsidRPr="000F4927">
        <w:rPr>
          <w:rFonts w:ascii="Arial" w:hAnsi="Arial" w:cs="Arial"/>
        </w:rPr>
        <w:t xml:space="preserve"> del distrito de San Martin </w:t>
      </w:r>
      <w:r w:rsidRPr="000F4927">
        <w:rPr>
          <w:rFonts w:ascii="Arial" w:hAnsi="Arial" w:cs="Arial"/>
        </w:rPr>
        <w:lastRenderedPageBreak/>
        <w:t xml:space="preserve">de Pangoa – </w:t>
      </w:r>
      <w:proofErr w:type="spellStart"/>
      <w:r w:rsidRPr="000F4927">
        <w:rPr>
          <w:rFonts w:ascii="Arial" w:hAnsi="Arial" w:cs="Arial"/>
        </w:rPr>
        <w:t>Junin</w:t>
      </w:r>
      <w:proofErr w:type="spellEnd"/>
      <w:r w:rsidRPr="000F4927">
        <w:rPr>
          <w:rFonts w:ascii="Arial" w:hAnsi="Arial" w:cs="Arial"/>
        </w:rPr>
        <w:t xml:space="preserve">. Obtenido de Universidad Nacional del Callao: </w:t>
      </w:r>
      <w:hyperlink r:id="rId17" w:history="1">
        <w:r w:rsidRPr="00876337">
          <w:rPr>
            <w:rFonts w:ascii="Arial" w:hAnsi="Arial" w:cs="Arial"/>
            <w:color w:val="002060"/>
            <w:u w:val="single"/>
          </w:rPr>
          <w:t>https://repositorio.unac.edu.pe/handle/20.500.12952/7897</w:t>
        </w:r>
      </w:hyperlink>
      <w:r w:rsidRPr="00806C39">
        <w:rPr>
          <w:rFonts w:ascii="Arial" w:hAnsi="Arial" w:cs="Arial"/>
          <w:color w:val="002060"/>
        </w:rPr>
        <w:t xml:space="preserve"> </w:t>
      </w:r>
    </w:p>
    <w:p w14:paraId="7C54BC4D" w14:textId="77777777" w:rsidR="00257BE1" w:rsidRPr="000F4927" w:rsidRDefault="00257BE1" w:rsidP="006E35E7">
      <w:pPr>
        <w:spacing w:line="360" w:lineRule="auto"/>
        <w:ind w:left="567" w:hanging="567"/>
        <w:contextualSpacing/>
        <w:rPr>
          <w:rFonts w:ascii="Arial" w:hAnsi="Arial" w:cs="Arial"/>
        </w:rPr>
      </w:pPr>
    </w:p>
    <w:p w14:paraId="59C8BE0C" w14:textId="77777777" w:rsidR="00257BE1" w:rsidRPr="000F4927" w:rsidRDefault="00257BE1" w:rsidP="006E35E7">
      <w:pPr>
        <w:spacing w:line="360" w:lineRule="auto"/>
        <w:ind w:left="567" w:hanging="567"/>
        <w:contextualSpacing/>
        <w:jc w:val="both"/>
        <w:rPr>
          <w:rStyle w:val="Hipervnculo"/>
          <w:rFonts w:ascii="Arial" w:hAnsi="Arial" w:cs="Arial"/>
        </w:rPr>
      </w:pPr>
      <w:r w:rsidRPr="000F4927">
        <w:rPr>
          <w:rFonts w:ascii="Arial" w:hAnsi="Arial" w:cs="Arial"/>
        </w:rPr>
        <w:t xml:space="preserve">Barragán-Vergel, M. y Ortiz-Labrador, J. A. (2022). Barreras de acceso a la telemedicina en tiempos de COVID-19, un desafío profesional y gubernamental. </w:t>
      </w:r>
      <w:proofErr w:type="spellStart"/>
      <w:r w:rsidRPr="000F4927">
        <w:rPr>
          <w:rFonts w:ascii="Arial" w:hAnsi="Arial" w:cs="Arial"/>
        </w:rPr>
        <w:t>MedUNAB</w:t>
      </w:r>
      <w:proofErr w:type="spellEnd"/>
      <w:r w:rsidRPr="000F4927">
        <w:rPr>
          <w:rFonts w:ascii="Arial" w:hAnsi="Arial" w:cs="Arial"/>
        </w:rPr>
        <w:t xml:space="preserve">, 25(1), 83-85. </w:t>
      </w:r>
      <w:hyperlink r:id="rId18" w:history="1">
        <w:r w:rsidRPr="00806C39">
          <w:rPr>
            <w:rStyle w:val="Hipervnculo"/>
            <w:rFonts w:ascii="Arial" w:hAnsi="Arial" w:cs="Arial"/>
            <w:color w:val="002060"/>
          </w:rPr>
          <w:t>https://doi.org/10.29375/01237047.4253</w:t>
        </w:r>
      </w:hyperlink>
    </w:p>
    <w:p w14:paraId="052FB7BE" w14:textId="77777777" w:rsidR="00257BE1" w:rsidRPr="000F4927" w:rsidRDefault="00257BE1" w:rsidP="006E35E7">
      <w:pPr>
        <w:spacing w:line="360" w:lineRule="auto"/>
        <w:ind w:left="567" w:hanging="567"/>
        <w:contextualSpacing/>
        <w:jc w:val="both"/>
        <w:rPr>
          <w:rFonts w:ascii="Arial" w:hAnsi="Arial" w:cs="Arial"/>
        </w:rPr>
      </w:pPr>
    </w:p>
    <w:p w14:paraId="12A89E49" w14:textId="77777777" w:rsidR="00257BE1" w:rsidRPr="000F4927" w:rsidRDefault="00257BE1" w:rsidP="006E35E7">
      <w:pPr>
        <w:spacing w:line="360" w:lineRule="auto"/>
        <w:ind w:left="567" w:hanging="567"/>
        <w:contextualSpacing/>
        <w:jc w:val="both"/>
        <w:rPr>
          <w:rFonts w:ascii="Arial" w:hAnsi="Arial" w:cs="Arial"/>
          <w:noProof/>
          <w:lang w:val="es-ES"/>
        </w:rPr>
      </w:pPr>
      <w:r w:rsidRPr="000F4927">
        <w:rPr>
          <w:rFonts w:ascii="Arial" w:hAnsi="Arial" w:cs="Arial"/>
        </w:rPr>
        <w:t>Campaz</w:t>
      </w:r>
      <w:r w:rsidRPr="000F4927">
        <w:rPr>
          <w:rFonts w:ascii="Arial" w:hAnsi="Arial" w:cs="Arial"/>
          <w:noProof/>
          <w:lang w:val="es-ES"/>
        </w:rPr>
        <w:t xml:space="preserve">, N., &amp; Montaño, S. M. (2019). Barreras de acceso al servicio de salud en el contexto colombiano a partir de la promulgación del derecho a la salud en la legislación colombiana. Obtenido de Barreras de acceso al servicio de salud en el contexto de Colombia: </w:t>
      </w:r>
      <w:hyperlink r:id="rId19" w:history="1">
        <w:r w:rsidRPr="00806C39">
          <w:rPr>
            <w:rStyle w:val="Hipervnculo"/>
            <w:rFonts w:ascii="Arial" w:hAnsi="Arial" w:cs="Arial"/>
            <w:noProof/>
            <w:color w:val="002060"/>
            <w:lang w:val="es-ES"/>
          </w:rPr>
          <w:t>https://adccraneofacial.org/Media/adccraneofacial/Clientes/blog/2019_BARRERAS-DE-ACCESO.pdf</w:t>
        </w:r>
      </w:hyperlink>
      <w:r w:rsidRPr="00806C39">
        <w:rPr>
          <w:rFonts w:ascii="Arial" w:hAnsi="Arial" w:cs="Arial"/>
          <w:noProof/>
          <w:color w:val="002060"/>
          <w:lang w:val="es-ES"/>
        </w:rPr>
        <w:t xml:space="preserve"> </w:t>
      </w:r>
    </w:p>
    <w:p w14:paraId="69CD1B14" w14:textId="77777777" w:rsidR="00257BE1" w:rsidRPr="000F4927" w:rsidRDefault="00257BE1" w:rsidP="006E35E7">
      <w:pPr>
        <w:spacing w:line="360" w:lineRule="auto"/>
        <w:ind w:left="567" w:hanging="567"/>
        <w:contextualSpacing/>
        <w:jc w:val="both"/>
        <w:rPr>
          <w:rFonts w:ascii="Arial" w:hAnsi="Arial" w:cs="Arial"/>
          <w:noProof/>
          <w:lang w:val="es-ES"/>
        </w:rPr>
      </w:pPr>
    </w:p>
    <w:p w14:paraId="7C94AFD2" w14:textId="77777777" w:rsidR="00257BE1" w:rsidRPr="000F4927" w:rsidRDefault="00257BE1" w:rsidP="006E35E7">
      <w:pPr>
        <w:spacing w:line="360" w:lineRule="auto"/>
        <w:ind w:left="567" w:hanging="567"/>
        <w:contextualSpacing/>
        <w:jc w:val="both"/>
        <w:rPr>
          <w:rFonts w:ascii="Arial" w:hAnsi="Arial" w:cs="Arial"/>
        </w:rPr>
      </w:pPr>
      <w:proofErr w:type="spellStart"/>
      <w:r w:rsidRPr="000F4927">
        <w:rPr>
          <w:rFonts w:ascii="Arial" w:hAnsi="Arial" w:cs="Arial"/>
        </w:rPr>
        <w:t>Dennís</w:t>
      </w:r>
      <w:proofErr w:type="spellEnd"/>
      <w:r w:rsidRPr="000F4927">
        <w:rPr>
          <w:rFonts w:ascii="Arial" w:hAnsi="Arial" w:cs="Arial"/>
        </w:rPr>
        <w:t xml:space="preserve"> Restrepo, Ivanna Yanes (2023). Barreras de acceso a los servicios de salud de telemedicina en Colombia entre 2020 - 2023 según la </w:t>
      </w:r>
      <w:proofErr w:type="spellStart"/>
      <w:r w:rsidRPr="000F4927">
        <w:rPr>
          <w:rFonts w:ascii="Arial" w:hAnsi="Arial" w:cs="Arial"/>
        </w:rPr>
        <w:t>literature</w:t>
      </w:r>
      <w:proofErr w:type="spellEnd"/>
      <w:r w:rsidRPr="000F4927">
        <w:rPr>
          <w:rFonts w:ascii="Arial" w:hAnsi="Arial" w:cs="Arial"/>
        </w:rPr>
        <w:t>. Revista CIES – ISSN-e 2216-0167. Volumen 14. Número 2. Año 2023. Páginas 257-269</w:t>
      </w:r>
    </w:p>
    <w:p w14:paraId="6F29F828" w14:textId="77777777" w:rsidR="00257BE1" w:rsidRPr="000F4927" w:rsidRDefault="00257BE1" w:rsidP="006E35E7">
      <w:pPr>
        <w:spacing w:line="360" w:lineRule="auto"/>
        <w:ind w:left="567" w:hanging="567"/>
        <w:contextualSpacing/>
        <w:jc w:val="both"/>
        <w:rPr>
          <w:rFonts w:ascii="Arial" w:hAnsi="Arial" w:cs="Arial"/>
        </w:rPr>
      </w:pPr>
    </w:p>
    <w:p w14:paraId="382213E3" w14:textId="4F1DDFCE" w:rsidR="00257BE1" w:rsidRPr="000F4927" w:rsidRDefault="00257BE1" w:rsidP="006E35E7">
      <w:pPr>
        <w:spacing w:line="360" w:lineRule="auto"/>
        <w:ind w:left="567" w:hanging="567"/>
        <w:contextualSpacing/>
        <w:jc w:val="both"/>
        <w:rPr>
          <w:rFonts w:ascii="Arial" w:hAnsi="Arial" w:cs="Arial"/>
        </w:rPr>
      </w:pPr>
      <w:r w:rsidRPr="000F4927">
        <w:rPr>
          <w:rFonts w:ascii="Arial" w:hAnsi="Arial" w:cs="Arial"/>
        </w:rPr>
        <w:t xml:space="preserve">Ferrer, R. (2020). Pandemia por COVID-19: el mayor reto de la historia del </w:t>
      </w:r>
      <w:proofErr w:type="spellStart"/>
      <w:r w:rsidRPr="000F4927">
        <w:rPr>
          <w:rFonts w:ascii="Arial" w:hAnsi="Arial" w:cs="Arial"/>
        </w:rPr>
        <w:t>intensivismo</w:t>
      </w:r>
      <w:proofErr w:type="spellEnd"/>
      <w:r w:rsidRPr="000F4927">
        <w:rPr>
          <w:rFonts w:ascii="Arial" w:hAnsi="Arial" w:cs="Arial"/>
        </w:rPr>
        <w:t xml:space="preserve">. </w:t>
      </w:r>
      <w:r w:rsidR="00806C39" w:rsidRPr="00876337">
        <w:rPr>
          <w:rFonts w:ascii="Arial" w:hAnsi="Arial" w:cs="Arial"/>
          <w:color w:val="002060"/>
          <w:u w:val="single"/>
        </w:rPr>
        <w:t>https://doi.org/</w:t>
      </w:r>
      <w:r w:rsidRPr="00876337">
        <w:rPr>
          <w:rFonts w:ascii="Arial" w:hAnsi="Arial" w:cs="Arial"/>
          <w:color w:val="002060"/>
          <w:u w:val="single"/>
        </w:rPr>
        <w:t>110.1016/j.medin.2020.04.002</w:t>
      </w:r>
    </w:p>
    <w:p w14:paraId="57345A82" w14:textId="77777777" w:rsidR="00257BE1" w:rsidRPr="000F4927" w:rsidRDefault="00257BE1" w:rsidP="006E35E7">
      <w:pPr>
        <w:spacing w:line="360" w:lineRule="auto"/>
        <w:ind w:left="567" w:hanging="567"/>
        <w:contextualSpacing/>
        <w:jc w:val="both"/>
        <w:rPr>
          <w:rFonts w:ascii="Arial" w:hAnsi="Arial" w:cs="Arial"/>
        </w:rPr>
      </w:pPr>
      <w:r w:rsidRPr="000F4927">
        <w:rPr>
          <w:rFonts w:ascii="Arial" w:hAnsi="Arial" w:cs="Arial"/>
        </w:rPr>
        <w:lastRenderedPageBreak/>
        <w:t xml:space="preserve">Flores-Sandí, </w:t>
      </w:r>
      <w:proofErr w:type="spellStart"/>
      <w:r w:rsidRPr="000F4927">
        <w:rPr>
          <w:rFonts w:ascii="Arial" w:hAnsi="Arial" w:cs="Arial"/>
        </w:rPr>
        <w:t>Grettchen</w:t>
      </w:r>
      <w:proofErr w:type="spellEnd"/>
      <w:r w:rsidRPr="000F4927">
        <w:rPr>
          <w:rFonts w:ascii="Arial" w:hAnsi="Arial" w:cs="Arial"/>
        </w:rPr>
        <w:t xml:space="preserve">. (2012). Gestión de la accesibilidad y derecho a la salud. Acta Médica Costarricense, 54 (3), 181-188. Recuperado de </w:t>
      </w:r>
      <w:hyperlink r:id="rId20" w:history="1">
        <w:r w:rsidRPr="00876337">
          <w:rPr>
            <w:rFonts w:ascii="Arial" w:hAnsi="Arial" w:cs="Arial"/>
            <w:color w:val="002060"/>
            <w:u w:val="single"/>
          </w:rPr>
          <w:t>http://www.scielo.sa.cr/scielo.php?script=sci_arttext&amp;pid=S0001-60022012000300010&amp;lng=en&amp;tlng=es</w:t>
        </w:r>
      </w:hyperlink>
      <w:r w:rsidRPr="00876337">
        <w:rPr>
          <w:rFonts w:ascii="Arial" w:hAnsi="Arial" w:cs="Arial"/>
          <w:color w:val="002060"/>
          <w:u w:val="single"/>
        </w:rPr>
        <w:t>.</w:t>
      </w:r>
    </w:p>
    <w:p w14:paraId="0E810F76" w14:textId="77777777" w:rsidR="00257BE1" w:rsidRPr="000F4927" w:rsidRDefault="00257BE1" w:rsidP="006E35E7">
      <w:pPr>
        <w:spacing w:line="360" w:lineRule="auto"/>
        <w:ind w:left="567" w:hanging="567"/>
        <w:contextualSpacing/>
        <w:jc w:val="both"/>
        <w:rPr>
          <w:rFonts w:ascii="Arial" w:hAnsi="Arial" w:cs="Arial"/>
        </w:rPr>
      </w:pPr>
    </w:p>
    <w:p w14:paraId="083ADA5E" w14:textId="77777777" w:rsidR="00257BE1" w:rsidRPr="00806C39" w:rsidRDefault="00257BE1" w:rsidP="006E35E7">
      <w:pPr>
        <w:spacing w:line="360" w:lineRule="auto"/>
        <w:ind w:left="567" w:hanging="567"/>
        <w:contextualSpacing/>
        <w:jc w:val="both"/>
        <w:rPr>
          <w:rFonts w:ascii="Arial" w:hAnsi="Arial" w:cs="Arial"/>
          <w:color w:val="002060"/>
        </w:rPr>
      </w:pPr>
      <w:r w:rsidRPr="000F4927">
        <w:rPr>
          <w:rFonts w:ascii="Arial" w:hAnsi="Arial" w:cs="Arial"/>
        </w:rPr>
        <w:t xml:space="preserve">González, I. d., &amp; </w:t>
      </w:r>
      <w:proofErr w:type="spellStart"/>
      <w:r w:rsidRPr="000F4927">
        <w:rPr>
          <w:rFonts w:ascii="Arial" w:hAnsi="Arial" w:cs="Arial"/>
        </w:rPr>
        <w:t>Polentinos</w:t>
      </w:r>
      <w:proofErr w:type="spellEnd"/>
      <w:r w:rsidRPr="000F4927">
        <w:rPr>
          <w:rFonts w:ascii="Arial" w:hAnsi="Arial" w:cs="Arial"/>
        </w:rPr>
        <w:t xml:space="preserve">, E. (2022). ¿Qué hemos dejado de atender por la COVID-19? Diagnósticos perdidos y seguimientos demorados. </w:t>
      </w:r>
      <w:proofErr w:type="spellStart"/>
      <w:r w:rsidRPr="000F4927">
        <w:rPr>
          <w:rFonts w:ascii="Arial" w:hAnsi="Arial" w:cs="Arial"/>
        </w:rPr>
        <w:t>Gac</w:t>
      </w:r>
      <w:proofErr w:type="spellEnd"/>
      <w:r w:rsidRPr="000F4927">
        <w:rPr>
          <w:rFonts w:ascii="Arial" w:hAnsi="Arial" w:cs="Arial"/>
        </w:rPr>
        <w:t xml:space="preserve"> </w:t>
      </w:r>
      <w:proofErr w:type="spellStart"/>
      <w:r w:rsidRPr="000F4927">
        <w:rPr>
          <w:rFonts w:ascii="Arial" w:hAnsi="Arial" w:cs="Arial"/>
        </w:rPr>
        <w:t>Sanit</w:t>
      </w:r>
      <w:proofErr w:type="spellEnd"/>
      <w:r w:rsidRPr="000F4927">
        <w:rPr>
          <w:rFonts w:ascii="Arial" w:hAnsi="Arial" w:cs="Arial"/>
        </w:rPr>
        <w:t xml:space="preserve">. Obtenido de </w:t>
      </w:r>
      <w:hyperlink r:id="rId21" w:history="1">
        <w:r w:rsidRPr="00876337">
          <w:rPr>
            <w:rFonts w:ascii="Arial" w:hAnsi="Arial" w:cs="Arial"/>
            <w:color w:val="002060"/>
            <w:u w:val="single"/>
          </w:rPr>
          <w:t>https://www.ncbi.nlm.nih.gov/pmc/articles/PMC9244613/</w:t>
        </w:r>
      </w:hyperlink>
      <w:r w:rsidRPr="00806C39">
        <w:rPr>
          <w:rFonts w:ascii="Arial" w:hAnsi="Arial" w:cs="Arial"/>
          <w:color w:val="002060"/>
        </w:rPr>
        <w:t xml:space="preserve"> </w:t>
      </w:r>
    </w:p>
    <w:p w14:paraId="54D7F9FA" w14:textId="77777777" w:rsidR="00257BE1" w:rsidRPr="000F4927" w:rsidRDefault="00257BE1" w:rsidP="006E35E7">
      <w:pPr>
        <w:spacing w:line="360" w:lineRule="auto"/>
        <w:ind w:left="567" w:hanging="567"/>
        <w:contextualSpacing/>
        <w:jc w:val="both"/>
        <w:rPr>
          <w:rFonts w:ascii="Arial" w:hAnsi="Arial" w:cs="Arial"/>
        </w:rPr>
      </w:pPr>
    </w:p>
    <w:p w14:paraId="7C9DBDA3" w14:textId="77777777" w:rsidR="00257BE1" w:rsidRPr="000F4927" w:rsidRDefault="00257BE1" w:rsidP="006E35E7">
      <w:pPr>
        <w:spacing w:line="360" w:lineRule="auto"/>
        <w:ind w:left="567" w:hanging="567"/>
        <w:contextualSpacing/>
        <w:jc w:val="both"/>
        <w:rPr>
          <w:rFonts w:ascii="Arial" w:hAnsi="Arial" w:cs="Arial"/>
        </w:rPr>
      </w:pPr>
      <w:r w:rsidRPr="000F4927">
        <w:rPr>
          <w:rFonts w:ascii="Arial" w:hAnsi="Arial" w:cs="Arial"/>
        </w:rPr>
        <w:t xml:space="preserve">Hirmas </w:t>
      </w:r>
      <w:proofErr w:type="spellStart"/>
      <w:r w:rsidRPr="000F4927">
        <w:rPr>
          <w:rFonts w:ascii="Arial" w:hAnsi="Arial" w:cs="Arial"/>
        </w:rPr>
        <w:t>Adauy</w:t>
      </w:r>
      <w:proofErr w:type="spellEnd"/>
      <w:r w:rsidRPr="000F4927">
        <w:rPr>
          <w:rFonts w:ascii="Arial" w:hAnsi="Arial" w:cs="Arial"/>
        </w:rPr>
        <w:t xml:space="preserve"> M, </w:t>
      </w:r>
      <w:proofErr w:type="spellStart"/>
      <w:r w:rsidRPr="000F4927">
        <w:rPr>
          <w:rFonts w:ascii="Arial" w:hAnsi="Arial" w:cs="Arial"/>
        </w:rPr>
        <w:t>Poffald</w:t>
      </w:r>
      <w:proofErr w:type="spellEnd"/>
      <w:r w:rsidRPr="000F4927">
        <w:rPr>
          <w:rFonts w:ascii="Arial" w:hAnsi="Arial" w:cs="Arial"/>
        </w:rPr>
        <w:t xml:space="preserve"> Angulo L, </w:t>
      </w:r>
      <w:proofErr w:type="spellStart"/>
      <w:r w:rsidRPr="000F4927">
        <w:rPr>
          <w:rFonts w:ascii="Arial" w:hAnsi="Arial" w:cs="Arial"/>
        </w:rPr>
        <w:t>Jasmen</w:t>
      </w:r>
      <w:proofErr w:type="spellEnd"/>
      <w:r w:rsidRPr="000F4927">
        <w:rPr>
          <w:rFonts w:ascii="Arial" w:hAnsi="Arial" w:cs="Arial"/>
        </w:rPr>
        <w:t xml:space="preserve"> Sepúlveda AM, Aguilera Sanhueza X, Delgado Becerra I, Vega Morales J. Barreras y facilitadores de acceso a la atención de salud: una revisión sistemática cualitativa. </w:t>
      </w:r>
      <w:proofErr w:type="spellStart"/>
      <w:r w:rsidRPr="000F4927">
        <w:rPr>
          <w:rFonts w:ascii="Arial" w:hAnsi="Arial" w:cs="Arial"/>
        </w:rPr>
        <w:t>Rev</w:t>
      </w:r>
      <w:proofErr w:type="spellEnd"/>
      <w:r w:rsidRPr="000F4927">
        <w:rPr>
          <w:rFonts w:ascii="Arial" w:hAnsi="Arial" w:cs="Arial"/>
        </w:rPr>
        <w:t xml:space="preserve"> </w:t>
      </w:r>
      <w:proofErr w:type="spellStart"/>
      <w:r w:rsidRPr="000F4927">
        <w:rPr>
          <w:rFonts w:ascii="Arial" w:hAnsi="Arial" w:cs="Arial"/>
        </w:rPr>
        <w:t>Panam</w:t>
      </w:r>
      <w:proofErr w:type="spellEnd"/>
      <w:r w:rsidRPr="000F4927">
        <w:rPr>
          <w:rFonts w:ascii="Arial" w:hAnsi="Arial" w:cs="Arial"/>
        </w:rPr>
        <w:t xml:space="preserve"> Salud Publica. 2013;33(3):223–9.</w:t>
      </w:r>
    </w:p>
    <w:p w14:paraId="4A8123E7" w14:textId="77777777" w:rsidR="00257BE1" w:rsidRPr="000F4927" w:rsidRDefault="00257BE1" w:rsidP="006E35E7">
      <w:pPr>
        <w:spacing w:line="360" w:lineRule="auto"/>
        <w:ind w:left="567" w:hanging="567"/>
        <w:contextualSpacing/>
        <w:jc w:val="both"/>
        <w:rPr>
          <w:rFonts w:ascii="Arial" w:hAnsi="Arial" w:cs="Arial"/>
        </w:rPr>
      </w:pPr>
    </w:p>
    <w:p w14:paraId="574B4157" w14:textId="77777777" w:rsidR="00257BE1" w:rsidRPr="000F4927" w:rsidRDefault="00257BE1" w:rsidP="006E35E7">
      <w:pPr>
        <w:spacing w:line="360" w:lineRule="auto"/>
        <w:ind w:left="567" w:hanging="567"/>
        <w:contextualSpacing/>
        <w:jc w:val="both"/>
        <w:rPr>
          <w:rFonts w:ascii="Arial" w:hAnsi="Arial" w:cs="Arial"/>
          <w:lang w:val="es-ES"/>
        </w:rPr>
      </w:pPr>
      <w:r w:rsidRPr="000F4927">
        <w:rPr>
          <w:rFonts w:ascii="Arial" w:hAnsi="Arial" w:cs="Arial"/>
          <w:lang w:val="es-ES"/>
        </w:rPr>
        <w:t xml:space="preserve">Mesa Ariza, D. (2022). Barreras en el acceso a la atención en salud percibidas por parte de poblaciones vulnerables al VIH y/o VHC en el marco de la pandemia COVID-19 en Colombia. Universidad Nacional de Colombia. Recuperado de </w:t>
      </w:r>
      <w:hyperlink r:id="rId22" w:history="1">
        <w:r w:rsidRPr="00876337">
          <w:rPr>
            <w:rFonts w:ascii="Arial" w:hAnsi="Arial" w:cs="Arial"/>
            <w:color w:val="002060"/>
            <w:u w:val="single"/>
            <w:lang w:val="es-ES"/>
          </w:rPr>
          <w:t>https://repositorio.unal.edu.co/handle/unal/83808</w:t>
        </w:r>
      </w:hyperlink>
    </w:p>
    <w:p w14:paraId="7D167A12" w14:textId="77777777" w:rsidR="00257BE1" w:rsidRPr="000F4927" w:rsidRDefault="00257BE1" w:rsidP="006E35E7">
      <w:pPr>
        <w:spacing w:line="360" w:lineRule="auto"/>
        <w:ind w:left="567" w:hanging="567"/>
        <w:contextualSpacing/>
        <w:jc w:val="both"/>
        <w:rPr>
          <w:rFonts w:ascii="Arial" w:hAnsi="Arial" w:cs="Arial"/>
          <w:lang w:val="es-ES"/>
        </w:rPr>
      </w:pPr>
    </w:p>
    <w:p w14:paraId="62561214" w14:textId="77777777" w:rsidR="00257BE1" w:rsidRPr="000F4927" w:rsidRDefault="00257BE1" w:rsidP="006E35E7">
      <w:pPr>
        <w:spacing w:line="360" w:lineRule="auto"/>
        <w:ind w:left="567" w:hanging="567"/>
        <w:contextualSpacing/>
        <w:jc w:val="both"/>
        <w:rPr>
          <w:rFonts w:ascii="Arial" w:hAnsi="Arial" w:cs="Arial"/>
        </w:rPr>
      </w:pPr>
      <w:r w:rsidRPr="000F4927">
        <w:rPr>
          <w:rFonts w:ascii="Arial" w:hAnsi="Arial" w:cs="Arial"/>
        </w:rPr>
        <w:t xml:space="preserve">Ministerio de Salud y Protección Social (2020) Cronología del COVID19 en Cali y las medidas de la alcaldía para enfrentarlo. Cali. Obtenido de </w:t>
      </w:r>
      <w:hyperlink r:id="rId23" w:history="1">
        <w:r w:rsidRPr="00876337">
          <w:rPr>
            <w:rFonts w:ascii="Arial" w:hAnsi="Arial" w:cs="Arial"/>
            <w:color w:val="002060"/>
            <w:u w:val="single"/>
          </w:rPr>
          <w:t>https://www.minsalud.gov.co/Regiones/Paginas/Cali-12-de-abril-de-2020---Cronologia-del-COVID19-en-Cali-y-las-medidas-de-la-alcaldia-para.aspx</w:t>
        </w:r>
      </w:hyperlink>
      <w:r w:rsidRPr="00806C39">
        <w:rPr>
          <w:rFonts w:ascii="Arial" w:hAnsi="Arial" w:cs="Arial"/>
          <w:color w:val="002060"/>
        </w:rPr>
        <w:t xml:space="preserve"> </w:t>
      </w:r>
    </w:p>
    <w:p w14:paraId="1B0067C1" w14:textId="77777777" w:rsidR="00257BE1" w:rsidRPr="000F4927" w:rsidRDefault="00257BE1" w:rsidP="006E35E7">
      <w:pPr>
        <w:spacing w:line="360" w:lineRule="auto"/>
        <w:ind w:left="567" w:hanging="567"/>
        <w:contextualSpacing/>
        <w:jc w:val="both"/>
        <w:rPr>
          <w:rFonts w:ascii="Arial" w:hAnsi="Arial" w:cs="Arial"/>
        </w:rPr>
      </w:pPr>
    </w:p>
    <w:p w14:paraId="79990C76" w14:textId="77777777" w:rsidR="00257BE1" w:rsidRPr="000F4927" w:rsidRDefault="00257BE1" w:rsidP="006E35E7">
      <w:pPr>
        <w:spacing w:line="360" w:lineRule="auto"/>
        <w:ind w:left="567" w:hanging="567"/>
        <w:contextualSpacing/>
        <w:jc w:val="both"/>
        <w:rPr>
          <w:rFonts w:ascii="Arial" w:hAnsi="Arial" w:cs="Arial"/>
        </w:rPr>
      </w:pPr>
      <w:r w:rsidRPr="000F4927">
        <w:rPr>
          <w:rFonts w:ascii="Arial" w:hAnsi="Arial" w:cs="Arial"/>
        </w:rPr>
        <w:t xml:space="preserve">Ministerio de Salud y Protección Social (2020). El reto del covid-19 para los sistemas de salud en el mundo. Obtenido de </w:t>
      </w:r>
      <w:hyperlink r:id="rId24" w:history="1">
        <w:r w:rsidRPr="00876337">
          <w:rPr>
            <w:rFonts w:ascii="Arial" w:hAnsi="Arial" w:cs="Arial"/>
            <w:color w:val="002060"/>
            <w:u w:val="single"/>
          </w:rPr>
          <w:t>https://www.minsalud.gov.co/Paginas/El-reto-del-covid-19-para-los-sistemas-de-salud-en-el-mundo.aspx</w:t>
        </w:r>
      </w:hyperlink>
      <w:r w:rsidRPr="00806C39">
        <w:rPr>
          <w:rFonts w:ascii="Arial" w:hAnsi="Arial" w:cs="Arial"/>
          <w:color w:val="002060"/>
        </w:rPr>
        <w:t xml:space="preserve"> </w:t>
      </w:r>
    </w:p>
    <w:p w14:paraId="7F7FF14A" w14:textId="77777777" w:rsidR="00257BE1" w:rsidRPr="000F4927" w:rsidRDefault="00257BE1" w:rsidP="006E35E7">
      <w:pPr>
        <w:spacing w:line="360" w:lineRule="auto"/>
        <w:ind w:left="567" w:hanging="567"/>
        <w:contextualSpacing/>
        <w:jc w:val="both"/>
        <w:rPr>
          <w:rFonts w:ascii="Arial" w:hAnsi="Arial" w:cs="Arial"/>
        </w:rPr>
      </w:pPr>
    </w:p>
    <w:p w14:paraId="6A58AFC6" w14:textId="77777777" w:rsidR="00257BE1" w:rsidRPr="000F4927" w:rsidRDefault="00257BE1" w:rsidP="006E35E7">
      <w:pPr>
        <w:spacing w:line="360" w:lineRule="auto"/>
        <w:ind w:left="567" w:hanging="567"/>
        <w:contextualSpacing/>
        <w:jc w:val="both"/>
        <w:rPr>
          <w:rStyle w:val="Hipervnculo"/>
          <w:rFonts w:ascii="Arial" w:hAnsi="Arial" w:cs="Arial"/>
          <w:noProof/>
          <w:lang w:val="es-ES"/>
        </w:rPr>
      </w:pPr>
      <w:r w:rsidRPr="000F4927">
        <w:rPr>
          <w:rFonts w:ascii="Arial" w:hAnsi="Arial" w:cs="Arial"/>
          <w:lang w:val="es-ES"/>
        </w:rPr>
        <w:t xml:space="preserve">Ministerio de Salud y Protección Social (2020). </w:t>
      </w:r>
      <w:r w:rsidRPr="000F4927">
        <w:rPr>
          <w:rFonts w:ascii="Arial" w:hAnsi="Arial" w:cs="Arial"/>
          <w:noProof/>
          <w:lang w:val="es-ES"/>
        </w:rPr>
        <w:t xml:space="preserve">Medidas para afrontar la covid-19 tras un mes de su llegada al pais. Obtenido de </w:t>
      </w:r>
      <w:hyperlink r:id="rId25" w:history="1">
        <w:r w:rsidRPr="00806C39">
          <w:rPr>
            <w:rStyle w:val="Hipervnculo"/>
            <w:rFonts w:ascii="Arial" w:hAnsi="Arial" w:cs="Arial"/>
            <w:noProof/>
            <w:color w:val="002060"/>
            <w:lang w:val="es-ES"/>
          </w:rPr>
          <w:t>https://www.minsalud.gov.co/Paginas/Medidas-para-afrontar-la-covid-19-tras-un-mes-de-su-llegada-al-pais.aspx</w:t>
        </w:r>
      </w:hyperlink>
    </w:p>
    <w:p w14:paraId="675C1D90" w14:textId="77777777" w:rsidR="00257BE1" w:rsidRPr="000F4927" w:rsidRDefault="00257BE1" w:rsidP="006E35E7">
      <w:pPr>
        <w:spacing w:line="360" w:lineRule="auto"/>
        <w:ind w:left="567" w:hanging="567"/>
        <w:contextualSpacing/>
        <w:jc w:val="both"/>
        <w:rPr>
          <w:rStyle w:val="Hipervnculo"/>
          <w:rFonts w:ascii="Arial" w:hAnsi="Arial" w:cs="Arial"/>
          <w:noProof/>
          <w:lang w:val="es-ES"/>
        </w:rPr>
      </w:pPr>
    </w:p>
    <w:p w14:paraId="53E706F6" w14:textId="77777777" w:rsidR="00257BE1" w:rsidRPr="000F4927" w:rsidRDefault="00257BE1" w:rsidP="006E35E7">
      <w:pPr>
        <w:spacing w:line="360" w:lineRule="auto"/>
        <w:ind w:left="567" w:hanging="567"/>
        <w:contextualSpacing/>
        <w:jc w:val="both"/>
        <w:rPr>
          <w:rFonts w:ascii="Arial" w:hAnsi="Arial" w:cs="Arial"/>
          <w:i/>
          <w:iCs/>
          <w:noProof/>
          <w:lang w:val="es-ES"/>
        </w:rPr>
      </w:pPr>
      <w:r w:rsidRPr="000F4927">
        <w:rPr>
          <w:rFonts w:ascii="Arial" w:hAnsi="Arial" w:cs="Arial"/>
        </w:rPr>
        <w:t xml:space="preserve">Ministerio de Salud y Protección Social (2021). Atención oportuna de pacientes con enfermedades no transmisibles es un reto. Obtenido de </w:t>
      </w:r>
      <w:hyperlink r:id="rId26" w:history="1">
        <w:r w:rsidRPr="00876337">
          <w:rPr>
            <w:rFonts w:ascii="Arial" w:hAnsi="Arial" w:cs="Arial"/>
            <w:color w:val="002060"/>
            <w:u w:val="single"/>
          </w:rPr>
          <w:t>https://www.minsalud.gov.co/Paginas/Atencion-oportuna-de-pacientes-con-enfermedades-no-transmisibles-es-un-reto.aspx</w:t>
        </w:r>
      </w:hyperlink>
      <w:r w:rsidRPr="00806C39">
        <w:rPr>
          <w:rFonts w:ascii="Arial" w:hAnsi="Arial" w:cs="Arial"/>
          <w:i/>
          <w:iCs/>
          <w:noProof/>
          <w:color w:val="002060"/>
          <w:lang w:val="es-ES"/>
        </w:rPr>
        <w:t xml:space="preserve"> </w:t>
      </w:r>
    </w:p>
    <w:p w14:paraId="6102E98D" w14:textId="77777777" w:rsidR="00257BE1" w:rsidRPr="000F4927" w:rsidRDefault="00257BE1" w:rsidP="006E35E7">
      <w:pPr>
        <w:spacing w:line="360" w:lineRule="auto"/>
        <w:ind w:left="567" w:hanging="567"/>
        <w:contextualSpacing/>
        <w:jc w:val="both"/>
        <w:rPr>
          <w:rFonts w:ascii="Arial" w:hAnsi="Arial" w:cs="Arial"/>
          <w:i/>
          <w:iCs/>
          <w:noProof/>
          <w:lang w:val="es-ES"/>
        </w:rPr>
      </w:pPr>
    </w:p>
    <w:p w14:paraId="47C6AC6D" w14:textId="77777777" w:rsidR="00257BE1" w:rsidRPr="000F4927" w:rsidRDefault="00257BE1" w:rsidP="006E35E7">
      <w:pPr>
        <w:spacing w:line="360" w:lineRule="auto"/>
        <w:ind w:left="567" w:hanging="567"/>
        <w:contextualSpacing/>
        <w:jc w:val="both"/>
        <w:rPr>
          <w:rFonts w:ascii="Arial" w:hAnsi="Arial" w:cs="Arial"/>
        </w:rPr>
      </w:pPr>
      <w:r w:rsidRPr="000F4927">
        <w:rPr>
          <w:rFonts w:ascii="Arial" w:hAnsi="Arial" w:cs="Arial"/>
        </w:rPr>
        <w:t>OMS (Organización Mundial de la Salud) (2020). La pandemia de coronavirus interrumpe los tratamientos contra el cáncer y otras enfermedades crónicas. Obtenido de</w:t>
      </w:r>
      <w:r w:rsidRPr="00806C39">
        <w:rPr>
          <w:rFonts w:ascii="Arial" w:hAnsi="Arial" w:cs="Arial"/>
          <w:color w:val="002060"/>
        </w:rPr>
        <w:t xml:space="preserve"> </w:t>
      </w:r>
      <w:hyperlink r:id="rId27" w:history="1">
        <w:r w:rsidRPr="00876337">
          <w:rPr>
            <w:rFonts w:ascii="Arial" w:hAnsi="Arial" w:cs="Arial"/>
            <w:color w:val="002060"/>
            <w:u w:val="single"/>
          </w:rPr>
          <w:t>https://news.un.org/es/story/2020/06/1475312</w:t>
        </w:r>
      </w:hyperlink>
      <w:r w:rsidRPr="004A185B">
        <w:rPr>
          <w:rFonts w:ascii="Arial" w:hAnsi="Arial" w:cs="Arial"/>
          <w:color w:val="2F5496" w:themeColor="accent1" w:themeShade="BF"/>
        </w:rPr>
        <w:t xml:space="preserve"> </w:t>
      </w:r>
    </w:p>
    <w:p w14:paraId="2BD1A226" w14:textId="77777777" w:rsidR="00257BE1" w:rsidRPr="000F4927" w:rsidRDefault="00257BE1" w:rsidP="006E35E7">
      <w:pPr>
        <w:spacing w:line="360" w:lineRule="auto"/>
        <w:ind w:left="567" w:hanging="567"/>
        <w:contextualSpacing/>
        <w:jc w:val="both"/>
        <w:rPr>
          <w:rFonts w:ascii="Arial" w:hAnsi="Arial" w:cs="Arial"/>
        </w:rPr>
      </w:pPr>
    </w:p>
    <w:p w14:paraId="24464966" w14:textId="77777777" w:rsidR="00257BE1" w:rsidRPr="000F4927" w:rsidRDefault="00257BE1" w:rsidP="006E35E7">
      <w:pPr>
        <w:spacing w:line="360" w:lineRule="auto"/>
        <w:ind w:left="567" w:hanging="567"/>
        <w:contextualSpacing/>
        <w:jc w:val="both"/>
        <w:rPr>
          <w:rFonts w:ascii="Arial" w:hAnsi="Arial" w:cs="Arial"/>
        </w:rPr>
      </w:pPr>
      <w:r w:rsidRPr="000F4927">
        <w:rPr>
          <w:rFonts w:ascii="Arial" w:hAnsi="Arial" w:cs="Arial"/>
        </w:rPr>
        <w:lastRenderedPageBreak/>
        <w:t xml:space="preserve">OMS (Organización Mundial de la Salud). (2020). </w:t>
      </w:r>
      <w:r w:rsidRPr="000F4927">
        <w:rPr>
          <w:rFonts w:ascii="Arial" w:hAnsi="Arial" w:cs="Arial"/>
          <w:noProof/>
          <w:lang w:val="es-ES"/>
        </w:rPr>
        <w:t xml:space="preserve">Los nombres de la enfermedad por coronavirus (Covid-19) y del virus que la causa. Obtenido de </w:t>
      </w:r>
      <w:hyperlink r:id="rId28" w:anchor=":~:text=El%2011%20de%20febrero%20de,%2DCoV%2D2)%C2%BB" w:history="1">
        <w:r w:rsidRPr="00876337">
          <w:rPr>
            <w:rFonts w:ascii="Arial" w:hAnsi="Arial" w:cs="Arial"/>
            <w:color w:val="002060"/>
            <w:u w:val="single"/>
          </w:rPr>
          <w:t>https://www.who.int/es/emergencies/diseases/novel-coronavirus-2019/technical-guidance/naming-the-coronavirus-disease-(covid-2019)-and-the-virus-that-causes-it#:~:text=El%2011%20de%20febrero%20de,%2DCoV%2D2)%C2%BB</w:t>
        </w:r>
      </w:hyperlink>
      <w:r w:rsidRPr="00876337">
        <w:rPr>
          <w:rFonts w:ascii="Arial" w:hAnsi="Arial" w:cs="Arial"/>
          <w:color w:val="002060"/>
          <w:u w:val="single"/>
        </w:rPr>
        <w:t>.</w:t>
      </w:r>
      <w:r w:rsidRPr="00806C39">
        <w:rPr>
          <w:rFonts w:ascii="Arial" w:hAnsi="Arial" w:cs="Arial"/>
          <w:color w:val="002060"/>
        </w:rPr>
        <w:t xml:space="preserve"> </w:t>
      </w:r>
    </w:p>
    <w:p w14:paraId="377A8D5F" w14:textId="77777777" w:rsidR="00257BE1" w:rsidRPr="000F4927" w:rsidRDefault="00257BE1" w:rsidP="006E35E7">
      <w:pPr>
        <w:spacing w:line="360" w:lineRule="auto"/>
        <w:ind w:left="567" w:hanging="567"/>
        <w:contextualSpacing/>
        <w:jc w:val="both"/>
        <w:rPr>
          <w:rFonts w:ascii="Arial" w:hAnsi="Arial" w:cs="Arial"/>
        </w:rPr>
      </w:pPr>
    </w:p>
    <w:p w14:paraId="738E3BA4" w14:textId="77777777" w:rsidR="00257BE1" w:rsidRPr="000F4927" w:rsidRDefault="00257BE1" w:rsidP="006E35E7">
      <w:pPr>
        <w:spacing w:line="360" w:lineRule="auto"/>
        <w:ind w:left="567" w:hanging="567"/>
        <w:contextualSpacing/>
        <w:jc w:val="both"/>
        <w:rPr>
          <w:rStyle w:val="Hipervnculo"/>
          <w:rFonts w:ascii="Arial" w:hAnsi="Arial" w:cs="Arial"/>
          <w:noProof/>
          <w:lang w:val="es-ES"/>
        </w:rPr>
      </w:pPr>
      <w:r w:rsidRPr="000F4927">
        <w:rPr>
          <w:rFonts w:ascii="Arial" w:hAnsi="Arial" w:cs="Arial"/>
          <w:lang w:val="es-ES"/>
        </w:rPr>
        <w:t xml:space="preserve">OPS (Organización Panamericana de la Salud) (2020). </w:t>
      </w:r>
      <w:r w:rsidRPr="000F4927">
        <w:rPr>
          <w:rFonts w:ascii="Arial" w:hAnsi="Arial" w:cs="Arial"/>
          <w:noProof/>
          <w:lang w:val="es-ES"/>
        </w:rPr>
        <w:t xml:space="preserve">La COVID-19 afectó el funcionamiento de los servicios de salud para enfermedades no transmisibles en las Américas. Obtenido de </w:t>
      </w:r>
      <w:hyperlink r:id="rId29" w:history="1">
        <w:r w:rsidRPr="00806C39">
          <w:rPr>
            <w:rStyle w:val="Hipervnculo"/>
            <w:rFonts w:ascii="Arial" w:hAnsi="Arial" w:cs="Arial"/>
            <w:noProof/>
            <w:color w:val="002060"/>
            <w:lang w:val="es-ES"/>
          </w:rPr>
          <w:t>https://www.paho.org/es/noticias/17-6-2020-covid-19-afecto-funcionamiento-servicios-salud-para-enfermedades-no</w:t>
        </w:r>
      </w:hyperlink>
    </w:p>
    <w:p w14:paraId="32930362" w14:textId="77777777" w:rsidR="00257BE1" w:rsidRPr="000F4927" w:rsidRDefault="00257BE1" w:rsidP="006E35E7">
      <w:pPr>
        <w:spacing w:line="360" w:lineRule="auto"/>
        <w:ind w:left="567" w:hanging="567"/>
        <w:contextualSpacing/>
        <w:jc w:val="both"/>
        <w:rPr>
          <w:rStyle w:val="Hipervnculo"/>
          <w:rFonts w:ascii="Arial" w:hAnsi="Arial" w:cs="Arial"/>
          <w:noProof/>
          <w:lang w:val="es-ES"/>
        </w:rPr>
      </w:pPr>
    </w:p>
    <w:bookmarkEnd w:id="19"/>
    <w:p w14:paraId="4CF5835E" w14:textId="77777777" w:rsidR="00257BE1" w:rsidRPr="000F4927" w:rsidRDefault="00257BE1" w:rsidP="006E35E7">
      <w:pPr>
        <w:spacing w:line="360" w:lineRule="auto"/>
        <w:ind w:left="567" w:hanging="567"/>
        <w:contextualSpacing/>
        <w:jc w:val="both"/>
        <w:rPr>
          <w:rFonts w:ascii="Arial" w:hAnsi="Arial" w:cs="Arial"/>
        </w:rPr>
      </w:pPr>
      <w:r w:rsidRPr="000F4927">
        <w:rPr>
          <w:rFonts w:ascii="Arial" w:hAnsi="Arial" w:cs="Arial"/>
        </w:rPr>
        <w:t xml:space="preserve">Organización Panamericana de Salud (2023) La pandemia de COVID-19 afectó significativamente el acceso a medicamentos para enfermedades no </w:t>
      </w:r>
      <w:proofErr w:type="spellStart"/>
      <w:r w:rsidRPr="000F4927">
        <w:rPr>
          <w:rFonts w:ascii="Arial" w:hAnsi="Arial" w:cs="Arial"/>
        </w:rPr>
        <w:t>transmisibles.Obtenido</w:t>
      </w:r>
      <w:proofErr w:type="spellEnd"/>
      <w:r w:rsidRPr="000F4927">
        <w:rPr>
          <w:rFonts w:ascii="Arial" w:hAnsi="Arial" w:cs="Arial"/>
        </w:rPr>
        <w:t xml:space="preserve"> de </w:t>
      </w:r>
      <w:hyperlink r:id="rId30" w:history="1">
        <w:r w:rsidRPr="00876337">
          <w:rPr>
            <w:rFonts w:ascii="Arial" w:hAnsi="Arial" w:cs="Arial"/>
            <w:color w:val="002060"/>
            <w:u w:val="single"/>
          </w:rPr>
          <w:t>https://www.paho.org/es/noticias/22-3-2023-pandemia-covid-19-afecto-significativamente-acceso-medicamentos-para</w:t>
        </w:r>
      </w:hyperlink>
    </w:p>
    <w:p w14:paraId="01BD92E8" w14:textId="77777777" w:rsidR="00257BE1" w:rsidRPr="000F4927" w:rsidRDefault="00257BE1" w:rsidP="006E35E7">
      <w:pPr>
        <w:spacing w:line="360" w:lineRule="auto"/>
        <w:ind w:left="567" w:hanging="567"/>
        <w:contextualSpacing/>
        <w:jc w:val="both"/>
        <w:rPr>
          <w:rFonts w:ascii="Arial" w:hAnsi="Arial" w:cs="Arial"/>
        </w:rPr>
      </w:pPr>
    </w:p>
    <w:p w14:paraId="60B97504" w14:textId="77777777" w:rsidR="00257BE1" w:rsidRPr="000F4927" w:rsidRDefault="00257BE1" w:rsidP="006E35E7">
      <w:pPr>
        <w:spacing w:line="360" w:lineRule="auto"/>
        <w:ind w:left="567" w:hanging="567"/>
        <w:contextualSpacing/>
        <w:jc w:val="both"/>
        <w:rPr>
          <w:rStyle w:val="Hipervnculo"/>
          <w:rFonts w:ascii="Arial" w:hAnsi="Arial" w:cs="Arial"/>
        </w:rPr>
      </w:pPr>
      <w:r w:rsidRPr="000F4927">
        <w:rPr>
          <w:rFonts w:ascii="Arial" w:hAnsi="Arial" w:cs="Arial"/>
        </w:rPr>
        <w:t xml:space="preserve">Peñaloza. L (2022). Percepción de las barreras de acceso a la atención en salud durante y antes la pandemia por la Enfermedad por Coronavirus (COVID-19) en gestantes atendidas en el Centro Materno Infantil Piedra Liza. Obtenido de </w:t>
      </w:r>
      <w:proofErr w:type="spellStart"/>
      <w:r w:rsidRPr="000F4927">
        <w:rPr>
          <w:rFonts w:ascii="Arial" w:hAnsi="Arial" w:cs="Arial"/>
        </w:rPr>
        <w:t>Cybertesis</w:t>
      </w:r>
      <w:proofErr w:type="spellEnd"/>
      <w:r w:rsidRPr="000F4927">
        <w:rPr>
          <w:rFonts w:ascii="Arial" w:hAnsi="Arial" w:cs="Arial"/>
        </w:rPr>
        <w:t xml:space="preserve">-Repositorio de tesis digitales: </w:t>
      </w:r>
      <w:hyperlink r:id="rId31" w:tgtFrame="_blank" w:history="1">
        <w:r w:rsidRPr="00806C39">
          <w:rPr>
            <w:rStyle w:val="Hipervnculo"/>
            <w:rFonts w:ascii="Arial" w:hAnsi="Arial" w:cs="Arial"/>
            <w:color w:val="002060"/>
          </w:rPr>
          <w:t>https://hdl.handle.net/20.500.12672/19337</w:t>
        </w:r>
      </w:hyperlink>
    </w:p>
    <w:p w14:paraId="1B436DC9" w14:textId="77777777" w:rsidR="00257BE1" w:rsidRPr="000F4927" w:rsidRDefault="00257BE1" w:rsidP="006E35E7">
      <w:pPr>
        <w:spacing w:line="360" w:lineRule="auto"/>
        <w:ind w:left="567" w:hanging="567"/>
        <w:contextualSpacing/>
        <w:jc w:val="both"/>
        <w:rPr>
          <w:rFonts w:ascii="Arial" w:hAnsi="Arial" w:cs="Arial"/>
        </w:rPr>
      </w:pPr>
      <w:r w:rsidRPr="000F4927">
        <w:rPr>
          <w:rFonts w:ascii="Arial" w:hAnsi="Arial" w:cs="Arial"/>
          <w:lang w:val="es-ES"/>
        </w:rPr>
        <w:lastRenderedPageBreak/>
        <w:t>República de Colombia (</w:t>
      </w:r>
      <w:proofErr w:type="spellStart"/>
      <w:r w:rsidRPr="000F4927">
        <w:rPr>
          <w:rFonts w:ascii="Arial" w:hAnsi="Arial" w:cs="Arial"/>
          <w:lang w:val="es-ES"/>
        </w:rPr>
        <w:t>S.f</w:t>
      </w:r>
      <w:proofErr w:type="spellEnd"/>
      <w:r w:rsidRPr="000F4927">
        <w:rPr>
          <w:rFonts w:ascii="Arial" w:hAnsi="Arial" w:cs="Arial"/>
          <w:lang w:val="es-ES"/>
        </w:rPr>
        <w:t xml:space="preserve">) Ley 1419 de 2010. Obtenido de Función Pública-Gestor Normativo. </w:t>
      </w:r>
      <w:r w:rsidRPr="000F4927">
        <w:rPr>
          <w:rFonts w:ascii="Arial" w:hAnsi="Arial" w:cs="Arial"/>
          <w:noProof/>
          <w:lang w:val="es-ES"/>
        </w:rPr>
        <w:t>Obtenido de</w:t>
      </w:r>
      <w:r w:rsidRPr="000F4927">
        <w:rPr>
          <w:rFonts w:ascii="Arial" w:hAnsi="Arial" w:cs="Arial"/>
          <w:lang w:val="es-ES"/>
        </w:rPr>
        <w:t xml:space="preserve">: </w:t>
      </w:r>
      <w:hyperlink r:id="rId32" w:history="1">
        <w:r w:rsidRPr="00876337">
          <w:rPr>
            <w:rFonts w:ascii="Arial" w:hAnsi="Arial" w:cs="Arial"/>
            <w:color w:val="002060"/>
            <w:u w:val="single"/>
          </w:rPr>
          <w:t>https://www.funcionpublica.gov.co/eva/gestornormativo/norma.php?i=40937</w:t>
        </w:r>
      </w:hyperlink>
    </w:p>
    <w:p w14:paraId="04D78A38" w14:textId="77777777" w:rsidR="00257BE1" w:rsidRPr="000F4927" w:rsidRDefault="00257BE1" w:rsidP="006E35E7">
      <w:pPr>
        <w:spacing w:line="360" w:lineRule="auto"/>
        <w:ind w:left="567" w:hanging="567"/>
        <w:contextualSpacing/>
        <w:jc w:val="both"/>
        <w:rPr>
          <w:rFonts w:ascii="Arial" w:hAnsi="Arial" w:cs="Arial"/>
          <w:lang w:val="es-ES"/>
        </w:rPr>
      </w:pPr>
      <w:r w:rsidRPr="000F4927">
        <w:rPr>
          <w:rFonts w:ascii="Arial" w:hAnsi="Arial" w:cs="Arial"/>
          <w:lang w:val="es-ES"/>
        </w:rPr>
        <w:t xml:space="preserve"> </w:t>
      </w:r>
    </w:p>
    <w:p w14:paraId="5BDE43C9" w14:textId="77777777" w:rsidR="00257BE1" w:rsidRPr="000F4927" w:rsidRDefault="00257BE1" w:rsidP="006E35E7">
      <w:pPr>
        <w:spacing w:line="360" w:lineRule="auto"/>
        <w:ind w:left="567" w:hanging="567"/>
        <w:contextualSpacing/>
        <w:jc w:val="both"/>
        <w:rPr>
          <w:rStyle w:val="Hipervnculo"/>
          <w:rFonts w:ascii="Arial" w:hAnsi="Arial" w:cs="Arial"/>
        </w:rPr>
      </w:pPr>
      <w:r w:rsidRPr="000F4927">
        <w:rPr>
          <w:rFonts w:ascii="Arial" w:hAnsi="Arial" w:cs="Arial"/>
        </w:rPr>
        <w:t>Restrepo-Zea, Jairo Humberto, Silva-Maya, Constanza, Andrade-Rivas, Federico y VH-Dover, Robert. (2014). Acceso a servicios de salud: análisis de barreras y estrategias en el caso de Medellín, Colombia. </w:t>
      </w:r>
      <w:r w:rsidRPr="000F4927">
        <w:rPr>
          <w:rFonts w:ascii="Arial" w:hAnsi="Arial" w:cs="Arial"/>
          <w:i/>
          <w:iCs/>
        </w:rPr>
        <w:t>Revista Gerencia y Políticas de Salud</w:t>
      </w:r>
      <w:r w:rsidRPr="000F4927">
        <w:rPr>
          <w:rFonts w:ascii="Arial" w:hAnsi="Arial" w:cs="Arial"/>
        </w:rPr>
        <w:t>, </w:t>
      </w:r>
      <w:r w:rsidRPr="000F4927">
        <w:rPr>
          <w:rFonts w:ascii="Arial" w:hAnsi="Arial" w:cs="Arial"/>
          <w:i/>
          <w:iCs/>
        </w:rPr>
        <w:t>13</w:t>
      </w:r>
      <w:r w:rsidRPr="000F4927">
        <w:rPr>
          <w:rFonts w:ascii="Arial" w:hAnsi="Arial" w:cs="Arial"/>
        </w:rPr>
        <w:t> (27), 242-265. </w:t>
      </w:r>
      <w:hyperlink r:id="rId33" w:history="1">
        <w:r w:rsidRPr="00806C39">
          <w:rPr>
            <w:rStyle w:val="Hipervnculo"/>
            <w:rFonts w:ascii="Arial" w:hAnsi="Arial" w:cs="Arial"/>
            <w:color w:val="002060"/>
          </w:rPr>
          <w:t>https://doi.org/10.11144/Javeriana.rgyps13-27.assa</w:t>
        </w:r>
      </w:hyperlink>
    </w:p>
    <w:p w14:paraId="78DB4DC2" w14:textId="77777777" w:rsidR="00257BE1" w:rsidRPr="000F4927" w:rsidRDefault="00257BE1" w:rsidP="006E35E7">
      <w:pPr>
        <w:spacing w:line="360" w:lineRule="auto"/>
        <w:ind w:left="567" w:hanging="567"/>
        <w:contextualSpacing/>
        <w:jc w:val="both"/>
        <w:rPr>
          <w:rFonts w:ascii="Arial" w:hAnsi="Arial" w:cs="Arial"/>
        </w:rPr>
      </w:pPr>
    </w:p>
    <w:p w14:paraId="10430038" w14:textId="77777777" w:rsidR="00257BE1" w:rsidRPr="000F4927" w:rsidRDefault="00257BE1" w:rsidP="006E35E7">
      <w:pPr>
        <w:spacing w:line="360" w:lineRule="auto"/>
        <w:ind w:left="567" w:hanging="567"/>
        <w:contextualSpacing/>
        <w:jc w:val="both"/>
        <w:rPr>
          <w:rStyle w:val="Hipervnculo"/>
          <w:rFonts w:ascii="Arial" w:hAnsi="Arial" w:cs="Arial"/>
        </w:rPr>
      </w:pPr>
      <w:proofErr w:type="spellStart"/>
      <w:r w:rsidRPr="000F4927">
        <w:rPr>
          <w:rFonts w:ascii="Arial" w:hAnsi="Arial" w:cs="Arial"/>
          <w:lang w:val="en-US"/>
        </w:rPr>
        <w:t>Rosselli</w:t>
      </w:r>
      <w:proofErr w:type="spellEnd"/>
      <w:r w:rsidRPr="000F4927">
        <w:rPr>
          <w:rFonts w:ascii="Arial" w:hAnsi="Arial" w:cs="Arial"/>
          <w:lang w:val="en-US"/>
        </w:rPr>
        <w:t xml:space="preserve"> MD, </w:t>
      </w:r>
      <w:proofErr w:type="spellStart"/>
      <w:r w:rsidRPr="000F4927">
        <w:rPr>
          <w:rFonts w:ascii="Arial" w:hAnsi="Arial" w:cs="Arial"/>
          <w:lang w:val="en-US"/>
        </w:rPr>
        <w:t>EdM</w:t>
      </w:r>
      <w:proofErr w:type="spellEnd"/>
      <w:r w:rsidRPr="000F4927">
        <w:rPr>
          <w:rFonts w:ascii="Arial" w:hAnsi="Arial" w:cs="Arial"/>
          <w:lang w:val="en-US"/>
        </w:rPr>
        <w:t xml:space="preserve">, MSc., Diego. </w:t>
      </w:r>
      <w:r w:rsidRPr="000F4927">
        <w:rPr>
          <w:rFonts w:ascii="Arial" w:hAnsi="Arial" w:cs="Arial"/>
        </w:rPr>
        <w:t xml:space="preserve">(2020). Covid-19 en Colombia: los primeros 90 días. Acta Neurológica Colombiana, 36 (2, </w:t>
      </w:r>
      <w:proofErr w:type="spellStart"/>
      <w:r w:rsidRPr="000F4927">
        <w:rPr>
          <w:rFonts w:ascii="Arial" w:hAnsi="Arial" w:cs="Arial"/>
        </w:rPr>
        <w:t>Supl</w:t>
      </w:r>
      <w:proofErr w:type="spellEnd"/>
      <w:r w:rsidRPr="000F4927">
        <w:rPr>
          <w:rFonts w:ascii="Arial" w:hAnsi="Arial" w:cs="Arial"/>
        </w:rPr>
        <w:t>. 1), 1-6. Publicación electrónica del 13 de mayo de 2021. </w:t>
      </w:r>
      <w:hyperlink r:id="rId34" w:history="1">
        <w:r w:rsidRPr="00806C39">
          <w:rPr>
            <w:rStyle w:val="Hipervnculo"/>
            <w:rFonts w:ascii="Arial" w:hAnsi="Arial" w:cs="Arial"/>
            <w:color w:val="002060"/>
          </w:rPr>
          <w:t>https://doi.org/10.22379/24224022287</w:t>
        </w:r>
      </w:hyperlink>
    </w:p>
    <w:p w14:paraId="756C17D1" w14:textId="77777777" w:rsidR="00257BE1" w:rsidRPr="000F4927" w:rsidRDefault="00257BE1" w:rsidP="006E35E7">
      <w:pPr>
        <w:spacing w:line="360" w:lineRule="auto"/>
        <w:ind w:left="567" w:hanging="567"/>
        <w:contextualSpacing/>
        <w:jc w:val="both"/>
        <w:rPr>
          <w:rFonts w:ascii="Arial" w:hAnsi="Arial" w:cs="Arial"/>
        </w:rPr>
      </w:pPr>
    </w:p>
    <w:p w14:paraId="4EDAA4F6" w14:textId="77777777" w:rsidR="00257BE1" w:rsidRPr="000F4927" w:rsidRDefault="00257BE1" w:rsidP="006E35E7">
      <w:pPr>
        <w:spacing w:line="360" w:lineRule="auto"/>
        <w:ind w:left="567" w:hanging="567"/>
        <w:contextualSpacing/>
        <w:jc w:val="both"/>
        <w:rPr>
          <w:rFonts w:ascii="Arial" w:hAnsi="Arial" w:cs="Arial"/>
        </w:rPr>
      </w:pPr>
      <w:r w:rsidRPr="000F4927">
        <w:rPr>
          <w:rFonts w:ascii="Arial" w:hAnsi="Arial" w:cs="Arial"/>
        </w:rPr>
        <w:t xml:space="preserve">Serrano-Cumplido A, Antón-Eguía Ortega PB, Ruiz García A, Olmo Quintana V, Segura Fragoso A, Barquilla García A, Morán Bayón Á. (2020). La historia se repite y seguimos tropezando con la misma piedra. </w:t>
      </w:r>
      <w:proofErr w:type="spellStart"/>
      <w:r w:rsidRPr="000F4927">
        <w:rPr>
          <w:rFonts w:ascii="Arial" w:hAnsi="Arial" w:cs="Arial"/>
        </w:rPr>
        <w:t>Suppl</w:t>
      </w:r>
      <w:proofErr w:type="spellEnd"/>
      <w:r w:rsidRPr="000F4927">
        <w:rPr>
          <w:rFonts w:ascii="Arial" w:hAnsi="Arial" w:cs="Arial"/>
        </w:rPr>
        <w:t xml:space="preserve"> 1:48-54. </w:t>
      </w:r>
      <w:proofErr w:type="spellStart"/>
      <w:r w:rsidRPr="000F4927">
        <w:rPr>
          <w:rFonts w:ascii="Arial" w:hAnsi="Arial" w:cs="Arial"/>
        </w:rPr>
        <w:t>Spanish</w:t>
      </w:r>
      <w:proofErr w:type="spellEnd"/>
      <w:r w:rsidRPr="000F4927">
        <w:rPr>
          <w:rFonts w:ascii="Arial" w:hAnsi="Arial" w:cs="Arial"/>
        </w:rPr>
        <w:t xml:space="preserve">. </w:t>
      </w:r>
      <w:proofErr w:type="spellStart"/>
      <w:r w:rsidRPr="000F4927">
        <w:rPr>
          <w:rFonts w:ascii="Arial" w:hAnsi="Arial" w:cs="Arial"/>
        </w:rPr>
        <w:t>doi</w:t>
      </w:r>
      <w:proofErr w:type="spellEnd"/>
      <w:r w:rsidRPr="000F4927">
        <w:rPr>
          <w:rFonts w:ascii="Arial" w:hAnsi="Arial" w:cs="Arial"/>
        </w:rPr>
        <w:t xml:space="preserve">: 10.1016/j.semerg.2020.06.008. </w:t>
      </w:r>
    </w:p>
    <w:p w14:paraId="34F74AE8" w14:textId="77777777" w:rsidR="00257BE1" w:rsidRPr="000F4927" w:rsidRDefault="00257BE1" w:rsidP="006E35E7">
      <w:pPr>
        <w:spacing w:line="360" w:lineRule="auto"/>
        <w:ind w:left="567" w:hanging="567"/>
        <w:contextualSpacing/>
        <w:jc w:val="both"/>
        <w:rPr>
          <w:rFonts w:ascii="Arial" w:hAnsi="Arial" w:cs="Arial"/>
        </w:rPr>
      </w:pPr>
    </w:p>
    <w:p w14:paraId="4228E6BF" w14:textId="29595F3D" w:rsidR="00257BE1" w:rsidRPr="000F4927" w:rsidRDefault="00257BE1" w:rsidP="00403EC2">
      <w:pPr>
        <w:spacing w:line="360" w:lineRule="auto"/>
        <w:ind w:left="567" w:hanging="567"/>
        <w:contextualSpacing/>
        <w:jc w:val="both"/>
        <w:rPr>
          <w:rFonts w:ascii="Arial" w:hAnsi="Arial" w:cs="Arial"/>
          <w:bCs/>
        </w:rPr>
      </w:pPr>
      <w:proofErr w:type="spellStart"/>
      <w:r w:rsidRPr="000F4927">
        <w:rPr>
          <w:rFonts w:ascii="Arial" w:hAnsi="Arial" w:cs="Arial"/>
        </w:rPr>
        <w:t>Viafara</w:t>
      </w:r>
      <w:proofErr w:type="spellEnd"/>
      <w:r w:rsidRPr="000F4927">
        <w:rPr>
          <w:rFonts w:ascii="Arial" w:hAnsi="Arial" w:cs="Arial"/>
        </w:rPr>
        <w:t xml:space="preserve">, C., &amp; Caicedo, P. (2017). Obtenido de Pobreza, vulnerabilidad y aseguramiento en salud en Cali. Obtenido de </w:t>
      </w:r>
      <w:r w:rsidRPr="00876337">
        <w:rPr>
          <w:rFonts w:ascii="Arial" w:hAnsi="Arial" w:cs="Arial"/>
          <w:color w:val="002060"/>
          <w:u w:val="single"/>
        </w:rPr>
        <w:t>https://www.cali.gov.co/loader.php?lServicio=Tools2&amp;lTipo=descargas&amp;lFuncion=descargar&amp;idFile=28487</w:t>
      </w:r>
      <w:bookmarkEnd w:id="2"/>
    </w:p>
    <w:sectPr w:rsidR="00257BE1" w:rsidRPr="000F4927" w:rsidSect="001D09C1">
      <w:headerReference w:type="default" r:id="rId35"/>
      <w:footerReference w:type="default" r:id="rId36"/>
      <w:pgSz w:w="12240" w:h="15840"/>
      <w:pgMar w:top="1417" w:right="1750" w:bottom="1411" w:left="1701" w:header="567" w:footer="567"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91731" w14:textId="77777777" w:rsidR="00E10EC9" w:rsidRDefault="00E10EC9" w:rsidP="003C3F58">
      <w:r>
        <w:separator/>
      </w:r>
    </w:p>
  </w:endnote>
  <w:endnote w:type="continuationSeparator" w:id="0">
    <w:p w14:paraId="444B284E" w14:textId="77777777" w:rsidR="00E10EC9" w:rsidRDefault="00E10EC9"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ADB9471" w14:textId="446FD83A" w:rsidR="009F6AF8" w:rsidRDefault="00ED0CEF" w:rsidP="00F72722">
        <w:pPr>
          <w:pStyle w:val="Sinespaciado"/>
          <w:jc w:val="center"/>
          <w:rPr>
            <w:rFonts w:ascii="Agency FB" w:hAnsi="Agency FB"/>
            <w:b/>
            <w:color w:val="E36C0A"/>
          </w:rPr>
        </w:pPr>
        <w:r w:rsidRPr="00ED0CEF">
          <w:rPr>
            <w:rFonts w:ascii="Agency FB" w:hAnsi="Agency FB"/>
            <w:b/>
            <w:color w:val="E36C0A"/>
          </w:rPr>
          <w:t>Efectos de la pandemia en el acceso a los servicios de salud en Santiago de Cali durante el periodo 2020 a 2021</w:t>
        </w:r>
      </w:p>
      <w:p w14:paraId="02F01B5A" w14:textId="410EAAFA" w:rsidR="00370F45" w:rsidRPr="005E7033" w:rsidRDefault="00ED0CEF" w:rsidP="0020679D">
        <w:pPr>
          <w:pStyle w:val="Sinespaciado"/>
          <w:jc w:val="center"/>
          <w:rPr>
            <w:rFonts w:ascii="Agency FB" w:hAnsi="Agency FB"/>
            <w:color w:val="E36C0A"/>
            <w:lang w:val="es-CR"/>
          </w:rPr>
        </w:pPr>
        <w:r w:rsidRPr="00ED0CEF">
          <w:rPr>
            <w:rFonts w:ascii="Agency FB" w:hAnsi="Agency FB"/>
            <w:color w:val="E36C0A"/>
          </w:rPr>
          <w:t>Melisa-Amparo Marquínez-Preciad</w:t>
        </w:r>
        <w:r>
          <w:rPr>
            <w:rFonts w:ascii="Agency FB" w:hAnsi="Agency FB"/>
            <w:color w:val="E36C0A"/>
          </w:rPr>
          <w:t xml:space="preserve">o, </w:t>
        </w:r>
        <w:r w:rsidRPr="00ED0CEF">
          <w:rPr>
            <w:rFonts w:ascii="Agency FB" w:hAnsi="Agency FB"/>
            <w:color w:val="E36C0A"/>
          </w:rPr>
          <w:t>Johan Idárraga-Cárdenas</w:t>
        </w:r>
        <w:r>
          <w:rPr>
            <w:rFonts w:ascii="Agency FB" w:hAnsi="Agency FB"/>
            <w:color w:val="E36C0A"/>
          </w:rPr>
          <w:t>,</w:t>
        </w:r>
        <w:r w:rsidR="00CC4041">
          <w:rPr>
            <w:rFonts w:ascii="Agency FB" w:hAnsi="Agency FB"/>
            <w:color w:val="E36C0A"/>
          </w:rPr>
          <w:t xml:space="preserve"> </w:t>
        </w:r>
        <w:r w:rsidR="00CC4041" w:rsidRPr="00CC4041">
          <w:rPr>
            <w:rFonts w:ascii="Agency FB" w:hAnsi="Agency FB"/>
            <w:color w:val="E36C0A"/>
          </w:rPr>
          <w:t>Nayibe-Eliana Valencia-Parada</w:t>
        </w:r>
        <w:r w:rsidR="00CC4041">
          <w:rPr>
            <w:rFonts w:ascii="Agency FB" w:hAnsi="Agency FB"/>
            <w:color w:val="E36C0A"/>
          </w:rPr>
          <w:t xml:space="preserve"> y </w:t>
        </w:r>
        <w:r w:rsidR="00CC4041" w:rsidRPr="00CC4041">
          <w:rPr>
            <w:rFonts w:ascii="Agency FB" w:hAnsi="Agency FB"/>
            <w:color w:val="E36C0A"/>
          </w:rPr>
          <w:t>Gustavo-Adolfo Girón-Restrepo</w:t>
        </w:r>
        <w:r>
          <w:rPr>
            <w:rFonts w:ascii="Agency FB" w:hAnsi="Agency FB"/>
            <w:color w:val="E36C0A"/>
          </w:rPr>
          <w:t xml:space="preserve">  </w:t>
        </w:r>
      </w:p>
      <w:p w14:paraId="1F70B1D2" w14:textId="1E482498" w:rsidR="0020679D" w:rsidRPr="00102D55" w:rsidRDefault="00296D8B" w:rsidP="0020679D">
        <w:pPr>
          <w:pStyle w:val="Sinespaciado"/>
          <w:jc w:val="center"/>
          <w:rPr>
            <w:rFonts w:ascii="Agency FB" w:hAnsi="Agency FB"/>
            <w:color w:val="002060"/>
            <w:lang w:val="en-US"/>
          </w:rPr>
        </w:pPr>
        <w:hyperlink r:id="rId1" w:history="1">
          <w:r w:rsidR="00E378DD" w:rsidRPr="00906474">
            <w:rPr>
              <w:rStyle w:val="Hipervnculo"/>
              <w:rFonts w:ascii="Agency FB" w:hAnsi="Agency FB"/>
              <w:color w:val="002060"/>
              <w:lang w:val="en-US"/>
            </w:rPr>
            <w:t>DOI: http://dx.doi.org/10.22458/caes.v16i1.5813</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0D1B92">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1E123" w14:textId="77777777" w:rsidR="00E10EC9" w:rsidRDefault="00E10EC9" w:rsidP="003C3F58">
      <w:r>
        <w:separator/>
      </w:r>
    </w:p>
  </w:footnote>
  <w:footnote w:type="continuationSeparator" w:id="0">
    <w:p w14:paraId="4C37D164" w14:textId="77777777" w:rsidR="00E10EC9" w:rsidRDefault="00E10EC9" w:rsidP="003C3F58">
      <w:r>
        <w:continuationSeparator/>
      </w:r>
    </w:p>
  </w:footnote>
  <w:footnote w:id="1">
    <w:p w14:paraId="7745E208" w14:textId="0AD809CE" w:rsidR="00134741" w:rsidRPr="005B5DC9" w:rsidRDefault="00134741" w:rsidP="00D0340F">
      <w:pPr>
        <w:jc w:val="both"/>
        <w:rPr>
          <w:rFonts w:ascii="Arial" w:hAnsi="Arial" w:cs="Arial"/>
          <w:color w:val="002060"/>
          <w:sz w:val="20"/>
          <w:szCs w:val="20"/>
        </w:rPr>
      </w:pPr>
      <w:r w:rsidRPr="00216703">
        <w:rPr>
          <w:rStyle w:val="Refdenotaalpie"/>
          <w:rFonts w:ascii="Arial" w:eastAsia="Arial" w:hAnsi="Arial" w:cs="Arial"/>
          <w:sz w:val="20"/>
          <w:szCs w:val="20"/>
        </w:rPr>
        <w:footnoteRef/>
      </w:r>
      <w:r w:rsidRPr="00216703">
        <w:rPr>
          <w:rFonts w:ascii="Arial" w:hAnsi="Arial" w:cs="Arial"/>
          <w:sz w:val="20"/>
          <w:szCs w:val="20"/>
        </w:rPr>
        <w:t xml:space="preserve"> </w:t>
      </w:r>
      <w:r w:rsidR="000628BC" w:rsidRPr="005B5DC9">
        <w:rPr>
          <w:rFonts w:ascii="Arial" w:eastAsia="Arial" w:hAnsi="Arial" w:cs="Arial"/>
          <w:sz w:val="20"/>
          <w:szCs w:val="20"/>
        </w:rPr>
        <w:t>Programa de Administración en Salud</w:t>
      </w:r>
      <w:r w:rsidR="000628BC" w:rsidRPr="005B5DC9">
        <w:rPr>
          <w:rFonts w:ascii="Arial" w:hAnsi="Arial" w:cs="Arial"/>
          <w:sz w:val="20"/>
          <w:szCs w:val="20"/>
        </w:rPr>
        <w:t xml:space="preserve"> </w:t>
      </w:r>
      <w:r w:rsidRPr="005B5DC9">
        <w:rPr>
          <w:rFonts w:ascii="Arial" w:hAnsi="Arial" w:cs="Arial"/>
          <w:sz w:val="20"/>
          <w:szCs w:val="20"/>
        </w:rPr>
        <w:t>Académico</w:t>
      </w:r>
      <w:r w:rsidR="000628BC" w:rsidRPr="005B5DC9">
        <w:rPr>
          <w:rFonts w:ascii="Arial" w:hAnsi="Arial" w:cs="Arial"/>
          <w:sz w:val="20"/>
          <w:szCs w:val="20"/>
        </w:rPr>
        <w:t>,</w:t>
      </w:r>
      <w:r w:rsidRPr="005B5DC9">
        <w:rPr>
          <w:rFonts w:ascii="Arial" w:hAnsi="Arial" w:cs="Arial"/>
          <w:sz w:val="20"/>
          <w:szCs w:val="20"/>
        </w:rPr>
        <w:t xml:space="preserve"> </w:t>
      </w:r>
      <w:r w:rsidR="000628BC" w:rsidRPr="005B5DC9">
        <w:rPr>
          <w:rFonts w:ascii="Arial" w:eastAsia="Arial" w:hAnsi="Arial" w:cs="Arial"/>
          <w:sz w:val="20"/>
          <w:szCs w:val="20"/>
        </w:rPr>
        <w:t>Institución Universitaria Antonio José Camacho, Cali, Colombia</w:t>
      </w:r>
      <w:r w:rsidRPr="005B5DC9">
        <w:rPr>
          <w:rFonts w:ascii="Arial" w:hAnsi="Arial" w:cs="Arial"/>
          <w:sz w:val="20"/>
          <w:szCs w:val="20"/>
        </w:rPr>
        <w:t xml:space="preserve">. </w:t>
      </w:r>
      <w:r w:rsidRPr="005B5DC9">
        <w:rPr>
          <w:rFonts w:ascii="Arial" w:hAnsi="Arial" w:cs="Arial"/>
          <w:noProof/>
          <w:sz w:val="20"/>
          <w:szCs w:val="20"/>
          <w:lang w:eastAsia="es-CR"/>
        </w:rPr>
        <w:drawing>
          <wp:inline distT="0" distB="0" distL="0" distR="0" wp14:anchorId="4EFD53ED" wp14:editId="67899139">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B5DC9">
        <w:rPr>
          <w:rFonts w:ascii="Arial" w:hAnsi="Arial" w:cs="Arial"/>
          <w:sz w:val="20"/>
          <w:szCs w:val="20"/>
        </w:rPr>
        <w:t xml:space="preserve"> </w:t>
      </w:r>
      <w:r w:rsidR="008070F7" w:rsidRPr="005B5DC9">
        <w:rPr>
          <w:rFonts w:ascii="Arial" w:hAnsi="Arial" w:cs="Arial"/>
          <w:color w:val="002060"/>
          <w:sz w:val="20"/>
          <w:szCs w:val="20"/>
          <w:u w:val="single"/>
        </w:rPr>
        <w:t>https://orcid.org/</w:t>
      </w:r>
      <w:r w:rsidR="005B5DC9" w:rsidRPr="005B5DC9">
        <w:rPr>
          <w:rFonts w:ascii="Arial" w:hAnsi="Arial" w:cs="Arial"/>
          <w:color w:val="002060"/>
          <w:sz w:val="20"/>
          <w:szCs w:val="20"/>
          <w:u w:val="single"/>
        </w:rPr>
        <w:t>0009-0005-2824-6402</w:t>
      </w:r>
    </w:p>
  </w:footnote>
  <w:footnote w:id="2">
    <w:p w14:paraId="132F808C" w14:textId="496952B6" w:rsidR="00756A15" w:rsidRPr="00216703" w:rsidRDefault="00756A15" w:rsidP="00D0340F">
      <w:pPr>
        <w:pStyle w:val="Textonotapie"/>
        <w:jc w:val="both"/>
        <w:rPr>
          <w:rFonts w:ascii="Arial" w:hAnsi="Arial" w:cs="Arial"/>
          <w:lang w:val="es-MX"/>
        </w:rPr>
      </w:pPr>
      <w:r w:rsidRPr="00216703">
        <w:rPr>
          <w:rStyle w:val="Refdenotaalpie"/>
          <w:rFonts w:ascii="Arial" w:hAnsi="Arial" w:cs="Arial"/>
        </w:rPr>
        <w:footnoteRef/>
      </w:r>
      <w:r w:rsidRPr="00216703">
        <w:rPr>
          <w:rFonts w:ascii="Arial" w:hAnsi="Arial" w:cs="Arial"/>
        </w:rPr>
        <w:t xml:space="preserve"> </w:t>
      </w:r>
      <w:r w:rsidR="008F309F" w:rsidRPr="00216703">
        <w:rPr>
          <w:rFonts w:ascii="Arial" w:eastAsia="Arial" w:hAnsi="Arial" w:cs="Arial"/>
        </w:rPr>
        <w:t>Programa de Administración en Salud</w:t>
      </w:r>
      <w:r w:rsidR="008F309F" w:rsidRPr="00216703">
        <w:rPr>
          <w:rFonts w:ascii="Arial" w:hAnsi="Arial" w:cs="Arial"/>
        </w:rPr>
        <w:t xml:space="preserve"> Académico, </w:t>
      </w:r>
      <w:r w:rsidR="008F309F" w:rsidRPr="00216703">
        <w:rPr>
          <w:rFonts w:ascii="Arial" w:eastAsia="Arial" w:hAnsi="Arial" w:cs="Arial"/>
        </w:rPr>
        <w:t>Institución Universitaria Antonio José Camacho, Cali, Colombia</w:t>
      </w:r>
      <w:r w:rsidR="00BB2162" w:rsidRPr="00216703">
        <w:rPr>
          <w:rFonts w:ascii="Arial" w:eastAsia="Arial" w:hAnsi="Arial" w:cs="Arial"/>
        </w:rPr>
        <w:t>.</w:t>
      </w:r>
      <w:r w:rsidR="00552A42" w:rsidRPr="00216703">
        <w:rPr>
          <w:rFonts w:ascii="Arial" w:eastAsia="Arial" w:hAnsi="Arial" w:cs="Arial"/>
        </w:rPr>
        <w:t xml:space="preserve"> </w:t>
      </w:r>
      <w:r w:rsidR="00552A42" w:rsidRPr="00216703">
        <w:rPr>
          <w:rFonts w:ascii="Arial" w:hAnsi="Arial" w:cs="Arial"/>
          <w:noProof/>
          <w:lang w:eastAsia="es-CR"/>
        </w:rPr>
        <w:drawing>
          <wp:inline distT="0" distB="0" distL="0" distR="0" wp14:anchorId="3F884B14" wp14:editId="6AB51089">
            <wp:extent cx="123825" cy="123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8070F7">
        <w:rPr>
          <w:rFonts w:ascii="Arial" w:eastAsia="Arial" w:hAnsi="Arial" w:cs="Arial"/>
        </w:rPr>
        <w:t xml:space="preserve"> </w:t>
      </w:r>
      <w:r w:rsidR="008070F7" w:rsidRPr="0080258D">
        <w:rPr>
          <w:rFonts w:ascii="Arial" w:hAnsi="Arial" w:cs="Arial"/>
          <w:color w:val="002060"/>
          <w:u w:val="single"/>
        </w:rPr>
        <w:t>https://orcid.org/</w:t>
      </w:r>
      <w:r w:rsidR="0080258D" w:rsidRPr="0080258D">
        <w:rPr>
          <w:rFonts w:ascii="Arial" w:hAnsi="Arial" w:cs="Arial"/>
          <w:color w:val="002060"/>
          <w:u w:val="single"/>
        </w:rPr>
        <w:t>0009-0004-2129-3997</w:t>
      </w:r>
    </w:p>
  </w:footnote>
  <w:footnote w:id="3">
    <w:p w14:paraId="57289428" w14:textId="3991E08A" w:rsidR="009D7BA1" w:rsidRPr="00216703" w:rsidRDefault="009D7BA1" w:rsidP="00D0340F">
      <w:pPr>
        <w:pStyle w:val="Textonotapie"/>
        <w:jc w:val="both"/>
        <w:rPr>
          <w:rFonts w:ascii="Arial" w:hAnsi="Arial" w:cs="Arial"/>
          <w:lang w:val="es-MX"/>
        </w:rPr>
      </w:pPr>
      <w:r w:rsidRPr="00216703">
        <w:rPr>
          <w:rStyle w:val="Refdenotaalpie"/>
          <w:rFonts w:ascii="Arial" w:hAnsi="Arial" w:cs="Arial"/>
        </w:rPr>
        <w:footnoteRef/>
      </w:r>
      <w:r w:rsidRPr="00216703">
        <w:rPr>
          <w:rFonts w:ascii="Arial" w:hAnsi="Arial" w:cs="Arial"/>
        </w:rPr>
        <w:t xml:space="preserve"> </w:t>
      </w:r>
      <w:r w:rsidR="00BB2162" w:rsidRPr="00216703">
        <w:rPr>
          <w:rFonts w:ascii="Arial" w:eastAsia="Arial" w:hAnsi="Arial" w:cs="Arial"/>
        </w:rPr>
        <w:t>Programa de Administración en Salud</w:t>
      </w:r>
      <w:r w:rsidR="00BB2162" w:rsidRPr="00216703">
        <w:rPr>
          <w:rFonts w:ascii="Arial" w:hAnsi="Arial" w:cs="Arial"/>
        </w:rPr>
        <w:t xml:space="preserve"> Académico, </w:t>
      </w:r>
      <w:r w:rsidR="00BB2162" w:rsidRPr="00216703">
        <w:rPr>
          <w:rFonts w:ascii="Arial" w:eastAsia="Arial" w:hAnsi="Arial" w:cs="Arial"/>
        </w:rPr>
        <w:t>Institución Universitaria Antonio José Camacho, Cali, Colombia.</w:t>
      </w:r>
      <w:r w:rsidR="00552A42" w:rsidRPr="00216703">
        <w:rPr>
          <w:rFonts w:ascii="Arial" w:eastAsia="Arial" w:hAnsi="Arial" w:cs="Arial"/>
        </w:rPr>
        <w:t xml:space="preserve"> </w:t>
      </w:r>
      <w:r w:rsidR="00552A42" w:rsidRPr="00216703">
        <w:rPr>
          <w:rFonts w:ascii="Arial" w:hAnsi="Arial" w:cs="Arial"/>
          <w:noProof/>
          <w:lang w:eastAsia="es-CR"/>
        </w:rPr>
        <w:drawing>
          <wp:inline distT="0" distB="0" distL="0" distR="0" wp14:anchorId="51B8B473" wp14:editId="35EF8348">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8070F7">
        <w:rPr>
          <w:rFonts w:ascii="Arial" w:eastAsia="Arial" w:hAnsi="Arial" w:cs="Arial"/>
        </w:rPr>
        <w:t xml:space="preserve"> </w:t>
      </w:r>
      <w:r w:rsidR="008070F7" w:rsidRPr="00937D23">
        <w:rPr>
          <w:rFonts w:ascii="Arial" w:hAnsi="Arial" w:cs="Arial"/>
          <w:color w:val="002060"/>
          <w:u w:val="single"/>
        </w:rPr>
        <w:t>https://orcid.org/</w:t>
      </w:r>
      <w:r w:rsidR="00937D23" w:rsidRPr="00937D23">
        <w:rPr>
          <w:rFonts w:ascii="Arial" w:hAnsi="Arial" w:cs="Arial"/>
          <w:color w:val="002060"/>
          <w:u w:val="single"/>
        </w:rPr>
        <w:t>0009-0003-5276-7684</w:t>
      </w:r>
    </w:p>
  </w:footnote>
  <w:footnote w:id="4">
    <w:p w14:paraId="286AB61F" w14:textId="1278BD56" w:rsidR="009D7BA1" w:rsidRPr="00E96DEC" w:rsidRDefault="009D7BA1" w:rsidP="00E96DEC">
      <w:pPr>
        <w:pStyle w:val="Textonotapie"/>
        <w:jc w:val="both"/>
        <w:rPr>
          <w:rFonts w:ascii="Arial" w:hAnsi="Arial" w:cs="Arial"/>
          <w:lang w:val="es-MX"/>
        </w:rPr>
      </w:pPr>
      <w:r w:rsidRPr="00216703">
        <w:rPr>
          <w:rStyle w:val="Refdenotaalpie"/>
          <w:rFonts w:ascii="Arial" w:hAnsi="Arial" w:cs="Arial"/>
        </w:rPr>
        <w:footnoteRef/>
      </w:r>
      <w:r w:rsidRPr="00216703">
        <w:rPr>
          <w:rFonts w:ascii="Arial" w:hAnsi="Arial" w:cs="Arial"/>
        </w:rPr>
        <w:t xml:space="preserve"> </w:t>
      </w:r>
      <w:r w:rsidR="00D0340F" w:rsidRPr="00216703">
        <w:rPr>
          <w:rFonts w:ascii="Arial" w:hAnsi="Arial" w:cs="Arial"/>
        </w:rPr>
        <w:t xml:space="preserve">Grupo de Investigación en Salud Pública, </w:t>
      </w:r>
      <w:r w:rsidR="00D0340F" w:rsidRPr="00216703">
        <w:rPr>
          <w:rFonts w:ascii="Arial" w:eastAsia="Arial" w:hAnsi="Arial" w:cs="Arial"/>
        </w:rPr>
        <w:t xml:space="preserve">Institución Universitaria Antonio José Camacho, Cali, Colombia. </w:t>
      </w:r>
      <w:r w:rsidR="00D0340F" w:rsidRPr="00216703">
        <w:rPr>
          <w:rFonts w:ascii="Arial" w:hAnsi="Arial" w:cs="Arial"/>
          <w:noProof/>
          <w:lang w:eastAsia="es-CR"/>
        </w:rPr>
        <w:drawing>
          <wp:inline distT="0" distB="0" distL="0" distR="0" wp14:anchorId="4298A9FA" wp14:editId="75BDBE93">
            <wp:extent cx="123825" cy="1238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8070F7">
        <w:rPr>
          <w:rFonts w:ascii="Arial" w:eastAsia="Arial" w:hAnsi="Arial" w:cs="Arial"/>
        </w:rPr>
        <w:t xml:space="preserve"> </w:t>
      </w:r>
      <w:r w:rsidR="008070F7" w:rsidRPr="006A6FF5">
        <w:rPr>
          <w:rFonts w:ascii="Arial" w:hAnsi="Arial" w:cs="Arial"/>
          <w:color w:val="002060"/>
          <w:u w:val="single"/>
        </w:rPr>
        <w:t>https://orcid.org/</w:t>
      </w:r>
      <w:r w:rsidR="006A6FF5" w:rsidRPr="006A6FF5">
        <w:rPr>
          <w:rFonts w:ascii="Arial" w:hAnsi="Arial" w:cs="Arial"/>
          <w:color w:val="002060"/>
          <w:u w:val="single"/>
        </w:rPr>
        <w:t>0000-0003-3812-0537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62695FE6" w:rsidR="00A82B98" w:rsidRPr="001F7776" w:rsidRDefault="00A82B98" w:rsidP="008A1766">
    <w:pPr>
      <w:pStyle w:val="Sinespaciado"/>
      <w:jc w:val="center"/>
      <w:rPr>
        <w:rFonts w:ascii="Agency FB" w:hAnsi="Agency FB"/>
        <w:color w:val="E36C0A"/>
        <w:sz w:val="22"/>
        <w:szCs w:val="22"/>
      </w:rPr>
    </w:pPr>
    <w:bookmarkStart w:id="20" w:name="_Hlk151106753"/>
    <w:r w:rsidRPr="001F7776">
      <w:rPr>
        <w:rFonts w:ascii="Agency FB" w:hAnsi="Agency FB"/>
        <w:color w:val="E36C0A"/>
        <w:sz w:val="22"/>
        <w:szCs w:val="22"/>
      </w:rPr>
      <w:t>REVISTA ELECTRÓNICA CALIDAD EN LA EDUCACIÓN SUPERIOR ISSN:</w:t>
    </w:r>
    <w:r w:rsidR="00D056CE" w:rsidRPr="001F7776">
      <w:rPr>
        <w:rFonts w:ascii="Agency FB" w:hAnsi="Agency FB"/>
        <w:color w:val="E36C0A"/>
        <w:sz w:val="22"/>
        <w:szCs w:val="22"/>
      </w:rPr>
      <w:t xml:space="preserve"> </w:t>
    </w:r>
    <w:r w:rsidRPr="001F7776">
      <w:rPr>
        <w:rFonts w:ascii="Agency FB" w:hAnsi="Agency FB"/>
        <w:color w:val="E36C0A"/>
        <w:sz w:val="22"/>
        <w:szCs w:val="22"/>
      </w:rPr>
      <w:t>1659</w:t>
    </w:r>
    <w:r w:rsidR="00D056CE" w:rsidRPr="001F7776">
      <w:rPr>
        <w:rFonts w:ascii="Agency FB" w:hAnsi="Agency FB"/>
        <w:color w:val="E36C0A"/>
        <w:sz w:val="22"/>
        <w:szCs w:val="22"/>
      </w:rPr>
      <w:t xml:space="preserve"> </w:t>
    </w:r>
    <w:r w:rsidRPr="001F7776">
      <w:rPr>
        <w:rFonts w:ascii="Agency FB" w:hAnsi="Agency FB"/>
        <w:color w:val="E36C0A"/>
        <w:sz w:val="22"/>
        <w:szCs w:val="22"/>
      </w:rPr>
      <w:t>-</w:t>
    </w:r>
    <w:r w:rsidR="00D056CE" w:rsidRPr="001F7776">
      <w:rPr>
        <w:rFonts w:ascii="Agency FB" w:hAnsi="Agency FB"/>
        <w:color w:val="E36C0A"/>
        <w:sz w:val="22"/>
        <w:szCs w:val="22"/>
      </w:rPr>
      <w:t xml:space="preserve"> </w:t>
    </w:r>
    <w:r w:rsidRPr="001F7776">
      <w:rPr>
        <w:rFonts w:ascii="Agency FB" w:hAnsi="Agency FB"/>
        <w:color w:val="E36C0A"/>
        <w:sz w:val="22"/>
        <w:szCs w:val="22"/>
      </w:rPr>
      <w:t>4703,</w:t>
    </w:r>
    <w:r w:rsidR="008A1766" w:rsidRPr="001F7776">
      <w:rPr>
        <w:rFonts w:ascii="Agency FB" w:hAnsi="Agency FB"/>
        <w:color w:val="E36C0A"/>
        <w:sz w:val="22"/>
        <w:szCs w:val="22"/>
      </w:rPr>
      <w:t xml:space="preserve"> </w:t>
    </w:r>
    <w:r w:rsidRPr="001F7776">
      <w:rPr>
        <w:rFonts w:ascii="Agency FB" w:hAnsi="Agency FB"/>
        <w:color w:val="E36C0A"/>
        <w:sz w:val="22"/>
        <w:szCs w:val="22"/>
      </w:rPr>
      <w:t>VOL.</w:t>
    </w:r>
    <w:r w:rsidR="008A1766" w:rsidRPr="001F7776">
      <w:rPr>
        <w:rFonts w:ascii="Agency FB" w:hAnsi="Agency FB"/>
        <w:color w:val="E36C0A"/>
        <w:sz w:val="22"/>
        <w:szCs w:val="22"/>
      </w:rPr>
      <w:t xml:space="preserve"> </w:t>
    </w:r>
    <w:r w:rsidRPr="001F7776">
      <w:rPr>
        <w:rFonts w:ascii="Agency FB" w:hAnsi="Agency FB"/>
        <w:color w:val="E36C0A"/>
        <w:sz w:val="22"/>
        <w:szCs w:val="22"/>
      </w:rPr>
      <w:t>1</w:t>
    </w:r>
    <w:r w:rsidR="00FB3FF8" w:rsidRPr="001F7776">
      <w:rPr>
        <w:rFonts w:ascii="Agency FB" w:hAnsi="Agency FB"/>
        <w:color w:val="E36C0A"/>
        <w:sz w:val="22"/>
        <w:szCs w:val="22"/>
      </w:rPr>
      <w:t>6</w:t>
    </w:r>
    <w:r w:rsidR="001F7776">
      <w:rPr>
        <w:rFonts w:ascii="Agency FB" w:hAnsi="Agency FB"/>
        <w:color w:val="E36C0A"/>
        <w:sz w:val="22"/>
        <w:szCs w:val="22"/>
      </w:rPr>
      <w:t xml:space="preserve"> </w:t>
    </w:r>
    <w:r w:rsidRPr="001F7776">
      <w:rPr>
        <w:rFonts w:ascii="Agency FB" w:hAnsi="Agency FB"/>
        <w:color w:val="E36C0A"/>
        <w:sz w:val="22"/>
        <w:szCs w:val="22"/>
      </w:rPr>
      <w:t>(</w:t>
    </w:r>
    <w:r w:rsidR="00FB3FF8" w:rsidRPr="001F7776">
      <w:rPr>
        <w:rFonts w:ascii="Agency FB" w:hAnsi="Agency FB"/>
        <w:color w:val="E36C0A"/>
        <w:sz w:val="22"/>
        <w:szCs w:val="22"/>
      </w:rPr>
      <w:t>E</w:t>
    </w:r>
    <w:r w:rsidR="001F7776">
      <w:rPr>
        <w:rFonts w:ascii="Agency FB" w:hAnsi="Agency FB"/>
        <w:color w:val="E36C0A"/>
        <w:sz w:val="22"/>
        <w:szCs w:val="22"/>
      </w:rPr>
      <w:t xml:space="preserve">SPECIAL </w:t>
    </w:r>
    <w:r w:rsidR="009B093A" w:rsidRPr="001F7776">
      <w:rPr>
        <w:rFonts w:ascii="Agency FB" w:hAnsi="Agency FB"/>
        <w:color w:val="E36C0A"/>
        <w:sz w:val="22"/>
        <w:szCs w:val="22"/>
      </w:rPr>
      <w:t>1</w:t>
    </w:r>
    <w:r w:rsidRPr="001F7776">
      <w:rPr>
        <w:rFonts w:ascii="Agency FB" w:hAnsi="Agency FB"/>
        <w:color w:val="E36C0A"/>
        <w:sz w:val="22"/>
        <w:szCs w:val="22"/>
      </w:rPr>
      <w:t>)</w:t>
    </w:r>
    <w:r w:rsidR="008A1766" w:rsidRPr="001F7776">
      <w:rPr>
        <w:rFonts w:ascii="Agency FB" w:hAnsi="Agency FB"/>
        <w:color w:val="E36C0A"/>
        <w:sz w:val="22"/>
        <w:szCs w:val="22"/>
      </w:rPr>
      <w:t xml:space="preserve"> </w:t>
    </w:r>
    <w:r w:rsidR="00B344FA" w:rsidRPr="001F7776">
      <w:rPr>
        <w:rFonts w:ascii="Agency FB" w:hAnsi="Agency FB"/>
        <w:color w:val="E36C0A"/>
        <w:sz w:val="22"/>
        <w:szCs w:val="22"/>
      </w:rPr>
      <w:t>ENERO</w:t>
    </w:r>
    <w:r w:rsidRPr="001F7776">
      <w:rPr>
        <w:rFonts w:ascii="Agency FB" w:hAnsi="Agency FB"/>
        <w:color w:val="E36C0A"/>
        <w:sz w:val="22"/>
        <w:szCs w:val="22"/>
      </w:rPr>
      <w:t>-</w:t>
    </w:r>
    <w:r w:rsidR="00B344FA" w:rsidRPr="001F7776">
      <w:rPr>
        <w:rFonts w:ascii="Agency FB" w:hAnsi="Agency FB"/>
        <w:color w:val="E36C0A"/>
        <w:sz w:val="22"/>
        <w:szCs w:val="22"/>
      </w:rPr>
      <w:t>MAYO</w:t>
    </w:r>
    <w:r w:rsidRPr="001F7776">
      <w:rPr>
        <w:rFonts w:ascii="Agency FB" w:hAnsi="Agency FB"/>
        <w:color w:val="E36C0A"/>
        <w:sz w:val="22"/>
        <w:szCs w:val="22"/>
      </w:rPr>
      <w:t>,</w:t>
    </w:r>
    <w:r w:rsidR="00B344FA" w:rsidRPr="001F7776">
      <w:rPr>
        <w:rFonts w:ascii="Agency FB" w:hAnsi="Agency FB"/>
        <w:color w:val="E36C0A"/>
        <w:sz w:val="22"/>
        <w:szCs w:val="22"/>
      </w:rPr>
      <w:t xml:space="preserve"> </w:t>
    </w:r>
    <w:r w:rsidRPr="001F7776">
      <w:rPr>
        <w:rFonts w:ascii="Agency FB" w:hAnsi="Agency FB"/>
        <w:color w:val="E36C0A"/>
        <w:sz w:val="22"/>
        <w:szCs w:val="22"/>
      </w:rPr>
      <w:t>202</w:t>
    </w:r>
    <w:r w:rsidR="00B344FA" w:rsidRPr="001F7776">
      <w:rPr>
        <w:rFonts w:ascii="Agency FB" w:hAnsi="Agency FB"/>
        <w:color w:val="E36C0A"/>
        <w:sz w:val="22"/>
        <w:szCs w:val="22"/>
      </w:rPr>
      <w:t>5</w:t>
    </w:r>
    <w:r w:rsidRPr="001F7776">
      <w:rPr>
        <w:rFonts w:ascii="Agency FB" w:hAnsi="Agency FB"/>
        <w:color w:val="E36C0A"/>
        <w:sz w:val="22"/>
        <w:szCs w:val="22"/>
      </w:rPr>
      <w:t xml:space="preserve">: </w:t>
    </w:r>
    <w:r w:rsidR="00A10BD9" w:rsidRPr="001F7776">
      <w:rPr>
        <w:rFonts w:ascii="Agency FB" w:hAnsi="Agency FB"/>
        <w:color w:val="E36C0A"/>
        <w:sz w:val="22"/>
        <w:szCs w:val="22"/>
      </w:rPr>
      <w:t>17-3</w:t>
    </w:r>
    <w:r w:rsidR="00D34745" w:rsidRPr="001F7776">
      <w:rPr>
        <w:rFonts w:ascii="Agency FB" w:hAnsi="Agency FB"/>
        <w:color w:val="E36C0A"/>
        <w:sz w:val="22"/>
        <w:szCs w:val="22"/>
      </w:rPr>
      <w:t>9</w:t>
    </w:r>
  </w:p>
  <w:p w14:paraId="505074AE" w14:textId="4D68327B" w:rsidR="00A82B98" w:rsidRPr="00FE0969" w:rsidRDefault="00FE0969"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A82B98" w:rsidRPr="0081623B" w:rsidRDefault="00E10EC9"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0"/>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045EDD"/>
    <w:multiLevelType w:val="multilevel"/>
    <w:tmpl w:val="3BD22F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EA5003A"/>
    <w:multiLevelType w:val="multilevel"/>
    <w:tmpl w:val="C3448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1"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4"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7"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8"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9"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1"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1"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2"/>
  </w:num>
  <w:num w:numId="4">
    <w:abstractNumId w:val="26"/>
  </w:num>
  <w:num w:numId="5">
    <w:abstractNumId w:val="2"/>
  </w:num>
  <w:num w:numId="6">
    <w:abstractNumId w:val="25"/>
  </w:num>
  <w:num w:numId="7">
    <w:abstractNumId w:val="41"/>
  </w:num>
  <w:num w:numId="8">
    <w:abstractNumId w:val="15"/>
  </w:num>
  <w:num w:numId="9">
    <w:abstractNumId w:val="32"/>
  </w:num>
  <w:num w:numId="10">
    <w:abstractNumId w:val="23"/>
  </w:num>
  <w:num w:numId="11">
    <w:abstractNumId w:val="0"/>
  </w:num>
  <w:num w:numId="12">
    <w:abstractNumId w:val="40"/>
  </w:num>
  <w:num w:numId="13">
    <w:abstractNumId w:val="29"/>
  </w:num>
  <w:num w:numId="14">
    <w:abstractNumId w:val="4"/>
  </w:num>
  <w:num w:numId="15">
    <w:abstractNumId w:val="13"/>
  </w:num>
  <w:num w:numId="16">
    <w:abstractNumId w:val="7"/>
  </w:num>
  <w:num w:numId="17">
    <w:abstractNumId w:val="9"/>
  </w:num>
  <w:num w:numId="18">
    <w:abstractNumId w:val="33"/>
  </w:num>
  <w:num w:numId="19">
    <w:abstractNumId w:val="8"/>
  </w:num>
  <w:num w:numId="20">
    <w:abstractNumId w:val="31"/>
  </w:num>
  <w:num w:numId="21">
    <w:abstractNumId w:val="1"/>
  </w:num>
  <w:num w:numId="22">
    <w:abstractNumId w:val="6"/>
  </w:num>
  <w:num w:numId="23">
    <w:abstractNumId w:val="3"/>
  </w:num>
  <w:num w:numId="24">
    <w:abstractNumId w:val="12"/>
  </w:num>
  <w:num w:numId="25">
    <w:abstractNumId w:val="43"/>
  </w:num>
  <w:num w:numId="26">
    <w:abstractNumId w:val="39"/>
  </w:num>
  <w:num w:numId="27">
    <w:abstractNumId w:val="11"/>
  </w:num>
  <w:num w:numId="28">
    <w:abstractNumId w:val="18"/>
  </w:num>
  <w:num w:numId="29">
    <w:abstractNumId w:val="30"/>
  </w:num>
  <w:num w:numId="30">
    <w:abstractNumId w:val="20"/>
  </w:num>
  <w:num w:numId="31">
    <w:abstractNumId w:val="10"/>
  </w:num>
  <w:num w:numId="32">
    <w:abstractNumId w:val="42"/>
  </w:num>
  <w:num w:numId="33">
    <w:abstractNumId w:val="27"/>
  </w:num>
  <w:num w:numId="34">
    <w:abstractNumId w:val="19"/>
  </w:num>
  <w:num w:numId="35">
    <w:abstractNumId w:val="36"/>
  </w:num>
  <w:num w:numId="36">
    <w:abstractNumId w:val="24"/>
  </w:num>
  <w:num w:numId="37">
    <w:abstractNumId w:val="5"/>
  </w:num>
  <w:num w:numId="38">
    <w:abstractNumId w:val="21"/>
  </w:num>
  <w:num w:numId="39">
    <w:abstractNumId w:val="35"/>
  </w:num>
  <w:num w:numId="40">
    <w:abstractNumId w:val="28"/>
  </w:num>
  <w:num w:numId="41">
    <w:abstractNumId w:val="37"/>
  </w:num>
  <w:num w:numId="42">
    <w:abstractNumId w:val="38"/>
  </w:num>
  <w:num w:numId="43">
    <w:abstractNumId w:val="1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8C4"/>
    <w:rsid w:val="00050CBC"/>
    <w:rsid w:val="00051E67"/>
    <w:rsid w:val="000534BC"/>
    <w:rsid w:val="0005594E"/>
    <w:rsid w:val="00057376"/>
    <w:rsid w:val="00057A12"/>
    <w:rsid w:val="00061C1E"/>
    <w:rsid w:val="000628BC"/>
    <w:rsid w:val="0007083E"/>
    <w:rsid w:val="00073695"/>
    <w:rsid w:val="000749E7"/>
    <w:rsid w:val="00075680"/>
    <w:rsid w:val="00076624"/>
    <w:rsid w:val="00081189"/>
    <w:rsid w:val="00081EA1"/>
    <w:rsid w:val="00084C26"/>
    <w:rsid w:val="00091331"/>
    <w:rsid w:val="00091D68"/>
    <w:rsid w:val="00095A07"/>
    <w:rsid w:val="000971A6"/>
    <w:rsid w:val="00097C08"/>
    <w:rsid w:val="00097DE7"/>
    <w:rsid w:val="000A1290"/>
    <w:rsid w:val="000A227F"/>
    <w:rsid w:val="000A6D9A"/>
    <w:rsid w:val="000A7E22"/>
    <w:rsid w:val="000B7151"/>
    <w:rsid w:val="000C08B0"/>
    <w:rsid w:val="000C1371"/>
    <w:rsid w:val="000C680B"/>
    <w:rsid w:val="000D1334"/>
    <w:rsid w:val="000D144D"/>
    <w:rsid w:val="000D1B92"/>
    <w:rsid w:val="000D1F91"/>
    <w:rsid w:val="000D2567"/>
    <w:rsid w:val="000D296F"/>
    <w:rsid w:val="000D44E1"/>
    <w:rsid w:val="000D5935"/>
    <w:rsid w:val="000D6CBD"/>
    <w:rsid w:val="000D6E20"/>
    <w:rsid w:val="000E184A"/>
    <w:rsid w:val="000E31F9"/>
    <w:rsid w:val="000E320A"/>
    <w:rsid w:val="000E4253"/>
    <w:rsid w:val="000E4F1A"/>
    <w:rsid w:val="000E6F43"/>
    <w:rsid w:val="000E7A28"/>
    <w:rsid w:val="000F1259"/>
    <w:rsid w:val="000F28A9"/>
    <w:rsid w:val="000F2B5D"/>
    <w:rsid w:val="000F393F"/>
    <w:rsid w:val="000F4927"/>
    <w:rsid w:val="000F61B7"/>
    <w:rsid w:val="00101707"/>
    <w:rsid w:val="00102586"/>
    <w:rsid w:val="00102D55"/>
    <w:rsid w:val="00103C6D"/>
    <w:rsid w:val="00104E6F"/>
    <w:rsid w:val="00106270"/>
    <w:rsid w:val="00107071"/>
    <w:rsid w:val="00107EBF"/>
    <w:rsid w:val="00111083"/>
    <w:rsid w:val="00116616"/>
    <w:rsid w:val="00116C20"/>
    <w:rsid w:val="00120219"/>
    <w:rsid w:val="001207A6"/>
    <w:rsid w:val="001234AE"/>
    <w:rsid w:val="00123DAD"/>
    <w:rsid w:val="00125F0E"/>
    <w:rsid w:val="0012727A"/>
    <w:rsid w:val="00127E7E"/>
    <w:rsid w:val="00130994"/>
    <w:rsid w:val="0013192D"/>
    <w:rsid w:val="00131B9C"/>
    <w:rsid w:val="00131E8D"/>
    <w:rsid w:val="0013417D"/>
    <w:rsid w:val="00134741"/>
    <w:rsid w:val="00137270"/>
    <w:rsid w:val="0014210E"/>
    <w:rsid w:val="00142E05"/>
    <w:rsid w:val="001438E3"/>
    <w:rsid w:val="00143C3B"/>
    <w:rsid w:val="00144A93"/>
    <w:rsid w:val="001463B8"/>
    <w:rsid w:val="00147093"/>
    <w:rsid w:val="00150640"/>
    <w:rsid w:val="001508AE"/>
    <w:rsid w:val="00152545"/>
    <w:rsid w:val="001561AF"/>
    <w:rsid w:val="00156C8F"/>
    <w:rsid w:val="00160030"/>
    <w:rsid w:val="001624E8"/>
    <w:rsid w:val="001650EE"/>
    <w:rsid w:val="001749A5"/>
    <w:rsid w:val="00174B0E"/>
    <w:rsid w:val="0017598B"/>
    <w:rsid w:val="00175BE9"/>
    <w:rsid w:val="001809CE"/>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09C1"/>
    <w:rsid w:val="001D271D"/>
    <w:rsid w:val="001D2A22"/>
    <w:rsid w:val="001D437A"/>
    <w:rsid w:val="001E202F"/>
    <w:rsid w:val="001E2221"/>
    <w:rsid w:val="001E34E7"/>
    <w:rsid w:val="001E5DA2"/>
    <w:rsid w:val="001E66AB"/>
    <w:rsid w:val="001E705D"/>
    <w:rsid w:val="001F018B"/>
    <w:rsid w:val="001F1C42"/>
    <w:rsid w:val="001F2282"/>
    <w:rsid w:val="001F308D"/>
    <w:rsid w:val="001F4C2D"/>
    <w:rsid w:val="001F69CF"/>
    <w:rsid w:val="001F7776"/>
    <w:rsid w:val="00202760"/>
    <w:rsid w:val="002033B3"/>
    <w:rsid w:val="0020679D"/>
    <w:rsid w:val="00211B63"/>
    <w:rsid w:val="00212F75"/>
    <w:rsid w:val="002144FC"/>
    <w:rsid w:val="0021492A"/>
    <w:rsid w:val="00216703"/>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57BE1"/>
    <w:rsid w:val="0026094D"/>
    <w:rsid w:val="00260DDC"/>
    <w:rsid w:val="002639FE"/>
    <w:rsid w:val="002657AB"/>
    <w:rsid w:val="00270225"/>
    <w:rsid w:val="00270F16"/>
    <w:rsid w:val="002719BB"/>
    <w:rsid w:val="00273226"/>
    <w:rsid w:val="002734EC"/>
    <w:rsid w:val="00273CFA"/>
    <w:rsid w:val="002742B4"/>
    <w:rsid w:val="00274740"/>
    <w:rsid w:val="00274C76"/>
    <w:rsid w:val="00275FC3"/>
    <w:rsid w:val="0027680F"/>
    <w:rsid w:val="00280261"/>
    <w:rsid w:val="0028058F"/>
    <w:rsid w:val="00282AEC"/>
    <w:rsid w:val="00282C90"/>
    <w:rsid w:val="00284D6F"/>
    <w:rsid w:val="00285DA3"/>
    <w:rsid w:val="002863C4"/>
    <w:rsid w:val="00291424"/>
    <w:rsid w:val="002923A7"/>
    <w:rsid w:val="00294E8A"/>
    <w:rsid w:val="00296D8B"/>
    <w:rsid w:val="002977E3"/>
    <w:rsid w:val="002A060D"/>
    <w:rsid w:val="002A25D1"/>
    <w:rsid w:val="002A467A"/>
    <w:rsid w:val="002A4803"/>
    <w:rsid w:val="002A546A"/>
    <w:rsid w:val="002A7A61"/>
    <w:rsid w:val="002B0032"/>
    <w:rsid w:val="002B21BA"/>
    <w:rsid w:val="002B24C1"/>
    <w:rsid w:val="002B26BE"/>
    <w:rsid w:val="002B3DFB"/>
    <w:rsid w:val="002B5501"/>
    <w:rsid w:val="002B6304"/>
    <w:rsid w:val="002C3F42"/>
    <w:rsid w:val="002D0B75"/>
    <w:rsid w:val="002D1536"/>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36CE"/>
    <w:rsid w:val="00304107"/>
    <w:rsid w:val="0030625A"/>
    <w:rsid w:val="003072E5"/>
    <w:rsid w:val="003111A0"/>
    <w:rsid w:val="00315C55"/>
    <w:rsid w:val="00316745"/>
    <w:rsid w:val="00316D64"/>
    <w:rsid w:val="003172E9"/>
    <w:rsid w:val="003172FD"/>
    <w:rsid w:val="00317744"/>
    <w:rsid w:val="00317EF9"/>
    <w:rsid w:val="00323EC0"/>
    <w:rsid w:val="00326D5D"/>
    <w:rsid w:val="00331067"/>
    <w:rsid w:val="00331E99"/>
    <w:rsid w:val="00332D70"/>
    <w:rsid w:val="00333698"/>
    <w:rsid w:val="0033689E"/>
    <w:rsid w:val="00336BAC"/>
    <w:rsid w:val="00337BFF"/>
    <w:rsid w:val="00337D71"/>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0F45"/>
    <w:rsid w:val="003740EE"/>
    <w:rsid w:val="00376A84"/>
    <w:rsid w:val="003777DF"/>
    <w:rsid w:val="003800B4"/>
    <w:rsid w:val="0038147B"/>
    <w:rsid w:val="00384F2B"/>
    <w:rsid w:val="003871D4"/>
    <w:rsid w:val="003910DD"/>
    <w:rsid w:val="00393257"/>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009"/>
    <w:rsid w:val="00403E7A"/>
    <w:rsid w:val="00403EC2"/>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3088"/>
    <w:rsid w:val="00456B5B"/>
    <w:rsid w:val="00457E3C"/>
    <w:rsid w:val="00461563"/>
    <w:rsid w:val="004626A2"/>
    <w:rsid w:val="00462700"/>
    <w:rsid w:val="00462858"/>
    <w:rsid w:val="00462C8D"/>
    <w:rsid w:val="00462EDE"/>
    <w:rsid w:val="00463916"/>
    <w:rsid w:val="00464BAC"/>
    <w:rsid w:val="004675E8"/>
    <w:rsid w:val="00467754"/>
    <w:rsid w:val="00472848"/>
    <w:rsid w:val="00475446"/>
    <w:rsid w:val="00477B8F"/>
    <w:rsid w:val="0048057E"/>
    <w:rsid w:val="00480DE1"/>
    <w:rsid w:val="00481BCA"/>
    <w:rsid w:val="0048384E"/>
    <w:rsid w:val="00483C75"/>
    <w:rsid w:val="00485B80"/>
    <w:rsid w:val="004860FC"/>
    <w:rsid w:val="00491411"/>
    <w:rsid w:val="004969B8"/>
    <w:rsid w:val="00497788"/>
    <w:rsid w:val="004A185B"/>
    <w:rsid w:val="004A5542"/>
    <w:rsid w:val="004B2D90"/>
    <w:rsid w:val="004B5ADB"/>
    <w:rsid w:val="004B68ED"/>
    <w:rsid w:val="004B7156"/>
    <w:rsid w:val="004B722B"/>
    <w:rsid w:val="004B7852"/>
    <w:rsid w:val="004B7B50"/>
    <w:rsid w:val="004C2C47"/>
    <w:rsid w:val="004C39B6"/>
    <w:rsid w:val="004C521F"/>
    <w:rsid w:val="004C6D4B"/>
    <w:rsid w:val="004C7B42"/>
    <w:rsid w:val="004D0DC5"/>
    <w:rsid w:val="004D2193"/>
    <w:rsid w:val="004D5004"/>
    <w:rsid w:val="004E18C0"/>
    <w:rsid w:val="004E7499"/>
    <w:rsid w:val="004E788A"/>
    <w:rsid w:val="004F08D4"/>
    <w:rsid w:val="004F0FE0"/>
    <w:rsid w:val="004F13B1"/>
    <w:rsid w:val="004F1C1D"/>
    <w:rsid w:val="004F2378"/>
    <w:rsid w:val="00501B4A"/>
    <w:rsid w:val="00501D71"/>
    <w:rsid w:val="00502FAB"/>
    <w:rsid w:val="00503594"/>
    <w:rsid w:val="00507793"/>
    <w:rsid w:val="00510A08"/>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7B"/>
    <w:rsid w:val="005442E2"/>
    <w:rsid w:val="00547768"/>
    <w:rsid w:val="0055071D"/>
    <w:rsid w:val="00550F44"/>
    <w:rsid w:val="00552769"/>
    <w:rsid w:val="00552A42"/>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0BA2"/>
    <w:rsid w:val="005A7216"/>
    <w:rsid w:val="005A7337"/>
    <w:rsid w:val="005B14D6"/>
    <w:rsid w:val="005B5BEA"/>
    <w:rsid w:val="005B5DC9"/>
    <w:rsid w:val="005C026C"/>
    <w:rsid w:val="005C13D6"/>
    <w:rsid w:val="005C37CC"/>
    <w:rsid w:val="005C45C9"/>
    <w:rsid w:val="005C543F"/>
    <w:rsid w:val="005C5940"/>
    <w:rsid w:val="005C5A64"/>
    <w:rsid w:val="005C70D0"/>
    <w:rsid w:val="005D0E06"/>
    <w:rsid w:val="005D127D"/>
    <w:rsid w:val="005D5E43"/>
    <w:rsid w:val="005D6952"/>
    <w:rsid w:val="005E0CC7"/>
    <w:rsid w:val="005E4587"/>
    <w:rsid w:val="005E67D7"/>
    <w:rsid w:val="005E6E39"/>
    <w:rsid w:val="005E7033"/>
    <w:rsid w:val="005F024D"/>
    <w:rsid w:val="005F04E9"/>
    <w:rsid w:val="005F0ADA"/>
    <w:rsid w:val="005F1206"/>
    <w:rsid w:val="005F2A1A"/>
    <w:rsid w:val="005F2C40"/>
    <w:rsid w:val="005F39FA"/>
    <w:rsid w:val="005F7470"/>
    <w:rsid w:val="00600E64"/>
    <w:rsid w:val="00601FE6"/>
    <w:rsid w:val="00602E79"/>
    <w:rsid w:val="00603BD0"/>
    <w:rsid w:val="006063A3"/>
    <w:rsid w:val="00606630"/>
    <w:rsid w:val="00607B78"/>
    <w:rsid w:val="00610B37"/>
    <w:rsid w:val="006129EB"/>
    <w:rsid w:val="006133CB"/>
    <w:rsid w:val="006139A0"/>
    <w:rsid w:val="00614ADE"/>
    <w:rsid w:val="006158E1"/>
    <w:rsid w:val="00616400"/>
    <w:rsid w:val="00617408"/>
    <w:rsid w:val="0062395B"/>
    <w:rsid w:val="0062566E"/>
    <w:rsid w:val="0062570F"/>
    <w:rsid w:val="006309AF"/>
    <w:rsid w:val="00633B12"/>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02EB"/>
    <w:rsid w:val="00691090"/>
    <w:rsid w:val="006913C6"/>
    <w:rsid w:val="006918FA"/>
    <w:rsid w:val="00691A43"/>
    <w:rsid w:val="006941DB"/>
    <w:rsid w:val="00695053"/>
    <w:rsid w:val="00696B35"/>
    <w:rsid w:val="006972C6"/>
    <w:rsid w:val="00697B90"/>
    <w:rsid w:val="006A1F41"/>
    <w:rsid w:val="006A2654"/>
    <w:rsid w:val="006A454A"/>
    <w:rsid w:val="006A6322"/>
    <w:rsid w:val="006A6FF5"/>
    <w:rsid w:val="006B126A"/>
    <w:rsid w:val="006B47F4"/>
    <w:rsid w:val="006B5776"/>
    <w:rsid w:val="006C170C"/>
    <w:rsid w:val="006C2D94"/>
    <w:rsid w:val="006C4E91"/>
    <w:rsid w:val="006C638B"/>
    <w:rsid w:val="006D1379"/>
    <w:rsid w:val="006D1AFF"/>
    <w:rsid w:val="006D3FA8"/>
    <w:rsid w:val="006D40C4"/>
    <w:rsid w:val="006D4368"/>
    <w:rsid w:val="006D4785"/>
    <w:rsid w:val="006D64C6"/>
    <w:rsid w:val="006E0311"/>
    <w:rsid w:val="006E2B35"/>
    <w:rsid w:val="006E35E7"/>
    <w:rsid w:val="006E472E"/>
    <w:rsid w:val="006E5984"/>
    <w:rsid w:val="006F55E9"/>
    <w:rsid w:val="007012CF"/>
    <w:rsid w:val="007013D8"/>
    <w:rsid w:val="007053EE"/>
    <w:rsid w:val="007077DC"/>
    <w:rsid w:val="00711661"/>
    <w:rsid w:val="0071178D"/>
    <w:rsid w:val="007118C9"/>
    <w:rsid w:val="0071551E"/>
    <w:rsid w:val="00716571"/>
    <w:rsid w:val="0072045D"/>
    <w:rsid w:val="00720A83"/>
    <w:rsid w:val="007220F0"/>
    <w:rsid w:val="0072344A"/>
    <w:rsid w:val="00723B49"/>
    <w:rsid w:val="00723D31"/>
    <w:rsid w:val="00723FEB"/>
    <w:rsid w:val="00727ABF"/>
    <w:rsid w:val="007321F5"/>
    <w:rsid w:val="00733199"/>
    <w:rsid w:val="00734975"/>
    <w:rsid w:val="0073623C"/>
    <w:rsid w:val="0073740C"/>
    <w:rsid w:val="007430BA"/>
    <w:rsid w:val="00744BFD"/>
    <w:rsid w:val="00745B70"/>
    <w:rsid w:val="00746A6B"/>
    <w:rsid w:val="00751F7B"/>
    <w:rsid w:val="00752B22"/>
    <w:rsid w:val="00753B73"/>
    <w:rsid w:val="00753D2B"/>
    <w:rsid w:val="00754B72"/>
    <w:rsid w:val="00755684"/>
    <w:rsid w:val="00755F1F"/>
    <w:rsid w:val="007564BC"/>
    <w:rsid w:val="00756A15"/>
    <w:rsid w:val="00756E9B"/>
    <w:rsid w:val="00757C2B"/>
    <w:rsid w:val="00760793"/>
    <w:rsid w:val="00760845"/>
    <w:rsid w:val="00762450"/>
    <w:rsid w:val="007649A8"/>
    <w:rsid w:val="00766517"/>
    <w:rsid w:val="00766BBE"/>
    <w:rsid w:val="00771D81"/>
    <w:rsid w:val="0077268C"/>
    <w:rsid w:val="00775FAB"/>
    <w:rsid w:val="00777310"/>
    <w:rsid w:val="007800DA"/>
    <w:rsid w:val="0078065A"/>
    <w:rsid w:val="0078269D"/>
    <w:rsid w:val="00784A71"/>
    <w:rsid w:val="00786818"/>
    <w:rsid w:val="007954C7"/>
    <w:rsid w:val="00795E38"/>
    <w:rsid w:val="007A1631"/>
    <w:rsid w:val="007A1D81"/>
    <w:rsid w:val="007A1D9C"/>
    <w:rsid w:val="007A35C4"/>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1922"/>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258D"/>
    <w:rsid w:val="00806C39"/>
    <w:rsid w:val="008070F7"/>
    <w:rsid w:val="00807AD4"/>
    <w:rsid w:val="00807BCD"/>
    <w:rsid w:val="00814594"/>
    <w:rsid w:val="008239A8"/>
    <w:rsid w:val="00825310"/>
    <w:rsid w:val="008309AD"/>
    <w:rsid w:val="008325B7"/>
    <w:rsid w:val="00832BEC"/>
    <w:rsid w:val="00832D4D"/>
    <w:rsid w:val="008377E1"/>
    <w:rsid w:val="00842ADC"/>
    <w:rsid w:val="0084340D"/>
    <w:rsid w:val="00843913"/>
    <w:rsid w:val="00843D05"/>
    <w:rsid w:val="00843D95"/>
    <w:rsid w:val="008464C6"/>
    <w:rsid w:val="00851BB2"/>
    <w:rsid w:val="00852F2A"/>
    <w:rsid w:val="00853AAF"/>
    <w:rsid w:val="00854DB2"/>
    <w:rsid w:val="0085755A"/>
    <w:rsid w:val="00857970"/>
    <w:rsid w:val="00861876"/>
    <w:rsid w:val="008649AB"/>
    <w:rsid w:val="00864B6F"/>
    <w:rsid w:val="00865600"/>
    <w:rsid w:val="00870F4D"/>
    <w:rsid w:val="00873DD9"/>
    <w:rsid w:val="00874A1F"/>
    <w:rsid w:val="00875E4B"/>
    <w:rsid w:val="00876337"/>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A61C9"/>
    <w:rsid w:val="008B0429"/>
    <w:rsid w:val="008B26CA"/>
    <w:rsid w:val="008B354C"/>
    <w:rsid w:val="008C08FC"/>
    <w:rsid w:val="008C38EA"/>
    <w:rsid w:val="008C3C7A"/>
    <w:rsid w:val="008C40C9"/>
    <w:rsid w:val="008C7A25"/>
    <w:rsid w:val="008C7F3C"/>
    <w:rsid w:val="008D6912"/>
    <w:rsid w:val="008D6BF4"/>
    <w:rsid w:val="008D792C"/>
    <w:rsid w:val="008E1E64"/>
    <w:rsid w:val="008E251D"/>
    <w:rsid w:val="008E5B01"/>
    <w:rsid w:val="008E5DEB"/>
    <w:rsid w:val="008F2B1D"/>
    <w:rsid w:val="008F2F8D"/>
    <w:rsid w:val="008F309F"/>
    <w:rsid w:val="008F3EC0"/>
    <w:rsid w:val="008F463D"/>
    <w:rsid w:val="008F46F0"/>
    <w:rsid w:val="008F59E5"/>
    <w:rsid w:val="008F72A0"/>
    <w:rsid w:val="00900F34"/>
    <w:rsid w:val="009035EA"/>
    <w:rsid w:val="00906474"/>
    <w:rsid w:val="00906526"/>
    <w:rsid w:val="009070A1"/>
    <w:rsid w:val="00907BAF"/>
    <w:rsid w:val="00911167"/>
    <w:rsid w:val="009140A0"/>
    <w:rsid w:val="00914B87"/>
    <w:rsid w:val="00916187"/>
    <w:rsid w:val="00917E0E"/>
    <w:rsid w:val="0092045D"/>
    <w:rsid w:val="00921D22"/>
    <w:rsid w:val="00922B3F"/>
    <w:rsid w:val="0092714F"/>
    <w:rsid w:val="00930946"/>
    <w:rsid w:val="00931ED5"/>
    <w:rsid w:val="009344B8"/>
    <w:rsid w:val="00936DD3"/>
    <w:rsid w:val="009372E8"/>
    <w:rsid w:val="00937D23"/>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08D8"/>
    <w:rsid w:val="009725F1"/>
    <w:rsid w:val="0097396C"/>
    <w:rsid w:val="00974080"/>
    <w:rsid w:val="00976851"/>
    <w:rsid w:val="00981B3A"/>
    <w:rsid w:val="0098224F"/>
    <w:rsid w:val="00982482"/>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6880"/>
    <w:rsid w:val="009D7BA1"/>
    <w:rsid w:val="009D7EB4"/>
    <w:rsid w:val="009E0339"/>
    <w:rsid w:val="009E0A47"/>
    <w:rsid w:val="009E17B4"/>
    <w:rsid w:val="009E1C9E"/>
    <w:rsid w:val="009E26F8"/>
    <w:rsid w:val="009E28AA"/>
    <w:rsid w:val="009E301E"/>
    <w:rsid w:val="009E6C6B"/>
    <w:rsid w:val="009E7EBB"/>
    <w:rsid w:val="009F0D19"/>
    <w:rsid w:val="009F10DB"/>
    <w:rsid w:val="009F20EE"/>
    <w:rsid w:val="009F6AF8"/>
    <w:rsid w:val="00A02C72"/>
    <w:rsid w:val="00A02D09"/>
    <w:rsid w:val="00A05C29"/>
    <w:rsid w:val="00A0714B"/>
    <w:rsid w:val="00A10BD9"/>
    <w:rsid w:val="00A115F8"/>
    <w:rsid w:val="00A11A38"/>
    <w:rsid w:val="00A12931"/>
    <w:rsid w:val="00A158DF"/>
    <w:rsid w:val="00A20A87"/>
    <w:rsid w:val="00A2300C"/>
    <w:rsid w:val="00A23BAD"/>
    <w:rsid w:val="00A2745F"/>
    <w:rsid w:val="00A27677"/>
    <w:rsid w:val="00A332A4"/>
    <w:rsid w:val="00A36366"/>
    <w:rsid w:val="00A379A4"/>
    <w:rsid w:val="00A42036"/>
    <w:rsid w:val="00A45C89"/>
    <w:rsid w:val="00A464E4"/>
    <w:rsid w:val="00A4691A"/>
    <w:rsid w:val="00A53FEC"/>
    <w:rsid w:val="00A54E27"/>
    <w:rsid w:val="00A556BE"/>
    <w:rsid w:val="00A613E1"/>
    <w:rsid w:val="00A62147"/>
    <w:rsid w:val="00A63DA5"/>
    <w:rsid w:val="00A642AB"/>
    <w:rsid w:val="00A659B7"/>
    <w:rsid w:val="00A65BDD"/>
    <w:rsid w:val="00A67253"/>
    <w:rsid w:val="00A714C6"/>
    <w:rsid w:val="00A72AAA"/>
    <w:rsid w:val="00A72F88"/>
    <w:rsid w:val="00A74B1A"/>
    <w:rsid w:val="00A74CFD"/>
    <w:rsid w:val="00A753C8"/>
    <w:rsid w:val="00A75810"/>
    <w:rsid w:val="00A77687"/>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2883"/>
    <w:rsid w:val="00AA3F8E"/>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0ABC"/>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3CA5"/>
    <w:rsid w:val="00B344FA"/>
    <w:rsid w:val="00B35B89"/>
    <w:rsid w:val="00B363BB"/>
    <w:rsid w:val="00B37206"/>
    <w:rsid w:val="00B40EB5"/>
    <w:rsid w:val="00B4569C"/>
    <w:rsid w:val="00B459DC"/>
    <w:rsid w:val="00B47C76"/>
    <w:rsid w:val="00B51AF9"/>
    <w:rsid w:val="00B53056"/>
    <w:rsid w:val="00B547E6"/>
    <w:rsid w:val="00B55452"/>
    <w:rsid w:val="00B56C5F"/>
    <w:rsid w:val="00B6289B"/>
    <w:rsid w:val="00B62C34"/>
    <w:rsid w:val="00B64379"/>
    <w:rsid w:val="00B72467"/>
    <w:rsid w:val="00B73158"/>
    <w:rsid w:val="00B76F06"/>
    <w:rsid w:val="00B7794A"/>
    <w:rsid w:val="00B85E0C"/>
    <w:rsid w:val="00B92AAE"/>
    <w:rsid w:val="00B93825"/>
    <w:rsid w:val="00B93855"/>
    <w:rsid w:val="00B95B67"/>
    <w:rsid w:val="00B96872"/>
    <w:rsid w:val="00BA59F2"/>
    <w:rsid w:val="00BA6BA5"/>
    <w:rsid w:val="00BB1F20"/>
    <w:rsid w:val="00BB2162"/>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BF79E3"/>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0A80"/>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891"/>
    <w:rsid w:val="00CB196B"/>
    <w:rsid w:val="00CB5853"/>
    <w:rsid w:val="00CB76BB"/>
    <w:rsid w:val="00CC04A1"/>
    <w:rsid w:val="00CC20E9"/>
    <w:rsid w:val="00CC4041"/>
    <w:rsid w:val="00CC7AB7"/>
    <w:rsid w:val="00CD3495"/>
    <w:rsid w:val="00CD6E5A"/>
    <w:rsid w:val="00CD72E1"/>
    <w:rsid w:val="00CD7845"/>
    <w:rsid w:val="00CE118A"/>
    <w:rsid w:val="00CE7EBD"/>
    <w:rsid w:val="00CF0A7F"/>
    <w:rsid w:val="00CF3F10"/>
    <w:rsid w:val="00CF747F"/>
    <w:rsid w:val="00CF7556"/>
    <w:rsid w:val="00D02BCE"/>
    <w:rsid w:val="00D0340F"/>
    <w:rsid w:val="00D04B0E"/>
    <w:rsid w:val="00D056CE"/>
    <w:rsid w:val="00D057BF"/>
    <w:rsid w:val="00D073F9"/>
    <w:rsid w:val="00D16262"/>
    <w:rsid w:val="00D1670A"/>
    <w:rsid w:val="00D16D63"/>
    <w:rsid w:val="00D176BB"/>
    <w:rsid w:val="00D2050D"/>
    <w:rsid w:val="00D20629"/>
    <w:rsid w:val="00D21FCB"/>
    <w:rsid w:val="00D264EA"/>
    <w:rsid w:val="00D27374"/>
    <w:rsid w:val="00D31D1A"/>
    <w:rsid w:val="00D32ADB"/>
    <w:rsid w:val="00D33152"/>
    <w:rsid w:val="00D335B8"/>
    <w:rsid w:val="00D33FAA"/>
    <w:rsid w:val="00D34745"/>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3F34"/>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35A0"/>
    <w:rsid w:val="00E049B7"/>
    <w:rsid w:val="00E0577F"/>
    <w:rsid w:val="00E05EED"/>
    <w:rsid w:val="00E100D5"/>
    <w:rsid w:val="00E10EC9"/>
    <w:rsid w:val="00E129A2"/>
    <w:rsid w:val="00E1546C"/>
    <w:rsid w:val="00E179DF"/>
    <w:rsid w:val="00E20D87"/>
    <w:rsid w:val="00E23F6F"/>
    <w:rsid w:val="00E247BE"/>
    <w:rsid w:val="00E24E58"/>
    <w:rsid w:val="00E253EA"/>
    <w:rsid w:val="00E274B1"/>
    <w:rsid w:val="00E329CC"/>
    <w:rsid w:val="00E32BF1"/>
    <w:rsid w:val="00E330F5"/>
    <w:rsid w:val="00E378DD"/>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96DEC"/>
    <w:rsid w:val="00EA2D86"/>
    <w:rsid w:val="00EA3CE3"/>
    <w:rsid w:val="00EA4C11"/>
    <w:rsid w:val="00EB14B3"/>
    <w:rsid w:val="00EB3291"/>
    <w:rsid w:val="00EB3DF8"/>
    <w:rsid w:val="00EB4F14"/>
    <w:rsid w:val="00EB5002"/>
    <w:rsid w:val="00EC0231"/>
    <w:rsid w:val="00EC1E6D"/>
    <w:rsid w:val="00EC2840"/>
    <w:rsid w:val="00EC2ADD"/>
    <w:rsid w:val="00EC371D"/>
    <w:rsid w:val="00EC5562"/>
    <w:rsid w:val="00EC6B3F"/>
    <w:rsid w:val="00ED0CEF"/>
    <w:rsid w:val="00ED3C72"/>
    <w:rsid w:val="00ED4847"/>
    <w:rsid w:val="00EE1121"/>
    <w:rsid w:val="00EE1709"/>
    <w:rsid w:val="00EE3008"/>
    <w:rsid w:val="00EE3DF6"/>
    <w:rsid w:val="00EE78DD"/>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50667"/>
    <w:rsid w:val="00F51894"/>
    <w:rsid w:val="00F51AD4"/>
    <w:rsid w:val="00F53375"/>
    <w:rsid w:val="00F54108"/>
    <w:rsid w:val="00F5739F"/>
    <w:rsid w:val="00F6074D"/>
    <w:rsid w:val="00F64977"/>
    <w:rsid w:val="00F65B31"/>
    <w:rsid w:val="00F67C00"/>
    <w:rsid w:val="00F71F9A"/>
    <w:rsid w:val="00F72722"/>
    <w:rsid w:val="00F730FC"/>
    <w:rsid w:val="00F74A88"/>
    <w:rsid w:val="00F76E94"/>
    <w:rsid w:val="00F76EA2"/>
    <w:rsid w:val="00F77272"/>
    <w:rsid w:val="00F81DC1"/>
    <w:rsid w:val="00F82B45"/>
    <w:rsid w:val="00F8549F"/>
    <w:rsid w:val="00F86AA2"/>
    <w:rsid w:val="00F87210"/>
    <w:rsid w:val="00F87D82"/>
    <w:rsid w:val="00F92BD0"/>
    <w:rsid w:val="00F936EF"/>
    <w:rsid w:val="00F93D89"/>
    <w:rsid w:val="00F97097"/>
    <w:rsid w:val="00FA08C6"/>
    <w:rsid w:val="00FA415A"/>
    <w:rsid w:val="00FA4ADB"/>
    <w:rsid w:val="00FB2524"/>
    <w:rsid w:val="00FB3992"/>
    <w:rsid w:val="00FB399B"/>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Contenido1">
    <w:name w:val="Contenido_1"/>
    <w:basedOn w:val="Normal"/>
    <w:link w:val="Contenido1Car"/>
    <w:qFormat/>
    <w:rsid w:val="00462858"/>
    <w:pPr>
      <w:spacing w:line="276" w:lineRule="auto"/>
      <w:ind w:firstLine="708"/>
      <w:jc w:val="both"/>
    </w:pPr>
    <w:rPr>
      <w:rFonts w:asciiTheme="minorHAnsi" w:eastAsiaTheme="minorHAnsi" w:hAnsiTheme="minorHAnsi" w:cstheme="minorHAnsi"/>
      <w:sz w:val="22"/>
      <w:szCs w:val="22"/>
      <w:lang w:val="es-ES_tradnl" w:eastAsia="ja-JP"/>
    </w:rPr>
  </w:style>
  <w:style w:type="character" w:customStyle="1" w:styleId="Contenido1Car">
    <w:name w:val="Contenido_1 Car"/>
    <w:basedOn w:val="Fuentedeprrafopredeter"/>
    <w:link w:val="Contenido1"/>
    <w:rsid w:val="00462858"/>
    <w:rPr>
      <w:rFonts w:cstheme="minorHAnsi"/>
      <w:sz w:val="22"/>
      <w:szCs w:val="22"/>
      <w:lang w:val="es-ES_tradnl" w:eastAsia="ja-JP"/>
    </w:rPr>
  </w:style>
  <w:style w:type="character" w:customStyle="1" w:styleId="m3062600942643913808gmail-m3924406302619508286gmail-">
    <w:name w:val="m_3062600942643913808gmail-m_3924406302619508286gmail-"/>
    <w:basedOn w:val="Fuentedeprrafopredeter"/>
    <w:rsid w:val="00462858"/>
  </w:style>
  <w:style w:type="paragraph" w:customStyle="1" w:styleId="Subtitulos1">
    <w:name w:val="Subtitulos_1"/>
    <w:basedOn w:val="Normal"/>
    <w:link w:val="Subtitulos1Car"/>
    <w:qFormat/>
    <w:rsid w:val="00C80A80"/>
    <w:pPr>
      <w:spacing w:line="276" w:lineRule="auto"/>
    </w:pPr>
    <w:rPr>
      <w:rFonts w:ascii="Calibri" w:eastAsiaTheme="minorHAnsi" w:hAnsi="Calibri" w:cstheme="minorBidi"/>
      <w:b/>
      <w:caps/>
      <w:lang w:val="es-ES_tradnl" w:eastAsia="ja-JP"/>
    </w:rPr>
  </w:style>
  <w:style w:type="character" w:customStyle="1" w:styleId="Subtitulos1Car">
    <w:name w:val="Subtitulos_1 Car"/>
    <w:basedOn w:val="Fuentedeprrafopredeter"/>
    <w:link w:val="Subtitulos1"/>
    <w:rsid w:val="00C80A80"/>
    <w:rPr>
      <w:rFonts w:ascii="Calibri" w:hAnsi="Calibri"/>
      <w:b/>
      <w:caps/>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087192624">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giron@admon.uniajc.edu.co" TargetMode="External"/><Relationship Id="rId18" Type="http://schemas.openxmlformats.org/officeDocument/2006/relationships/hyperlink" Target="https://doi.org/10.29375/01237047.4253" TargetMode="External"/><Relationship Id="rId26" Type="http://schemas.openxmlformats.org/officeDocument/2006/relationships/hyperlink" Target="https://www.minsalud.gov.co/Paginas/Atencion-oportuna-de-pacientes-con-enfermedades-no-transmisibles-es-un-reto.aspx" TargetMode="External"/><Relationship Id="rId21" Type="http://schemas.openxmlformats.org/officeDocument/2006/relationships/hyperlink" Target="https://www.ncbi.nlm.nih.gov/pmc/articles/PMC9244613/" TargetMode="External"/><Relationship Id="rId34" Type="http://schemas.openxmlformats.org/officeDocument/2006/relationships/hyperlink" Target="https://doi.org/10.22379/24224022287" TargetMode="External"/><Relationship Id="rId7" Type="http://schemas.openxmlformats.org/officeDocument/2006/relationships/settings" Target="settings.xml"/><Relationship Id="rId12" Type="http://schemas.openxmlformats.org/officeDocument/2006/relationships/hyperlink" Target="mailto:nelianavalencia@profesores.uniajc.edu.co" TargetMode="External"/><Relationship Id="rId17" Type="http://schemas.openxmlformats.org/officeDocument/2006/relationships/hyperlink" Target="https://repositorio.unac.edu.pe/handle/20.500.12952/7897" TargetMode="External"/><Relationship Id="rId25" Type="http://schemas.openxmlformats.org/officeDocument/2006/relationships/hyperlink" Target="https://www.minsalud.gov.co/Paginas/Medidas-para-afrontar-la-covid-19-tras-un-mes-de-su-llegada-al-pais.aspx" TargetMode="External"/><Relationship Id="rId33" Type="http://schemas.openxmlformats.org/officeDocument/2006/relationships/hyperlink" Target="https://doi.org/10.11144/Javeriana.rgyps13-27.ass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scielo.sa.cr/scielo.php?script=sci_arttext&amp;pid=S0001-60022012000300010&amp;lng=en&amp;tlng=es" TargetMode="External"/><Relationship Id="rId29" Type="http://schemas.openxmlformats.org/officeDocument/2006/relationships/hyperlink" Target="https://www.paho.org/es/noticias/17-6-2020-covid-19-afecto-funcionamiento-servicios-salud-para-enfermedades-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darragac@estudiante.uniajc.edu.co" TargetMode="External"/><Relationship Id="rId24" Type="http://schemas.openxmlformats.org/officeDocument/2006/relationships/hyperlink" Target="https://www.minsalud.gov.co/Paginas/El-reto-del-covid-19-para-los-sistemas-de-salud-en-el-mundo.aspx" TargetMode="External"/><Relationship Id="rId32" Type="http://schemas.openxmlformats.org/officeDocument/2006/relationships/hyperlink" Target="https://www.funcionpublica.gov.co/eva/gestornormativo/norma.php?i=4093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minsalud.gov.co/Regiones/Paginas/Cali-12-de-abril-de-2020---Cronologia-del-COVID19-en-Cali-y-las-medidas-de-la-alcaldia-para.aspx" TargetMode="External"/><Relationship Id="rId28" Type="http://schemas.openxmlformats.org/officeDocument/2006/relationships/hyperlink" Target="https://www.who.int/es/emergencies/diseases/novel-coronavirus-2019/technical-guidance/naming-the-coronavirus-disease-(covid-2019)-and-the-virus-that-causes-i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dccraneofacial.org/Media/adccraneofacial/Clientes/blog/2019_BARRERAS-DE-ACCESO.pdf" TargetMode="External"/><Relationship Id="rId31" Type="http://schemas.openxmlformats.org/officeDocument/2006/relationships/hyperlink" Target="https://hdl.handle.net/20.500.12672/193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repositorio.unal.edu.co/handle/unal/83808" TargetMode="External"/><Relationship Id="rId27" Type="http://schemas.openxmlformats.org/officeDocument/2006/relationships/hyperlink" Target="https://news.un.org/es/story/2020/06/1475312" TargetMode="External"/><Relationship Id="rId30" Type="http://schemas.openxmlformats.org/officeDocument/2006/relationships/hyperlink" Target="https://www.paho.org/es/noticias/22-3-2023-pandemia-covid-19-afecto-significativamente-acceso-medicamentos-para"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DOI:%20http://dx.doi.org/10.22458/caes.v16i1.5813"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Min203</b:Tag>
    <b:SourceType>InternetSite</b:SourceType>
    <b:Guid>{FB637ECF-054C-BF48-AEFB-3F3D7177B8FE}</b:Guid>
    <b:Title> El reto del covid-19 para los sistemas de salud en el mundo</b:Title>
    <b:Year>2020</b:Year>
    <b:Author>
      <b:Author>
        <b:NameList>
          <b:Person>
            <b:Last>Social</b:Last>
            <b:First>Ministerio</b:First>
            <b:Middle>de Salud y Protección</b:Middle>
          </b:Person>
        </b:NameList>
      </b:Author>
    </b:Author>
    <b:URL>https://www.minsalud.gov.co/Paginas/El-reto-del-covid-19-para-los-sistemas-de-salud-en-el-mundo.aspx</b:URL>
    <b:Month>Junio</b:Month>
    <b:Day>08</b:Day>
    <b:RefOrder>12</b:RefOrder>
  </b:Source>
  <b:Source>
    <b:Tag>ONU20</b:Tag>
    <b:SourceType>InternetSite</b:SourceType>
    <b:Guid>{97CD6FD2-41AE-C747-AAAC-799779997AC6}</b:Guid>
    <b:Author>
      <b:Author>
        <b:NameList>
          <b:Person>
            <b:Last>ONU</b:Last>
          </b:Person>
        </b:NameList>
      </b:Author>
    </b:Author>
    <b:Title>La pandemia de coronavirus interrumpe los tratamientos contra el cáncer y otras enfermedades crónicas</b:Title>
    <b:URL>https://news.un.org/es/story/2020/06/1475312</b:URL>
    <b:Year>2020</b:Year>
    <b:Month>Junio</b:Month>
    <b:Day>01</b:Day>
    <b:RefOrder>15</b:RefOrder>
  </b:Source>
  <b:Source>
    <b:Tag>Min21</b:Tag>
    <b:SourceType>InternetSite</b:SourceType>
    <b:Guid>{124505D4-7C3A-1749-8865-7355038C8AF5}</b:Guid>
    <b:Author>
      <b:Author>
        <b:NameList>
          <b:Person>
            <b:Last>Social</b:Last>
            <b:First>Ministerio</b:First>
            <b:Middle>de Salud y Protección</b:Middle>
          </b:Person>
        </b:NameList>
      </b:Author>
    </b:Author>
    <b:Title>Atención oportuna de pacientes con enfermedades no transmisibles es un reto</b:Title>
    <b:URL>https://www.minsalud.gov.co/Paginas/Atencion-oportuna-de-pacientes-con-enfermedades-no-transmisibles-es-un-reto.aspx</b:URL>
    <b:Year>2021</b:Year>
    <b:Month>Noviembre</b:Month>
    <b:Day>18</b:Day>
    <b:RefOrder>17</b:RefOrder>
  </b:Source>
  <b:Source>
    <b:Tag>Col206</b:Tag>
    <b:SourceType>InternetSite</b:SourceType>
    <b:Guid>{9C5D77A5-B721-E141-8CB9-B31B0740F052}</b:Guid>
    <b:Title>Ministerio de Salud y Protección Social</b:Title>
    <b:Year>2020</b:Year>
    <b:Author>
      <b:Author>
        <b:NameList>
          <b:Person>
            <b:Last>Colombia</b:Last>
          </b:Person>
        </b:NameList>
      </b:Author>
    </b:Author>
    <b:InternetSiteTitle>Cronología del COVID19 en Cali y las medidas de la alcaldía para enfrentarlo</b:InternetSiteTitle>
    <b:URL>https://www.minsalud.gov.co/Regiones/Paginas/Cali-12-de-abril-de-2020---Cronologia-del-COVID19-en-Cali-y-las-medidas-de-la-alcaldia-para.aspx</b:URL>
    <b:Month>04</b:Month>
    <b:Day>12</b:Day>
    <b:RefOrder>18</b:RefOrder>
  </b:Source>
  <b:Source>
    <b:Tag>Alc1</b:Tag>
    <b:SourceType>InternetSite</b:SourceType>
    <b:Guid>{3C2D0C11-C785-D548-96C1-5FECACA3A02C}</b:Guid>
    <b:Author>
      <b:Author>
        <b:NameList>
          <b:Person>
            <b:Last>Cali</b:Last>
            <b:First>Alcaldia</b:First>
            <b:Middle>de</b:Middle>
          </b:Person>
        </b:NameList>
      </b:Author>
    </b:Author>
    <b:Title>Red de servicios</b:Title>
    <b:InternetSiteTitle>Información General de la Ese Oriente</b:InternetSiteTitle>
    <b:URL>http://calisaludable.cali.gov.co/redServicios/Ese_oriente_info_adicional.php</b:URL>
    <b:RefOrder>56</b:RefOrder>
  </b:Source>
  <b:Source>
    <b:Tag>CIE18</b:Tag>
    <b:SourceType>InternetSite</b:SourceType>
    <b:Guid>{6B90023A-D7B7-5B40-95FF-5ED3A4BF9C15}</b:Guid>
    <b:Year>2018</b:Year>
    <b:Author>
      <b:Author>
        <b:NameList>
          <b:Person>
            <b:Last>CIEC</b:Last>
            <b:First>Centro</b:First>
            <b:Middle>de Inteligencia Económica y Competitividad</b:Middle>
          </b:Person>
        </b:NameList>
      </b:Author>
    </b:Author>
    <b:InternetSiteTitle>Diagnóstico Socioeconómico de la Comuna 13</b:InternetSiteTitle>
    <b:URL>file:///Users/jic/Downloads/Diagnostico%20Desarrollo%20Economico%20Comuna%2013-1.pdf</b:URL>
    <b:RefOrder>63</b:RefOrder>
  </b:Source>
  <b:Source>
    <b:Tag>Sec231</b:Tag>
    <b:SourceType>InternetSite</b:SourceType>
    <b:Guid>{A44C7875-ADD7-3F44-964C-FFDC4D8E5B63}</b:Guid>
    <b:Author>
      <b:Author>
        <b:NameList>
          <b:Person>
            <b:Last>Cali</b:Last>
          </b:Person>
        </b:NameList>
      </b:Author>
    </b:Author>
    <b:InternetSiteTitle>Diagnóstico del Sector Salud</b:InternetSiteTitle>
    <b:URL>file:///Users/jic/Downloads/Diagnostico%20General%20Salud.pdf</b:URL>
    <b:Year>2023</b:Year>
    <b:RefOrder>54</b:RefOrder>
  </b:Source>
  <b:Source>
    <b:Tag>DNP20</b:Tag>
    <b:SourceType>InternetSite</b:SourceType>
    <b:Guid>{782EEE5B-4618-9A42-A5B2-C265473B06A4}</b:Guid>
    <b:Author>
      <b:Author>
        <b:NameList>
          <b:Person>
            <b:Last>DNP</b:Last>
            <b:First>Departamento</b:First>
            <b:Middle>Nacional de Planeación</b:Middle>
          </b:Person>
        </b:NameList>
      </b:Author>
    </b:Author>
    <b:InternetSiteTitle>Mercado Laboral Urbano Cali </b:InternetSiteTitle>
    <b:URL>https://colaboracion.dnp.gov.co/CDT/Estudios%20Econmicos/4%20Informe%20Cali%202020.pdf</b:URL>
    <b:Year>2020</b:Year>
    <b:RefOrder>68</b:RefOrder>
  </b:Source>
  <b:Source>
    <b:Tag>CIE23</b:Tag>
    <b:SourceType>InternetSite</b:SourceType>
    <b:Guid>{25BD892F-5EB8-B74F-9473-181C1D112D1E}</b:Guid>
    <b:Author>
      <b:Author>
        <b:NameList>
          <b:Person>
            <b:Last>Centro de Inteligencia Económica y Competitividad</b:Last>
          </b:Person>
        </b:NameList>
      </b:Author>
    </b:Author>
    <b:InternetSiteTitle>Dinámica de la pobreza monetaria y desigualdad en Cali</b:InternetSiteTitle>
    <b:URL>file:///Users/jic/Downloads/43.%20Informe%20Pobreza%20monetaria%20Cali%202023.pdf</b:URL>
    <b:Year>2023</b:Year>
    <b:Month>09</b:Month>
    <b:Day>25</b:Day>
    <b:RefOrder>69</b:RefOrder>
  </b:Source>
</b:Sources>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4.xml><?xml version="1.0" encoding="utf-8"?>
<ds:datastoreItem xmlns:ds="http://schemas.openxmlformats.org/officeDocument/2006/customXml" ds:itemID="{25FD07B2-BF4B-4917-B050-8DBB6A30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4474</Words>
  <Characters>24611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2025-04-23T16:57:00Z</dcterms:created>
  <dcterms:modified xsi:type="dcterms:W3CDTF">2025-05-21T17:27:00Z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