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241F5" w14:textId="17331617" w:rsidR="00533C7B" w:rsidRDefault="00533C7B" w:rsidP="0005763D">
      <w:pPr>
        <w:pStyle w:val="NormalWeb"/>
        <w:spacing w:before="240" w:beforeAutospacing="0" w:after="0" w:afterAutospacing="0" w:line="360" w:lineRule="auto"/>
        <w:jc w:val="center"/>
        <w:rPr>
          <w:rFonts w:ascii="Arial" w:hAnsi="Arial" w:cs="Arial"/>
          <w:b/>
          <w:bCs/>
          <w:color w:val="C45911" w:themeColor="accent2" w:themeShade="BF"/>
        </w:rPr>
      </w:pPr>
      <w:bookmarkStart w:id="0" w:name="_Hlk197513645"/>
      <w:bookmarkStart w:id="1" w:name="_Hlk197510544"/>
      <w:bookmarkStart w:id="2" w:name="_Hlk145952311"/>
      <w:bookmarkEnd w:id="0"/>
      <w:r w:rsidRPr="00533C7B">
        <w:rPr>
          <w:rFonts w:ascii="Arial" w:hAnsi="Arial" w:cs="Arial"/>
          <w:b/>
          <w:bCs/>
          <w:color w:val="C45911" w:themeColor="accent2" w:themeShade="BF"/>
        </w:rPr>
        <w:t>La falta de atención como efecto secundario de una prensión inadecuada del lápiz: revelación de un estudio fenomenológico</w:t>
      </w:r>
    </w:p>
    <w:bookmarkEnd w:id="1"/>
    <w:p w14:paraId="3BCD8757" w14:textId="1B214F44" w:rsidR="00533C7B" w:rsidRPr="00533C7B" w:rsidRDefault="00533C7B" w:rsidP="0005763D">
      <w:pPr>
        <w:pStyle w:val="NormalWeb"/>
        <w:spacing w:before="240" w:beforeAutospacing="0" w:after="0" w:afterAutospacing="0" w:line="360" w:lineRule="auto"/>
        <w:jc w:val="center"/>
        <w:rPr>
          <w:rFonts w:ascii="Arial" w:hAnsi="Arial" w:cs="Arial"/>
          <w:b/>
          <w:bCs/>
          <w:color w:val="C45911" w:themeColor="accent2" w:themeShade="BF"/>
          <w:lang w:val="en-US"/>
        </w:rPr>
      </w:pPr>
      <w:r w:rsidRPr="00533C7B">
        <w:rPr>
          <w:rFonts w:ascii="Arial" w:hAnsi="Arial" w:cs="Arial"/>
          <w:b/>
          <w:bCs/>
          <w:color w:val="C45911" w:themeColor="accent2" w:themeShade="BF"/>
          <w:lang w:val="en-US"/>
        </w:rPr>
        <w:t>The lack of attention as a secondary effect of inadequate penmanship pressure: Revelation of a phenomenological study</w:t>
      </w:r>
    </w:p>
    <w:bookmarkEnd w:id="2"/>
    <w:p w14:paraId="2F5FFE3E" w14:textId="77777777" w:rsidR="00533C7B" w:rsidRPr="004443E3" w:rsidRDefault="00533C7B" w:rsidP="00A82B98">
      <w:pPr>
        <w:pStyle w:val="NormalWeb"/>
        <w:spacing w:before="0" w:beforeAutospacing="0" w:after="0" w:afterAutospacing="0" w:line="276" w:lineRule="auto"/>
        <w:jc w:val="right"/>
        <w:rPr>
          <w:rFonts w:ascii="Arial" w:hAnsi="Arial" w:cs="Arial"/>
          <w:lang w:val="en-US"/>
        </w:rPr>
      </w:pPr>
    </w:p>
    <w:p w14:paraId="0E1314C1" w14:textId="77777777" w:rsidR="00BE2EC8" w:rsidRPr="004443E3" w:rsidRDefault="00BE2EC8" w:rsidP="005128DA">
      <w:pPr>
        <w:pStyle w:val="NormalWeb"/>
        <w:spacing w:before="0" w:beforeAutospacing="0" w:after="0" w:afterAutospacing="0"/>
        <w:jc w:val="right"/>
        <w:rPr>
          <w:rFonts w:ascii="Arial" w:hAnsi="Arial" w:cs="Arial"/>
          <w:lang w:val="en-US"/>
        </w:rPr>
      </w:pPr>
      <w:bookmarkStart w:id="3" w:name="_Hlk197510593"/>
    </w:p>
    <w:p w14:paraId="4FCC1C02" w14:textId="77777777" w:rsidR="00F713A2" w:rsidRPr="004443E3" w:rsidRDefault="00F713A2" w:rsidP="005128DA">
      <w:pPr>
        <w:pStyle w:val="NormalWeb"/>
        <w:spacing w:before="0" w:beforeAutospacing="0" w:after="0" w:afterAutospacing="0"/>
        <w:jc w:val="right"/>
        <w:rPr>
          <w:rFonts w:ascii="Arial" w:hAnsi="Arial" w:cs="Arial"/>
          <w:lang w:val="en-US"/>
        </w:rPr>
      </w:pPr>
    </w:p>
    <w:p w14:paraId="15395EE9" w14:textId="58A1BC92" w:rsidR="00A82B98" w:rsidRPr="00C35D2F" w:rsidRDefault="00607453" w:rsidP="005128DA">
      <w:pPr>
        <w:pStyle w:val="NormalWeb"/>
        <w:spacing w:before="0" w:beforeAutospacing="0" w:after="0" w:afterAutospacing="0"/>
        <w:jc w:val="right"/>
        <w:rPr>
          <w:rFonts w:ascii="Arial" w:hAnsi="Arial" w:cs="Arial"/>
        </w:rPr>
      </w:pPr>
      <w:r w:rsidRPr="00607453">
        <w:rPr>
          <w:rFonts w:ascii="Arial" w:hAnsi="Arial" w:cs="Arial"/>
        </w:rPr>
        <w:t>Marta</w:t>
      </w:r>
      <w:r>
        <w:rPr>
          <w:rFonts w:ascii="Arial" w:hAnsi="Arial" w:cs="Arial"/>
        </w:rPr>
        <w:t>-</w:t>
      </w:r>
      <w:r w:rsidRPr="00607453">
        <w:rPr>
          <w:rFonts w:ascii="Arial" w:hAnsi="Arial" w:cs="Arial"/>
        </w:rPr>
        <w:t>E. Chávez</w:t>
      </w:r>
      <w:r>
        <w:rPr>
          <w:rFonts w:ascii="Arial" w:hAnsi="Arial" w:cs="Arial"/>
        </w:rPr>
        <w:t>-</w:t>
      </w:r>
      <w:r w:rsidRPr="00607453">
        <w:rPr>
          <w:rFonts w:ascii="Arial" w:hAnsi="Arial" w:cs="Arial"/>
        </w:rPr>
        <w:t>Gutiérrez</w:t>
      </w:r>
      <w:bookmarkEnd w:id="3"/>
      <w:r w:rsidR="00A82B98" w:rsidRPr="00C35D2F">
        <w:rPr>
          <w:rStyle w:val="Refdenotaalpie"/>
          <w:rFonts w:ascii="Arial" w:eastAsia="Arial" w:hAnsi="Arial" w:cs="Arial"/>
        </w:rPr>
        <w:footnoteReference w:id="1"/>
      </w:r>
    </w:p>
    <w:p w14:paraId="54FACEFC" w14:textId="726380AF" w:rsidR="00A82B98" w:rsidRPr="00C35D2F" w:rsidRDefault="00A82B98" w:rsidP="005128DA">
      <w:pPr>
        <w:pStyle w:val="NormalWeb"/>
        <w:spacing w:before="0" w:beforeAutospacing="0" w:after="0" w:afterAutospacing="0"/>
        <w:jc w:val="right"/>
        <w:rPr>
          <w:rFonts w:ascii="Arial" w:hAnsi="Arial" w:cs="Arial"/>
        </w:rPr>
      </w:pPr>
      <w:r w:rsidRPr="00C35D2F">
        <w:rPr>
          <w:rFonts w:ascii="Arial" w:hAnsi="Arial" w:cs="Arial"/>
        </w:rPr>
        <w:t xml:space="preserve">Universidad </w:t>
      </w:r>
      <w:r w:rsidR="000540B9">
        <w:rPr>
          <w:rFonts w:ascii="Arial" w:hAnsi="Arial" w:cs="Arial"/>
        </w:rPr>
        <w:t>Estatal a Distancia</w:t>
      </w:r>
    </w:p>
    <w:p w14:paraId="34E3782F" w14:textId="2EE7DCF4" w:rsidR="00A82B98" w:rsidRPr="00C35D2F" w:rsidRDefault="000540B9" w:rsidP="005128DA">
      <w:pPr>
        <w:pStyle w:val="NormalWeb"/>
        <w:spacing w:before="0" w:beforeAutospacing="0" w:after="0" w:afterAutospacing="0"/>
        <w:jc w:val="right"/>
        <w:rPr>
          <w:rFonts w:ascii="Arial" w:hAnsi="Arial" w:cs="Arial"/>
        </w:rPr>
      </w:pPr>
      <w:r>
        <w:rPr>
          <w:rFonts w:ascii="Arial" w:hAnsi="Arial" w:cs="Arial"/>
        </w:rPr>
        <w:t>San José</w:t>
      </w:r>
      <w:r w:rsidR="00A82B98" w:rsidRPr="00C35D2F">
        <w:rPr>
          <w:rFonts w:ascii="Arial" w:hAnsi="Arial" w:cs="Arial"/>
        </w:rPr>
        <w:t>, Costa Rica</w:t>
      </w:r>
    </w:p>
    <w:p w14:paraId="203EC56C" w14:textId="77777777" w:rsidR="003F6069" w:rsidRPr="003F6069" w:rsidRDefault="00F62D1F" w:rsidP="005128DA">
      <w:pPr>
        <w:jc w:val="right"/>
        <w:rPr>
          <w:color w:val="002060"/>
          <w:lang w:val="es-US"/>
        </w:rPr>
      </w:pPr>
      <w:hyperlink r:id="rId11" w:history="1">
        <w:r w:rsidR="003F6069" w:rsidRPr="003F6069">
          <w:rPr>
            <w:rFonts w:ascii="Arial" w:hAnsi="Arial" w:cs="Arial"/>
            <w:color w:val="002060"/>
            <w:u w:val="single"/>
            <w:lang w:val="es-US"/>
          </w:rPr>
          <w:t>martaeugeniachavez@gmail.com</w:t>
        </w:r>
      </w:hyperlink>
    </w:p>
    <w:p w14:paraId="1E89B5B4" w14:textId="77777777" w:rsidR="00F713A2" w:rsidRPr="004443E3" w:rsidRDefault="00F713A2" w:rsidP="005128DA">
      <w:pPr>
        <w:pStyle w:val="NormalWeb"/>
        <w:spacing w:before="0" w:beforeAutospacing="0" w:after="0" w:afterAutospacing="0"/>
        <w:jc w:val="right"/>
        <w:rPr>
          <w:rStyle w:val="Hipervnculo"/>
          <w:rFonts w:ascii="Arial" w:hAnsi="Arial" w:cs="Arial"/>
          <w:color w:val="2E74B5" w:themeColor="accent5" w:themeShade="BF"/>
        </w:rPr>
      </w:pPr>
    </w:p>
    <w:p w14:paraId="1586665D" w14:textId="645B52F0" w:rsidR="00A82B98" w:rsidRPr="004443E3" w:rsidRDefault="00A82B98" w:rsidP="005128DA">
      <w:pPr>
        <w:pStyle w:val="NormalWeb"/>
        <w:spacing w:before="0" w:beforeAutospacing="0" w:after="0" w:afterAutospacing="0"/>
        <w:jc w:val="right"/>
        <w:rPr>
          <w:rFonts w:ascii="Arial" w:hAnsi="Arial" w:cs="Arial"/>
          <w:color w:val="2E74B5" w:themeColor="accent5" w:themeShade="BF"/>
        </w:rPr>
      </w:pPr>
      <w:r w:rsidRPr="004443E3">
        <w:rPr>
          <w:rStyle w:val="Hipervnculo"/>
          <w:rFonts w:ascii="Arial" w:hAnsi="Arial" w:cs="Arial"/>
          <w:color w:val="2E74B5" w:themeColor="accent5" w:themeShade="BF"/>
        </w:rPr>
        <w:t xml:space="preserve">    </w:t>
      </w:r>
    </w:p>
    <w:p w14:paraId="6011B59B" w14:textId="77777777" w:rsidR="00A82B98" w:rsidRPr="004443E3" w:rsidRDefault="00A82B98" w:rsidP="005128DA">
      <w:pPr>
        <w:pStyle w:val="NormalWeb"/>
        <w:spacing w:before="0" w:beforeAutospacing="0" w:after="0" w:afterAutospacing="0"/>
        <w:rPr>
          <w:rFonts w:ascii="Arial" w:hAnsi="Arial" w:cs="Arial"/>
        </w:rPr>
      </w:pPr>
      <w:r w:rsidRPr="004443E3">
        <w:rPr>
          <w:rFonts w:ascii="Arial" w:hAnsi="Arial" w:cs="Arial"/>
        </w:rPr>
        <w:t xml:space="preserve">  </w:t>
      </w:r>
      <w:bookmarkStart w:id="12" w:name="_GoBack"/>
      <w:bookmarkEnd w:id="12"/>
    </w:p>
    <w:p w14:paraId="4C1650BF" w14:textId="3EA59939" w:rsidR="00A82B98" w:rsidRPr="004443E3" w:rsidRDefault="00A82B98" w:rsidP="005128DA">
      <w:pPr>
        <w:tabs>
          <w:tab w:val="left" w:pos="5865"/>
        </w:tabs>
        <w:jc w:val="center"/>
        <w:rPr>
          <w:rFonts w:ascii="Arial" w:hAnsi="Arial" w:cs="Arial"/>
          <w:bCs/>
          <w:color w:val="002060"/>
          <w:u w:val="single"/>
          <w:lang w:val="en-US"/>
        </w:rPr>
      </w:pPr>
      <w:r w:rsidRPr="004443E3">
        <w:rPr>
          <w:rFonts w:ascii="Arial" w:hAnsi="Arial" w:cs="Arial"/>
          <w:bCs/>
          <w:color w:val="002060"/>
          <w:u w:val="single"/>
          <w:lang w:val="en-US"/>
        </w:rPr>
        <w:t>DOI: http://dx.doi.org/10.22458/caes.v1</w:t>
      </w:r>
      <w:r w:rsidR="00B344FA" w:rsidRPr="004443E3">
        <w:rPr>
          <w:rFonts w:ascii="Arial" w:hAnsi="Arial" w:cs="Arial"/>
          <w:bCs/>
          <w:color w:val="002060"/>
          <w:u w:val="single"/>
          <w:lang w:val="en-US"/>
        </w:rPr>
        <w:t>6</w:t>
      </w:r>
      <w:r w:rsidRPr="004443E3">
        <w:rPr>
          <w:rFonts w:ascii="Arial" w:hAnsi="Arial" w:cs="Arial"/>
          <w:bCs/>
          <w:color w:val="002060"/>
          <w:u w:val="single"/>
          <w:lang w:val="en-US"/>
        </w:rPr>
        <w:t>i</w:t>
      </w:r>
      <w:r w:rsidR="009B093A" w:rsidRPr="004443E3">
        <w:rPr>
          <w:rFonts w:ascii="Arial" w:hAnsi="Arial" w:cs="Arial"/>
          <w:bCs/>
          <w:color w:val="002060"/>
          <w:u w:val="single"/>
          <w:lang w:val="en-US"/>
        </w:rPr>
        <w:t>1</w:t>
      </w:r>
      <w:r w:rsidRPr="004443E3">
        <w:rPr>
          <w:rFonts w:ascii="Arial" w:hAnsi="Arial" w:cs="Arial"/>
          <w:bCs/>
          <w:color w:val="002060"/>
          <w:u w:val="single"/>
          <w:lang w:val="en-US"/>
        </w:rPr>
        <w:t>.</w:t>
      </w:r>
      <w:r w:rsidR="004443E3" w:rsidRPr="004443E3">
        <w:rPr>
          <w:rFonts w:ascii="Arial" w:hAnsi="Arial" w:cs="Arial"/>
          <w:bCs/>
          <w:color w:val="002060"/>
          <w:u w:val="single"/>
          <w:lang w:val="en-US"/>
        </w:rPr>
        <w:t>5797</w:t>
      </w:r>
    </w:p>
    <w:p w14:paraId="7BD87B18" w14:textId="77777777" w:rsidR="005914B2" w:rsidRPr="004443E3" w:rsidRDefault="005914B2" w:rsidP="005128DA">
      <w:pPr>
        <w:tabs>
          <w:tab w:val="left" w:pos="5865"/>
        </w:tabs>
        <w:jc w:val="center"/>
        <w:rPr>
          <w:rFonts w:ascii="Arial" w:hAnsi="Arial" w:cs="Arial"/>
          <w:bCs/>
          <w:lang w:val="en-US"/>
        </w:rPr>
      </w:pPr>
    </w:p>
    <w:p w14:paraId="0F249272" w14:textId="6C214471" w:rsidR="00A82B98" w:rsidRPr="00C35D2F" w:rsidRDefault="00A82B98" w:rsidP="005128DA">
      <w:pPr>
        <w:tabs>
          <w:tab w:val="left" w:pos="5865"/>
        </w:tabs>
        <w:jc w:val="center"/>
        <w:rPr>
          <w:rFonts w:ascii="Arial" w:hAnsi="Arial" w:cs="Arial"/>
          <w:bCs/>
        </w:rPr>
      </w:pPr>
      <w:r w:rsidRPr="00C35D2F">
        <w:rPr>
          <w:rFonts w:ascii="Arial" w:hAnsi="Arial" w:cs="Arial"/>
          <w:bCs/>
        </w:rPr>
        <w:t>Volumen 1</w:t>
      </w:r>
      <w:r w:rsidR="00854DF1">
        <w:rPr>
          <w:rFonts w:ascii="Arial" w:hAnsi="Arial" w:cs="Arial"/>
          <w:bCs/>
        </w:rPr>
        <w:t>6</w:t>
      </w:r>
      <w:r w:rsidRPr="00C35D2F">
        <w:rPr>
          <w:rFonts w:ascii="Arial" w:hAnsi="Arial" w:cs="Arial"/>
          <w:bCs/>
        </w:rPr>
        <w:t xml:space="preserve">, Número </w:t>
      </w:r>
      <w:r w:rsidR="00854DF1">
        <w:rPr>
          <w:rFonts w:ascii="Arial" w:hAnsi="Arial" w:cs="Arial"/>
          <w:bCs/>
        </w:rPr>
        <w:t>1</w:t>
      </w:r>
    </w:p>
    <w:p w14:paraId="0912D7D7" w14:textId="255ED468" w:rsidR="00A82B98" w:rsidRPr="00C35D2F" w:rsidRDefault="00A82B98" w:rsidP="0020679D">
      <w:pPr>
        <w:tabs>
          <w:tab w:val="left" w:pos="5865"/>
        </w:tabs>
        <w:spacing w:line="276" w:lineRule="auto"/>
        <w:jc w:val="center"/>
        <w:rPr>
          <w:rFonts w:ascii="Arial" w:hAnsi="Arial" w:cs="Arial"/>
          <w:bCs/>
        </w:rPr>
      </w:pPr>
      <w:r w:rsidRPr="00C35D2F">
        <w:rPr>
          <w:rFonts w:ascii="Arial" w:hAnsi="Arial" w:cs="Arial"/>
          <w:bCs/>
        </w:rPr>
        <w:t>30 de</w:t>
      </w:r>
      <w:r w:rsidR="006754BB" w:rsidRPr="00C35D2F">
        <w:rPr>
          <w:rFonts w:ascii="Arial" w:hAnsi="Arial" w:cs="Arial"/>
          <w:bCs/>
        </w:rPr>
        <w:t xml:space="preserve"> </w:t>
      </w:r>
      <w:r w:rsidR="003B757F">
        <w:rPr>
          <w:rFonts w:ascii="Arial" w:hAnsi="Arial" w:cs="Arial"/>
          <w:bCs/>
        </w:rPr>
        <w:t>mayo</w:t>
      </w:r>
      <w:r w:rsidRPr="00C35D2F">
        <w:rPr>
          <w:rFonts w:ascii="Arial" w:hAnsi="Arial" w:cs="Arial"/>
          <w:bCs/>
        </w:rPr>
        <w:t xml:space="preserve"> de 202</w:t>
      </w:r>
      <w:r w:rsidR="003B757F">
        <w:rPr>
          <w:rFonts w:ascii="Arial" w:hAnsi="Arial" w:cs="Arial"/>
          <w:bCs/>
        </w:rPr>
        <w:t>5</w:t>
      </w:r>
    </w:p>
    <w:p w14:paraId="32EEFDF7" w14:textId="654E2177" w:rsidR="00A82B98" w:rsidRDefault="00A82B98" w:rsidP="0020679D">
      <w:pPr>
        <w:tabs>
          <w:tab w:val="left" w:pos="5865"/>
        </w:tabs>
        <w:spacing w:line="276" w:lineRule="auto"/>
        <w:jc w:val="center"/>
        <w:rPr>
          <w:rFonts w:ascii="Arial" w:hAnsi="Arial" w:cs="Arial"/>
          <w:bCs/>
        </w:rPr>
      </w:pPr>
      <w:r w:rsidRPr="004F7973">
        <w:rPr>
          <w:rFonts w:ascii="Arial" w:hAnsi="Arial" w:cs="Arial"/>
          <w:bCs/>
        </w:rPr>
        <w:t xml:space="preserve">pp. </w:t>
      </w:r>
      <w:r w:rsidR="004F7973">
        <w:rPr>
          <w:rFonts w:ascii="Arial" w:hAnsi="Arial" w:cs="Arial"/>
          <w:bCs/>
        </w:rPr>
        <w:t>01</w:t>
      </w:r>
      <w:r w:rsidRPr="004F7973">
        <w:rPr>
          <w:rFonts w:ascii="Arial" w:hAnsi="Arial" w:cs="Arial"/>
          <w:bCs/>
        </w:rPr>
        <w:t>-</w:t>
      </w:r>
      <w:r w:rsidR="001F384E">
        <w:rPr>
          <w:rFonts w:ascii="Arial" w:hAnsi="Arial" w:cs="Arial"/>
          <w:bCs/>
        </w:rPr>
        <w:t>32</w:t>
      </w:r>
    </w:p>
    <w:p w14:paraId="45A6C18A" w14:textId="240C7F2D" w:rsidR="00643B39" w:rsidRDefault="00643B39" w:rsidP="0020679D">
      <w:pPr>
        <w:tabs>
          <w:tab w:val="left" w:pos="5865"/>
        </w:tabs>
        <w:spacing w:line="276" w:lineRule="auto"/>
        <w:jc w:val="center"/>
        <w:rPr>
          <w:rFonts w:ascii="Arial" w:hAnsi="Arial" w:cs="Arial"/>
          <w:bCs/>
        </w:rPr>
      </w:pPr>
    </w:p>
    <w:p w14:paraId="0E77B173" w14:textId="77777777" w:rsidR="00F713A2" w:rsidRPr="00C35D2F" w:rsidRDefault="00F713A2" w:rsidP="0020679D">
      <w:pPr>
        <w:tabs>
          <w:tab w:val="left" w:pos="5865"/>
        </w:tabs>
        <w:spacing w:line="276" w:lineRule="auto"/>
        <w:jc w:val="center"/>
        <w:rPr>
          <w:rFonts w:ascii="Arial" w:hAnsi="Arial" w:cs="Arial"/>
          <w:bCs/>
        </w:rPr>
      </w:pPr>
    </w:p>
    <w:p w14:paraId="1591C2AD" w14:textId="63129953" w:rsidR="00A82B98" w:rsidRPr="009E6987" w:rsidRDefault="00A82B98" w:rsidP="0020679D">
      <w:pPr>
        <w:tabs>
          <w:tab w:val="left" w:pos="5865"/>
        </w:tabs>
        <w:spacing w:line="276" w:lineRule="auto"/>
        <w:rPr>
          <w:rFonts w:ascii="Arial" w:hAnsi="Arial" w:cs="Arial"/>
          <w:bCs/>
        </w:rPr>
      </w:pPr>
      <w:bookmarkStart w:id="13" w:name="_Hlk182838172"/>
      <w:r w:rsidRPr="009E6987">
        <w:rPr>
          <w:rFonts w:ascii="Arial" w:hAnsi="Arial" w:cs="Arial"/>
          <w:bCs/>
        </w:rPr>
        <w:t xml:space="preserve">Recibido: </w:t>
      </w:r>
      <w:r w:rsidR="0074781F" w:rsidRPr="009E6987">
        <w:rPr>
          <w:rFonts w:ascii="Arial" w:hAnsi="Arial" w:cs="Arial"/>
          <w:bCs/>
        </w:rPr>
        <w:t>3</w:t>
      </w:r>
      <w:r w:rsidR="00F44D5D" w:rsidRPr="009E6987">
        <w:rPr>
          <w:rFonts w:ascii="Arial" w:hAnsi="Arial" w:cs="Arial"/>
          <w:bCs/>
        </w:rPr>
        <w:t>0</w:t>
      </w:r>
      <w:r w:rsidRPr="009E6987">
        <w:rPr>
          <w:rFonts w:ascii="Arial" w:hAnsi="Arial" w:cs="Arial"/>
          <w:bCs/>
        </w:rPr>
        <w:t xml:space="preserve"> de </w:t>
      </w:r>
      <w:r w:rsidR="0074781F" w:rsidRPr="009E6987">
        <w:rPr>
          <w:rFonts w:ascii="Arial" w:hAnsi="Arial" w:cs="Arial"/>
          <w:bCs/>
        </w:rPr>
        <w:t>enero</w:t>
      </w:r>
      <w:r w:rsidRPr="009E6987">
        <w:rPr>
          <w:rFonts w:ascii="Arial" w:hAnsi="Arial" w:cs="Arial"/>
          <w:bCs/>
        </w:rPr>
        <w:t xml:space="preserve"> de 202</w:t>
      </w:r>
      <w:r w:rsidR="0074781F" w:rsidRPr="009E6987">
        <w:rPr>
          <w:rFonts w:ascii="Arial" w:hAnsi="Arial" w:cs="Arial"/>
          <w:bCs/>
        </w:rPr>
        <w:t>5</w:t>
      </w:r>
    </w:p>
    <w:p w14:paraId="7C4DA9E2" w14:textId="77777777" w:rsidR="00F13858" w:rsidRDefault="00F13858" w:rsidP="0020679D">
      <w:pPr>
        <w:tabs>
          <w:tab w:val="left" w:pos="5865"/>
        </w:tabs>
        <w:spacing w:line="276" w:lineRule="auto"/>
        <w:rPr>
          <w:rFonts w:ascii="Arial" w:hAnsi="Arial" w:cs="Arial"/>
          <w:bCs/>
        </w:rPr>
      </w:pPr>
    </w:p>
    <w:p w14:paraId="13E62770" w14:textId="3DDA5723" w:rsidR="00A82B98" w:rsidRPr="00C35D2F" w:rsidRDefault="00A82B98" w:rsidP="0020679D">
      <w:pPr>
        <w:tabs>
          <w:tab w:val="left" w:pos="5865"/>
        </w:tabs>
        <w:spacing w:line="276" w:lineRule="auto"/>
        <w:rPr>
          <w:rFonts w:ascii="Arial" w:hAnsi="Arial" w:cs="Arial"/>
          <w:bCs/>
        </w:rPr>
      </w:pPr>
      <w:r w:rsidRPr="009E6987">
        <w:rPr>
          <w:rFonts w:ascii="Arial" w:hAnsi="Arial" w:cs="Arial"/>
          <w:bCs/>
        </w:rPr>
        <w:t xml:space="preserve">Aprobado: </w:t>
      </w:r>
      <w:r w:rsidR="00F44D5D" w:rsidRPr="009E6987">
        <w:rPr>
          <w:rFonts w:ascii="Arial" w:hAnsi="Arial" w:cs="Arial"/>
          <w:bCs/>
        </w:rPr>
        <w:t>27</w:t>
      </w:r>
      <w:r w:rsidRPr="009E6987">
        <w:rPr>
          <w:rFonts w:ascii="Arial" w:hAnsi="Arial" w:cs="Arial"/>
          <w:bCs/>
        </w:rPr>
        <w:t xml:space="preserve"> de </w:t>
      </w:r>
      <w:r w:rsidR="0055122E" w:rsidRPr="009E6987">
        <w:rPr>
          <w:rFonts w:ascii="Arial" w:hAnsi="Arial" w:cs="Arial"/>
          <w:bCs/>
        </w:rPr>
        <w:t>marzo</w:t>
      </w:r>
      <w:r w:rsidRPr="009E6987">
        <w:rPr>
          <w:rFonts w:ascii="Arial" w:hAnsi="Arial" w:cs="Arial"/>
          <w:bCs/>
        </w:rPr>
        <w:t xml:space="preserve"> de 202</w:t>
      </w:r>
      <w:r w:rsidR="001C605C" w:rsidRPr="009E6987">
        <w:rPr>
          <w:rFonts w:ascii="Arial" w:hAnsi="Arial" w:cs="Arial"/>
          <w:bCs/>
        </w:rPr>
        <w:t>5</w:t>
      </w:r>
    </w:p>
    <w:bookmarkEnd w:id="13"/>
    <w:p w14:paraId="61E45E5F" w14:textId="11053FE0" w:rsidR="0020679D" w:rsidRDefault="0020679D" w:rsidP="00A82B98">
      <w:pPr>
        <w:tabs>
          <w:tab w:val="left" w:pos="5865"/>
        </w:tabs>
        <w:rPr>
          <w:rFonts w:ascii="Arial" w:hAnsi="Arial" w:cs="Arial"/>
          <w:bCs/>
        </w:rPr>
      </w:pPr>
    </w:p>
    <w:p w14:paraId="042FE7DB" w14:textId="1D2F3D62" w:rsidR="00D069FB" w:rsidRPr="00D069FB" w:rsidRDefault="00D069FB" w:rsidP="00EC02C0">
      <w:pPr>
        <w:spacing w:line="360" w:lineRule="auto"/>
        <w:jc w:val="both"/>
        <w:outlineLvl w:val="0"/>
        <w:rPr>
          <w:lang w:val="es-US"/>
        </w:rPr>
      </w:pPr>
      <w:r w:rsidRPr="00D069FB">
        <w:rPr>
          <w:rFonts w:ascii="Arial" w:hAnsi="Arial" w:cs="Arial"/>
          <w:b/>
          <w:bCs/>
          <w:color w:val="000000"/>
          <w:kern w:val="36"/>
          <w:lang w:val="es-US"/>
        </w:rPr>
        <w:lastRenderedPageBreak/>
        <w:t>R</w:t>
      </w:r>
      <w:r w:rsidR="00352AF0">
        <w:rPr>
          <w:rFonts w:ascii="Arial" w:hAnsi="Arial" w:cs="Arial"/>
          <w:b/>
          <w:bCs/>
          <w:color w:val="000000"/>
          <w:kern w:val="36"/>
          <w:lang w:val="es-US"/>
        </w:rPr>
        <w:t>ESUMEN</w:t>
      </w:r>
      <w:r w:rsidR="00373766">
        <w:rPr>
          <w:rFonts w:ascii="Arial" w:hAnsi="Arial" w:cs="Arial"/>
          <w:b/>
          <w:bCs/>
          <w:color w:val="000000"/>
          <w:kern w:val="36"/>
          <w:lang w:val="es-US"/>
        </w:rPr>
        <w:t xml:space="preserve">: </w:t>
      </w:r>
      <w:r w:rsidRPr="00D069FB">
        <w:rPr>
          <w:rFonts w:ascii="Arial" w:hAnsi="Arial" w:cs="Arial"/>
          <w:color w:val="000000"/>
          <w:lang w:val="es-US"/>
        </w:rPr>
        <w:t>El presente artículo expone los resultados de un estudio fenomenológico realizado con un grupo de 16 estudiantes con Trastorno de Espectro Autista (TEA 1), quienes, además, presentaban Trastorno por Déficit de Atención (TDAH) como trastorno comórbido y que, -para tratar su déficit de atención-, al momento de la investigación, se encontraban recibiendo un tratamiento farmacológico que funcionaba de manera selectiva. El estudio tuvo como finalidad demostrar que pueden existir causas distintas al TDAH clásico, para la atención dispersa de una persona estudiante con TEA 1, debido a lo cual, la medicación no siempre va a producir el resultado esperado. Los resultados revelaron una fuerte tendencia de estos estudiantes, al rechazo de actividades relacionadas con la escritura, que disminuyeron de manera estrepitosa, los niveles de concentración en los momentos en los que debían escribir.</w:t>
      </w:r>
    </w:p>
    <w:p w14:paraId="6831FA4F" w14:textId="77777777" w:rsidR="00373766" w:rsidRDefault="00373766" w:rsidP="00EC02C0">
      <w:pPr>
        <w:spacing w:line="360" w:lineRule="auto"/>
        <w:jc w:val="both"/>
        <w:rPr>
          <w:rFonts w:ascii="Arial" w:hAnsi="Arial" w:cs="Arial"/>
          <w:b/>
          <w:bCs/>
          <w:color w:val="000000"/>
          <w:lang w:val="es-US"/>
        </w:rPr>
      </w:pPr>
    </w:p>
    <w:p w14:paraId="3CDE7FFF" w14:textId="1739CFCA" w:rsidR="00D069FB" w:rsidRPr="00D069FB" w:rsidRDefault="00D069FB" w:rsidP="00EC02C0">
      <w:pPr>
        <w:spacing w:line="360" w:lineRule="auto"/>
        <w:jc w:val="both"/>
        <w:rPr>
          <w:lang w:val="es-US"/>
        </w:rPr>
      </w:pPr>
      <w:r w:rsidRPr="00D069FB">
        <w:rPr>
          <w:rFonts w:ascii="Arial" w:hAnsi="Arial" w:cs="Arial"/>
          <w:b/>
          <w:bCs/>
          <w:color w:val="000000"/>
          <w:lang w:val="es-US"/>
        </w:rPr>
        <w:t xml:space="preserve">Palabras clave: </w:t>
      </w:r>
      <w:r w:rsidRPr="00D069FB">
        <w:rPr>
          <w:rFonts w:ascii="Arial" w:hAnsi="Arial" w:cs="Arial"/>
          <w:color w:val="000000"/>
          <w:lang w:val="es-US"/>
        </w:rPr>
        <w:t>atención, motivación, escritura, prensión, dispersión de la atención, cansancio, rechazo</w:t>
      </w:r>
      <w:r w:rsidR="004277D9">
        <w:rPr>
          <w:rFonts w:ascii="Arial" w:hAnsi="Arial" w:cs="Arial"/>
          <w:color w:val="000000"/>
          <w:lang w:val="es-US"/>
        </w:rPr>
        <w:t>.</w:t>
      </w:r>
    </w:p>
    <w:p w14:paraId="594AAB52" w14:textId="77777777" w:rsidR="00373766" w:rsidRPr="004277D9" w:rsidRDefault="00373766" w:rsidP="00EC02C0">
      <w:pPr>
        <w:spacing w:line="360" w:lineRule="auto"/>
        <w:outlineLvl w:val="0"/>
        <w:rPr>
          <w:rFonts w:ascii="Arial" w:hAnsi="Arial" w:cs="Arial"/>
          <w:b/>
          <w:bCs/>
          <w:color w:val="000000"/>
          <w:kern w:val="36"/>
        </w:rPr>
      </w:pPr>
    </w:p>
    <w:p w14:paraId="5D7E43A6" w14:textId="5321AE88" w:rsidR="00D069FB" w:rsidRPr="00D069FB" w:rsidRDefault="00D069FB" w:rsidP="00EC02C0">
      <w:pPr>
        <w:spacing w:line="360" w:lineRule="auto"/>
        <w:jc w:val="both"/>
        <w:outlineLvl w:val="0"/>
        <w:rPr>
          <w:lang w:val="en-US"/>
        </w:rPr>
      </w:pPr>
      <w:r w:rsidRPr="00D069FB">
        <w:rPr>
          <w:rFonts w:ascii="Arial" w:hAnsi="Arial" w:cs="Arial"/>
          <w:b/>
          <w:bCs/>
          <w:color w:val="000000"/>
          <w:kern w:val="36"/>
          <w:lang w:val="en-US"/>
        </w:rPr>
        <w:t>A</w:t>
      </w:r>
      <w:r w:rsidR="00352AF0">
        <w:rPr>
          <w:rFonts w:ascii="Arial" w:hAnsi="Arial" w:cs="Arial"/>
          <w:b/>
          <w:bCs/>
          <w:color w:val="000000"/>
          <w:kern w:val="36"/>
          <w:lang w:val="en-US"/>
        </w:rPr>
        <w:t>BSTRACT</w:t>
      </w:r>
      <w:r w:rsidR="00373766">
        <w:rPr>
          <w:rFonts w:ascii="Arial" w:hAnsi="Arial" w:cs="Arial"/>
          <w:b/>
          <w:bCs/>
          <w:color w:val="000000"/>
          <w:kern w:val="36"/>
          <w:lang w:val="en-US"/>
        </w:rPr>
        <w:t xml:space="preserve">: </w:t>
      </w:r>
      <w:r w:rsidRPr="00D069FB">
        <w:rPr>
          <w:rFonts w:ascii="Arial" w:hAnsi="Arial" w:cs="Arial"/>
          <w:color w:val="000000"/>
          <w:lang w:val="en-US"/>
        </w:rPr>
        <w:t xml:space="preserve">This article presents the results of a phenomenological study carried out with a group of 16 students with ASD 1, - who also had ADHD as a comorbid disorder and who, - to treat their attention deficit -, at the time of the research, they were receiving a pharmacological treatment that worked selectively. The purpose of the study was to demonstrate that there may be causes other than classic ADHD for the dispersed attention of a student with ASD1, due to which medication will not </w:t>
      </w:r>
      <w:r w:rsidRPr="00D069FB">
        <w:rPr>
          <w:rFonts w:ascii="Arial" w:hAnsi="Arial" w:cs="Arial"/>
          <w:color w:val="000000"/>
          <w:lang w:val="en-US"/>
        </w:rPr>
        <w:lastRenderedPageBreak/>
        <w:t>always produce the expected result. The results revealed a strong tendency of these students to reject activities related to writing, dramatically decreasing their concentration levels in the moments in which they had to write.</w:t>
      </w:r>
    </w:p>
    <w:p w14:paraId="61B4D8F7" w14:textId="77777777" w:rsidR="00373766" w:rsidRDefault="00373766" w:rsidP="00EC02C0">
      <w:pPr>
        <w:spacing w:line="360" w:lineRule="auto"/>
        <w:jc w:val="both"/>
        <w:rPr>
          <w:rFonts w:ascii="Arial" w:hAnsi="Arial" w:cs="Arial"/>
          <w:b/>
          <w:bCs/>
          <w:color w:val="000000"/>
          <w:lang w:val="en-US"/>
        </w:rPr>
      </w:pPr>
    </w:p>
    <w:p w14:paraId="4FF62EF7" w14:textId="73676C5B" w:rsidR="00D069FB" w:rsidRPr="00D069FB" w:rsidRDefault="00D069FB" w:rsidP="00EC02C0">
      <w:pPr>
        <w:spacing w:line="360" w:lineRule="auto"/>
        <w:jc w:val="both"/>
        <w:rPr>
          <w:lang w:val="en-US"/>
        </w:rPr>
      </w:pPr>
      <w:r w:rsidRPr="00D069FB">
        <w:rPr>
          <w:rFonts w:ascii="Arial" w:hAnsi="Arial" w:cs="Arial"/>
          <w:b/>
          <w:bCs/>
          <w:color w:val="000000"/>
          <w:lang w:val="en-US"/>
        </w:rPr>
        <w:t xml:space="preserve">Keywords: </w:t>
      </w:r>
      <w:r w:rsidRPr="00D069FB">
        <w:rPr>
          <w:rFonts w:ascii="Arial" w:hAnsi="Arial" w:cs="Arial"/>
          <w:color w:val="000000"/>
          <w:lang w:val="en-US"/>
        </w:rPr>
        <w:t>attention, motivation, writing, grip of a pencil, attention, dispersion, tiredness, fatigue, rejection.</w:t>
      </w:r>
    </w:p>
    <w:p w14:paraId="327496A5" w14:textId="77777777" w:rsidR="00D069FB" w:rsidRPr="00D069FB" w:rsidRDefault="00D069FB" w:rsidP="00D069FB">
      <w:pPr>
        <w:rPr>
          <w:lang w:val="en-US"/>
        </w:rPr>
      </w:pPr>
    </w:p>
    <w:p w14:paraId="3DC3F469" w14:textId="4A11C9C2" w:rsidR="00D069FB" w:rsidRPr="00D069FB" w:rsidRDefault="00D069FB" w:rsidP="00D35BDC">
      <w:pPr>
        <w:outlineLvl w:val="0"/>
        <w:rPr>
          <w:b/>
          <w:bCs/>
          <w:kern w:val="36"/>
          <w:sz w:val="48"/>
          <w:szCs w:val="48"/>
          <w:lang w:val="es-US"/>
        </w:rPr>
      </w:pPr>
      <w:r w:rsidRPr="00D069FB">
        <w:rPr>
          <w:rFonts w:ascii="Arial" w:hAnsi="Arial" w:cs="Arial"/>
          <w:b/>
          <w:bCs/>
          <w:color w:val="000000"/>
          <w:kern w:val="36"/>
          <w:lang w:val="es-US"/>
        </w:rPr>
        <w:t>I</w:t>
      </w:r>
      <w:r w:rsidR="00A70A28">
        <w:rPr>
          <w:rFonts w:ascii="Arial" w:hAnsi="Arial" w:cs="Arial"/>
          <w:b/>
          <w:bCs/>
          <w:color w:val="000000"/>
          <w:kern w:val="36"/>
          <w:lang w:val="es-US"/>
        </w:rPr>
        <w:t>NTRODUCCIÓN</w:t>
      </w:r>
    </w:p>
    <w:p w14:paraId="21842A07" w14:textId="77777777" w:rsidR="00D069FB" w:rsidRPr="00D069FB" w:rsidRDefault="00D069FB" w:rsidP="00D069FB">
      <w:pPr>
        <w:rPr>
          <w:lang w:val="es-US"/>
        </w:rPr>
      </w:pPr>
    </w:p>
    <w:p w14:paraId="664D05C3" w14:textId="77777777" w:rsidR="00D069FB" w:rsidRPr="00D069FB" w:rsidRDefault="00D069FB" w:rsidP="00A677D1">
      <w:pPr>
        <w:spacing w:line="360" w:lineRule="auto"/>
        <w:jc w:val="both"/>
        <w:rPr>
          <w:rFonts w:ascii="Arial" w:hAnsi="Arial" w:cs="Arial"/>
          <w:lang w:val="es-US"/>
        </w:rPr>
      </w:pPr>
      <w:r w:rsidRPr="00D069FB">
        <w:rPr>
          <w:rFonts w:ascii="Arial" w:hAnsi="Arial" w:cs="Arial"/>
          <w:color w:val="000000"/>
          <w:lang w:val="es-US"/>
        </w:rPr>
        <w:t xml:space="preserve">Frente a los problemas de atención, existen diversas posturas, algunas de las cuales, se contraponen fuertemente; </w:t>
      </w:r>
      <w:proofErr w:type="spellStart"/>
      <w:r w:rsidRPr="00D069FB">
        <w:rPr>
          <w:rFonts w:ascii="Arial" w:hAnsi="Arial" w:cs="Arial"/>
          <w:color w:val="000000"/>
          <w:lang w:val="es-US"/>
        </w:rPr>
        <w:t>esta</w:t>
      </w:r>
      <w:proofErr w:type="spellEnd"/>
      <w:r w:rsidRPr="00D069FB">
        <w:rPr>
          <w:rFonts w:ascii="Arial" w:hAnsi="Arial" w:cs="Arial"/>
          <w:color w:val="000000"/>
          <w:lang w:val="es-US"/>
        </w:rPr>
        <w:t xml:space="preserve"> marcada oposición, genera una suerte de «disonancia cognitiva» en quienes desean encontrar la más adecuada estrategia de abordaje que permita ayudar a un estudiante con alguna dificultad para concentrarse.  (</w:t>
      </w:r>
      <w:proofErr w:type="spellStart"/>
      <w:r w:rsidRPr="00D069FB">
        <w:rPr>
          <w:rFonts w:ascii="Arial" w:hAnsi="Arial" w:cs="Arial"/>
          <w:color w:val="000000"/>
          <w:lang w:val="es-US"/>
        </w:rPr>
        <w:t>Tamimi</w:t>
      </w:r>
      <w:proofErr w:type="spellEnd"/>
      <w:r w:rsidRPr="00D069FB">
        <w:rPr>
          <w:rFonts w:ascii="Arial" w:hAnsi="Arial" w:cs="Arial"/>
          <w:color w:val="000000"/>
          <w:lang w:val="es-US"/>
        </w:rPr>
        <w:t>, 2021), afirma, que el TDAH, es un ejemplo de cómo la psiquiatría académica se infectó de un cientificismo que impide que estudiantes, padres, profesores y médicos, consideren toda la variedad de factores que pueden ser relevantes en estos casos, y niega que el diagnóstico de TDAH exista.</w:t>
      </w:r>
    </w:p>
    <w:p w14:paraId="6F11CC56" w14:textId="77777777" w:rsidR="00A677D1" w:rsidRDefault="00A677D1" w:rsidP="00A677D1">
      <w:pPr>
        <w:spacing w:line="360" w:lineRule="auto"/>
        <w:jc w:val="both"/>
        <w:rPr>
          <w:rFonts w:ascii="Arial" w:hAnsi="Arial" w:cs="Arial"/>
          <w:color w:val="000000"/>
          <w:lang w:val="es-US"/>
        </w:rPr>
      </w:pPr>
    </w:p>
    <w:p w14:paraId="33E30506" w14:textId="5D3C583C" w:rsidR="00D069FB" w:rsidRPr="00D069FB" w:rsidRDefault="00D069FB" w:rsidP="00A677D1">
      <w:pPr>
        <w:spacing w:line="360" w:lineRule="auto"/>
        <w:jc w:val="both"/>
        <w:rPr>
          <w:rFonts w:ascii="Arial" w:hAnsi="Arial" w:cs="Arial"/>
          <w:lang w:val="es-US"/>
        </w:rPr>
      </w:pPr>
      <w:r w:rsidRPr="00D069FB">
        <w:rPr>
          <w:rFonts w:ascii="Arial" w:hAnsi="Arial" w:cs="Arial"/>
          <w:color w:val="000000"/>
          <w:lang w:val="es-US"/>
        </w:rPr>
        <w:t xml:space="preserve">Mucho se ha dicho sobre la supuestamente, “incuestionable” necesidad de administrar fármacos a estudiantes que exhiben “atención dispersa”. En el otro extremo, se ubican  quienes invalidan -desde la pasión y muchas veces  con expresiones carentes de rigor científico-, hasta las más serias investigaciones, afirmando, sin argumentos, que el TDAH es una condición </w:t>
      </w:r>
      <w:r w:rsidRPr="00D069FB">
        <w:rPr>
          <w:rFonts w:ascii="Arial" w:hAnsi="Arial" w:cs="Arial"/>
          <w:i/>
          <w:iCs/>
          <w:color w:val="000000"/>
          <w:lang w:val="es-US"/>
        </w:rPr>
        <w:t>ilusoria,</w:t>
      </w:r>
      <w:r w:rsidRPr="00D069FB">
        <w:rPr>
          <w:rFonts w:ascii="Arial" w:hAnsi="Arial" w:cs="Arial"/>
          <w:color w:val="000000"/>
          <w:lang w:val="es-US"/>
        </w:rPr>
        <w:t xml:space="preserve"> cuya existencia, </w:t>
      </w:r>
      <w:r w:rsidRPr="00D069FB">
        <w:rPr>
          <w:rFonts w:ascii="Arial" w:hAnsi="Arial" w:cs="Arial"/>
          <w:color w:val="000000"/>
          <w:lang w:val="es-US"/>
        </w:rPr>
        <w:lastRenderedPageBreak/>
        <w:t>es defendida en primer lugar, por aquellos que pretenden incrementar sus ganancias mediante la  administración o recomendación de tratamientos, y en segundo lugar, por quienes en su posición de docentes, quieren evadir esfuerzos al implementar la estrategia -poco ética-, de convencer a los cuidadores de que, toda persona estudiante con dificultades para concentrarse, requiere necesariamente, de apoyo farmacológico.</w:t>
      </w:r>
    </w:p>
    <w:p w14:paraId="569EB7D0" w14:textId="77777777" w:rsidR="00A677D1" w:rsidRDefault="00A677D1" w:rsidP="00A677D1">
      <w:pPr>
        <w:spacing w:line="360" w:lineRule="auto"/>
        <w:jc w:val="both"/>
        <w:rPr>
          <w:rFonts w:ascii="Arial" w:hAnsi="Arial" w:cs="Arial"/>
          <w:color w:val="000000"/>
          <w:lang w:val="es-US"/>
        </w:rPr>
      </w:pPr>
    </w:p>
    <w:p w14:paraId="27448256" w14:textId="18D8F794" w:rsidR="00D069FB" w:rsidRPr="00D069FB" w:rsidRDefault="00D069FB" w:rsidP="00A677D1">
      <w:pPr>
        <w:spacing w:line="360" w:lineRule="auto"/>
        <w:jc w:val="both"/>
        <w:rPr>
          <w:rFonts w:ascii="Arial" w:hAnsi="Arial" w:cs="Arial"/>
          <w:lang w:val="es-US"/>
        </w:rPr>
      </w:pPr>
      <w:r w:rsidRPr="00D069FB">
        <w:rPr>
          <w:rFonts w:ascii="Arial" w:hAnsi="Arial" w:cs="Arial"/>
          <w:color w:val="000000"/>
          <w:lang w:val="es-US"/>
        </w:rPr>
        <w:t>Lo cierto es que, si se desea dar con soluciones pertinentes y eficaces, el foco y las miradas, deberían colocarse -en primer lugar-, sobre las variadas causas de un TDAH, lo cual, permitiría redirigir los recursos con muchas más posibilidades de éxito, y esto, claramente redundaría en una mejora académica de las personas estudiantes que, por diversas razones, no consiguen sostener su “atención focalizada” en una tarea.</w:t>
      </w:r>
    </w:p>
    <w:p w14:paraId="3F313751" w14:textId="77777777" w:rsidR="00A677D1" w:rsidRDefault="00A677D1" w:rsidP="00A677D1">
      <w:pPr>
        <w:spacing w:line="360" w:lineRule="auto"/>
        <w:jc w:val="both"/>
        <w:rPr>
          <w:rFonts w:ascii="Arial" w:hAnsi="Arial" w:cs="Arial"/>
          <w:color w:val="000000"/>
          <w:lang w:val="es-US"/>
        </w:rPr>
      </w:pPr>
    </w:p>
    <w:p w14:paraId="0A48D7D7" w14:textId="21FE989B" w:rsidR="00D069FB" w:rsidRPr="00D069FB" w:rsidRDefault="00D069FB" w:rsidP="00A677D1">
      <w:pPr>
        <w:spacing w:line="360" w:lineRule="auto"/>
        <w:jc w:val="both"/>
        <w:rPr>
          <w:rFonts w:ascii="Arial" w:hAnsi="Arial" w:cs="Arial"/>
          <w:lang w:val="es-US"/>
        </w:rPr>
      </w:pPr>
      <w:r w:rsidRPr="00D069FB">
        <w:rPr>
          <w:rFonts w:ascii="Arial" w:hAnsi="Arial" w:cs="Arial"/>
          <w:color w:val="000000"/>
          <w:lang w:val="es-US"/>
        </w:rPr>
        <w:t>Mediante este estudio, se pretendió ofrecer un ejemplo - de los muchos que sin duda existen y que deberían ser objeto de investigación -, de un rasgo o característica que, aunque suele parecer inocuo ante la mirada de numerosos docentes e incluso de muchos especialistas en el TDAH, puede desencadenar serios problemas de atención en las personas estudiantes. </w:t>
      </w:r>
    </w:p>
    <w:p w14:paraId="26A4671B" w14:textId="77777777" w:rsidR="00A677D1" w:rsidRDefault="00A677D1" w:rsidP="00A677D1">
      <w:pPr>
        <w:spacing w:line="360" w:lineRule="auto"/>
        <w:jc w:val="both"/>
        <w:rPr>
          <w:rFonts w:ascii="Arial" w:hAnsi="Arial" w:cs="Arial"/>
          <w:color w:val="000000"/>
          <w:lang w:val="es-US"/>
        </w:rPr>
      </w:pPr>
    </w:p>
    <w:p w14:paraId="278D083B" w14:textId="5AB2B431" w:rsidR="00D069FB" w:rsidRPr="00D069FB" w:rsidRDefault="00D069FB" w:rsidP="00A677D1">
      <w:pPr>
        <w:spacing w:line="360" w:lineRule="auto"/>
        <w:jc w:val="both"/>
        <w:rPr>
          <w:rFonts w:ascii="Arial" w:hAnsi="Arial" w:cs="Arial"/>
          <w:lang w:val="es-US"/>
        </w:rPr>
      </w:pPr>
      <w:r w:rsidRPr="00D069FB">
        <w:rPr>
          <w:rFonts w:ascii="Arial" w:hAnsi="Arial" w:cs="Arial"/>
          <w:color w:val="000000"/>
          <w:lang w:val="es-US"/>
        </w:rPr>
        <w:t xml:space="preserve">Debe considerarse la posibilidad de que las dificultades de concentración que estas personas exhiben podrían ser secundarias a las debilidades que manifiestan en </w:t>
      </w:r>
      <w:r w:rsidRPr="00D069FB">
        <w:rPr>
          <w:rFonts w:ascii="Arial" w:hAnsi="Arial" w:cs="Arial"/>
          <w:color w:val="000000"/>
          <w:lang w:val="es-US"/>
        </w:rPr>
        <w:lastRenderedPageBreak/>
        <w:t>otras destrezas, y que terminan por obstaculizar el tan anhelado éxito académico, sin que la medicación sea un recurso eficaz, debido a que la causa de su inatención es una muy diferente al TDAH de tipo clásico; (</w:t>
      </w:r>
      <w:proofErr w:type="spellStart"/>
      <w:r w:rsidRPr="00D069FB">
        <w:rPr>
          <w:rFonts w:ascii="Arial" w:hAnsi="Arial" w:cs="Arial"/>
          <w:color w:val="000000"/>
          <w:lang w:val="es-US"/>
        </w:rPr>
        <w:t>Klin</w:t>
      </w:r>
      <w:proofErr w:type="spellEnd"/>
      <w:r w:rsidRPr="00D069FB">
        <w:rPr>
          <w:rFonts w:ascii="Arial" w:hAnsi="Arial" w:cs="Arial"/>
          <w:color w:val="000000"/>
          <w:lang w:val="es-US"/>
        </w:rPr>
        <w:t>, 2014), demuestra la necesidad de realizar estudios sistemáticos e integrales que permitan determinar las causas del déficit de atención en estudiantes con Trastorno de Espectro Autista.</w:t>
      </w:r>
    </w:p>
    <w:p w14:paraId="024CE325" w14:textId="77777777" w:rsidR="00A677D1" w:rsidRDefault="00A677D1" w:rsidP="00A677D1">
      <w:pPr>
        <w:spacing w:line="360" w:lineRule="auto"/>
        <w:jc w:val="both"/>
        <w:rPr>
          <w:rFonts w:ascii="Arial" w:hAnsi="Arial" w:cs="Arial"/>
          <w:color w:val="000000"/>
          <w:lang w:val="es-US"/>
        </w:rPr>
      </w:pPr>
    </w:p>
    <w:p w14:paraId="688190F4" w14:textId="0C144FFA" w:rsidR="00D069FB" w:rsidRPr="00D069FB" w:rsidRDefault="00D069FB" w:rsidP="00A677D1">
      <w:pPr>
        <w:spacing w:line="360" w:lineRule="auto"/>
        <w:jc w:val="both"/>
        <w:rPr>
          <w:rFonts w:ascii="Arial" w:hAnsi="Arial" w:cs="Arial"/>
          <w:lang w:val="es-US"/>
        </w:rPr>
      </w:pPr>
      <w:r w:rsidRPr="00D069FB">
        <w:rPr>
          <w:rFonts w:ascii="Arial" w:hAnsi="Arial" w:cs="Arial"/>
          <w:color w:val="000000"/>
          <w:lang w:val="es-US"/>
        </w:rPr>
        <w:t>El propósito de este documento, es lograr que quienes investigan sobre el TDAH y sus causas, y aquellas personas que a diario afrontan en sus entornos laborales los problemas de atención, tengan un panorama más amplio de la situación que aqueja a estos estudiantes.</w:t>
      </w:r>
    </w:p>
    <w:p w14:paraId="657574E7" w14:textId="77777777" w:rsidR="00A677D1" w:rsidRDefault="00A677D1" w:rsidP="00A677D1">
      <w:pPr>
        <w:spacing w:line="360" w:lineRule="auto"/>
        <w:jc w:val="both"/>
        <w:rPr>
          <w:rFonts w:ascii="Arial" w:hAnsi="Arial" w:cs="Arial"/>
          <w:color w:val="000000"/>
          <w:lang w:val="es-US"/>
        </w:rPr>
      </w:pPr>
    </w:p>
    <w:p w14:paraId="4DA2D275" w14:textId="744A037F" w:rsidR="00D069FB" w:rsidRPr="00D069FB" w:rsidRDefault="00D069FB" w:rsidP="00A677D1">
      <w:pPr>
        <w:spacing w:line="360" w:lineRule="auto"/>
        <w:jc w:val="both"/>
        <w:rPr>
          <w:rFonts w:ascii="Arial" w:hAnsi="Arial" w:cs="Arial"/>
          <w:lang w:val="es-US"/>
        </w:rPr>
      </w:pPr>
      <w:r w:rsidRPr="00D069FB">
        <w:rPr>
          <w:rFonts w:ascii="Arial" w:hAnsi="Arial" w:cs="Arial"/>
          <w:color w:val="000000"/>
          <w:lang w:val="es-US"/>
        </w:rPr>
        <w:t>Considerar las muchas posibilidades por las que una persona estudiante no se concentra, permitiría no solamente diversificar las estrategias de abordaje, sino que, adicionalmente, contribuiría con la eliminación del estigma de “estudiante inatento” y “perezoso”, que con tanta asiduidad, se coloca sobre las personas con dificultades para enfocar su atención; etiqueta que, por cierto, en nada contribuye con el hallazgo de la solución definitiva a su problemática.</w:t>
      </w:r>
    </w:p>
    <w:p w14:paraId="6631BF12" w14:textId="77777777" w:rsidR="00A677D1" w:rsidRDefault="00A677D1" w:rsidP="00A677D1">
      <w:pPr>
        <w:spacing w:line="360" w:lineRule="auto"/>
        <w:jc w:val="both"/>
        <w:rPr>
          <w:rFonts w:ascii="Arial" w:hAnsi="Arial" w:cs="Arial"/>
          <w:color w:val="000000"/>
          <w:lang w:val="es-US"/>
        </w:rPr>
      </w:pPr>
    </w:p>
    <w:p w14:paraId="7A70A8F8" w14:textId="56751EF7" w:rsidR="00D069FB" w:rsidRPr="00D069FB" w:rsidRDefault="00D069FB" w:rsidP="00A677D1">
      <w:pPr>
        <w:spacing w:line="360" w:lineRule="auto"/>
        <w:jc w:val="both"/>
        <w:rPr>
          <w:rFonts w:ascii="Arial" w:hAnsi="Arial" w:cs="Arial"/>
          <w:lang w:val="es-US"/>
        </w:rPr>
      </w:pPr>
      <w:r w:rsidRPr="00D069FB">
        <w:rPr>
          <w:rFonts w:ascii="Arial" w:hAnsi="Arial" w:cs="Arial"/>
          <w:color w:val="000000"/>
          <w:lang w:val="es-US"/>
        </w:rPr>
        <w:t xml:space="preserve">En el caso particular de estudiantes con TEA 1, señalado como el grado de menor afectación del espectro del autismo-, estas diversas causas potenciadoras de un TDAH, son especialmente notorias, dados los múltiples problemas que presentan, debido a la comorbilidad asociada de estas debilidades, con su condición </w:t>
      </w:r>
      <w:r w:rsidRPr="00D069FB">
        <w:rPr>
          <w:rFonts w:ascii="Arial" w:hAnsi="Arial" w:cs="Arial"/>
          <w:color w:val="000000"/>
          <w:lang w:val="es-US"/>
        </w:rPr>
        <w:lastRenderedPageBreak/>
        <w:t xml:space="preserve">primaria.  En las personas con TEA es frecuente la coexistencia de otras afecciones tanto neurológicas como </w:t>
      </w:r>
      <w:proofErr w:type="spellStart"/>
      <w:r w:rsidRPr="00D069FB">
        <w:rPr>
          <w:rFonts w:ascii="Arial" w:hAnsi="Arial" w:cs="Arial"/>
          <w:color w:val="000000"/>
          <w:lang w:val="es-US"/>
        </w:rPr>
        <w:t>extraneurológicas</w:t>
      </w:r>
      <w:proofErr w:type="spellEnd"/>
      <w:r w:rsidRPr="00D069FB">
        <w:rPr>
          <w:rFonts w:ascii="Arial" w:hAnsi="Arial" w:cs="Arial"/>
          <w:color w:val="000000"/>
          <w:lang w:val="es-US"/>
        </w:rPr>
        <w:t>, que precisan atención (Del Valle et al., 2022).</w:t>
      </w:r>
    </w:p>
    <w:p w14:paraId="3BB71311" w14:textId="77777777" w:rsidR="00A677D1" w:rsidRDefault="00A677D1" w:rsidP="00A677D1">
      <w:pPr>
        <w:spacing w:line="360" w:lineRule="auto"/>
        <w:jc w:val="both"/>
        <w:rPr>
          <w:rFonts w:ascii="Arial" w:hAnsi="Arial" w:cs="Arial"/>
          <w:color w:val="000000"/>
          <w:lang w:val="es-US"/>
        </w:rPr>
      </w:pPr>
    </w:p>
    <w:p w14:paraId="4F0F2376" w14:textId="1D7C1179" w:rsidR="00D069FB" w:rsidRPr="00D069FB" w:rsidRDefault="00D069FB" w:rsidP="00A677D1">
      <w:pPr>
        <w:spacing w:line="360" w:lineRule="auto"/>
        <w:jc w:val="both"/>
        <w:rPr>
          <w:rFonts w:ascii="Arial" w:hAnsi="Arial" w:cs="Arial"/>
          <w:lang w:val="es-US"/>
        </w:rPr>
      </w:pPr>
      <w:r w:rsidRPr="00D069FB">
        <w:rPr>
          <w:rFonts w:ascii="Arial" w:hAnsi="Arial" w:cs="Arial"/>
          <w:color w:val="000000"/>
          <w:lang w:val="es-US"/>
        </w:rPr>
        <w:t>La capacidad atencional, en general, puede verse disminuida en todo individuo por diversas causas, y, las personas con TEA 1, tienen múltiples razones para querer desconectarse de una actividad, o tomar distancia de una tarea.</w:t>
      </w:r>
    </w:p>
    <w:p w14:paraId="72323CC0" w14:textId="77777777" w:rsidR="00A677D1" w:rsidRDefault="00A677D1" w:rsidP="00A677D1">
      <w:pPr>
        <w:spacing w:line="360" w:lineRule="auto"/>
        <w:jc w:val="both"/>
        <w:rPr>
          <w:rFonts w:ascii="Arial" w:hAnsi="Arial" w:cs="Arial"/>
          <w:color w:val="000000"/>
          <w:lang w:val="es-US"/>
        </w:rPr>
      </w:pPr>
    </w:p>
    <w:p w14:paraId="12D038F7" w14:textId="79635148" w:rsidR="00D069FB" w:rsidRPr="00D069FB" w:rsidRDefault="00D069FB" w:rsidP="00A677D1">
      <w:pPr>
        <w:spacing w:line="360" w:lineRule="auto"/>
        <w:jc w:val="both"/>
        <w:rPr>
          <w:rFonts w:ascii="Arial" w:hAnsi="Arial" w:cs="Arial"/>
          <w:lang w:val="es-US"/>
        </w:rPr>
      </w:pPr>
      <w:r w:rsidRPr="00D069FB">
        <w:rPr>
          <w:rFonts w:ascii="Arial" w:hAnsi="Arial" w:cs="Arial"/>
          <w:color w:val="000000"/>
          <w:lang w:val="es-US"/>
        </w:rPr>
        <w:t>La premisa sobre la cual se sustentó este estudio, indica que las personas con TEA 1, ven mermada su capacidad atencional cuando pierden el interés en un estímulo o tarea. (Celis y Ochoa, 2022) hacen hincapié en los intereses restringidos que caracterizan a dicho trastorno. </w:t>
      </w:r>
    </w:p>
    <w:p w14:paraId="2F95982F" w14:textId="77777777" w:rsidR="00A677D1" w:rsidRDefault="00A677D1" w:rsidP="00A677D1">
      <w:pPr>
        <w:spacing w:line="360" w:lineRule="auto"/>
        <w:jc w:val="both"/>
        <w:rPr>
          <w:rFonts w:ascii="Arial" w:hAnsi="Arial" w:cs="Arial"/>
          <w:color w:val="000000"/>
          <w:lang w:val="es-US"/>
        </w:rPr>
      </w:pPr>
    </w:p>
    <w:p w14:paraId="59262010" w14:textId="0C518CDC" w:rsidR="00D069FB" w:rsidRPr="00D069FB" w:rsidRDefault="00D069FB" w:rsidP="00A677D1">
      <w:pPr>
        <w:spacing w:line="360" w:lineRule="auto"/>
        <w:jc w:val="both"/>
        <w:rPr>
          <w:rFonts w:ascii="Arial" w:hAnsi="Arial" w:cs="Arial"/>
          <w:lang w:val="es-US"/>
        </w:rPr>
      </w:pPr>
      <w:r w:rsidRPr="00D069FB">
        <w:rPr>
          <w:rFonts w:ascii="Arial" w:hAnsi="Arial" w:cs="Arial"/>
          <w:color w:val="000000"/>
          <w:lang w:val="es-US"/>
        </w:rPr>
        <w:t>Este desinterés, puede desencadenarse entre muchas otras cosas, por el hecho real de que, no se perciben a sí mismas como capaces de ir adelante con los desafíos que una tarea presenta; tal es el caso, de las dificultades motrices que muchas de estas personas exhiben y que les impiden escribir correctamente, lo cual les impulsa a desatender una actividad que suponga para ellas un gran esfuerzo, y les hace trasladar el foco de atención hacia otro elemento.</w:t>
      </w:r>
    </w:p>
    <w:p w14:paraId="17E8D179" w14:textId="77777777" w:rsidR="00A677D1" w:rsidRDefault="00A677D1" w:rsidP="00A677D1">
      <w:pPr>
        <w:spacing w:line="360" w:lineRule="auto"/>
        <w:jc w:val="both"/>
        <w:rPr>
          <w:rFonts w:ascii="Arial" w:hAnsi="Arial" w:cs="Arial"/>
          <w:color w:val="000000"/>
          <w:lang w:val="es-US"/>
        </w:rPr>
      </w:pPr>
    </w:p>
    <w:p w14:paraId="26A8F8D4" w14:textId="18FC08C3" w:rsidR="00D069FB" w:rsidRPr="00D069FB" w:rsidRDefault="00D069FB" w:rsidP="00A677D1">
      <w:pPr>
        <w:spacing w:line="360" w:lineRule="auto"/>
        <w:jc w:val="both"/>
        <w:rPr>
          <w:rFonts w:ascii="Arial" w:hAnsi="Arial" w:cs="Arial"/>
          <w:lang w:val="es-US"/>
        </w:rPr>
      </w:pPr>
      <w:r w:rsidRPr="00D069FB">
        <w:rPr>
          <w:rFonts w:ascii="Arial" w:hAnsi="Arial" w:cs="Arial"/>
          <w:color w:val="000000"/>
          <w:lang w:val="es-US"/>
        </w:rPr>
        <w:lastRenderedPageBreak/>
        <w:t>Sobre lo anterior, (Greenspan, 2008) hace alusión a la tendencia de ciertos menores de edad, a bloquear el contacto con algunos entornos o ambientes debido a sus dificultades con algunas habilidades.</w:t>
      </w:r>
    </w:p>
    <w:p w14:paraId="1F5E55A1" w14:textId="77777777" w:rsidR="00A677D1" w:rsidRDefault="00A677D1" w:rsidP="00A677D1">
      <w:pPr>
        <w:spacing w:line="360" w:lineRule="auto"/>
        <w:jc w:val="both"/>
        <w:rPr>
          <w:rFonts w:ascii="Arial" w:hAnsi="Arial" w:cs="Arial"/>
          <w:color w:val="000000"/>
          <w:lang w:val="es-US"/>
        </w:rPr>
      </w:pPr>
    </w:p>
    <w:p w14:paraId="5CA83CBF" w14:textId="3D2F4FA4" w:rsidR="003874FF" w:rsidRPr="00D069FB" w:rsidRDefault="00D069FB" w:rsidP="00A677D1">
      <w:pPr>
        <w:spacing w:line="360" w:lineRule="auto"/>
        <w:jc w:val="both"/>
        <w:rPr>
          <w:rFonts w:ascii="Arial" w:hAnsi="Arial" w:cs="Arial"/>
          <w:color w:val="000000"/>
          <w:lang w:val="es-US"/>
        </w:rPr>
      </w:pPr>
      <w:r w:rsidRPr="00D069FB">
        <w:rPr>
          <w:rFonts w:ascii="Arial" w:hAnsi="Arial" w:cs="Arial"/>
          <w:color w:val="000000"/>
          <w:lang w:val="es-US"/>
        </w:rPr>
        <w:t>El estudio planteó básicamente cuatro objetivos:</w:t>
      </w:r>
    </w:p>
    <w:p w14:paraId="3A8E6D42" w14:textId="77777777" w:rsidR="00D069FB" w:rsidRPr="00D069FB" w:rsidRDefault="00D069FB" w:rsidP="00A677D1">
      <w:pPr>
        <w:numPr>
          <w:ilvl w:val="0"/>
          <w:numId w:val="43"/>
        </w:numPr>
        <w:spacing w:line="360" w:lineRule="auto"/>
        <w:ind w:left="924" w:hanging="357"/>
        <w:jc w:val="both"/>
        <w:textAlignment w:val="baseline"/>
        <w:rPr>
          <w:rFonts w:ascii="Arial" w:hAnsi="Arial" w:cs="Arial"/>
          <w:color w:val="000000"/>
          <w:lang w:val="es-US"/>
        </w:rPr>
      </w:pPr>
      <w:r w:rsidRPr="00D069FB">
        <w:rPr>
          <w:rFonts w:ascii="Arial" w:hAnsi="Arial" w:cs="Arial"/>
          <w:color w:val="000000"/>
          <w:lang w:val="es-US"/>
        </w:rPr>
        <w:t>Identificar las conductas de las personas estudiantes con TEA 1 seleccionados, al realizar tareas relacionadas con la escritura.</w:t>
      </w:r>
    </w:p>
    <w:p w14:paraId="050255FF" w14:textId="77777777" w:rsidR="00D069FB" w:rsidRPr="00D069FB" w:rsidRDefault="00D069FB" w:rsidP="00A677D1">
      <w:pPr>
        <w:numPr>
          <w:ilvl w:val="0"/>
          <w:numId w:val="43"/>
        </w:numPr>
        <w:spacing w:line="360" w:lineRule="auto"/>
        <w:ind w:left="924" w:hanging="357"/>
        <w:jc w:val="both"/>
        <w:textAlignment w:val="baseline"/>
        <w:rPr>
          <w:rFonts w:ascii="Arial" w:hAnsi="Arial" w:cs="Arial"/>
          <w:color w:val="000000"/>
          <w:lang w:val="es-US"/>
        </w:rPr>
      </w:pPr>
      <w:r w:rsidRPr="00D069FB">
        <w:rPr>
          <w:rFonts w:ascii="Arial" w:hAnsi="Arial" w:cs="Arial"/>
          <w:color w:val="000000"/>
          <w:lang w:val="es-US"/>
        </w:rPr>
        <w:t>Identificar la presencia de problemas de escritura en las personas estudiantes seleccionadas.</w:t>
      </w:r>
    </w:p>
    <w:p w14:paraId="45A9C305" w14:textId="77777777" w:rsidR="00D069FB" w:rsidRPr="00D069FB" w:rsidRDefault="00D069FB" w:rsidP="00A677D1">
      <w:pPr>
        <w:numPr>
          <w:ilvl w:val="0"/>
          <w:numId w:val="43"/>
        </w:numPr>
        <w:spacing w:line="360" w:lineRule="auto"/>
        <w:ind w:left="924" w:hanging="357"/>
        <w:jc w:val="both"/>
        <w:textAlignment w:val="baseline"/>
        <w:rPr>
          <w:rFonts w:ascii="Arial" w:hAnsi="Arial" w:cs="Arial"/>
          <w:color w:val="000000"/>
          <w:lang w:val="es-US"/>
        </w:rPr>
      </w:pPr>
      <w:r w:rsidRPr="00D069FB">
        <w:rPr>
          <w:rFonts w:ascii="Arial" w:hAnsi="Arial" w:cs="Arial"/>
          <w:color w:val="000000"/>
          <w:lang w:val="es-US"/>
        </w:rPr>
        <w:t>Determinar si los problemas de atención de este grupo de personas estudiantes empeoraban al realizar actividades de escritura.</w:t>
      </w:r>
    </w:p>
    <w:p w14:paraId="1CAB772D" w14:textId="77777777" w:rsidR="00D069FB" w:rsidRPr="00D069FB" w:rsidRDefault="00D069FB" w:rsidP="00A677D1">
      <w:pPr>
        <w:numPr>
          <w:ilvl w:val="0"/>
          <w:numId w:val="43"/>
        </w:numPr>
        <w:spacing w:line="360" w:lineRule="auto"/>
        <w:ind w:left="924" w:hanging="357"/>
        <w:jc w:val="both"/>
        <w:textAlignment w:val="baseline"/>
        <w:rPr>
          <w:rFonts w:ascii="Arial" w:hAnsi="Arial" w:cs="Arial"/>
          <w:color w:val="000000"/>
          <w:lang w:val="es-US"/>
        </w:rPr>
      </w:pPr>
      <w:r w:rsidRPr="00D069FB">
        <w:rPr>
          <w:rFonts w:ascii="Arial" w:hAnsi="Arial" w:cs="Arial"/>
          <w:color w:val="000000"/>
          <w:lang w:val="es-US"/>
        </w:rPr>
        <w:t>Determinar estrategias que favorezcan a las personas estudiantes con TEA 1 para elevar sus niveles de concentración al escribir.</w:t>
      </w:r>
    </w:p>
    <w:p w14:paraId="0B34053B" w14:textId="77777777" w:rsidR="00A677D1" w:rsidRDefault="00A677D1" w:rsidP="00A677D1">
      <w:pPr>
        <w:spacing w:line="360" w:lineRule="auto"/>
        <w:jc w:val="both"/>
        <w:rPr>
          <w:rFonts w:ascii="Arial" w:hAnsi="Arial" w:cs="Arial"/>
          <w:color w:val="000000"/>
          <w:lang w:val="es-US"/>
        </w:rPr>
      </w:pPr>
    </w:p>
    <w:p w14:paraId="7907C373" w14:textId="3F259A66" w:rsidR="00D069FB" w:rsidRPr="00D069FB" w:rsidRDefault="00D069FB" w:rsidP="00A677D1">
      <w:pPr>
        <w:spacing w:line="360" w:lineRule="auto"/>
        <w:jc w:val="both"/>
        <w:rPr>
          <w:rFonts w:ascii="Arial" w:hAnsi="Arial" w:cs="Arial"/>
          <w:lang w:val="es-US"/>
        </w:rPr>
      </w:pPr>
      <w:r w:rsidRPr="00D069FB">
        <w:rPr>
          <w:rFonts w:ascii="Arial" w:hAnsi="Arial" w:cs="Arial"/>
          <w:color w:val="000000"/>
          <w:lang w:val="es-US"/>
        </w:rPr>
        <w:t xml:space="preserve">La investigación no cuestionó la evidencia de atención dispersa en los estudiantes observados;  claramente, no debe defenderse “lo indefendible”, las personas menores de edad  con TEA 1 que participaron del estudio, exhibían bajos niveles de atención, eso no es discutible; pero, las causas de sus bajos niveles de atención, sí pueden - y de hecho- deben ser apeladas, si se pretende contribuir con el mejoramiento de su rendimiento general, así se logrará no solamente su éxito en la esfera educativa, sino que además,  se posibilitará la fluidez de la dinámica en el </w:t>
      </w:r>
      <w:r w:rsidRPr="00D069FB">
        <w:rPr>
          <w:rFonts w:ascii="Arial" w:hAnsi="Arial" w:cs="Arial"/>
          <w:color w:val="000000"/>
          <w:lang w:val="es-US"/>
        </w:rPr>
        <w:lastRenderedPageBreak/>
        <w:t>aula, tanto para la persona  estudiante en cuestión, como para sus docentes (Chávez, 2017).</w:t>
      </w:r>
    </w:p>
    <w:p w14:paraId="39E20545" w14:textId="77777777" w:rsidR="00D069FB" w:rsidRPr="00D069FB" w:rsidRDefault="00D069FB" w:rsidP="00644334">
      <w:pPr>
        <w:spacing w:line="360" w:lineRule="auto"/>
        <w:rPr>
          <w:rFonts w:ascii="Arial" w:hAnsi="Arial" w:cs="Arial"/>
          <w:lang w:val="es-US"/>
        </w:rPr>
      </w:pPr>
    </w:p>
    <w:p w14:paraId="2EF0F086" w14:textId="77777777" w:rsidR="00D069FB" w:rsidRPr="00D069FB" w:rsidRDefault="00D069FB" w:rsidP="00644334">
      <w:pPr>
        <w:spacing w:line="360" w:lineRule="auto"/>
        <w:jc w:val="both"/>
        <w:rPr>
          <w:rFonts w:ascii="Arial" w:hAnsi="Arial" w:cs="Arial"/>
          <w:lang w:val="es-US"/>
        </w:rPr>
      </w:pPr>
      <w:r w:rsidRPr="00D069FB">
        <w:rPr>
          <w:rFonts w:ascii="Arial" w:hAnsi="Arial" w:cs="Arial"/>
          <w:b/>
          <w:bCs/>
          <w:color w:val="000000"/>
          <w:lang w:val="es-US"/>
        </w:rPr>
        <w:t>La incógnita frecuente de padres y madres</w:t>
      </w:r>
    </w:p>
    <w:p w14:paraId="18630A36" w14:textId="77777777" w:rsidR="00F952D0" w:rsidRDefault="00F952D0" w:rsidP="00F952D0">
      <w:pPr>
        <w:spacing w:line="360" w:lineRule="auto"/>
        <w:jc w:val="both"/>
        <w:rPr>
          <w:rFonts w:ascii="Arial" w:hAnsi="Arial" w:cs="Arial"/>
          <w:color w:val="000000"/>
          <w:lang w:val="es-US"/>
        </w:rPr>
      </w:pPr>
    </w:p>
    <w:p w14:paraId="6C4810F4" w14:textId="4C19E495" w:rsidR="00D069FB" w:rsidRPr="00D069FB" w:rsidRDefault="00D069FB" w:rsidP="00F952D0">
      <w:pPr>
        <w:spacing w:line="360" w:lineRule="auto"/>
        <w:jc w:val="both"/>
        <w:rPr>
          <w:rFonts w:ascii="Arial" w:hAnsi="Arial" w:cs="Arial"/>
          <w:lang w:val="es-US"/>
        </w:rPr>
      </w:pPr>
      <w:r w:rsidRPr="00D069FB">
        <w:rPr>
          <w:rFonts w:ascii="Arial" w:hAnsi="Arial" w:cs="Arial"/>
          <w:color w:val="000000"/>
          <w:lang w:val="es-US"/>
        </w:rPr>
        <w:t>En condiciones regulares, a nivel emocional y madurativo, los padres y madres, desearán siempre lo mejor para sus hijos e hijas y en consecuencia, harán lo que esté a su alcance para allanarles el camino y ayudarles a remontar los obstáculos que estos vayan encontrando a lo largo de su proceso de desarrollo.</w:t>
      </w:r>
    </w:p>
    <w:p w14:paraId="464EB091" w14:textId="77777777" w:rsidR="00F952D0" w:rsidRDefault="00F952D0" w:rsidP="00F952D0">
      <w:pPr>
        <w:spacing w:line="360" w:lineRule="auto"/>
        <w:jc w:val="both"/>
        <w:rPr>
          <w:rFonts w:ascii="Arial" w:hAnsi="Arial" w:cs="Arial"/>
          <w:color w:val="000000"/>
          <w:lang w:val="es-US"/>
        </w:rPr>
      </w:pPr>
    </w:p>
    <w:p w14:paraId="23BF5D66" w14:textId="2A8B8A8B" w:rsidR="00D069FB" w:rsidRPr="00D069FB" w:rsidRDefault="00D069FB" w:rsidP="00F952D0">
      <w:pPr>
        <w:spacing w:line="360" w:lineRule="auto"/>
        <w:jc w:val="both"/>
        <w:rPr>
          <w:rFonts w:ascii="Arial" w:hAnsi="Arial" w:cs="Arial"/>
          <w:lang w:val="es-US"/>
        </w:rPr>
      </w:pPr>
      <w:r w:rsidRPr="00D069FB">
        <w:rPr>
          <w:rFonts w:ascii="Arial" w:hAnsi="Arial" w:cs="Arial"/>
          <w:color w:val="000000"/>
          <w:lang w:val="es-US"/>
        </w:rPr>
        <w:t>Sobre esta misma línea de acción, actuarán las personas encargadas de un niño o niña con alguna condición particular, como es el caso del TEA 1.</w:t>
      </w:r>
    </w:p>
    <w:p w14:paraId="0FBB6711" w14:textId="77777777" w:rsidR="00F952D0" w:rsidRDefault="00F952D0" w:rsidP="00644334">
      <w:pPr>
        <w:spacing w:line="360" w:lineRule="auto"/>
        <w:jc w:val="both"/>
        <w:rPr>
          <w:rFonts w:ascii="Arial" w:hAnsi="Arial" w:cs="Arial"/>
          <w:color w:val="000000"/>
          <w:lang w:val="es-US"/>
        </w:rPr>
      </w:pPr>
    </w:p>
    <w:p w14:paraId="7F6ED629" w14:textId="7D1AFF27" w:rsidR="00D069FB" w:rsidRPr="00D069FB" w:rsidRDefault="00D069FB" w:rsidP="00644334">
      <w:pPr>
        <w:spacing w:line="360" w:lineRule="auto"/>
        <w:jc w:val="both"/>
        <w:rPr>
          <w:rFonts w:ascii="Arial" w:hAnsi="Arial" w:cs="Arial"/>
          <w:lang w:val="es-US"/>
        </w:rPr>
      </w:pPr>
      <w:r w:rsidRPr="00D069FB">
        <w:rPr>
          <w:rFonts w:ascii="Arial" w:hAnsi="Arial" w:cs="Arial"/>
          <w:color w:val="000000"/>
          <w:lang w:val="es-US"/>
        </w:rPr>
        <w:t>A pesar de este genuino deseo y de su actitud resolutiva, los padres y madres de estos estudiantes, siguen sin contar con el conocimiento mínimo necesario para realizar una intervención eficaz, por lo que, se avocarán a seguir las instrucciones de los especialistas en neurodesarrollo, psicopedagogía o salud mental, que atenderán el caso.</w:t>
      </w:r>
    </w:p>
    <w:p w14:paraId="44747518" w14:textId="77777777" w:rsidR="00F952D0" w:rsidRDefault="00F952D0" w:rsidP="00F952D0">
      <w:pPr>
        <w:spacing w:line="360" w:lineRule="auto"/>
        <w:jc w:val="both"/>
        <w:rPr>
          <w:rFonts w:ascii="Arial" w:hAnsi="Arial" w:cs="Arial"/>
          <w:color w:val="000000"/>
          <w:lang w:val="es-US"/>
        </w:rPr>
      </w:pPr>
    </w:p>
    <w:p w14:paraId="5A1AE75E" w14:textId="236DC03C" w:rsidR="00D069FB" w:rsidRPr="00D069FB" w:rsidRDefault="00D069FB" w:rsidP="00F952D0">
      <w:pPr>
        <w:spacing w:line="360" w:lineRule="auto"/>
        <w:jc w:val="both"/>
        <w:rPr>
          <w:rFonts w:ascii="Arial" w:hAnsi="Arial" w:cs="Arial"/>
          <w:lang w:val="es-US"/>
        </w:rPr>
      </w:pPr>
      <w:r w:rsidRPr="00D069FB">
        <w:rPr>
          <w:rFonts w:ascii="Arial" w:hAnsi="Arial" w:cs="Arial"/>
          <w:color w:val="000000"/>
          <w:lang w:val="es-US"/>
        </w:rPr>
        <w:t>Sin embargo, el desconocimiento de esta materia no hace a los cuidadores “menos observadores” del comportamiento y de las respuestas que sus hijos hijas tienen ante los distintos abordajes de los profesionales que les atienden.</w:t>
      </w:r>
    </w:p>
    <w:p w14:paraId="552AE062" w14:textId="77777777" w:rsidR="00D069FB" w:rsidRPr="00D069FB" w:rsidRDefault="00D069FB" w:rsidP="00F952D0">
      <w:pPr>
        <w:spacing w:line="360" w:lineRule="auto"/>
        <w:jc w:val="both"/>
        <w:rPr>
          <w:rFonts w:ascii="Arial" w:hAnsi="Arial" w:cs="Arial"/>
          <w:lang w:val="es-US"/>
        </w:rPr>
      </w:pPr>
      <w:r w:rsidRPr="00D069FB">
        <w:rPr>
          <w:rFonts w:ascii="Arial" w:hAnsi="Arial" w:cs="Arial"/>
          <w:color w:val="000000"/>
          <w:lang w:val="es-US"/>
        </w:rPr>
        <w:lastRenderedPageBreak/>
        <w:t>Al considerar los tres supuestos anteriores es posible decir que: no por tener un fuerte interés en ayudar a sus hijos e hijas, los padres y madres son personas conocedoras de las estrategias que realmente impulsarán su desarrollo; pero, ese desconocimiento, puede coexistir con una aguda capacidad de observación que les permite determinar que una estrategia, está o no en colaboración con el problema que se está tratando de solucionar.</w:t>
      </w:r>
    </w:p>
    <w:p w14:paraId="66234342" w14:textId="77777777" w:rsidR="00F952D0" w:rsidRDefault="00F952D0" w:rsidP="00F952D0">
      <w:pPr>
        <w:spacing w:line="360" w:lineRule="auto"/>
        <w:jc w:val="both"/>
        <w:rPr>
          <w:rFonts w:ascii="Arial" w:hAnsi="Arial" w:cs="Arial"/>
          <w:color w:val="000000"/>
          <w:lang w:val="es-US"/>
        </w:rPr>
      </w:pPr>
    </w:p>
    <w:p w14:paraId="68EEE445" w14:textId="42BCF582" w:rsidR="00D069FB" w:rsidRPr="00D069FB" w:rsidRDefault="00D069FB" w:rsidP="00F952D0">
      <w:pPr>
        <w:spacing w:line="360" w:lineRule="auto"/>
        <w:jc w:val="both"/>
        <w:rPr>
          <w:rFonts w:ascii="Arial" w:hAnsi="Arial" w:cs="Arial"/>
          <w:lang w:val="es-US"/>
        </w:rPr>
      </w:pPr>
      <w:r w:rsidRPr="00D069FB">
        <w:rPr>
          <w:rFonts w:ascii="Arial" w:hAnsi="Arial" w:cs="Arial"/>
          <w:color w:val="000000"/>
          <w:lang w:val="es-US"/>
        </w:rPr>
        <w:t>Este fue el caso de los padres y madres de los estudiantes que fueron seleccionados para el estudio; quienes con vehemencia afirmaban que, aunque no podían probarlo, estaban seguros de que la medicación que sus hijos e hijas recibían para la concentración, no les beneficiaba en las asignaturas en las que justamente, más requerían de ayuda, por ser las asignaturas o materias en las que más se distraían.</w:t>
      </w:r>
    </w:p>
    <w:p w14:paraId="0AC2DAAB" w14:textId="77777777" w:rsidR="00F952D0" w:rsidRDefault="00F952D0" w:rsidP="00F952D0">
      <w:pPr>
        <w:spacing w:line="360" w:lineRule="auto"/>
        <w:jc w:val="both"/>
        <w:rPr>
          <w:rFonts w:ascii="Arial" w:hAnsi="Arial" w:cs="Arial"/>
          <w:color w:val="000000"/>
          <w:lang w:val="es-US"/>
        </w:rPr>
      </w:pPr>
    </w:p>
    <w:p w14:paraId="2FB80EA6" w14:textId="71D81C4E" w:rsidR="00D069FB" w:rsidRPr="00D069FB" w:rsidRDefault="00D069FB" w:rsidP="00F952D0">
      <w:pPr>
        <w:spacing w:line="360" w:lineRule="auto"/>
        <w:jc w:val="both"/>
        <w:rPr>
          <w:rFonts w:ascii="Arial" w:hAnsi="Arial" w:cs="Arial"/>
          <w:lang w:val="es-US"/>
        </w:rPr>
      </w:pPr>
      <w:r w:rsidRPr="00D069FB">
        <w:rPr>
          <w:rFonts w:ascii="Arial" w:hAnsi="Arial" w:cs="Arial"/>
          <w:color w:val="000000"/>
          <w:lang w:val="es-US"/>
        </w:rPr>
        <w:t>Estos refirieron además, que las materias en las que exhibían más dificultades para concentrarse, tenían todas algo en común: había que escribir mucho.</w:t>
      </w:r>
    </w:p>
    <w:p w14:paraId="1DC0FFB4" w14:textId="77777777" w:rsidR="00F952D0" w:rsidRDefault="00F952D0" w:rsidP="00F952D0">
      <w:pPr>
        <w:spacing w:line="360" w:lineRule="auto"/>
        <w:jc w:val="both"/>
        <w:rPr>
          <w:rFonts w:ascii="Arial" w:hAnsi="Arial" w:cs="Arial"/>
          <w:color w:val="000000"/>
          <w:lang w:val="es-US"/>
        </w:rPr>
      </w:pPr>
    </w:p>
    <w:p w14:paraId="4316B924" w14:textId="704B8F2F" w:rsidR="00D069FB" w:rsidRPr="00D069FB" w:rsidRDefault="00D069FB" w:rsidP="00F952D0">
      <w:pPr>
        <w:spacing w:line="360" w:lineRule="auto"/>
        <w:jc w:val="both"/>
        <w:rPr>
          <w:rFonts w:ascii="Arial" w:hAnsi="Arial" w:cs="Arial"/>
          <w:lang w:val="es-US"/>
        </w:rPr>
      </w:pPr>
      <w:r w:rsidRPr="00D069FB">
        <w:rPr>
          <w:rFonts w:ascii="Arial" w:hAnsi="Arial" w:cs="Arial"/>
          <w:color w:val="000000"/>
          <w:lang w:val="es-US"/>
        </w:rPr>
        <w:t xml:space="preserve">El empecinamiento de estos cuidadores  en averiguar, por qué la medicación no funcionaba cuando más se requería, aunado al hecho demostrado de que las personas con TEA 1, tienen en su constelación de características, dificultades motoras, en algunos casos muy marcadas que les impiden hacer una prensión correcta del lápiz, dieron lugar al planteamiento de un problema cuya resolución, </w:t>
      </w:r>
      <w:r w:rsidRPr="00D069FB">
        <w:rPr>
          <w:rFonts w:ascii="Arial" w:hAnsi="Arial" w:cs="Arial"/>
          <w:color w:val="000000"/>
          <w:lang w:val="es-US"/>
        </w:rPr>
        <w:lastRenderedPageBreak/>
        <w:t>supondría una atención mucho más integral de cierta población que enfrenta a diario sus problemas de atención, usando como única estrategia la medicación, que si bien es necesaria en un buen porcentaje de los casos, no funciona para todos.</w:t>
      </w:r>
    </w:p>
    <w:p w14:paraId="774F3948" w14:textId="77777777" w:rsidR="00F952D0" w:rsidRDefault="00F952D0" w:rsidP="00F952D0">
      <w:pPr>
        <w:spacing w:line="360" w:lineRule="auto"/>
        <w:jc w:val="both"/>
        <w:rPr>
          <w:rFonts w:ascii="Arial" w:hAnsi="Arial" w:cs="Arial"/>
          <w:color w:val="000000"/>
          <w:lang w:val="es-US"/>
        </w:rPr>
      </w:pPr>
    </w:p>
    <w:p w14:paraId="59C974D1" w14:textId="101E5929" w:rsidR="00D069FB" w:rsidRPr="00D069FB" w:rsidRDefault="00D069FB" w:rsidP="00F952D0">
      <w:pPr>
        <w:spacing w:line="360" w:lineRule="auto"/>
        <w:jc w:val="both"/>
        <w:rPr>
          <w:rFonts w:ascii="Arial" w:hAnsi="Arial" w:cs="Arial"/>
          <w:lang w:val="es-US"/>
        </w:rPr>
      </w:pPr>
      <w:r w:rsidRPr="00D069FB">
        <w:rPr>
          <w:rFonts w:ascii="Arial" w:hAnsi="Arial" w:cs="Arial"/>
          <w:color w:val="000000"/>
          <w:lang w:val="es-US"/>
        </w:rPr>
        <w:t>(Greenspan, 2008) destaca el hecho de que con frecuencia la medicación es requerida para abordar estos casos, pero que, es utilizada como un sustituto para evitar abordar las debilidades o falta de competencia de estos estudiantes en distintas áreas.</w:t>
      </w:r>
    </w:p>
    <w:p w14:paraId="2A1B1428" w14:textId="77777777" w:rsidR="00F952D0" w:rsidRDefault="00F952D0" w:rsidP="00F952D0">
      <w:pPr>
        <w:spacing w:line="360" w:lineRule="auto"/>
        <w:jc w:val="both"/>
        <w:rPr>
          <w:rFonts w:ascii="Arial" w:hAnsi="Arial" w:cs="Arial"/>
          <w:color w:val="000000"/>
          <w:lang w:val="es-US"/>
        </w:rPr>
      </w:pPr>
    </w:p>
    <w:p w14:paraId="20934E7E" w14:textId="3555729F" w:rsidR="00D069FB" w:rsidRPr="00D069FB" w:rsidRDefault="00D069FB" w:rsidP="00F952D0">
      <w:pPr>
        <w:spacing w:line="360" w:lineRule="auto"/>
        <w:jc w:val="both"/>
        <w:rPr>
          <w:rFonts w:ascii="Arial" w:hAnsi="Arial" w:cs="Arial"/>
          <w:lang w:val="es-US"/>
        </w:rPr>
      </w:pPr>
      <w:r w:rsidRPr="00D069FB">
        <w:rPr>
          <w:rFonts w:ascii="Arial" w:hAnsi="Arial" w:cs="Arial"/>
          <w:color w:val="000000"/>
          <w:lang w:val="es-US"/>
        </w:rPr>
        <w:t>El vacío de conocimiento al respecto y la falta de una visión panorámica de la situación de desarrollo y de aprendizaje de las personas con TEA 1, puede impulsar el uso desmedido de un medicamento o de cualquier otra estrategia, en ausencia de una estrategia más pertinente.</w:t>
      </w:r>
    </w:p>
    <w:p w14:paraId="6266A73B" w14:textId="77777777" w:rsidR="00F952D0" w:rsidRDefault="00F952D0" w:rsidP="00F952D0">
      <w:pPr>
        <w:spacing w:line="360" w:lineRule="auto"/>
        <w:rPr>
          <w:rFonts w:ascii="Arial" w:hAnsi="Arial" w:cs="Arial"/>
          <w:b/>
          <w:bCs/>
          <w:color w:val="000000"/>
          <w:lang w:val="es-US"/>
        </w:rPr>
      </w:pPr>
    </w:p>
    <w:p w14:paraId="4E370613" w14:textId="144CD3D1" w:rsidR="00D069FB" w:rsidRPr="00D069FB" w:rsidRDefault="00D069FB" w:rsidP="00F952D0">
      <w:pPr>
        <w:spacing w:line="360" w:lineRule="auto"/>
        <w:rPr>
          <w:rFonts w:ascii="Arial" w:hAnsi="Arial" w:cs="Arial"/>
          <w:lang w:val="es-US"/>
        </w:rPr>
      </w:pPr>
      <w:r w:rsidRPr="00D069FB">
        <w:rPr>
          <w:rFonts w:ascii="Arial" w:hAnsi="Arial" w:cs="Arial"/>
          <w:b/>
          <w:bCs/>
          <w:color w:val="000000"/>
          <w:lang w:val="es-US"/>
        </w:rPr>
        <w:t>M</w:t>
      </w:r>
      <w:r w:rsidR="00F952D0">
        <w:rPr>
          <w:rFonts w:ascii="Arial" w:hAnsi="Arial" w:cs="Arial"/>
          <w:b/>
          <w:bCs/>
          <w:color w:val="000000"/>
          <w:lang w:val="es-US"/>
        </w:rPr>
        <w:t>ÉTODO</w:t>
      </w:r>
    </w:p>
    <w:p w14:paraId="50986A4A" w14:textId="77777777" w:rsidR="00F952D0" w:rsidRDefault="00F952D0" w:rsidP="00F952D0">
      <w:pPr>
        <w:spacing w:line="360" w:lineRule="auto"/>
        <w:jc w:val="both"/>
        <w:rPr>
          <w:rFonts w:ascii="Arial" w:hAnsi="Arial" w:cs="Arial"/>
          <w:color w:val="000000"/>
          <w:lang w:val="es-US"/>
        </w:rPr>
      </w:pPr>
    </w:p>
    <w:p w14:paraId="2FF0D9A0" w14:textId="172A6604" w:rsidR="00D069FB" w:rsidRPr="00D069FB" w:rsidRDefault="00D069FB" w:rsidP="00F952D0">
      <w:pPr>
        <w:spacing w:line="360" w:lineRule="auto"/>
        <w:jc w:val="both"/>
        <w:rPr>
          <w:rFonts w:ascii="Arial" w:hAnsi="Arial" w:cs="Arial"/>
          <w:lang w:val="es-US"/>
        </w:rPr>
      </w:pPr>
      <w:r w:rsidRPr="00D069FB">
        <w:rPr>
          <w:rFonts w:ascii="Arial" w:hAnsi="Arial" w:cs="Arial"/>
          <w:color w:val="000000"/>
          <w:lang w:val="es-US"/>
        </w:rPr>
        <w:t>El objetivo general del estudio, fue determinar el impacto que tenían las dificultades para escribir, de los y las estudiantes de la muestra con TEA 1, en sus niveles de atención.</w:t>
      </w:r>
    </w:p>
    <w:p w14:paraId="1CAA84B6" w14:textId="77777777" w:rsidR="00BB0075" w:rsidRDefault="00BB0075" w:rsidP="00BB0075">
      <w:pPr>
        <w:spacing w:line="360" w:lineRule="auto"/>
        <w:jc w:val="both"/>
        <w:rPr>
          <w:rFonts w:ascii="Arial" w:hAnsi="Arial" w:cs="Arial"/>
          <w:color w:val="000000"/>
          <w:lang w:val="es-US"/>
        </w:rPr>
      </w:pPr>
    </w:p>
    <w:p w14:paraId="45D996FB" w14:textId="3099F075" w:rsidR="00D069FB" w:rsidRPr="00D069FB" w:rsidRDefault="00D069FB" w:rsidP="00BB0075">
      <w:pPr>
        <w:spacing w:line="360" w:lineRule="auto"/>
        <w:jc w:val="both"/>
        <w:rPr>
          <w:rFonts w:ascii="Arial" w:hAnsi="Arial" w:cs="Arial"/>
          <w:lang w:val="es-US"/>
        </w:rPr>
      </w:pPr>
      <w:r w:rsidRPr="00D069FB">
        <w:rPr>
          <w:rFonts w:ascii="Arial" w:hAnsi="Arial" w:cs="Arial"/>
          <w:color w:val="000000"/>
          <w:lang w:val="es-US"/>
        </w:rPr>
        <w:t>Para ello, se seleccionó un grupo de 16 estudiantes que tenían las siguientes características en común:</w:t>
      </w:r>
    </w:p>
    <w:p w14:paraId="4781FC71" w14:textId="77777777" w:rsidR="00D069FB" w:rsidRPr="00D069FB" w:rsidRDefault="00D069FB" w:rsidP="00214DB4">
      <w:pPr>
        <w:numPr>
          <w:ilvl w:val="0"/>
          <w:numId w:val="44"/>
        </w:numPr>
        <w:spacing w:line="360" w:lineRule="auto"/>
        <w:ind w:left="924" w:hanging="357"/>
        <w:jc w:val="both"/>
        <w:textAlignment w:val="baseline"/>
        <w:rPr>
          <w:rFonts w:ascii="Arial" w:hAnsi="Arial" w:cs="Arial"/>
          <w:color w:val="000000"/>
          <w:lang w:val="es-US"/>
        </w:rPr>
      </w:pPr>
      <w:r w:rsidRPr="00D069FB">
        <w:rPr>
          <w:rFonts w:ascii="Arial" w:hAnsi="Arial" w:cs="Arial"/>
          <w:color w:val="000000"/>
          <w:lang w:val="es-US"/>
        </w:rPr>
        <w:lastRenderedPageBreak/>
        <w:t>Edad escolar, cursando la primaria en una institución que impartía una enseñanza tradicional.</w:t>
      </w:r>
    </w:p>
    <w:p w14:paraId="60BE4C0C" w14:textId="77777777" w:rsidR="00D069FB" w:rsidRPr="00D069FB" w:rsidRDefault="00D069FB" w:rsidP="00214DB4">
      <w:pPr>
        <w:numPr>
          <w:ilvl w:val="0"/>
          <w:numId w:val="44"/>
        </w:numPr>
        <w:spacing w:line="360" w:lineRule="auto"/>
        <w:ind w:left="924" w:hanging="357"/>
        <w:jc w:val="both"/>
        <w:textAlignment w:val="baseline"/>
        <w:rPr>
          <w:rFonts w:ascii="Arial" w:hAnsi="Arial" w:cs="Arial"/>
          <w:color w:val="000000"/>
          <w:lang w:val="es-US"/>
        </w:rPr>
      </w:pPr>
      <w:r w:rsidRPr="00D069FB">
        <w:rPr>
          <w:rFonts w:ascii="Arial" w:hAnsi="Arial" w:cs="Arial"/>
          <w:color w:val="000000"/>
          <w:lang w:val="es-US"/>
        </w:rPr>
        <w:t>Diagnóstico conclusivo de TEA1, formulado por un médico especialista con experiencia en el diagnóstico de esta condición.</w:t>
      </w:r>
    </w:p>
    <w:p w14:paraId="7F784FC2" w14:textId="77777777" w:rsidR="00D069FB" w:rsidRPr="00D069FB" w:rsidRDefault="00D069FB" w:rsidP="00214DB4">
      <w:pPr>
        <w:numPr>
          <w:ilvl w:val="0"/>
          <w:numId w:val="44"/>
        </w:numPr>
        <w:spacing w:line="360" w:lineRule="auto"/>
        <w:ind w:left="924" w:hanging="357"/>
        <w:jc w:val="both"/>
        <w:textAlignment w:val="baseline"/>
        <w:rPr>
          <w:rFonts w:ascii="Arial" w:hAnsi="Arial" w:cs="Arial"/>
          <w:color w:val="000000"/>
          <w:lang w:val="es-US"/>
        </w:rPr>
      </w:pPr>
      <w:r w:rsidRPr="00D069FB">
        <w:rPr>
          <w:rFonts w:ascii="Arial" w:hAnsi="Arial" w:cs="Arial"/>
          <w:color w:val="000000"/>
          <w:lang w:val="es-US"/>
        </w:rPr>
        <w:t>Dificultades para concentrarse en ciertas asignaturas, especialmente cuando debían escribir.</w:t>
      </w:r>
    </w:p>
    <w:p w14:paraId="4598B8CB" w14:textId="77777777" w:rsidR="00D069FB" w:rsidRPr="00D069FB" w:rsidRDefault="00D069FB" w:rsidP="00214DB4">
      <w:pPr>
        <w:numPr>
          <w:ilvl w:val="0"/>
          <w:numId w:val="44"/>
        </w:numPr>
        <w:spacing w:line="360" w:lineRule="auto"/>
        <w:ind w:left="924" w:hanging="357"/>
        <w:jc w:val="both"/>
        <w:textAlignment w:val="baseline"/>
        <w:rPr>
          <w:rFonts w:ascii="Arial" w:hAnsi="Arial" w:cs="Arial"/>
          <w:color w:val="000000"/>
          <w:lang w:val="es-US"/>
        </w:rPr>
      </w:pPr>
      <w:r w:rsidRPr="00D069FB">
        <w:rPr>
          <w:rFonts w:ascii="Arial" w:hAnsi="Arial" w:cs="Arial"/>
          <w:color w:val="000000"/>
          <w:lang w:val="es-US"/>
        </w:rPr>
        <w:t>Problemas con la prensión (agarre) del lápiz.</w:t>
      </w:r>
    </w:p>
    <w:p w14:paraId="0EF60C34" w14:textId="77777777" w:rsidR="00D069FB" w:rsidRPr="00D069FB" w:rsidRDefault="00D069FB" w:rsidP="00214DB4">
      <w:pPr>
        <w:numPr>
          <w:ilvl w:val="0"/>
          <w:numId w:val="44"/>
        </w:numPr>
        <w:spacing w:line="360" w:lineRule="auto"/>
        <w:ind w:left="924" w:hanging="357"/>
        <w:jc w:val="both"/>
        <w:textAlignment w:val="baseline"/>
        <w:rPr>
          <w:rFonts w:ascii="Arial" w:hAnsi="Arial" w:cs="Arial"/>
          <w:color w:val="000000"/>
          <w:lang w:val="es-US"/>
        </w:rPr>
      </w:pPr>
      <w:r w:rsidRPr="00D069FB">
        <w:rPr>
          <w:rFonts w:ascii="Arial" w:hAnsi="Arial" w:cs="Arial"/>
          <w:color w:val="000000"/>
          <w:lang w:val="es-US"/>
        </w:rPr>
        <w:t>Baja tolerancia a la frustración.</w:t>
      </w:r>
    </w:p>
    <w:p w14:paraId="103EF32C" w14:textId="77777777" w:rsidR="00D069FB" w:rsidRPr="00D069FB" w:rsidRDefault="00D069FB" w:rsidP="00214DB4">
      <w:pPr>
        <w:numPr>
          <w:ilvl w:val="0"/>
          <w:numId w:val="44"/>
        </w:numPr>
        <w:spacing w:line="360" w:lineRule="auto"/>
        <w:ind w:left="924" w:hanging="357"/>
        <w:jc w:val="both"/>
        <w:textAlignment w:val="baseline"/>
        <w:rPr>
          <w:rFonts w:ascii="Arial" w:hAnsi="Arial" w:cs="Arial"/>
          <w:color w:val="000000"/>
          <w:lang w:val="es-US"/>
        </w:rPr>
      </w:pPr>
      <w:r w:rsidRPr="00D069FB">
        <w:rPr>
          <w:rFonts w:ascii="Arial" w:hAnsi="Arial" w:cs="Arial"/>
          <w:color w:val="000000"/>
          <w:lang w:val="es-US"/>
        </w:rPr>
        <w:t>Todos estaban bajo la administración de medicamentos para la concentración.</w:t>
      </w:r>
    </w:p>
    <w:p w14:paraId="3F0565BE" w14:textId="77777777" w:rsidR="00214DB4" w:rsidRDefault="00214DB4" w:rsidP="00214DB4">
      <w:pPr>
        <w:spacing w:line="360" w:lineRule="auto"/>
        <w:jc w:val="both"/>
        <w:rPr>
          <w:rFonts w:ascii="Arial" w:hAnsi="Arial" w:cs="Arial"/>
          <w:color w:val="000000"/>
          <w:lang w:val="es-US"/>
        </w:rPr>
      </w:pPr>
    </w:p>
    <w:p w14:paraId="5A038F03" w14:textId="1C032093" w:rsidR="00D069FB" w:rsidRPr="00D069FB" w:rsidRDefault="00D069FB" w:rsidP="00214DB4">
      <w:pPr>
        <w:spacing w:line="360" w:lineRule="auto"/>
        <w:jc w:val="both"/>
        <w:rPr>
          <w:rFonts w:ascii="Arial" w:hAnsi="Arial" w:cs="Arial"/>
          <w:lang w:val="es-US"/>
        </w:rPr>
      </w:pPr>
      <w:r w:rsidRPr="00D069FB">
        <w:rPr>
          <w:rFonts w:ascii="Arial" w:hAnsi="Arial" w:cs="Arial"/>
          <w:color w:val="000000"/>
          <w:lang w:val="es-US"/>
        </w:rPr>
        <w:t>Se requirió a todos los padres, madres o personas encargadas de los y las menores de edad, firmar un consentimiento informado que autorizara la participación de sus hijos e hijas en el estudio; asimismo, se les solicitó a ellos y a las docentes a cargo de los y las estudiantes, participar directamente de la investigación, con observaciones detalladas dentro de la dinámica del aula, en donde se realizaron registros y se aplicaron entrevistas.</w:t>
      </w:r>
    </w:p>
    <w:p w14:paraId="5231C515" w14:textId="77777777" w:rsidR="00522F1F" w:rsidRDefault="00522F1F" w:rsidP="00522F1F">
      <w:pPr>
        <w:spacing w:line="360" w:lineRule="auto"/>
        <w:jc w:val="both"/>
        <w:rPr>
          <w:rFonts w:ascii="Arial" w:hAnsi="Arial" w:cs="Arial"/>
          <w:color w:val="000000"/>
          <w:lang w:val="es-US"/>
        </w:rPr>
      </w:pPr>
    </w:p>
    <w:p w14:paraId="5592507D" w14:textId="76AFD2AA" w:rsidR="00D069FB" w:rsidRPr="00D069FB" w:rsidRDefault="00D069FB" w:rsidP="00522F1F">
      <w:pPr>
        <w:spacing w:line="360" w:lineRule="auto"/>
        <w:jc w:val="both"/>
        <w:rPr>
          <w:rFonts w:ascii="Arial" w:hAnsi="Arial" w:cs="Arial"/>
          <w:lang w:val="es-US"/>
        </w:rPr>
      </w:pPr>
      <w:r w:rsidRPr="00D069FB">
        <w:rPr>
          <w:rFonts w:ascii="Arial" w:hAnsi="Arial" w:cs="Arial"/>
          <w:color w:val="000000"/>
          <w:lang w:val="es-US"/>
        </w:rPr>
        <w:t xml:space="preserve">La investigación se planteó “fenomenológica” dado que la muestra utilizada, fue de un total de 16 personas estudiantes; se realizó bajo un paradigma “naturalista – interpretativo”, debido a la necesidad de hacerse parte del entorno cotidiano </w:t>
      </w:r>
      <w:proofErr w:type="spellStart"/>
      <w:r w:rsidRPr="00D069FB">
        <w:rPr>
          <w:rFonts w:ascii="Arial" w:hAnsi="Arial" w:cs="Arial"/>
          <w:color w:val="000000"/>
          <w:lang w:val="es-US"/>
        </w:rPr>
        <w:t>de el</w:t>
      </w:r>
      <w:proofErr w:type="spellEnd"/>
      <w:r w:rsidRPr="00D069FB">
        <w:rPr>
          <w:rFonts w:ascii="Arial" w:hAnsi="Arial" w:cs="Arial"/>
          <w:color w:val="000000"/>
          <w:lang w:val="es-US"/>
        </w:rPr>
        <w:t xml:space="preserve"> estudiantado para realizar observaciones acuciosas y detalladas, todo ello, bajo un </w:t>
      </w:r>
      <w:r w:rsidRPr="00D069FB">
        <w:rPr>
          <w:rFonts w:ascii="Arial" w:hAnsi="Arial" w:cs="Arial"/>
          <w:color w:val="000000"/>
          <w:lang w:val="es-US"/>
        </w:rPr>
        <w:lastRenderedPageBreak/>
        <w:t>enfoque cualitativo.  El estudio tuvo carácter transversal, ya que, se realizó un único proceso de observación durante los meses del curso lectivo del año 2016.</w:t>
      </w:r>
    </w:p>
    <w:p w14:paraId="1543FB20" w14:textId="77777777" w:rsidR="00522F1F" w:rsidRDefault="00522F1F" w:rsidP="00522F1F">
      <w:pPr>
        <w:spacing w:line="360" w:lineRule="auto"/>
        <w:jc w:val="both"/>
        <w:rPr>
          <w:rFonts w:ascii="Arial" w:hAnsi="Arial" w:cs="Arial"/>
          <w:color w:val="000000"/>
          <w:lang w:val="es-US"/>
        </w:rPr>
      </w:pPr>
    </w:p>
    <w:p w14:paraId="6926A28D" w14:textId="5A62A43F" w:rsidR="00D069FB" w:rsidRPr="00D069FB" w:rsidRDefault="00D069FB" w:rsidP="00522F1F">
      <w:pPr>
        <w:spacing w:line="360" w:lineRule="auto"/>
        <w:jc w:val="both"/>
        <w:rPr>
          <w:rFonts w:ascii="Arial" w:hAnsi="Arial" w:cs="Arial"/>
          <w:lang w:val="es-US"/>
        </w:rPr>
      </w:pPr>
      <w:r w:rsidRPr="00D069FB">
        <w:rPr>
          <w:rFonts w:ascii="Arial" w:hAnsi="Arial" w:cs="Arial"/>
          <w:color w:val="000000"/>
          <w:lang w:val="es-US"/>
        </w:rPr>
        <w:t>Los instrumentos empleados en la investigación estuvieron diseñados para permitir la observación de cada estudiante en su entorno natural (hogar y escuela), mientras realizaban actividades típicas de los alumnos de educación primaria. Estas incluyeron tareas como escribir, leer, dibujar, ejecutar cálculos, participar en actividades de escucha y dedicar tiempo al estudio.</w:t>
      </w:r>
    </w:p>
    <w:p w14:paraId="3492837A" w14:textId="77777777" w:rsidR="00522F1F" w:rsidRDefault="00522F1F" w:rsidP="00522F1F">
      <w:pPr>
        <w:spacing w:line="360" w:lineRule="auto"/>
        <w:jc w:val="both"/>
        <w:rPr>
          <w:rFonts w:ascii="Arial" w:hAnsi="Arial" w:cs="Arial"/>
          <w:color w:val="000000"/>
          <w:lang w:val="es-US"/>
        </w:rPr>
      </w:pPr>
    </w:p>
    <w:p w14:paraId="0A36DE95" w14:textId="73CAA214" w:rsidR="00D069FB" w:rsidRPr="00D069FB" w:rsidRDefault="00D069FB" w:rsidP="00522F1F">
      <w:pPr>
        <w:spacing w:line="360" w:lineRule="auto"/>
        <w:jc w:val="both"/>
        <w:rPr>
          <w:rFonts w:ascii="Arial" w:hAnsi="Arial" w:cs="Arial"/>
          <w:lang w:val="es-US"/>
        </w:rPr>
      </w:pPr>
      <w:r w:rsidRPr="00D069FB">
        <w:rPr>
          <w:rFonts w:ascii="Arial" w:hAnsi="Arial" w:cs="Arial"/>
          <w:color w:val="000000"/>
          <w:lang w:val="es-US"/>
        </w:rPr>
        <w:t>Dichos instrumentos se constituyeron en una entrevista semiestructurada de 10 reactivos aplicada a los padres y madres  con preguntas sobre los rasgos que están típicamente presentes en los niños con TEA 1; una entrevista semiestructurada de 12 reactivos sobre el comportamiento de la persona estudiante en distintas asignaturas y actividades, aplicada a las personas docentes participantes; y un cuestionario sobre la comorbilidad existente entre el TEA 1 y el TDAH aplicado a un neurólogo infantil con amplia experiencia en diagnóstico y tratamiento de estudiantes con esta condición.</w:t>
      </w:r>
    </w:p>
    <w:p w14:paraId="3092CCE4" w14:textId="77777777" w:rsidR="00522F1F" w:rsidRDefault="00522F1F" w:rsidP="00522F1F">
      <w:pPr>
        <w:spacing w:line="360" w:lineRule="auto"/>
        <w:jc w:val="both"/>
        <w:rPr>
          <w:rFonts w:ascii="Arial" w:hAnsi="Arial" w:cs="Arial"/>
          <w:color w:val="000000"/>
          <w:lang w:val="es-US"/>
        </w:rPr>
      </w:pPr>
    </w:p>
    <w:p w14:paraId="7605A80F" w14:textId="0ACB22B2" w:rsidR="00D069FB" w:rsidRPr="00D069FB" w:rsidRDefault="00D069FB" w:rsidP="00522F1F">
      <w:pPr>
        <w:spacing w:line="360" w:lineRule="auto"/>
        <w:jc w:val="both"/>
        <w:rPr>
          <w:rFonts w:ascii="Arial" w:hAnsi="Arial" w:cs="Arial"/>
          <w:lang w:val="es-US"/>
        </w:rPr>
      </w:pPr>
      <w:r w:rsidRPr="00D069FB">
        <w:rPr>
          <w:rFonts w:ascii="Arial" w:hAnsi="Arial" w:cs="Arial"/>
          <w:color w:val="000000"/>
          <w:lang w:val="es-US"/>
        </w:rPr>
        <w:t xml:space="preserve">Adicionalmente se utilizó una lista de cotejo, que fue entregada a cada docente participante, específicamente con el objetivo de evaluar en las personas estudiantes, su nivel de rendimiento en actividades que involucraban el uso del lápiz y  en aquellas  que no requerían del uso de este elemento por no involucrar </w:t>
      </w:r>
      <w:r w:rsidRPr="00D069FB">
        <w:rPr>
          <w:rFonts w:ascii="Arial" w:hAnsi="Arial" w:cs="Arial"/>
          <w:color w:val="000000"/>
          <w:lang w:val="es-US"/>
        </w:rPr>
        <w:lastRenderedPageBreak/>
        <w:t>escritura; todo ello, a fin de determinar si la actitud de cada  estudiante, el tiempo de ejecución de la tarea, el ciclo de persistencia y el resultado o producto final, variaban dependiendo de si la actividad estaba o no relacionada con la escritura.</w:t>
      </w:r>
    </w:p>
    <w:p w14:paraId="1E719D30" w14:textId="77777777" w:rsidR="00522F1F" w:rsidRDefault="00522F1F" w:rsidP="00522F1F">
      <w:pPr>
        <w:spacing w:line="360" w:lineRule="auto"/>
        <w:jc w:val="both"/>
        <w:rPr>
          <w:rFonts w:ascii="Arial" w:hAnsi="Arial" w:cs="Arial"/>
          <w:color w:val="000000"/>
          <w:lang w:val="es-US"/>
        </w:rPr>
      </w:pPr>
    </w:p>
    <w:p w14:paraId="520D2E8D" w14:textId="2DFEAE4D" w:rsidR="00D069FB" w:rsidRPr="00D069FB" w:rsidRDefault="00D069FB" w:rsidP="00522F1F">
      <w:pPr>
        <w:spacing w:line="360" w:lineRule="auto"/>
        <w:jc w:val="both"/>
        <w:rPr>
          <w:rFonts w:ascii="Arial" w:hAnsi="Arial" w:cs="Arial"/>
          <w:lang w:val="es-US"/>
        </w:rPr>
      </w:pPr>
      <w:r w:rsidRPr="00D069FB">
        <w:rPr>
          <w:rFonts w:ascii="Arial" w:hAnsi="Arial" w:cs="Arial"/>
          <w:color w:val="000000"/>
          <w:lang w:val="es-US"/>
        </w:rPr>
        <w:t>Con el objetivo de evitar sesgos en los resultados, se realizó una observación individual y detallada de cada menor mediante la misma lista de cotejo entregada a los docentes, para registrar el rendimiento de cada uno de ellos en las mismas actividades que fueron observadas en el aula.</w:t>
      </w:r>
    </w:p>
    <w:p w14:paraId="50257E44" w14:textId="77777777" w:rsidR="00522F1F" w:rsidRDefault="00522F1F" w:rsidP="00522F1F">
      <w:pPr>
        <w:spacing w:line="360" w:lineRule="auto"/>
        <w:jc w:val="both"/>
        <w:rPr>
          <w:rFonts w:ascii="Arial" w:hAnsi="Arial" w:cs="Arial"/>
          <w:color w:val="000000"/>
          <w:lang w:val="es-US"/>
        </w:rPr>
      </w:pPr>
    </w:p>
    <w:p w14:paraId="5EBFAEAA" w14:textId="07A7EC6B" w:rsidR="00D069FB" w:rsidRPr="00D069FB" w:rsidRDefault="00D069FB" w:rsidP="00522F1F">
      <w:pPr>
        <w:spacing w:line="360" w:lineRule="auto"/>
        <w:jc w:val="both"/>
        <w:rPr>
          <w:rFonts w:ascii="Arial" w:hAnsi="Arial" w:cs="Arial"/>
          <w:lang w:val="es-US"/>
        </w:rPr>
      </w:pPr>
      <w:r w:rsidRPr="00D069FB">
        <w:rPr>
          <w:rFonts w:ascii="Arial" w:hAnsi="Arial" w:cs="Arial"/>
          <w:color w:val="000000"/>
          <w:lang w:val="es-US"/>
        </w:rPr>
        <w:t>A cada estudiante, se le aplicó una evaluación individual de las destrezas motrices (específicamente de motricidad fina), para conocer el nivel de desarrollo en esta área y para poder constatar, que en efecto, cada uno de ellos, exhibía dificultades al utilizar el lápiz especialmente si debían escribir.</w:t>
      </w:r>
    </w:p>
    <w:p w14:paraId="7C3B6D1D" w14:textId="77777777" w:rsidR="00522F1F" w:rsidRDefault="00522F1F" w:rsidP="00522F1F">
      <w:pPr>
        <w:spacing w:line="360" w:lineRule="auto"/>
        <w:jc w:val="both"/>
        <w:rPr>
          <w:rFonts w:ascii="Arial" w:hAnsi="Arial" w:cs="Arial"/>
          <w:color w:val="000000"/>
          <w:lang w:val="es-US"/>
        </w:rPr>
      </w:pPr>
    </w:p>
    <w:p w14:paraId="7A9C889F" w14:textId="4969D5C9" w:rsidR="00D069FB" w:rsidRPr="00D069FB" w:rsidRDefault="00D069FB" w:rsidP="00522F1F">
      <w:pPr>
        <w:spacing w:line="360" w:lineRule="auto"/>
        <w:jc w:val="both"/>
        <w:rPr>
          <w:rFonts w:ascii="Arial" w:hAnsi="Arial" w:cs="Arial"/>
          <w:lang w:val="es-US"/>
        </w:rPr>
      </w:pPr>
      <w:r w:rsidRPr="00D069FB">
        <w:rPr>
          <w:rFonts w:ascii="Arial" w:hAnsi="Arial" w:cs="Arial"/>
          <w:color w:val="000000"/>
          <w:lang w:val="es-US"/>
        </w:rPr>
        <w:t xml:space="preserve">A cada familia se le entregó un registro de atención que permitiera detectar el número de veces que cada estudiante se distraía en distintas actividades  en un periodo de tiempo determinado; las tareas en las que las personas estudiantes debían ser observadas, fueron cuidadosamente seleccionadas con el propósito de incluir actividades que requiriesen del uso del lápiz, y actividades que no involucraran esta tarea con el objetivo de poder establecer si aquellas en las que fácilmente perdían interés y atención, estaban asociadas al uso del lápiz; esto con </w:t>
      </w:r>
      <w:r w:rsidRPr="00D069FB">
        <w:rPr>
          <w:rFonts w:ascii="Arial" w:hAnsi="Arial" w:cs="Arial"/>
          <w:color w:val="000000"/>
          <w:lang w:val="es-US"/>
        </w:rPr>
        <w:lastRenderedPageBreak/>
        <w:t>la finalidad de saber si el número de distracciones se incrementaba por tener que realizar actividades que involucraban la escritura.</w:t>
      </w:r>
    </w:p>
    <w:p w14:paraId="3D99D496" w14:textId="77777777" w:rsidR="00522F1F" w:rsidRDefault="00522F1F" w:rsidP="00522F1F">
      <w:pPr>
        <w:spacing w:line="360" w:lineRule="auto"/>
        <w:jc w:val="both"/>
        <w:rPr>
          <w:rFonts w:ascii="Arial" w:hAnsi="Arial" w:cs="Arial"/>
          <w:color w:val="000000"/>
          <w:lang w:val="es-US"/>
        </w:rPr>
      </w:pPr>
    </w:p>
    <w:p w14:paraId="623225EF" w14:textId="0ED5DD5C" w:rsidR="00D069FB" w:rsidRPr="00D069FB" w:rsidRDefault="00D069FB" w:rsidP="00522F1F">
      <w:pPr>
        <w:spacing w:line="360" w:lineRule="auto"/>
        <w:jc w:val="both"/>
        <w:rPr>
          <w:rFonts w:ascii="Arial" w:hAnsi="Arial" w:cs="Arial"/>
          <w:lang w:val="es-US"/>
        </w:rPr>
      </w:pPr>
      <w:r w:rsidRPr="00D069FB">
        <w:rPr>
          <w:rFonts w:ascii="Arial" w:hAnsi="Arial" w:cs="Arial"/>
          <w:color w:val="000000"/>
          <w:lang w:val="es-US"/>
        </w:rPr>
        <w:t>Resultaba fundamental, tener la certeza de que los instrumentos descritos, funcionaban y que su aplicación fluía con facilidad, por lo que estos, fueron debidamente sometidos a un proceso de validación por parte de especialistas en distintas áreas, específicamente Educación Especial, Psicopedagogía y Terapia Ocupacional.</w:t>
      </w:r>
    </w:p>
    <w:p w14:paraId="4D2ECF07" w14:textId="77777777" w:rsidR="00522F1F" w:rsidRDefault="00522F1F" w:rsidP="00522F1F">
      <w:pPr>
        <w:spacing w:line="360" w:lineRule="auto"/>
        <w:rPr>
          <w:rFonts w:ascii="Arial" w:hAnsi="Arial" w:cs="Arial"/>
          <w:b/>
          <w:bCs/>
          <w:color w:val="000000"/>
          <w:lang w:val="es-US"/>
        </w:rPr>
      </w:pPr>
    </w:p>
    <w:p w14:paraId="38E62A80" w14:textId="6AA68F75" w:rsidR="00D069FB" w:rsidRDefault="00D069FB" w:rsidP="00522F1F">
      <w:pPr>
        <w:spacing w:line="360" w:lineRule="auto"/>
        <w:rPr>
          <w:rFonts w:ascii="Arial" w:hAnsi="Arial" w:cs="Arial"/>
          <w:b/>
          <w:bCs/>
          <w:color w:val="000000"/>
          <w:lang w:val="es-US"/>
        </w:rPr>
      </w:pPr>
      <w:r w:rsidRPr="00D069FB">
        <w:rPr>
          <w:rFonts w:ascii="Arial" w:hAnsi="Arial" w:cs="Arial"/>
          <w:b/>
          <w:bCs/>
          <w:color w:val="000000"/>
          <w:lang w:val="es-US"/>
        </w:rPr>
        <w:t>A</w:t>
      </w:r>
      <w:r w:rsidR="00522F1F">
        <w:rPr>
          <w:rFonts w:ascii="Arial" w:hAnsi="Arial" w:cs="Arial"/>
          <w:b/>
          <w:bCs/>
          <w:color w:val="000000"/>
          <w:lang w:val="es-US"/>
        </w:rPr>
        <w:t>NÁLISIS DE RESULTADOS</w:t>
      </w:r>
    </w:p>
    <w:p w14:paraId="12DA6DFF" w14:textId="77777777" w:rsidR="00522F1F" w:rsidRPr="00D069FB" w:rsidRDefault="00522F1F" w:rsidP="00522F1F">
      <w:pPr>
        <w:spacing w:line="360" w:lineRule="auto"/>
        <w:rPr>
          <w:rFonts w:ascii="Arial" w:hAnsi="Arial" w:cs="Arial"/>
          <w:lang w:val="es-US"/>
        </w:rPr>
      </w:pPr>
    </w:p>
    <w:p w14:paraId="70F940D2" w14:textId="77777777" w:rsidR="00D069FB" w:rsidRPr="00D069FB" w:rsidRDefault="00D069FB" w:rsidP="00522F1F">
      <w:pPr>
        <w:spacing w:line="360" w:lineRule="auto"/>
        <w:jc w:val="both"/>
        <w:rPr>
          <w:rFonts w:ascii="Arial" w:hAnsi="Arial" w:cs="Arial"/>
          <w:lang w:val="es-US"/>
        </w:rPr>
      </w:pPr>
      <w:r w:rsidRPr="00D069FB">
        <w:rPr>
          <w:rFonts w:ascii="Arial" w:hAnsi="Arial" w:cs="Arial"/>
          <w:color w:val="000000"/>
          <w:lang w:val="es-US"/>
        </w:rPr>
        <w:t>Para el análisis respectivo, la información extraída de la aplicación de los distintos instrumentos fue clasificada en 7 categorías de análisis:</w:t>
      </w:r>
    </w:p>
    <w:p w14:paraId="4D05E300" w14:textId="77777777" w:rsidR="00367C53" w:rsidRDefault="00D069FB" w:rsidP="00367C53">
      <w:pPr>
        <w:numPr>
          <w:ilvl w:val="0"/>
          <w:numId w:val="45"/>
        </w:numPr>
        <w:spacing w:line="360" w:lineRule="auto"/>
        <w:ind w:left="567" w:firstLine="0"/>
        <w:jc w:val="both"/>
        <w:textAlignment w:val="baseline"/>
        <w:rPr>
          <w:rFonts w:ascii="Arial" w:hAnsi="Arial" w:cs="Arial"/>
          <w:color w:val="000000"/>
          <w:lang w:val="es-US"/>
        </w:rPr>
      </w:pPr>
      <w:r w:rsidRPr="00D069FB">
        <w:rPr>
          <w:rFonts w:ascii="Arial" w:hAnsi="Arial" w:cs="Arial"/>
          <w:color w:val="000000"/>
          <w:lang w:val="es-US"/>
        </w:rPr>
        <w:t>presencia de problemas de atención en los estudiantes con TEA 1; </w:t>
      </w:r>
    </w:p>
    <w:p w14:paraId="0A6C9E26" w14:textId="2944BCA6" w:rsidR="00D069FB" w:rsidRPr="00D069FB" w:rsidRDefault="00D069FB" w:rsidP="00367C53">
      <w:pPr>
        <w:numPr>
          <w:ilvl w:val="0"/>
          <w:numId w:val="45"/>
        </w:numPr>
        <w:spacing w:line="360" w:lineRule="auto"/>
        <w:ind w:left="567" w:firstLine="0"/>
        <w:jc w:val="both"/>
        <w:textAlignment w:val="baseline"/>
        <w:rPr>
          <w:rFonts w:ascii="Arial" w:hAnsi="Arial" w:cs="Arial"/>
          <w:color w:val="000000"/>
          <w:lang w:val="es-US"/>
        </w:rPr>
      </w:pPr>
      <w:r w:rsidRPr="00D069FB">
        <w:rPr>
          <w:rFonts w:ascii="Arial" w:hAnsi="Arial" w:cs="Arial"/>
          <w:color w:val="000000"/>
          <w:lang w:val="es-US"/>
        </w:rPr>
        <w:t>comportamiento y niveles atencionales de las personas seleccionadas al realizar las tareas que involucraban la actividad de escritura;</w:t>
      </w:r>
    </w:p>
    <w:p w14:paraId="03FBBD6C" w14:textId="77777777" w:rsidR="00D069FB" w:rsidRPr="00D069FB" w:rsidRDefault="00D069FB" w:rsidP="00367C53">
      <w:pPr>
        <w:numPr>
          <w:ilvl w:val="0"/>
          <w:numId w:val="45"/>
        </w:numPr>
        <w:spacing w:line="360" w:lineRule="auto"/>
        <w:ind w:left="567" w:firstLine="0"/>
        <w:jc w:val="both"/>
        <w:textAlignment w:val="baseline"/>
        <w:rPr>
          <w:rFonts w:ascii="Arial" w:hAnsi="Arial" w:cs="Arial"/>
          <w:color w:val="000000"/>
          <w:lang w:val="es-US"/>
        </w:rPr>
      </w:pPr>
      <w:r w:rsidRPr="00D069FB">
        <w:rPr>
          <w:rFonts w:ascii="Arial" w:hAnsi="Arial" w:cs="Arial"/>
          <w:color w:val="000000"/>
          <w:lang w:val="es-US"/>
        </w:rPr>
        <w:t>dificultades de motricidad fina presentes en las personas estudiantes seleccionadas;</w:t>
      </w:r>
    </w:p>
    <w:p w14:paraId="6B9E92C0" w14:textId="77777777" w:rsidR="00D069FB" w:rsidRPr="00D069FB" w:rsidRDefault="00D069FB" w:rsidP="00367C53">
      <w:pPr>
        <w:numPr>
          <w:ilvl w:val="0"/>
          <w:numId w:val="45"/>
        </w:numPr>
        <w:spacing w:line="360" w:lineRule="auto"/>
        <w:ind w:left="567" w:firstLine="0"/>
        <w:jc w:val="both"/>
        <w:textAlignment w:val="baseline"/>
        <w:rPr>
          <w:rFonts w:ascii="Arial" w:hAnsi="Arial" w:cs="Arial"/>
          <w:color w:val="000000"/>
          <w:lang w:val="es-US"/>
        </w:rPr>
      </w:pPr>
      <w:r w:rsidRPr="00D069FB">
        <w:rPr>
          <w:rFonts w:ascii="Arial" w:hAnsi="Arial" w:cs="Arial"/>
          <w:color w:val="000000"/>
          <w:lang w:val="es-US"/>
        </w:rPr>
        <w:t>dificultades con los trazos, presentes en los y las estudiantes que participaron de la muestra;</w:t>
      </w:r>
    </w:p>
    <w:p w14:paraId="3D70CAA2" w14:textId="77777777" w:rsidR="00D069FB" w:rsidRPr="00D069FB" w:rsidRDefault="00D069FB" w:rsidP="00367C53">
      <w:pPr>
        <w:numPr>
          <w:ilvl w:val="0"/>
          <w:numId w:val="45"/>
        </w:numPr>
        <w:spacing w:line="360" w:lineRule="auto"/>
        <w:ind w:left="567" w:firstLine="0"/>
        <w:jc w:val="both"/>
        <w:textAlignment w:val="baseline"/>
        <w:rPr>
          <w:rFonts w:ascii="Arial" w:hAnsi="Arial" w:cs="Arial"/>
          <w:color w:val="000000"/>
          <w:lang w:val="es-US"/>
        </w:rPr>
      </w:pPr>
      <w:r w:rsidRPr="00D069FB">
        <w:rPr>
          <w:rFonts w:ascii="Arial" w:hAnsi="Arial" w:cs="Arial"/>
          <w:color w:val="000000"/>
          <w:lang w:val="es-US"/>
        </w:rPr>
        <w:lastRenderedPageBreak/>
        <w:t>diferencias en el comportamiento de las personas estudiantes seleccionadas en actividades diversas como leer, escribir, dibujar, jugar, hacer cálculos o escuchar la explicación de su docente;</w:t>
      </w:r>
    </w:p>
    <w:p w14:paraId="2B1A7E7F" w14:textId="77777777" w:rsidR="00D069FB" w:rsidRPr="00D069FB" w:rsidRDefault="00D069FB" w:rsidP="00367C53">
      <w:pPr>
        <w:numPr>
          <w:ilvl w:val="0"/>
          <w:numId w:val="45"/>
        </w:numPr>
        <w:spacing w:line="360" w:lineRule="auto"/>
        <w:ind w:left="567" w:firstLine="0"/>
        <w:jc w:val="both"/>
        <w:textAlignment w:val="baseline"/>
        <w:rPr>
          <w:rFonts w:ascii="Arial" w:hAnsi="Arial" w:cs="Arial"/>
          <w:color w:val="000000"/>
          <w:lang w:val="es-US"/>
        </w:rPr>
      </w:pPr>
      <w:r w:rsidRPr="00D069FB">
        <w:rPr>
          <w:rFonts w:ascii="Arial" w:hAnsi="Arial" w:cs="Arial"/>
          <w:color w:val="000000"/>
          <w:lang w:val="es-US"/>
        </w:rPr>
        <w:t>respuesta de las personas estudiantes seleccionadas, a tareas que les resultaban frustrantes;</w:t>
      </w:r>
    </w:p>
    <w:p w14:paraId="32739937" w14:textId="77777777" w:rsidR="00D069FB" w:rsidRPr="00D069FB" w:rsidRDefault="00D069FB" w:rsidP="00367C53">
      <w:pPr>
        <w:numPr>
          <w:ilvl w:val="0"/>
          <w:numId w:val="45"/>
        </w:numPr>
        <w:spacing w:line="360" w:lineRule="auto"/>
        <w:ind w:left="567" w:firstLine="0"/>
        <w:jc w:val="both"/>
        <w:textAlignment w:val="baseline"/>
        <w:rPr>
          <w:rFonts w:ascii="Arial" w:hAnsi="Arial" w:cs="Arial"/>
          <w:color w:val="000000"/>
          <w:lang w:val="es-US"/>
        </w:rPr>
      </w:pPr>
      <w:r w:rsidRPr="00D069FB">
        <w:rPr>
          <w:rFonts w:ascii="Arial" w:hAnsi="Arial" w:cs="Arial"/>
          <w:color w:val="000000"/>
          <w:lang w:val="es-US"/>
        </w:rPr>
        <w:t>alcances de la medicación recibida para resolver los problemas de atención de las personas estudiantes seleccionadas. </w:t>
      </w:r>
    </w:p>
    <w:p w14:paraId="01B7C790" w14:textId="77777777" w:rsidR="005E25B6" w:rsidRDefault="005E25B6" w:rsidP="005E25B6">
      <w:pPr>
        <w:spacing w:line="360" w:lineRule="auto"/>
        <w:jc w:val="both"/>
        <w:rPr>
          <w:rFonts w:ascii="Arial" w:hAnsi="Arial" w:cs="Arial"/>
          <w:color w:val="000000"/>
          <w:lang w:val="es-US"/>
        </w:rPr>
      </w:pPr>
    </w:p>
    <w:p w14:paraId="17C9ACF9" w14:textId="3A12F945" w:rsidR="00D069FB" w:rsidRPr="00D069FB" w:rsidRDefault="00D069FB" w:rsidP="005E25B6">
      <w:pPr>
        <w:spacing w:line="360" w:lineRule="auto"/>
        <w:jc w:val="both"/>
        <w:rPr>
          <w:rFonts w:ascii="Arial" w:hAnsi="Arial" w:cs="Arial"/>
          <w:lang w:val="es-US"/>
        </w:rPr>
      </w:pPr>
      <w:r w:rsidRPr="00D069FB">
        <w:rPr>
          <w:rFonts w:ascii="Arial" w:hAnsi="Arial" w:cs="Arial"/>
          <w:color w:val="000000"/>
          <w:lang w:val="es-US"/>
        </w:rPr>
        <w:t>El primer elemento a considerar al analizar los resultados, es que el  nivel de interés en un estímulo o en una actividad, tiene una fuerte injerencia en los niveles de atención de estudiantes con TEA 1,  premisa que ha sido reafirmada por múltiples autores e investigadores, entre ellos, (</w:t>
      </w:r>
      <w:proofErr w:type="spellStart"/>
      <w:r w:rsidRPr="00D069FB">
        <w:rPr>
          <w:rFonts w:ascii="Arial" w:hAnsi="Arial" w:cs="Arial"/>
          <w:color w:val="000000"/>
          <w:lang w:val="es-US"/>
        </w:rPr>
        <w:t>Baron</w:t>
      </w:r>
      <w:proofErr w:type="spellEnd"/>
      <w:r w:rsidRPr="00D069FB">
        <w:rPr>
          <w:rFonts w:ascii="Arial" w:hAnsi="Arial" w:cs="Arial"/>
          <w:color w:val="000000"/>
          <w:lang w:val="es-US"/>
        </w:rPr>
        <w:t xml:space="preserve"> Cohen, 2008) quien hace referencia a la marcada tendencia de lo que se denomina “</w:t>
      </w:r>
      <w:proofErr w:type="spellStart"/>
      <w:r w:rsidRPr="00D069FB">
        <w:rPr>
          <w:rFonts w:ascii="Arial" w:hAnsi="Arial" w:cs="Arial"/>
          <w:color w:val="000000"/>
          <w:lang w:val="es-US"/>
        </w:rPr>
        <w:t>hiperfocalización</w:t>
      </w:r>
      <w:proofErr w:type="spellEnd"/>
      <w:r w:rsidRPr="00D069FB">
        <w:rPr>
          <w:rFonts w:ascii="Arial" w:hAnsi="Arial" w:cs="Arial"/>
          <w:color w:val="000000"/>
          <w:lang w:val="es-US"/>
        </w:rPr>
        <w:t>” en estudiantes con espectro autista  es decir, una fuerte tendencia  a sumergirse en una tarea o actividad, al punto de “desconectarse” del entorno circundante. </w:t>
      </w:r>
    </w:p>
    <w:p w14:paraId="473F9264" w14:textId="77777777" w:rsidR="00CB1394" w:rsidRDefault="00CB1394" w:rsidP="00CB1394">
      <w:pPr>
        <w:spacing w:line="360" w:lineRule="auto"/>
        <w:jc w:val="both"/>
        <w:rPr>
          <w:rFonts w:ascii="Arial" w:hAnsi="Arial" w:cs="Arial"/>
          <w:color w:val="000000"/>
          <w:lang w:val="es-US"/>
        </w:rPr>
      </w:pPr>
    </w:p>
    <w:p w14:paraId="2EFD85B4" w14:textId="04F1B1D3" w:rsidR="00D069FB" w:rsidRPr="00D069FB" w:rsidRDefault="00D069FB" w:rsidP="00CB1394">
      <w:pPr>
        <w:spacing w:line="360" w:lineRule="auto"/>
        <w:jc w:val="both"/>
        <w:rPr>
          <w:rFonts w:ascii="Arial" w:hAnsi="Arial" w:cs="Arial"/>
          <w:lang w:val="es-US"/>
        </w:rPr>
      </w:pPr>
      <w:r w:rsidRPr="00D069FB">
        <w:rPr>
          <w:rFonts w:ascii="Arial" w:hAnsi="Arial" w:cs="Arial"/>
          <w:color w:val="000000"/>
          <w:lang w:val="es-US"/>
        </w:rPr>
        <w:t>Sobre esta línea los resultados, evidenciaron una clara disminución de los niveles de concentración de las personas estudiantes seleccionadas cuando las actividades no estuvieron relacionadas con sus temas de interés (Chávez, 2017); esto, pese a estar recibiendo medicación para la inatención.</w:t>
      </w:r>
    </w:p>
    <w:p w14:paraId="4EFF1B8A" w14:textId="6CDFDCA5" w:rsidR="00D069FB" w:rsidRPr="00D069FB" w:rsidRDefault="00D069FB" w:rsidP="00CB1394">
      <w:pPr>
        <w:spacing w:line="360" w:lineRule="auto"/>
        <w:jc w:val="both"/>
        <w:rPr>
          <w:rFonts w:ascii="Arial" w:hAnsi="Arial" w:cs="Arial"/>
          <w:lang w:val="es-US"/>
        </w:rPr>
      </w:pPr>
      <w:r w:rsidRPr="00D069FB">
        <w:rPr>
          <w:rFonts w:ascii="Arial" w:hAnsi="Arial" w:cs="Arial"/>
          <w:color w:val="000000"/>
          <w:lang w:val="es-US"/>
        </w:rPr>
        <w:lastRenderedPageBreak/>
        <w:t>A su vez, mostraron un incremento notorio de la atención focal e incluso de la “</w:t>
      </w:r>
      <w:proofErr w:type="spellStart"/>
      <w:r w:rsidRPr="00D069FB">
        <w:rPr>
          <w:rFonts w:ascii="Arial" w:hAnsi="Arial" w:cs="Arial"/>
          <w:color w:val="000000"/>
          <w:lang w:val="es-US"/>
        </w:rPr>
        <w:t>hiperfocalización</w:t>
      </w:r>
      <w:proofErr w:type="spellEnd"/>
      <w:r w:rsidRPr="00D069FB">
        <w:rPr>
          <w:rFonts w:ascii="Arial" w:hAnsi="Arial" w:cs="Arial"/>
          <w:color w:val="000000"/>
          <w:lang w:val="es-US"/>
        </w:rPr>
        <w:t>”, cuando se enfrentaron a tareas que lograban disfrutar, que les parecían atractivas o que les resultaban fáciles de ejecutar.</w:t>
      </w:r>
    </w:p>
    <w:p w14:paraId="7242DCD9" w14:textId="77777777" w:rsidR="00CB1394" w:rsidRDefault="00CB1394" w:rsidP="00CB1394">
      <w:pPr>
        <w:spacing w:line="360" w:lineRule="auto"/>
        <w:jc w:val="both"/>
        <w:rPr>
          <w:rFonts w:ascii="Arial" w:hAnsi="Arial" w:cs="Arial"/>
          <w:color w:val="000000"/>
          <w:lang w:val="es-US"/>
        </w:rPr>
      </w:pPr>
    </w:p>
    <w:p w14:paraId="2BD04C1C" w14:textId="0A1F5AC9" w:rsidR="00D069FB" w:rsidRPr="00D069FB" w:rsidRDefault="00D069FB" w:rsidP="00CB1394">
      <w:pPr>
        <w:spacing w:line="360" w:lineRule="auto"/>
        <w:jc w:val="both"/>
        <w:rPr>
          <w:rFonts w:ascii="Arial" w:hAnsi="Arial" w:cs="Arial"/>
          <w:lang w:val="es-US"/>
        </w:rPr>
      </w:pPr>
      <w:r w:rsidRPr="00D069FB">
        <w:rPr>
          <w:rFonts w:ascii="Arial" w:hAnsi="Arial" w:cs="Arial"/>
          <w:color w:val="000000"/>
          <w:lang w:val="es-US"/>
        </w:rPr>
        <w:t>De las respuestas a los cuestionarios, que fueron aplicados a los padres y madres, se desprendieron múltiples testimonios que indicaron que, a estos estudiantes, no les era posible mantener su atención focalizada en actividades que no fueran de su interés y que, adicionalmente, en aquellas que les resultaban atrayentes, parecían no requerir en absoluto de la medicación para la concentración.</w:t>
      </w:r>
    </w:p>
    <w:p w14:paraId="1203D828" w14:textId="77777777" w:rsidR="00CB1394" w:rsidRDefault="00CB1394" w:rsidP="00CB1394">
      <w:pPr>
        <w:spacing w:line="360" w:lineRule="auto"/>
        <w:jc w:val="both"/>
        <w:rPr>
          <w:rFonts w:ascii="Arial" w:hAnsi="Arial" w:cs="Arial"/>
          <w:color w:val="000000"/>
          <w:lang w:val="es-US"/>
        </w:rPr>
      </w:pPr>
    </w:p>
    <w:p w14:paraId="710492E1" w14:textId="6FEA7E80" w:rsidR="00D069FB" w:rsidRPr="00D069FB" w:rsidRDefault="00D069FB" w:rsidP="00CB1394">
      <w:pPr>
        <w:spacing w:line="360" w:lineRule="auto"/>
        <w:jc w:val="both"/>
        <w:rPr>
          <w:rFonts w:ascii="Arial" w:hAnsi="Arial" w:cs="Arial"/>
          <w:lang w:val="es-US"/>
        </w:rPr>
      </w:pPr>
      <w:r w:rsidRPr="00D069FB">
        <w:rPr>
          <w:rFonts w:ascii="Arial" w:hAnsi="Arial" w:cs="Arial"/>
          <w:color w:val="000000"/>
          <w:lang w:val="es-US"/>
        </w:rPr>
        <w:t xml:space="preserve">Específicamente sobre las actividades relacionadas con el uso del lápiz o la escritura, los resultados evidenciaron que las 16 personas estudiantes que participaron, rendían mejor, incluso en tareas que suelen considerarse más difíciles, como por ejemplo tareas de cálculo, que en aquellas propias de asignaturas como Estudios Sociales o </w:t>
      </w:r>
      <w:proofErr w:type="gramStart"/>
      <w:r w:rsidRPr="00D069FB">
        <w:rPr>
          <w:rFonts w:ascii="Arial" w:hAnsi="Arial" w:cs="Arial"/>
          <w:color w:val="000000"/>
          <w:lang w:val="es-US"/>
        </w:rPr>
        <w:t>Español</w:t>
      </w:r>
      <w:proofErr w:type="gramEnd"/>
      <w:r w:rsidRPr="00D069FB">
        <w:rPr>
          <w:rFonts w:ascii="Arial" w:hAnsi="Arial" w:cs="Arial"/>
          <w:color w:val="000000"/>
          <w:lang w:val="es-US"/>
        </w:rPr>
        <w:t xml:space="preserve"> en las que normalmente existe una demanda mucho más grande en relación con la transcripción de textos o la escritura espontánea (redacción).</w:t>
      </w:r>
    </w:p>
    <w:p w14:paraId="5E1EB999" w14:textId="77777777" w:rsidR="00CB1394" w:rsidRDefault="00CB1394" w:rsidP="00CB1394">
      <w:pPr>
        <w:spacing w:line="360" w:lineRule="auto"/>
        <w:jc w:val="both"/>
        <w:rPr>
          <w:rFonts w:ascii="Arial" w:hAnsi="Arial" w:cs="Arial"/>
          <w:color w:val="000000"/>
          <w:lang w:val="es-US"/>
        </w:rPr>
      </w:pPr>
    </w:p>
    <w:p w14:paraId="5783B13B" w14:textId="3888407C" w:rsidR="00D069FB" w:rsidRPr="00D069FB" w:rsidRDefault="00D069FB" w:rsidP="00CB1394">
      <w:pPr>
        <w:spacing w:line="360" w:lineRule="auto"/>
        <w:jc w:val="both"/>
        <w:rPr>
          <w:rFonts w:ascii="Arial" w:hAnsi="Arial" w:cs="Arial"/>
          <w:lang w:val="es-US"/>
        </w:rPr>
      </w:pPr>
      <w:r w:rsidRPr="00D069FB">
        <w:rPr>
          <w:rFonts w:ascii="Arial" w:hAnsi="Arial" w:cs="Arial"/>
          <w:color w:val="000000"/>
          <w:lang w:val="es-US"/>
        </w:rPr>
        <w:t xml:space="preserve">Estos resultados evidenciaron que existen causas distintas de déficit de atención no correspondientes al TDAH clásico, (Chávez, 2017).  Para aclarar esta afirmación con la profundidad pertinente, es primordial conocer la definición de TDAH.  El DSM– 5 (American </w:t>
      </w:r>
      <w:proofErr w:type="spellStart"/>
      <w:r w:rsidRPr="00D069FB">
        <w:rPr>
          <w:rFonts w:ascii="Arial" w:hAnsi="Arial" w:cs="Arial"/>
          <w:color w:val="000000"/>
          <w:lang w:val="es-US"/>
        </w:rPr>
        <w:t>Psychiatric</w:t>
      </w:r>
      <w:proofErr w:type="spellEnd"/>
      <w:r w:rsidRPr="00D069FB">
        <w:rPr>
          <w:rFonts w:ascii="Arial" w:hAnsi="Arial" w:cs="Arial"/>
          <w:color w:val="000000"/>
          <w:lang w:val="es-US"/>
        </w:rPr>
        <w:t xml:space="preserve"> </w:t>
      </w:r>
      <w:proofErr w:type="spellStart"/>
      <w:r w:rsidRPr="00D069FB">
        <w:rPr>
          <w:rFonts w:ascii="Arial" w:hAnsi="Arial" w:cs="Arial"/>
          <w:color w:val="000000"/>
          <w:lang w:val="es-US"/>
        </w:rPr>
        <w:t>Association</w:t>
      </w:r>
      <w:proofErr w:type="spellEnd"/>
      <w:r w:rsidRPr="00D069FB">
        <w:rPr>
          <w:rFonts w:ascii="Arial" w:hAnsi="Arial" w:cs="Arial"/>
          <w:color w:val="000000"/>
          <w:lang w:val="es-US"/>
        </w:rPr>
        <w:t xml:space="preserve">, 2014), define dicho trastorno como una </w:t>
      </w:r>
      <w:r w:rsidRPr="00D069FB">
        <w:rPr>
          <w:rFonts w:ascii="Arial" w:hAnsi="Arial" w:cs="Arial"/>
          <w:color w:val="000000"/>
          <w:lang w:val="es-US"/>
        </w:rPr>
        <w:lastRenderedPageBreak/>
        <w:t>condición del neurodesarrollo caracterizada por patrones persistentes de inatención e hiperactividad que generan una interferencia con las actividades cotidianas de la persona que lo padece, impidiendo esta falta de atención, el desarrollo fluido de diversas tareas. </w:t>
      </w:r>
    </w:p>
    <w:p w14:paraId="66BB9A78" w14:textId="77777777" w:rsidR="00CB1394" w:rsidRDefault="00CB1394" w:rsidP="00CB1394">
      <w:pPr>
        <w:spacing w:line="360" w:lineRule="auto"/>
        <w:jc w:val="both"/>
        <w:rPr>
          <w:rFonts w:ascii="Arial" w:hAnsi="Arial" w:cs="Arial"/>
          <w:color w:val="000000"/>
          <w:lang w:val="es-US"/>
        </w:rPr>
      </w:pPr>
    </w:p>
    <w:p w14:paraId="7233090F" w14:textId="5BC319A4" w:rsidR="00D069FB" w:rsidRPr="00D069FB" w:rsidRDefault="00D069FB" w:rsidP="00CB1394">
      <w:pPr>
        <w:spacing w:line="360" w:lineRule="auto"/>
        <w:jc w:val="both"/>
        <w:rPr>
          <w:rFonts w:ascii="Arial" w:hAnsi="Arial" w:cs="Arial"/>
          <w:lang w:val="es-US"/>
        </w:rPr>
      </w:pPr>
      <w:r w:rsidRPr="00D069FB">
        <w:rPr>
          <w:rFonts w:ascii="Arial" w:hAnsi="Arial" w:cs="Arial"/>
          <w:color w:val="000000"/>
          <w:lang w:val="es-US"/>
        </w:rPr>
        <w:t>De la anterior definición, se concluye que, en el TDAH, es la falta de atención en sí misma, la causa primaria de las dificultades con las actividades cotidianas de una persona.  Si se parte de la misma definición, puede concluirse que, la imposibilidad de concentrarse en una tarea -debido por ejemplo-, a una dificultad con las destrezas que se requieren para esa tarea en específico, no se enmarcaría dentro de la definición clásica de TDAH, debido a que la causa de la dispersión, no sería primariamente, un problema con la capacidad para focalizarse en una actividad.</w:t>
      </w:r>
    </w:p>
    <w:p w14:paraId="1976B8CB" w14:textId="77777777" w:rsidR="00CB1394" w:rsidRDefault="00CB1394" w:rsidP="00CB1394">
      <w:pPr>
        <w:spacing w:line="360" w:lineRule="auto"/>
        <w:jc w:val="both"/>
        <w:rPr>
          <w:rFonts w:ascii="Arial" w:hAnsi="Arial" w:cs="Arial"/>
          <w:color w:val="000000"/>
          <w:lang w:val="es-US"/>
        </w:rPr>
      </w:pPr>
    </w:p>
    <w:p w14:paraId="2AEF827B" w14:textId="4621CB07" w:rsidR="00D069FB" w:rsidRPr="00D069FB" w:rsidRDefault="00D069FB" w:rsidP="00CB1394">
      <w:pPr>
        <w:spacing w:line="360" w:lineRule="auto"/>
        <w:jc w:val="both"/>
        <w:rPr>
          <w:rFonts w:ascii="Arial" w:hAnsi="Arial" w:cs="Arial"/>
          <w:lang w:val="es-US"/>
        </w:rPr>
      </w:pPr>
      <w:r w:rsidRPr="00D069FB">
        <w:rPr>
          <w:rFonts w:ascii="Arial" w:hAnsi="Arial" w:cs="Arial"/>
          <w:color w:val="000000"/>
          <w:lang w:val="es-US"/>
        </w:rPr>
        <w:t>En el caso particular del estudio en el cual se basa este artículo, los procesos de observación y los registros de conducta realizados por las personas encargadas de los  y las menores  y  sus docentes, reportaron para los 16 casos, una mayor incidencia de problemas de conducta y de rechazo cada vez que estos estudiantes tenían que enfrentarse a la tarea de escribir; problemas que iban desde un incremento de la dispersión de la atención, hasta verdaderas crisis o rabietas cargadas de agresividad, conocidas como “</w:t>
      </w:r>
      <w:proofErr w:type="spellStart"/>
      <w:r w:rsidRPr="00D069FB">
        <w:rPr>
          <w:rFonts w:ascii="Arial" w:hAnsi="Arial" w:cs="Arial"/>
          <w:color w:val="000000"/>
          <w:lang w:val="es-US"/>
        </w:rPr>
        <w:t>temper</w:t>
      </w:r>
      <w:proofErr w:type="spellEnd"/>
      <w:r w:rsidRPr="00D069FB">
        <w:rPr>
          <w:rFonts w:ascii="Arial" w:hAnsi="Arial" w:cs="Arial"/>
          <w:color w:val="000000"/>
          <w:lang w:val="es-US"/>
        </w:rPr>
        <w:t xml:space="preserve"> </w:t>
      </w:r>
      <w:proofErr w:type="spellStart"/>
      <w:r w:rsidRPr="00D069FB">
        <w:rPr>
          <w:rFonts w:ascii="Arial" w:hAnsi="Arial" w:cs="Arial"/>
          <w:color w:val="000000"/>
          <w:lang w:val="es-US"/>
        </w:rPr>
        <w:t>tantrum</w:t>
      </w:r>
      <w:proofErr w:type="spellEnd"/>
      <w:r w:rsidRPr="00D069FB">
        <w:rPr>
          <w:rFonts w:ascii="Arial" w:hAnsi="Arial" w:cs="Arial"/>
          <w:color w:val="000000"/>
          <w:lang w:val="es-US"/>
        </w:rPr>
        <w:t>” e incluso, una disminución notable del “tempo cognitivo” o velocidad de procesamiento cada vez que se les solicitaba escribir; este hallazgo, es respaldado por (</w:t>
      </w:r>
      <w:proofErr w:type="spellStart"/>
      <w:r w:rsidRPr="00D069FB">
        <w:rPr>
          <w:rFonts w:ascii="Arial" w:hAnsi="Arial" w:cs="Arial"/>
          <w:color w:val="000000"/>
          <w:lang w:val="es-US"/>
        </w:rPr>
        <w:t>Belichón</w:t>
      </w:r>
      <w:proofErr w:type="spellEnd"/>
      <w:r w:rsidRPr="00D069FB">
        <w:rPr>
          <w:rFonts w:ascii="Arial" w:hAnsi="Arial" w:cs="Arial"/>
          <w:color w:val="000000"/>
          <w:lang w:val="es-US"/>
        </w:rPr>
        <w:t xml:space="preserve"> y </w:t>
      </w:r>
      <w:r w:rsidRPr="00D069FB">
        <w:rPr>
          <w:rFonts w:ascii="Arial" w:hAnsi="Arial" w:cs="Arial"/>
          <w:color w:val="000000"/>
          <w:lang w:val="es-US"/>
        </w:rPr>
        <w:lastRenderedPageBreak/>
        <w:t>Hernández, 2009), quienes hacen una referencia contundente al aumento de los niveles de irritabilidad en niños con espectro autista cuando experimentan frustración.</w:t>
      </w:r>
    </w:p>
    <w:p w14:paraId="4B70E280" w14:textId="77777777" w:rsidR="00CB1394" w:rsidRDefault="00CB1394" w:rsidP="00CB1394">
      <w:pPr>
        <w:spacing w:line="360" w:lineRule="auto"/>
        <w:jc w:val="both"/>
        <w:rPr>
          <w:rFonts w:ascii="Arial" w:hAnsi="Arial" w:cs="Arial"/>
          <w:color w:val="000000"/>
          <w:lang w:val="es-US"/>
        </w:rPr>
      </w:pPr>
    </w:p>
    <w:p w14:paraId="416D703E" w14:textId="44AE2B08" w:rsidR="00D069FB" w:rsidRPr="00D069FB" w:rsidRDefault="00D069FB" w:rsidP="00CB1394">
      <w:pPr>
        <w:spacing w:line="360" w:lineRule="auto"/>
        <w:jc w:val="both"/>
        <w:rPr>
          <w:rFonts w:ascii="Arial" w:hAnsi="Arial" w:cs="Arial"/>
          <w:lang w:val="es-US"/>
        </w:rPr>
      </w:pPr>
      <w:r w:rsidRPr="00D069FB">
        <w:rPr>
          <w:rFonts w:ascii="Arial" w:hAnsi="Arial" w:cs="Arial"/>
          <w:color w:val="000000"/>
          <w:lang w:val="es-US"/>
        </w:rPr>
        <w:t>Sobre las habilidades motoras, estas mostraron niveles elevados de afectación en la totalidad del grupo de estudiantes participantes del estudio, que exhiben torpezas y fallas de coordinación en tareas que resultan fácilmente accesibles para la mayoría de niños y niñas de su edad y nivel, lo cual, no resulta sorpresivo en lo absoluto ya que es un rasgo distintivo de pacientes con TEA 1, afirmación respaldada por (</w:t>
      </w:r>
      <w:proofErr w:type="spellStart"/>
      <w:r w:rsidRPr="00D069FB">
        <w:rPr>
          <w:rFonts w:ascii="Arial" w:hAnsi="Arial" w:cs="Arial"/>
          <w:color w:val="000000"/>
          <w:lang w:val="es-US"/>
        </w:rPr>
        <w:t>Arrebillaga</w:t>
      </w:r>
      <w:proofErr w:type="spellEnd"/>
      <w:r w:rsidRPr="00D069FB">
        <w:rPr>
          <w:rFonts w:ascii="Arial" w:hAnsi="Arial" w:cs="Arial"/>
          <w:color w:val="000000"/>
          <w:lang w:val="es-US"/>
        </w:rPr>
        <w:t>, 2012) al hacer referencia al retraso motor y las dificultades de coordinación con las que cursan las personas con esta condición.</w:t>
      </w:r>
    </w:p>
    <w:p w14:paraId="1BB8B980" w14:textId="77777777" w:rsidR="00CB1394" w:rsidRDefault="00CB1394" w:rsidP="00CB1394">
      <w:pPr>
        <w:spacing w:line="360" w:lineRule="auto"/>
        <w:jc w:val="both"/>
        <w:rPr>
          <w:rFonts w:ascii="Arial" w:hAnsi="Arial" w:cs="Arial"/>
          <w:color w:val="000000"/>
          <w:lang w:val="es-US"/>
        </w:rPr>
      </w:pPr>
    </w:p>
    <w:p w14:paraId="1E77BFE9" w14:textId="68B5A646" w:rsidR="00D069FB" w:rsidRPr="00D069FB" w:rsidRDefault="00D069FB" w:rsidP="00CB1394">
      <w:pPr>
        <w:spacing w:line="360" w:lineRule="auto"/>
        <w:jc w:val="both"/>
        <w:rPr>
          <w:rFonts w:ascii="Arial" w:hAnsi="Arial" w:cs="Arial"/>
          <w:lang w:val="es-US"/>
        </w:rPr>
      </w:pPr>
      <w:r w:rsidRPr="00D069FB">
        <w:rPr>
          <w:rFonts w:ascii="Arial" w:hAnsi="Arial" w:cs="Arial"/>
          <w:color w:val="000000"/>
          <w:lang w:val="es-US"/>
        </w:rPr>
        <w:t>Las madres de estos estudiantes reportaron la manifestación temprana de dificultades en habilidades como: usar la cuchara, gatear, hacer prensión de pinza e incluso, jugar con “</w:t>
      </w:r>
      <w:proofErr w:type="spellStart"/>
      <w:r w:rsidRPr="00D069FB">
        <w:rPr>
          <w:rFonts w:ascii="Arial" w:hAnsi="Arial" w:cs="Arial"/>
          <w:color w:val="000000"/>
          <w:lang w:val="es-US"/>
        </w:rPr>
        <w:t>bolinchas</w:t>
      </w:r>
      <w:proofErr w:type="spellEnd"/>
      <w:r w:rsidRPr="00D069FB">
        <w:rPr>
          <w:rFonts w:ascii="Arial" w:hAnsi="Arial" w:cs="Arial"/>
          <w:color w:val="000000"/>
          <w:lang w:val="es-US"/>
        </w:rPr>
        <w:t>” o “canicas”. Las docentes participantes por su parte, reportaron con claridad, deficiencias para usar el lápiz, escritura lenta, limitaciones con los trazos y una caligrafía que no se correspondía con la edad y nivel cursado por las personas estudiantes de la muestra.</w:t>
      </w:r>
    </w:p>
    <w:p w14:paraId="6190EF87" w14:textId="77777777" w:rsidR="00CB1394" w:rsidRDefault="00CB1394" w:rsidP="00CB1394">
      <w:pPr>
        <w:spacing w:line="360" w:lineRule="auto"/>
        <w:jc w:val="both"/>
        <w:rPr>
          <w:rFonts w:ascii="Arial" w:hAnsi="Arial" w:cs="Arial"/>
          <w:color w:val="000000"/>
          <w:lang w:val="es-US"/>
        </w:rPr>
      </w:pPr>
    </w:p>
    <w:p w14:paraId="730A08C3" w14:textId="18B136D3" w:rsidR="00D069FB" w:rsidRPr="00D069FB" w:rsidRDefault="00D069FB" w:rsidP="00FA34BC">
      <w:pPr>
        <w:spacing w:line="360" w:lineRule="auto"/>
        <w:jc w:val="both"/>
        <w:rPr>
          <w:rFonts w:ascii="Arial" w:hAnsi="Arial" w:cs="Arial"/>
          <w:lang w:val="es-US"/>
        </w:rPr>
      </w:pPr>
      <w:r w:rsidRPr="00D069FB">
        <w:rPr>
          <w:rFonts w:ascii="Arial" w:hAnsi="Arial" w:cs="Arial"/>
          <w:color w:val="000000"/>
          <w:lang w:val="es-US"/>
        </w:rPr>
        <w:t xml:space="preserve">Al evaluar a los y las estudiantes  en su desempeño motor fino, pudo observarse una forma particular de realizar la prensión del lápiz, en la mayoría de los casos “pinza </w:t>
      </w:r>
      <w:proofErr w:type="spellStart"/>
      <w:r w:rsidRPr="00D069FB">
        <w:rPr>
          <w:rFonts w:ascii="Arial" w:hAnsi="Arial" w:cs="Arial"/>
          <w:color w:val="000000"/>
          <w:lang w:val="es-US"/>
        </w:rPr>
        <w:t>cuadrípode</w:t>
      </w:r>
      <w:proofErr w:type="spellEnd"/>
      <w:r w:rsidRPr="00D069FB">
        <w:rPr>
          <w:rFonts w:ascii="Arial" w:hAnsi="Arial" w:cs="Arial"/>
          <w:color w:val="000000"/>
          <w:lang w:val="es-US"/>
        </w:rPr>
        <w:t xml:space="preserve">” (tomar el lápiz con cuatro dedos), y en otros casos, “prensión </w:t>
      </w:r>
      <w:r w:rsidRPr="00D069FB">
        <w:rPr>
          <w:rFonts w:ascii="Arial" w:hAnsi="Arial" w:cs="Arial"/>
          <w:color w:val="000000"/>
          <w:lang w:val="es-US"/>
        </w:rPr>
        <w:lastRenderedPageBreak/>
        <w:t xml:space="preserve">cilíndrica” o “palmar </w:t>
      </w:r>
      <w:proofErr w:type="spellStart"/>
      <w:r w:rsidRPr="00D069FB">
        <w:rPr>
          <w:rFonts w:ascii="Arial" w:hAnsi="Arial" w:cs="Arial"/>
          <w:color w:val="000000"/>
          <w:lang w:val="es-US"/>
        </w:rPr>
        <w:t>supinada</w:t>
      </w:r>
      <w:proofErr w:type="spellEnd"/>
      <w:r w:rsidRPr="00D069FB">
        <w:rPr>
          <w:rFonts w:ascii="Arial" w:hAnsi="Arial" w:cs="Arial"/>
          <w:color w:val="000000"/>
          <w:lang w:val="es-US"/>
        </w:rPr>
        <w:t>” como se observa en las figuras 1 y 2;  formas de prensión o agarre que en general, desencadenan un marcado movimiento en bloque y consecuentemente dolor y cansancio al escribir, aumentando esto, la frustración y por tanto el  rechazo a ciertas tareas relacionadas con esta destreza.</w:t>
      </w:r>
    </w:p>
    <w:p w14:paraId="62FF06BE" w14:textId="77777777" w:rsidR="00D069FB" w:rsidRPr="00D069FB" w:rsidRDefault="00D069FB" w:rsidP="00FA34BC">
      <w:pPr>
        <w:spacing w:line="360" w:lineRule="auto"/>
        <w:rPr>
          <w:lang w:val="es-US"/>
        </w:rPr>
      </w:pPr>
    </w:p>
    <w:p w14:paraId="6CB2820F" w14:textId="517BAEE8" w:rsidR="00D069FB" w:rsidRPr="00D069FB" w:rsidRDefault="00D069FB" w:rsidP="00FA34BC">
      <w:pPr>
        <w:spacing w:line="360" w:lineRule="auto"/>
        <w:jc w:val="center"/>
        <w:rPr>
          <w:sz w:val="20"/>
          <w:szCs w:val="20"/>
          <w:lang w:val="es-US"/>
        </w:rPr>
      </w:pPr>
      <w:r w:rsidRPr="00D069FB">
        <w:rPr>
          <w:rFonts w:ascii="Arial" w:hAnsi="Arial" w:cs="Arial"/>
          <w:b/>
          <w:bCs/>
          <w:color w:val="000000"/>
          <w:sz w:val="20"/>
          <w:szCs w:val="20"/>
          <w:lang w:val="es-US"/>
        </w:rPr>
        <w:t>Figura 1</w:t>
      </w:r>
      <w:r w:rsidR="005942A2">
        <w:rPr>
          <w:rFonts w:ascii="Arial" w:hAnsi="Arial" w:cs="Arial"/>
          <w:b/>
          <w:bCs/>
          <w:color w:val="000000"/>
          <w:sz w:val="20"/>
          <w:szCs w:val="20"/>
          <w:lang w:val="es-US"/>
        </w:rPr>
        <w:t>. Prensión cilíndrica del lápiz</w:t>
      </w:r>
    </w:p>
    <w:p w14:paraId="17346DE4" w14:textId="47CEB9C1" w:rsidR="00D069FB" w:rsidRPr="00D069FB" w:rsidRDefault="00D069FB" w:rsidP="005942A2">
      <w:pPr>
        <w:jc w:val="center"/>
        <w:rPr>
          <w:lang w:val="es-US"/>
        </w:rPr>
      </w:pPr>
      <w:r w:rsidRPr="00D069FB">
        <w:rPr>
          <w:bdr w:val="none" w:sz="0" w:space="0" w:color="auto" w:frame="1"/>
          <w:lang w:val="es-US"/>
        </w:rPr>
        <w:fldChar w:fldCharType="begin"/>
      </w:r>
      <w:r w:rsidRPr="00D069FB">
        <w:rPr>
          <w:bdr w:val="none" w:sz="0" w:space="0" w:color="auto" w:frame="1"/>
          <w:lang w:val="es-US"/>
        </w:rPr>
        <w:instrText xml:space="preserve"> INCLUDEPICTURE "https://lh7-rt.googleusercontent.com/docsz/AD_4nXeYL7AhU_jpCDIOBJKUgaJJJTzH1-mIEfOrB7psvEXI88GSNXlUdDJmCZCdhOmxJ0UJRyRSLsx14gow7KE_WZg8dVGmqszB1v6dZgk7cDedwr6b4edAbcZoreSJzVWjzj65D2vx_bnmDD0-RO-GO9g?key=J_y7XH84lK2ogjhxjV55KUmo" \* MERGEFORMATINET </w:instrText>
      </w:r>
      <w:r w:rsidRPr="00D069FB">
        <w:rPr>
          <w:bdr w:val="none" w:sz="0" w:space="0" w:color="auto" w:frame="1"/>
          <w:lang w:val="es-US"/>
        </w:rPr>
        <w:fldChar w:fldCharType="separate"/>
      </w:r>
      <w:r w:rsidRPr="00D069FB">
        <w:rPr>
          <w:noProof/>
          <w:bdr w:val="none" w:sz="0" w:space="0" w:color="auto" w:frame="1"/>
          <w:lang w:val="es-US"/>
        </w:rPr>
        <w:drawing>
          <wp:inline distT="0" distB="0" distL="0" distR="0" wp14:anchorId="3EB5388E" wp14:editId="5A872E2C">
            <wp:extent cx="3300325" cy="39147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5227" cy="3944313"/>
                    </a:xfrm>
                    <a:prstGeom prst="rect">
                      <a:avLst/>
                    </a:prstGeom>
                    <a:noFill/>
                    <a:ln>
                      <a:noFill/>
                    </a:ln>
                  </pic:spPr>
                </pic:pic>
              </a:graphicData>
            </a:graphic>
          </wp:inline>
        </w:drawing>
      </w:r>
      <w:r w:rsidRPr="00D069FB">
        <w:rPr>
          <w:bdr w:val="none" w:sz="0" w:space="0" w:color="auto" w:frame="1"/>
          <w:lang w:val="es-US"/>
        </w:rPr>
        <w:fldChar w:fldCharType="end"/>
      </w:r>
    </w:p>
    <w:p w14:paraId="31482AE7" w14:textId="031DB068" w:rsidR="00D069FB" w:rsidRPr="00D069FB" w:rsidRDefault="00D069FB" w:rsidP="00FA34BC">
      <w:pPr>
        <w:spacing w:after="240"/>
        <w:jc w:val="center"/>
        <w:rPr>
          <w:sz w:val="20"/>
          <w:szCs w:val="20"/>
          <w:lang w:val="es-US"/>
        </w:rPr>
      </w:pPr>
      <w:r w:rsidRPr="00D069FB">
        <w:rPr>
          <w:lang w:val="es-US"/>
        </w:rPr>
        <w:br/>
      </w:r>
      <w:r w:rsidRPr="00D069FB">
        <w:rPr>
          <w:rFonts w:ascii="Arial" w:hAnsi="Arial" w:cs="Arial"/>
          <w:i/>
          <w:iCs/>
          <w:color w:val="000000"/>
          <w:sz w:val="20"/>
          <w:szCs w:val="20"/>
          <w:lang w:val="es-US"/>
        </w:rPr>
        <w:t>Nota.</w:t>
      </w:r>
      <w:r w:rsidRPr="00D069FB">
        <w:rPr>
          <w:rFonts w:ascii="Arial" w:hAnsi="Arial" w:cs="Arial"/>
          <w:color w:val="000000"/>
          <w:sz w:val="20"/>
          <w:szCs w:val="20"/>
          <w:lang w:val="es-US"/>
        </w:rPr>
        <w:t xml:space="preserve"> Imagen tomada de archivo personal</w:t>
      </w:r>
    </w:p>
    <w:p w14:paraId="55725C83" w14:textId="60EBA0A2" w:rsidR="00D069FB" w:rsidRPr="00D069FB" w:rsidRDefault="00D069FB" w:rsidP="005942A2">
      <w:pPr>
        <w:jc w:val="center"/>
        <w:rPr>
          <w:sz w:val="20"/>
          <w:szCs w:val="20"/>
          <w:lang w:val="es-US"/>
        </w:rPr>
      </w:pPr>
      <w:r w:rsidRPr="00D069FB">
        <w:rPr>
          <w:rFonts w:ascii="Arial" w:hAnsi="Arial" w:cs="Arial"/>
          <w:b/>
          <w:bCs/>
          <w:color w:val="000000"/>
          <w:sz w:val="20"/>
          <w:szCs w:val="20"/>
          <w:lang w:val="es-US"/>
        </w:rPr>
        <w:lastRenderedPageBreak/>
        <w:t>Figura 2</w:t>
      </w:r>
      <w:r w:rsidR="005F3B70" w:rsidRPr="003449AE">
        <w:rPr>
          <w:rFonts w:ascii="Arial" w:hAnsi="Arial" w:cs="Arial"/>
          <w:b/>
          <w:bCs/>
          <w:color w:val="000000"/>
          <w:sz w:val="20"/>
          <w:szCs w:val="20"/>
          <w:lang w:val="es-US"/>
        </w:rPr>
        <w:t xml:space="preserve">. </w:t>
      </w:r>
      <w:r w:rsidR="003449AE" w:rsidRPr="003449AE">
        <w:rPr>
          <w:rFonts w:ascii="Arial" w:hAnsi="Arial" w:cs="Arial"/>
          <w:b/>
          <w:bCs/>
          <w:color w:val="000000"/>
          <w:sz w:val="20"/>
          <w:szCs w:val="20"/>
          <w:lang w:val="es-US"/>
        </w:rPr>
        <w:t>Pinza Cuadrípode</w:t>
      </w:r>
    </w:p>
    <w:p w14:paraId="1F53DF0A" w14:textId="7658036B" w:rsidR="00D069FB" w:rsidRPr="00D069FB" w:rsidRDefault="00D069FB" w:rsidP="00D069FB">
      <w:pPr>
        <w:rPr>
          <w:sz w:val="20"/>
          <w:szCs w:val="20"/>
          <w:lang w:val="es-US"/>
        </w:rPr>
      </w:pPr>
    </w:p>
    <w:p w14:paraId="6FA0471D" w14:textId="77777777" w:rsidR="00D069FB" w:rsidRPr="00D069FB" w:rsidRDefault="00D069FB" w:rsidP="005942A2">
      <w:pPr>
        <w:spacing w:before="39"/>
        <w:ind w:firstLine="720"/>
        <w:jc w:val="center"/>
        <w:rPr>
          <w:lang w:val="es-US"/>
        </w:rPr>
      </w:pPr>
      <w:r w:rsidRPr="00D069FB">
        <w:rPr>
          <w:rFonts w:ascii="Arial" w:hAnsi="Arial" w:cs="Arial"/>
          <w:color w:val="000000"/>
          <w:bdr w:val="none" w:sz="0" w:space="0" w:color="auto" w:frame="1"/>
          <w:lang w:val="es-US"/>
        </w:rPr>
        <w:fldChar w:fldCharType="begin"/>
      </w:r>
      <w:r w:rsidRPr="00D069FB">
        <w:rPr>
          <w:rFonts w:ascii="Arial" w:hAnsi="Arial" w:cs="Arial"/>
          <w:color w:val="000000"/>
          <w:bdr w:val="none" w:sz="0" w:space="0" w:color="auto" w:frame="1"/>
          <w:lang w:val="es-US"/>
        </w:rPr>
        <w:instrText xml:space="preserve"> INCLUDEPICTURE "https://lh7-rt.googleusercontent.com/docsz/AD_4nXcgsVjIYrILV7WB5M1G1Q0TECSLsNCkyiO1cvdMYRM0Fq-g0ULIRcxaeOPffteH80x4tbFf294xJKPhPAORM1_qEZYe0kTpGKhluNuc83FnXpfWl2BDXCbgJGvNJMdCT-tkWqiXTBVR83BJRv7DpYE?key=J_y7XH84lK2ogjhxjV55KUmo" \* MERGEFORMATINET </w:instrText>
      </w:r>
      <w:r w:rsidRPr="00D069FB">
        <w:rPr>
          <w:rFonts w:ascii="Arial" w:hAnsi="Arial" w:cs="Arial"/>
          <w:color w:val="000000"/>
          <w:bdr w:val="none" w:sz="0" w:space="0" w:color="auto" w:frame="1"/>
          <w:lang w:val="es-US"/>
        </w:rPr>
        <w:fldChar w:fldCharType="separate"/>
      </w:r>
      <w:r w:rsidRPr="00D069FB">
        <w:rPr>
          <w:rFonts w:ascii="Arial" w:hAnsi="Arial" w:cs="Arial"/>
          <w:noProof/>
          <w:color w:val="000000"/>
          <w:bdr w:val="none" w:sz="0" w:space="0" w:color="auto" w:frame="1"/>
          <w:lang w:val="es-US"/>
        </w:rPr>
        <w:drawing>
          <wp:inline distT="0" distB="0" distL="0" distR="0" wp14:anchorId="5629BAD9" wp14:editId="0678B1A9">
            <wp:extent cx="3955093" cy="511492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9577" cy="5133657"/>
                    </a:xfrm>
                    <a:prstGeom prst="rect">
                      <a:avLst/>
                    </a:prstGeom>
                    <a:noFill/>
                    <a:ln>
                      <a:noFill/>
                    </a:ln>
                  </pic:spPr>
                </pic:pic>
              </a:graphicData>
            </a:graphic>
          </wp:inline>
        </w:drawing>
      </w:r>
      <w:r w:rsidRPr="00D069FB">
        <w:rPr>
          <w:rFonts w:ascii="Arial" w:hAnsi="Arial" w:cs="Arial"/>
          <w:color w:val="000000"/>
          <w:bdr w:val="none" w:sz="0" w:space="0" w:color="auto" w:frame="1"/>
          <w:lang w:val="es-US"/>
        </w:rPr>
        <w:fldChar w:fldCharType="end"/>
      </w:r>
    </w:p>
    <w:p w14:paraId="72D5247C" w14:textId="77777777" w:rsidR="00D069FB" w:rsidRPr="00D069FB" w:rsidRDefault="00D069FB" w:rsidP="004A4B06">
      <w:pPr>
        <w:spacing w:line="360" w:lineRule="auto"/>
        <w:ind w:firstLine="720"/>
        <w:jc w:val="center"/>
        <w:rPr>
          <w:sz w:val="20"/>
          <w:szCs w:val="20"/>
          <w:lang w:val="es-US"/>
        </w:rPr>
      </w:pPr>
      <w:r w:rsidRPr="00D069FB">
        <w:rPr>
          <w:rFonts w:ascii="Arial" w:hAnsi="Arial" w:cs="Arial"/>
          <w:i/>
          <w:iCs/>
          <w:color w:val="000000"/>
          <w:sz w:val="20"/>
          <w:szCs w:val="20"/>
          <w:lang w:val="es-US"/>
        </w:rPr>
        <w:t>Nota.</w:t>
      </w:r>
      <w:r w:rsidRPr="00D069FB">
        <w:rPr>
          <w:rFonts w:ascii="Arial" w:hAnsi="Arial" w:cs="Arial"/>
          <w:color w:val="000000"/>
          <w:sz w:val="20"/>
          <w:szCs w:val="20"/>
          <w:lang w:val="es-US"/>
        </w:rPr>
        <w:t xml:space="preserve"> Imagen tomada de archivo personal</w:t>
      </w:r>
    </w:p>
    <w:p w14:paraId="04562820" w14:textId="77777777" w:rsidR="00D069FB" w:rsidRPr="00D069FB" w:rsidRDefault="00D069FB" w:rsidP="004A4B06">
      <w:pPr>
        <w:spacing w:line="360" w:lineRule="auto"/>
        <w:jc w:val="both"/>
        <w:rPr>
          <w:lang w:val="es-US"/>
        </w:rPr>
      </w:pPr>
      <w:r w:rsidRPr="00D069FB">
        <w:rPr>
          <w:rFonts w:ascii="Arial" w:hAnsi="Arial" w:cs="Arial"/>
          <w:color w:val="000000"/>
          <w:lang w:val="es-US"/>
        </w:rPr>
        <w:lastRenderedPageBreak/>
        <w:t>Entre las debilidades mostradas por los estudiantes en relación con el uso del lápiz, pueden citarse la prensión incorrecta, las dificultades para mantenerse sobre la línea del renglón, la presencia de uniones de palabras, segmentación de palabras y disgrafía severa (mala letra) como se observa en la Figura 3.</w:t>
      </w:r>
    </w:p>
    <w:p w14:paraId="3FA1E692" w14:textId="77777777" w:rsidR="00A71B7E" w:rsidRDefault="00A71B7E" w:rsidP="00123FEA">
      <w:pPr>
        <w:jc w:val="center"/>
        <w:rPr>
          <w:rFonts w:ascii="Arial" w:hAnsi="Arial" w:cs="Arial"/>
          <w:b/>
          <w:bCs/>
          <w:color w:val="000000"/>
          <w:sz w:val="20"/>
          <w:szCs w:val="20"/>
          <w:lang w:val="es-US"/>
        </w:rPr>
      </w:pPr>
    </w:p>
    <w:p w14:paraId="46950581" w14:textId="6992CBD0" w:rsidR="00D069FB" w:rsidRDefault="00D069FB" w:rsidP="00123FEA">
      <w:pPr>
        <w:jc w:val="center"/>
        <w:rPr>
          <w:rFonts w:ascii="Arial" w:hAnsi="Arial" w:cs="Arial"/>
          <w:b/>
          <w:i/>
          <w:iCs/>
          <w:color w:val="000000"/>
          <w:sz w:val="20"/>
          <w:szCs w:val="20"/>
          <w:lang w:val="es-US"/>
        </w:rPr>
      </w:pPr>
      <w:r w:rsidRPr="00D069FB">
        <w:rPr>
          <w:rFonts w:ascii="Arial" w:hAnsi="Arial" w:cs="Arial"/>
          <w:b/>
          <w:bCs/>
          <w:color w:val="000000"/>
          <w:sz w:val="20"/>
          <w:szCs w:val="20"/>
          <w:lang w:val="es-US"/>
        </w:rPr>
        <w:t>Figura 3</w:t>
      </w:r>
      <w:r w:rsidR="00123FEA" w:rsidRPr="00123FEA">
        <w:rPr>
          <w:rFonts w:ascii="Arial" w:hAnsi="Arial" w:cs="Arial"/>
          <w:b/>
          <w:bCs/>
          <w:color w:val="000000"/>
          <w:sz w:val="20"/>
          <w:szCs w:val="20"/>
          <w:lang w:val="es-US"/>
        </w:rPr>
        <w:t xml:space="preserve">. </w:t>
      </w:r>
      <w:r w:rsidRPr="00D069FB">
        <w:rPr>
          <w:rFonts w:ascii="Arial" w:hAnsi="Arial" w:cs="Arial"/>
          <w:b/>
          <w:i/>
          <w:iCs/>
          <w:color w:val="000000"/>
          <w:sz w:val="20"/>
          <w:szCs w:val="20"/>
          <w:lang w:val="es-US"/>
        </w:rPr>
        <w:t>Ejemplo de escritura y caligrafía de una de las personas estudiantes de la muestra</w:t>
      </w:r>
    </w:p>
    <w:p w14:paraId="6582C8F4" w14:textId="77777777" w:rsidR="00123FEA" w:rsidRPr="00D069FB" w:rsidRDefault="00123FEA" w:rsidP="00123FEA">
      <w:pPr>
        <w:jc w:val="center"/>
        <w:rPr>
          <w:b/>
          <w:sz w:val="20"/>
          <w:szCs w:val="20"/>
          <w:lang w:val="es-US"/>
        </w:rPr>
      </w:pPr>
    </w:p>
    <w:p w14:paraId="5E0101B9" w14:textId="2DBAF9E0" w:rsidR="00D069FB" w:rsidRPr="00D069FB" w:rsidRDefault="002F65E8" w:rsidP="002F65E8">
      <w:pPr>
        <w:ind w:firstLine="720"/>
        <w:rPr>
          <w:lang w:val="es-US"/>
        </w:rPr>
      </w:pPr>
      <w:r w:rsidRPr="00D069FB">
        <w:rPr>
          <w:rFonts w:ascii="Arial" w:hAnsi="Arial" w:cs="Arial"/>
          <w:noProof/>
          <w:color w:val="000000"/>
          <w:bdr w:val="none" w:sz="0" w:space="0" w:color="auto" w:frame="1"/>
          <w:lang w:val="es-US"/>
        </w:rPr>
        <w:drawing>
          <wp:inline distT="0" distB="0" distL="0" distR="0" wp14:anchorId="7910C769" wp14:editId="7E755EFB">
            <wp:extent cx="5132705" cy="37433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9676" cy="3777581"/>
                    </a:xfrm>
                    <a:prstGeom prst="rect">
                      <a:avLst/>
                    </a:prstGeom>
                    <a:noFill/>
                    <a:ln>
                      <a:noFill/>
                    </a:ln>
                  </pic:spPr>
                </pic:pic>
              </a:graphicData>
            </a:graphic>
          </wp:inline>
        </w:drawing>
      </w:r>
      <w:r w:rsidR="00D069FB" w:rsidRPr="00D069FB">
        <w:rPr>
          <w:rFonts w:ascii="Arial" w:hAnsi="Arial" w:cs="Arial"/>
          <w:color w:val="000000"/>
          <w:bdr w:val="none" w:sz="0" w:space="0" w:color="auto" w:frame="1"/>
          <w:lang w:val="es-US"/>
        </w:rPr>
        <w:fldChar w:fldCharType="begin"/>
      </w:r>
      <w:r w:rsidR="00D069FB" w:rsidRPr="00D069FB">
        <w:rPr>
          <w:rFonts w:ascii="Arial" w:hAnsi="Arial" w:cs="Arial"/>
          <w:color w:val="000000"/>
          <w:bdr w:val="none" w:sz="0" w:space="0" w:color="auto" w:frame="1"/>
          <w:lang w:val="es-US"/>
        </w:rPr>
        <w:instrText xml:space="preserve"> INCLUDEPICTURE "https://lh7-rt.googleusercontent.com/docsz/AD_4nXcPrs8w9r1FtwQYOqUgMtInnH5IT-6Ic2CM4hzEysd5cK1aadH7QlDNXQWn-fKJEHMVt11ti0U1Dx_jTvvBgjSQgZQdwgGeCzqGDXI5ZDijfRz7i_KyNTh6S3FaIKQpROBjvokHdiSKdIe0lSusU7Q?key=J_y7XH84lK2ogjhxjV55KUmo" \* MERGEFORMATINET </w:instrText>
      </w:r>
      <w:r w:rsidR="00D069FB" w:rsidRPr="00D069FB">
        <w:rPr>
          <w:rFonts w:ascii="Arial" w:hAnsi="Arial" w:cs="Arial"/>
          <w:color w:val="000000"/>
          <w:bdr w:val="none" w:sz="0" w:space="0" w:color="auto" w:frame="1"/>
          <w:lang w:val="es-US"/>
        </w:rPr>
        <w:fldChar w:fldCharType="end"/>
      </w:r>
    </w:p>
    <w:p w14:paraId="67AC0A92" w14:textId="4BCDD52C" w:rsidR="00D069FB" w:rsidRPr="002F65E8" w:rsidRDefault="00D069FB" w:rsidP="002F65E8">
      <w:pPr>
        <w:spacing w:before="142"/>
        <w:ind w:firstLine="720"/>
        <w:jc w:val="center"/>
        <w:rPr>
          <w:rFonts w:ascii="Arial" w:hAnsi="Arial" w:cs="Arial"/>
          <w:color w:val="000000"/>
          <w:sz w:val="20"/>
          <w:szCs w:val="20"/>
          <w:lang w:val="es-US"/>
        </w:rPr>
      </w:pPr>
      <w:r w:rsidRPr="00D069FB">
        <w:rPr>
          <w:rFonts w:ascii="Arial" w:hAnsi="Arial" w:cs="Arial"/>
          <w:i/>
          <w:iCs/>
          <w:color w:val="000000"/>
          <w:sz w:val="20"/>
          <w:szCs w:val="20"/>
          <w:lang w:val="es-US"/>
        </w:rPr>
        <w:t>Nota.</w:t>
      </w:r>
      <w:r w:rsidRPr="00D069FB">
        <w:rPr>
          <w:rFonts w:ascii="Arial" w:hAnsi="Arial" w:cs="Arial"/>
          <w:color w:val="000000"/>
          <w:sz w:val="20"/>
          <w:szCs w:val="20"/>
          <w:lang w:val="es-US"/>
        </w:rPr>
        <w:t xml:space="preserve"> Imagen tomada de Chávez (2017)</w:t>
      </w:r>
    </w:p>
    <w:p w14:paraId="3277DF7D" w14:textId="77777777" w:rsidR="002F65E8" w:rsidRPr="00D069FB" w:rsidRDefault="002F65E8" w:rsidP="00D069FB">
      <w:pPr>
        <w:spacing w:before="142"/>
        <w:ind w:firstLine="720"/>
        <w:rPr>
          <w:lang w:val="es-US"/>
        </w:rPr>
      </w:pPr>
    </w:p>
    <w:p w14:paraId="4E1E6040" w14:textId="77777777" w:rsidR="00D069FB" w:rsidRPr="00D069FB" w:rsidRDefault="00D069FB" w:rsidP="009F7465">
      <w:pPr>
        <w:spacing w:line="360" w:lineRule="auto"/>
        <w:jc w:val="both"/>
        <w:rPr>
          <w:lang w:val="es-US"/>
        </w:rPr>
      </w:pPr>
      <w:r w:rsidRPr="00D069FB">
        <w:rPr>
          <w:rFonts w:ascii="Arial" w:hAnsi="Arial" w:cs="Arial"/>
          <w:color w:val="000000"/>
          <w:lang w:val="es-US"/>
        </w:rPr>
        <w:lastRenderedPageBreak/>
        <w:t>No debe perderse de vista la fuerte morbilidad asociada existente entre el TDAH, el TEA 1 y la Dislexia, y el consecuente desgaste cognitivo que se genera en estudiantes con estas condiciones, debido al sobre esfuerzo en el que incurren al realizar ciertas tareas.</w:t>
      </w:r>
    </w:p>
    <w:p w14:paraId="6AD97215" w14:textId="77777777" w:rsidR="001D4799" w:rsidRDefault="001D4799" w:rsidP="009F7465">
      <w:pPr>
        <w:spacing w:line="360" w:lineRule="auto"/>
        <w:jc w:val="both"/>
        <w:rPr>
          <w:rFonts w:ascii="Arial" w:hAnsi="Arial" w:cs="Arial"/>
          <w:color w:val="000000"/>
          <w:lang w:val="es-US"/>
        </w:rPr>
      </w:pPr>
    </w:p>
    <w:p w14:paraId="504CBE5A" w14:textId="77777777" w:rsidR="00BF4BB2" w:rsidRDefault="00D069FB" w:rsidP="009F7465">
      <w:pPr>
        <w:spacing w:line="360" w:lineRule="auto"/>
        <w:jc w:val="both"/>
        <w:rPr>
          <w:rFonts w:ascii="Arial" w:hAnsi="Arial" w:cs="Arial"/>
          <w:color w:val="000000"/>
          <w:lang w:val="es-US"/>
        </w:rPr>
      </w:pPr>
      <w:r w:rsidRPr="00D069FB">
        <w:rPr>
          <w:rFonts w:ascii="Arial" w:hAnsi="Arial" w:cs="Arial"/>
          <w:color w:val="000000"/>
          <w:lang w:val="es-US"/>
        </w:rPr>
        <w:t>Los resultados indicaron, además, niveles de atención variables de una a otra actividad, lo cual estuvo relacionado con la naturaleza de la tarea, y evidenciaron una disminución de la concentración en actividades como copias y un incremento de la atención en actividades como lectura, cálculo, actividades de diálogo o realización de dibujos. Otro hallazgo importante, es que la dispersión de la atención, apareció con una frecuencia menor cuando los y las estudiantes de la selección escribían al dictado, sobre lo cual las docentes argumentaron, que ellas suelen dictar más lentamente y que esto hace que los estudiantes se frustren considerablemente menos.</w:t>
      </w:r>
    </w:p>
    <w:p w14:paraId="53FD99EE" w14:textId="77777777" w:rsidR="00BF4BB2" w:rsidRDefault="00BF4BB2" w:rsidP="009F7465">
      <w:pPr>
        <w:spacing w:line="360" w:lineRule="auto"/>
        <w:jc w:val="both"/>
        <w:rPr>
          <w:rFonts w:ascii="Arial" w:hAnsi="Arial" w:cs="Arial"/>
          <w:color w:val="000000"/>
          <w:lang w:val="es-US"/>
        </w:rPr>
      </w:pPr>
    </w:p>
    <w:p w14:paraId="55087B82" w14:textId="77777777" w:rsidR="00D40E0A" w:rsidRDefault="00D069FB" w:rsidP="009F7465">
      <w:pPr>
        <w:spacing w:line="360" w:lineRule="auto"/>
        <w:jc w:val="both"/>
        <w:rPr>
          <w:rFonts w:ascii="Arial" w:hAnsi="Arial" w:cs="Arial"/>
          <w:color w:val="000000"/>
          <w:lang w:val="es-US"/>
        </w:rPr>
      </w:pPr>
      <w:r w:rsidRPr="00D069FB">
        <w:rPr>
          <w:rFonts w:ascii="Arial" w:hAnsi="Arial" w:cs="Arial"/>
          <w:color w:val="000000"/>
          <w:lang w:val="es-US"/>
        </w:rPr>
        <w:t>En la figura 4, puede observarse un aumento en el número de momentos en los que los estudiantes se distrajeron cuando las actividades involucraban escritura.</w:t>
      </w:r>
    </w:p>
    <w:p w14:paraId="574D4B96" w14:textId="77777777" w:rsidR="00BB341D" w:rsidRDefault="00BB341D" w:rsidP="00BB341D">
      <w:pPr>
        <w:spacing w:line="360" w:lineRule="auto"/>
        <w:jc w:val="center"/>
        <w:rPr>
          <w:rFonts w:ascii="Arial" w:hAnsi="Arial" w:cs="Arial"/>
          <w:b/>
          <w:bCs/>
          <w:color w:val="000000"/>
          <w:sz w:val="20"/>
          <w:szCs w:val="20"/>
          <w:lang w:val="es-US"/>
        </w:rPr>
      </w:pPr>
    </w:p>
    <w:p w14:paraId="4A80C6FE" w14:textId="77777777" w:rsidR="00BB341D" w:rsidRDefault="00BB341D" w:rsidP="00BB341D">
      <w:pPr>
        <w:spacing w:line="360" w:lineRule="auto"/>
        <w:jc w:val="center"/>
        <w:rPr>
          <w:rFonts w:ascii="Arial" w:hAnsi="Arial" w:cs="Arial"/>
          <w:b/>
          <w:bCs/>
          <w:color w:val="000000"/>
          <w:sz w:val="20"/>
          <w:szCs w:val="20"/>
          <w:lang w:val="es-US"/>
        </w:rPr>
      </w:pPr>
    </w:p>
    <w:p w14:paraId="58674D41" w14:textId="77777777" w:rsidR="00BB341D" w:rsidRDefault="00BB341D" w:rsidP="00BB341D">
      <w:pPr>
        <w:spacing w:line="360" w:lineRule="auto"/>
        <w:jc w:val="center"/>
        <w:rPr>
          <w:rFonts w:ascii="Arial" w:hAnsi="Arial" w:cs="Arial"/>
          <w:b/>
          <w:bCs/>
          <w:color w:val="000000"/>
          <w:sz w:val="20"/>
          <w:szCs w:val="20"/>
          <w:lang w:val="es-US"/>
        </w:rPr>
      </w:pPr>
    </w:p>
    <w:p w14:paraId="6D6844BC" w14:textId="0B406C3A" w:rsidR="00D069FB" w:rsidRPr="00D069FB" w:rsidRDefault="00D069FB" w:rsidP="00BB341D">
      <w:pPr>
        <w:spacing w:line="360" w:lineRule="auto"/>
        <w:jc w:val="center"/>
        <w:rPr>
          <w:lang w:val="es-US"/>
        </w:rPr>
      </w:pPr>
      <w:r w:rsidRPr="00D069FB">
        <w:rPr>
          <w:rFonts w:ascii="Arial" w:hAnsi="Arial" w:cs="Arial"/>
          <w:b/>
          <w:bCs/>
          <w:color w:val="000000"/>
          <w:sz w:val="20"/>
          <w:szCs w:val="20"/>
          <w:lang w:val="es-US"/>
        </w:rPr>
        <w:lastRenderedPageBreak/>
        <w:t>Figura 4</w:t>
      </w:r>
      <w:r w:rsidR="004900B4">
        <w:rPr>
          <w:rFonts w:ascii="Arial" w:hAnsi="Arial" w:cs="Arial"/>
          <w:b/>
          <w:bCs/>
          <w:color w:val="000000"/>
          <w:sz w:val="20"/>
          <w:szCs w:val="20"/>
          <w:lang w:val="es-US"/>
        </w:rPr>
        <w:t xml:space="preserve"> y 5</w:t>
      </w:r>
      <w:r w:rsidR="00014E4E" w:rsidRPr="00BB341D">
        <w:rPr>
          <w:rFonts w:ascii="Arial" w:hAnsi="Arial" w:cs="Arial"/>
          <w:b/>
          <w:bCs/>
          <w:color w:val="000000"/>
          <w:sz w:val="20"/>
          <w:szCs w:val="20"/>
          <w:lang w:val="es-US"/>
        </w:rPr>
        <w:t xml:space="preserve">. </w:t>
      </w:r>
      <w:r w:rsidRPr="00D069FB">
        <w:rPr>
          <w:rFonts w:ascii="Arial" w:hAnsi="Arial" w:cs="Arial"/>
          <w:b/>
          <w:i/>
          <w:iCs/>
          <w:color w:val="000000"/>
          <w:sz w:val="20"/>
          <w:szCs w:val="20"/>
          <w:lang w:val="es-US"/>
        </w:rPr>
        <w:t>Registros atencionales de una de las personas estudiantes</w:t>
      </w:r>
      <w:r w:rsidR="00014E4E" w:rsidRPr="00BB341D">
        <w:rPr>
          <w:rFonts w:ascii="Arial" w:hAnsi="Arial" w:cs="Arial"/>
          <w:noProof/>
          <w:color w:val="000000"/>
          <w:bdr w:val="none" w:sz="0" w:space="0" w:color="auto" w:frame="1"/>
          <w:lang w:val="es-US"/>
        </w:rPr>
        <w:t xml:space="preserve"> </w:t>
      </w:r>
      <w:r w:rsidR="00014E4E" w:rsidRPr="00D069FB">
        <w:rPr>
          <w:rFonts w:ascii="Arial" w:hAnsi="Arial" w:cs="Arial"/>
          <w:noProof/>
          <w:color w:val="000000"/>
          <w:bdr w:val="none" w:sz="0" w:space="0" w:color="auto" w:frame="1"/>
          <w:lang w:val="es-US"/>
        </w:rPr>
        <w:drawing>
          <wp:inline distT="0" distB="0" distL="0" distR="0" wp14:anchorId="5C54E237" wp14:editId="5963D63C">
            <wp:extent cx="4303685" cy="5153025"/>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32783" cy="5187865"/>
                    </a:xfrm>
                    <a:prstGeom prst="rect">
                      <a:avLst/>
                    </a:prstGeom>
                    <a:noFill/>
                    <a:ln>
                      <a:noFill/>
                    </a:ln>
                  </pic:spPr>
                </pic:pic>
              </a:graphicData>
            </a:graphic>
          </wp:inline>
        </w:drawing>
      </w:r>
      <w:r w:rsidRPr="00D069FB">
        <w:rPr>
          <w:rFonts w:ascii="Arial" w:hAnsi="Arial" w:cs="Arial"/>
          <w:color w:val="000000"/>
          <w:bdr w:val="none" w:sz="0" w:space="0" w:color="auto" w:frame="1"/>
          <w:lang w:val="es-US"/>
        </w:rPr>
        <w:lastRenderedPageBreak/>
        <w:fldChar w:fldCharType="begin"/>
      </w:r>
      <w:r w:rsidRPr="00D069FB">
        <w:rPr>
          <w:rFonts w:ascii="Arial" w:hAnsi="Arial" w:cs="Arial"/>
          <w:color w:val="000000"/>
          <w:bdr w:val="none" w:sz="0" w:space="0" w:color="auto" w:frame="1"/>
          <w:lang w:val="es-US"/>
        </w:rPr>
        <w:instrText xml:space="preserve"> INCLUDEPICTURE "https://lh7-rt.googleusercontent.com/docsz/AD_4nXd9RM9juYQhL3jLfioqcbeQBV1tSsem7VPebgdO9-CJF96Y9bS5e9bjcVItSeugFd9ViQS9D-lTHEkNJDkGR5VVy_CeIw2ETWqxvDeNAbEdVB9tgBPP0OV3ll9y0hq7NJ8RmsEq7C-_0McHhHp9qm4?key=J_y7XH84lK2ogjhxjV55KUmo" \* MERGEFORMATINET </w:instrText>
      </w:r>
      <w:r w:rsidRPr="00D069FB">
        <w:rPr>
          <w:rFonts w:ascii="Arial" w:hAnsi="Arial" w:cs="Arial"/>
          <w:color w:val="000000"/>
          <w:bdr w:val="none" w:sz="0" w:space="0" w:color="auto" w:frame="1"/>
          <w:lang w:val="es-US"/>
        </w:rPr>
        <w:fldChar w:fldCharType="end"/>
      </w:r>
      <w:r w:rsidRPr="00D069FB">
        <w:rPr>
          <w:rFonts w:ascii="Arial" w:hAnsi="Arial" w:cs="Arial"/>
          <w:i/>
          <w:iCs/>
          <w:color w:val="000000"/>
          <w:lang w:val="es-US"/>
        </w:rPr>
        <w:t xml:space="preserve">  </w:t>
      </w:r>
      <w:r w:rsidRPr="00D069FB">
        <w:rPr>
          <w:rFonts w:ascii="Arial" w:hAnsi="Arial" w:cs="Arial"/>
          <w:color w:val="000000"/>
          <w:bdr w:val="none" w:sz="0" w:space="0" w:color="auto" w:frame="1"/>
          <w:lang w:val="es-US"/>
        </w:rPr>
        <w:fldChar w:fldCharType="begin"/>
      </w:r>
      <w:r w:rsidRPr="00D069FB">
        <w:rPr>
          <w:rFonts w:ascii="Arial" w:hAnsi="Arial" w:cs="Arial"/>
          <w:color w:val="000000"/>
          <w:bdr w:val="none" w:sz="0" w:space="0" w:color="auto" w:frame="1"/>
          <w:lang w:val="es-US"/>
        </w:rPr>
        <w:instrText xml:space="preserve"> INCLUDEPICTURE "https://lh7-rt.googleusercontent.com/docsz/AD_4nXfbpQtFdJ8zZPrGikvzLvLzqKx1w6e490cnTPsUnm93Az1-M74qfxolLp47aeGQ4ziYVJbaglTmXnecDY-Ec_mCWv3WFYrMKmOJt65nGSsNbV15vArQ3JHm5fitCDNTDV-gc0vZD5o9IkOmyGWuxAY?key=J_y7XH84lK2ogjhxjV55KUmo" \* MERGEFORMATINET </w:instrText>
      </w:r>
      <w:r w:rsidRPr="00D069FB">
        <w:rPr>
          <w:rFonts w:ascii="Arial" w:hAnsi="Arial" w:cs="Arial"/>
          <w:color w:val="000000"/>
          <w:bdr w:val="none" w:sz="0" w:space="0" w:color="auto" w:frame="1"/>
          <w:lang w:val="es-US"/>
        </w:rPr>
        <w:fldChar w:fldCharType="separate"/>
      </w:r>
      <w:r w:rsidRPr="00D069FB">
        <w:rPr>
          <w:rFonts w:ascii="Arial" w:hAnsi="Arial" w:cs="Arial"/>
          <w:noProof/>
          <w:color w:val="000000"/>
          <w:bdr w:val="none" w:sz="0" w:space="0" w:color="auto" w:frame="1"/>
          <w:lang w:val="es-US"/>
        </w:rPr>
        <w:drawing>
          <wp:inline distT="0" distB="0" distL="0" distR="0" wp14:anchorId="2CFF0849" wp14:editId="6C2109C3">
            <wp:extent cx="4503129" cy="5276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22340" cy="5299362"/>
                    </a:xfrm>
                    <a:prstGeom prst="rect">
                      <a:avLst/>
                    </a:prstGeom>
                    <a:noFill/>
                    <a:ln>
                      <a:noFill/>
                    </a:ln>
                  </pic:spPr>
                </pic:pic>
              </a:graphicData>
            </a:graphic>
          </wp:inline>
        </w:drawing>
      </w:r>
      <w:r w:rsidRPr="00D069FB">
        <w:rPr>
          <w:rFonts w:ascii="Arial" w:hAnsi="Arial" w:cs="Arial"/>
          <w:color w:val="000000"/>
          <w:bdr w:val="none" w:sz="0" w:space="0" w:color="auto" w:frame="1"/>
          <w:lang w:val="es-US"/>
        </w:rPr>
        <w:fldChar w:fldCharType="end"/>
      </w:r>
    </w:p>
    <w:p w14:paraId="5421C3E0" w14:textId="5DAD77CF" w:rsidR="00D069FB" w:rsidRPr="00D069FB" w:rsidRDefault="00D069FB" w:rsidP="00446427">
      <w:pPr>
        <w:spacing w:line="360" w:lineRule="auto"/>
        <w:ind w:right="113" w:firstLine="720"/>
        <w:jc w:val="center"/>
        <w:rPr>
          <w:sz w:val="20"/>
          <w:szCs w:val="20"/>
          <w:lang w:val="es-US"/>
        </w:rPr>
      </w:pPr>
      <w:r w:rsidRPr="00D069FB">
        <w:rPr>
          <w:rFonts w:ascii="Arial" w:hAnsi="Arial" w:cs="Arial"/>
          <w:i/>
          <w:iCs/>
          <w:color w:val="000000"/>
          <w:sz w:val="20"/>
          <w:szCs w:val="20"/>
          <w:lang w:val="es-US"/>
        </w:rPr>
        <w:t>Nota.</w:t>
      </w:r>
      <w:r w:rsidRPr="00D069FB">
        <w:rPr>
          <w:rFonts w:ascii="Arial" w:hAnsi="Arial" w:cs="Arial"/>
          <w:color w:val="000000"/>
          <w:sz w:val="20"/>
          <w:szCs w:val="20"/>
          <w:lang w:val="es-US"/>
        </w:rPr>
        <w:t xml:space="preserve"> Im</w:t>
      </w:r>
      <w:r w:rsidR="00706912">
        <w:rPr>
          <w:rFonts w:ascii="Arial" w:hAnsi="Arial" w:cs="Arial"/>
          <w:color w:val="000000"/>
          <w:sz w:val="20"/>
          <w:szCs w:val="20"/>
          <w:lang w:val="es-US"/>
        </w:rPr>
        <w:t>á</w:t>
      </w:r>
      <w:r w:rsidRPr="00D069FB">
        <w:rPr>
          <w:rFonts w:ascii="Arial" w:hAnsi="Arial" w:cs="Arial"/>
          <w:color w:val="000000"/>
          <w:sz w:val="20"/>
          <w:szCs w:val="20"/>
          <w:lang w:val="es-US"/>
        </w:rPr>
        <w:t>gen</w:t>
      </w:r>
      <w:r w:rsidR="00706912">
        <w:rPr>
          <w:rFonts w:ascii="Arial" w:hAnsi="Arial" w:cs="Arial"/>
          <w:color w:val="000000"/>
          <w:sz w:val="20"/>
          <w:szCs w:val="20"/>
          <w:lang w:val="es-US"/>
        </w:rPr>
        <w:t>es</w:t>
      </w:r>
      <w:r w:rsidRPr="00D069FB">
        <w:rPr>
          <w:rFonts w:ascii="Arial" w:hAnsi="Arial" w:cs="Arial"/>
          <w:color w:val="000000"/>
          <w:sz w:val="20"/>
          <w:szCs w:val="20"/>
          <w:lang w:val="es-US"/>
        </w:rPr>
        <w:t xml:space="preserve"> tomada</w:t>
      </w:r>
      <w:r w:rsidR="00C35374">
        <w:rPr>
          <w:rFonts w:ascii="Arial" w:hAnsi="Arial" w:cs="Arial"/>
          <w:color w:val="000000"/>
          <w:sz w:val="20"/>
          <w:szCs w:val="20"/>
          <w:lang w:val="es-US"/>
        </w:rPr>
        <w:t>s</w:t>
      </w:r>
      <w:r w:rsidRPr="00D069FB">
        <w:rPr>
          <w:rFonts w:ascii="Arial" w:hAnsi="Arial" w:cs="Arial"/>
          <w:color w:val="000000"/>
          <w:sz w:val="20"/>
          <w:szCs w:val="20"/>
          <w:lang w:val="es-US"/>
        </w:rPr>
        <w:t xml:space="preserve"> de Chávez (2017)</w:t>
      </w:r>
    </w:p>
    <w:p w14:paraId="60ED6B3D" w14:textId="77777777" w:rsidR="00771090" w:rsidRDefault="00771090" w:rsidP="001A0C4F">
      <w:pPr>
        <w:spacing w:line="360" w:lineRule="auto"/>
        <w:jc w:val="both"/>
        <w:rPr>
          <w:rFonts w:ascii="Arial" w:hAnsi="Arial" w:cs="Arial"/>
          <w:color w:val="000000"/>
          <w:lang w:val="es-US"/>
        </w:rPr>
      </w:pPr>
    </w:p>
    <w:p w14:paraId="2E6451A7" w14:textId="07F519DA" w:rsidR="00D069FB" w:rsidRPr="00D069FB" w:rsidRDefault="00D069FB" w:rsidP="001A0C4F">
      <w:pPr>
        <w:spacing w:line="360" w:lineRule="auto"/>
        <w:jc w:val="both"/>
        <w:rPr>
          <w:lang w:val="es-US"/>
        </w:rPr>
      </w:pPr>
      <w:r w:rsidRPr="00D069FB">
        <w:rPr>
          <w:rFonts w:ascii="Arial" w:hAnsi="Arial" w:cs="Arial"/>
          <w:color w:val="000000"/>
          <w:lang w:val="es-US"/>
        </w:rPr>
        <w:lastRenderedPageBreak/>
        <w:t>Finalmente, en relación con los efectos o impacto de la medicación que estaba siendo administrada a estos estudiantes para aumentar su  concentración al momento de la realización de este estudio; mediante los resultados pudo determinarse  que, al menos para el grupo de los 16 estudiantes que participó de la investigación, la sola administración de un medicamento, no resultó suficiente como estrategia de intervención, para lograr elevar sus niveles atención dado que, las causas por las que la dispersión se produjo en estos casos en particular, tuvo su origen en una dificultad correspondiente a otra habilidad cognitiva que posteriormente les hace rechazar y evadir la tarea.</w:t>
      </w:r>
    </w:p>
    <w:p w14:paraId="3A121020" w14:textId="77777777" w:rsidR="007734F0" w:rsidRDefault="007734F0" w:rsidP="007734F0">
      <w:pPr>
        <w:spacing w:line="360" w:lineRule="auto"/>
        <w:jc w:val="both"/>
        <w:rPr>
          <w:rFonts w:ascii="Arial" w:hAnsi="Arial" w:cs="Arial"/>
          <w:color w:val="000000"/>
          <w:lang w:val="es-US"/>
        </w:rPr>
      </w:pPr>
    </w:p>
    <w:p w14:paraId="599D2F03" w14:textId="4A8060E5" w:rsidR="00D069FB" w:rsidRPr="00D069FB" w:rsidRDefault="00D069FB" w:rsidP="007734F0">
      <w:pPr>
        <w:spacing w:line="360" w:lineRule="auto"/>
        <w:jc w:val="both"/>
        <w:rPr>
          <w:lang w:val="es-US"/>
        </w:rPr>
      </w:pPr>
      <w:r w:rsidRPr="00D069FB">
        <w:rPr>
          <w:rFonts w:ascii="Arial" w:hAnsi="Arial" w:cs="Arial"/>
          <w:color w:val="000000"/>
          <w:lang w:val="es-US"/>
        </w:rPr>
        <w:t>La realización de una sola tarea puede requerir de la utilización de diversas habilidades cognitivas; así, una actividad como “escribir”, indudablemente requiere de atención, pero también requiere del desarrollo óptimo de la motricidad fina (habilidad muy afectada en las personas que participaron del estudio).</w:t>
      </w:r>
    </w:p>
    <w:p w14:paraId="6DD03EB8" w14:textId="77777777" w:rsidR="007734F0" w:rsidRDefault="007734F0" w:rsidP="007734F0">
      <w:pPr>
        <w:spacing w:line="360" w:lineRule="auto"/>
        <w:jc w:val="both"/>
        <w:rPr>
          <w:rFonts w:ascii="Arial" w:hAnsi="Arial" w:cs="Arial"/>
          <w:color w:val="000000"/>
          <w:lang w:val="es-US"/>
        </w:rPr>
      </w:pPr>
    </w:p>
    <w:p w14:paraId="7E215A88" w14:textId="62017AC8" w:rsidR="00D069FB" w:rsidRPr="00D069FB" w:rsidRDefault="00D069FB" w:rsidP="007734F0">
      <w:pPr>
        <w:spacing w:line="360" w:lineRule="auto"/>
        <w:jc w:val="both"/>
        <w:rPr>
          <w:lang w:val="es-US"/>
        </w:rPr>
      </w:pPr>
      <w:r w:rsidRPr="00D069FB">
        <w:rPr>
          <w:rFonts w:ascii="Arial" w:hAnsi="Arial" w:cs="Arial"/>
          <w:color w:val="000000"/>
          <w:lang w:val="es-US"/>
        </w:rPr>
        <w:t xml:space="preserve">Estos resultados dejan expuesta y a la luz, una posible causa adicional de un déficit de atención, lo que explicaría las razones por las cuales, el efecto del fármaco, o bien es nulo, o bien es mínimo cuando estos estudiantes deben escribir ya que, el medicamento puede contribuir con el incremento de los niveles de concentración, pero no desarrolla el movimiento segmentado necesario para escribir, no mejora la prensión del lápiz, no corrige la  coordinación de los movimientos, ni la ejecución </w:t>
      </w:r>
      <w:r w:rsidRPr="00D069FB">
        <w:rPr>
          <w:rFonts w:ascii="Arial" w:hAnsi="Arial" w:cs="Arial"/>
          <w:color w:val="000000"/>
          <w:lang w:val="es-US"/>
        </w:rPr>
        <w:lastRenderedPageBreak/>
        <w:t>de los trazos, problemas que también forman parte del conjunto de rasgos que caracteriza a un estudiante con TEA 1.</w:t>
      </w:r>
    </w:p>
    <w:p w14:paraId="609B0871" w14:textId="77777777" w:rsidR="00D069FB" w:rsidRPr="00D069FB" w:rsidRDefault="00D069FB" w:rsidP="00A46E8C">
      <w:pPr>
        <w:spacing w:line="360" w:lineRule="auto"/>
        <w:rPr>
          <w:lang w:val="es-US"/>
        </w:rPr>
      </w:pPr>
    </w:p>
    <w:p w14:paraId="369FCCC4" w14:textId="6831A4EB" w:rsidR="00D069FB" w:rsidRPr="007734F0" w:rsidRDefault="00D069FB" w:rsidP="00A46E8C">
      <w:pPr>
        <w:spacing w:line="360" w:lineRule="auto"/>
        <w:outlineLvl w:val="0"/>
        <w:rPr>
          <w:rFonts w:ascii="Arial" w:hAnsi="Arial" w:cs="Arial"/>
          <w:b/>
          <w:bCs/>
          <w:color w:val="000000"/>
          <w:kern w:val="36"/>
          <w:lang w:val="es-US"/>
        </w:rPr>
      </w:pPr>
      <w:r w:rsidRPr="00D069FB">
        <w:rPr>
          <w:rFonts w:ascii="Arial" w:hAnsi="Arial" w:cs="Arial"/>
          <w:b/>
          <w:bCs/>
          <w:color w:val="000000"/>
          <w:kern w:val="36"/>
          <w:lang w:val="es-US"/>
        </w:rPr>
        <w:t>D</w:t>
      </w:r>
      <w:r w:rsidR="007734F0" w:rsidRPr="007734F0">
        <w:rPr>
          <w:rFonts w:ascii="Arial" w:hAnsi="Arial" w:cs="Arial"/>
          <w:b/>
          <w:bCs/>
          <w:color w:val="000000"/>
          <w:kern w:val="36"/>
          <w:lang w:val="es-US"/>
        </w:rPr>
        <w:t>ISCUSIÓN</w:t>
      </w:r>
    </w:p>
    <w:p w14:paraId="5390A908" w14:textId="77777777" w:rsidR="007734F0" w:rsidRPr="00D069FB" w:rsidRDefault="007734F0" w:rsidP="00A46E8C">
      <w:pPr>
        <w:spacing w:line="360" w:lineRule="auto"/>
        <w:outlineLvl w:val="0"/>
        <w:rPr>
          <w:b/>
          <w:bCs/>
          <w:kern w:val="36"/>
          <w:lang w:val="es-US"/>
        </w:rPr>
      </w:pPr>
    </w:p>
    <w:p w14:paraId="2B7F3C64" w14:textId="77777777" w:rsidR="00D069FB" w:rsidRPr="00D069FB" w:rsidRDefault="00D069FB" w:rsidP="00026EEE">
      <w:pPr>
        <w:spacing w:line="360" w:lineRule="auto"/>
        <w:ind w:right="51"/>
        <w:jc w:val="both"/>
        <w:rPr>
          <w:lang w:val="es-US"/>
        </w:rPr>
      </w:pPr>
      <w:r w:rsidRPr="00D069FB">
        <w:rPr>
          <w:rFonts w:ascii="Arial" w:hAnsi="Arial" w:cs="Arial"/>
          <w:color w:val="000000"/>
          <w:lang w:val="es-US"/>
        </w:rPr>
        <w:t>Aún predominan las posiciones polarizadas; en la atmósfera, siguen suspendidas tanto la negación de la efectividad de los medicamentos para la concentración como la absoluta convicción de que su uso, es la única forma de abordar la dispersión de la atención.</w:t>
      </w:r>
    </w:p>
    <w:p w14:paraId="459CD719" w14:textId="77777777" w:rsidR="00026EEE" w:rsidRDefault="00026EEE" w:rsidP="00026EEE">
      <w:pPr>
        <w:spacing w:line="360" w:lineRule="auto"/>
        <w:ind w:right="51"/>
        <w:jc w:val="both"/>
        <w:rPr>
          <w:rFonts w:ascii="Arial" w:hAnsi="Arial" w:cs="Arial"/>
          <w:color w:val="000000"/>
          <w:lang w:val="es-US"/>
        </w:rPr>
      </w:pPr>
    </w:p>
    <w:p w14:paraId="4B3CA337" w14:textId="7DC33A34" w:rsidR="00D069FB" w:rsidRPr="00D069FB" w:rsidRDefault="00D069FB" w:rsidP="00026EEE">
      <w:pPr>
        <w:spacing w:line="360" w:lineRule="auto"/>
        <w:ind w:right="51"/>
        <w:jc w:val="both"/>
        <w:rPr>
          <w:lang w:val="es-US"/>
        </w:rPr>
      </w:pPr>
      <w:r w:rsidRPr="00D069FB">
        <w:rPr>
          <w:rFonts w:ascii="Arial" w:hAnsi="Arial" w:cs="Arial"/>
          <w:color w:val="000000"/>
          <w:lang w:val="es-US"/>
        </w:rPr>
        <w:t>Las causas de un problema pueden ser múltiples; una situación determinada puede tener un aspecto similar o casi idéntico al de otra situación; sin embargo, lo que está provocando que se dé una circunstancia, puede variar dependiendo del caso. (Rivas–</w:t>
      </w:r>
      <w:proofErr w:type="spellStart"/>
      <w:r w:rsidRPr="00D069FB">
        <w:rPr>
          <w:rFonts w:ascii="Arial" w:hAnsi="Arial" w:cs="Arial"/>
          <w:color w:val="000000"/>
          <w:lang w:val="es-US"/>
        </w:rPr>
        <w:t>Juesas</w:t>
      </w:r>
      <w:proofErr w:type="spellEnd"/>
      <w:r w:rsidRPr="00D069FB">
        <w:rPr>
          <w:rFonts w:ascii="Arial" w:hAnsi="Arial" w:cs="Arial"/>
          <w:color w:val="000000"/>
          <w:lang w:val="es-US"/>
        </w:rPr>
        <w:t>, et al. 2017, citado por Aguirre, et al., 2022), concluyeron a partir de un estudio realizado a 280 pacientes con sospecha de TDAH, que luego de una rigurosa evaluación, solamente el 49.7 % de este total, podía ser diagnosticado realmente con TDAH.</w:t>
      </w:r>
    </w:p>
    <w:p w14:paraId="4422A556" w14:textId="77777777" w:rsidR="00026EEE" w:rsidRDefault="00026EEE" w:rsidP="00026EEE">
      <w:pPr>
        <w:spacing w:line="360" w:lineRule="auto"/>
        <w:ind w:right="51"/>
        <w:jc w:val="both"/>
        <w:rPr>
          <w:rFonts w:ascii="Arial" w:hAnsi="Arial" w:cs="Arial"/>
          <w:color w:val="000000"/>
          <w:lang w:val="es-US"/>
        </w:rPr>
      </w:pPr>
    </w:p>
    <w:p w14:paraId="674F3347" w14:textId="77777777" w:rsidR="00026EEE" w:rsidRDefault="00D069FB" w:rsidP="00A46E8C">
      <w:pPr>
        <w:spacing w:line="360" w:lineRule="auto"/>
        <w:ind w:right="51"/>
        <w:jc w:val="both"/>
        <w:rPr>
          <w:lang w:val="es-US"/>
        </w:rPr>
      </w:pPr>
      <w:r w:rsidRPr="00D069FB">
        <w:rPr>
          <w:rFonts w:ascii="Arial" w:hAnsi="Arial" w:cs="Arial"/>
          <w:color w:val="000000"/>
          <w:lang w:val="es-US"/>
        </w:rPr>
        <w:t xml:space="preserve">Las categorías de análisis planteadas y la información recolectada </w:t>
      </w:r>
      <w:proofErr w:type="gramStart"/>
      <w:r w:rsidRPr="00D069FB">
        <w:rPr>
          <w:rFonts w:ascii="Arial" w:hAnsi="Arial" w:cs="Arial"/>
          <w:color w:val="000000"/>
          <w:lang w:val="es-US"/>
        </w:rPr>
        <w:t>en  el</w:t>
      </w:r>
      <w:proofErr w:type="gramEnd"/>
      <w:r w:rsidRPr="00D069FB">
        <w:rPr>
          <w:rFonts w:ascii="Arial" w:hAnsi="Arial" w:cs="Arial"/>
          <w:color w:val="000000"/>
          <w:lang w:val="es-US"/>
        </w:rPr>
        <w:t xml:space="preserve"> estudio en el que se basa este artículo, permitieron llegar a conclusiones sobre un posible origen de los problemas de atención en estudiantes con TEA 1, su comportamiento al escribir, sus dificultades en motricidad fina y con la escritura, su respuesta ante </w:t>
      </w:r>
      <w:r w:rsidRPr="00D069FB">
        <w:rPr>
          <w:rFonts w:ascii="Arial" w:hAnsi="Arial" w:cs="Arial"/>
          <w:color w:val="000000"/>
          <w:lang w:val="es-US"/>
        </w:rPr>
        <w:lastRenderedPageBreak/>
        <w:t>la frustración al realizar estas tareas y los alcances de la medicación en momentos en los que la tarea realizada involucraba la escritura.</w:t>
      </w:r>
    </w:p>
    <w:p w14:paraId="14DD4C53" w14:textId="77777777" w:rsidR="00026EEE" w:rsidRDefault="00026EEE" w:rsidP="00A46E8C">
      <w:pPr>
        <w:spacing w:line="360" w:lineRule="auto"/>
        <w:ind w:right="51"/>
        <w:jc w:val="both"/>
        <w:rPr>
          <w:rFonts w:ascii="Arial" w:hAnsi="Arial" w:cs="Arial"/>
          <w:color w:val="000000"/>
          <w:lang w:val="es-US"/>
        </w:rPr>
      </w:pPr>
    </w:p>
    <w:p w14:paraId="09186A1C" w14:textId="646F174A" w:rsidR="00D069FB" w:rsidRPr="00D069FB" w:rsidRDefault="00D069FB" w:rsidP="00A46E8C">
      <w:pPr>
        <w:spacing w:line="360" w:lineRule="auto"/>
        <w:ind w:right="51"/>
        <w:jc w:val="both"/>
        <w:rPr>
          <w:lang w:val="es-US"/>
        </w:rPr>
      </w:pPr>
      <w:r w:rsidRPr="00D069FB">
        <w:rPr>
          <w:rFonts w:ascii="Arial" w:hAnsi="Arial" w:cs="Arial"/>
          <w:color w:val="000000"/>
          <w:lang w:val="es-US"/>
        </w:rPr>
        <w:t>No basta con caracterizar lo que se puede observar a simple vista; no es suficiente con limitarse a describir la “cualidad” sino que se requiere además de un conocimiento profundo de la “causalidad”.</w:t>
      </w:r>
      <w:r w:rsidRPr="00D069FB">
        <w:rPr>
          <w:rFonts w:ascii="Arial" w:hAnsi="Arial" w:cs="Arial"/>
          <w:color w:val="000000"/>
          <w:shd w:val="clear" w:color="auto" w:fill="70AD47" w:themeFill="accent6"/>
          <w:lang w:val="es-US"/>
        </w:rPr>
        <w:t xml:space="preserve"> </w:t>
      </w:r>
    </w:p>
    <w:p w14:paraId="26B6E541" w14:textId="77777777" w:rsidR="00026EEE" w:rsidRDefault="00026EEE" w:rsidP="00026EEE">
      <w:pPr>
        <w:spacing w:line="360" w:lineRule="auto"/>
        <w:ind w:right="51"/>
        <w:jc w:val="both"/>
        <w:rPr>
          <w:rFonts w:ascii="Arial" w:hAnsi="Arial" w:cs="Arial"/>
          <w:color w:val="000000"/>
          <w:lang w:val="es-US"/>
        </w:rPr>
      </w:pPr>
    </w:p>
    <w:p w14:paraId="08AB615B" w14:textId="08C5C8D9" w:rsidR="00D069FB" w:rsidRPr="00D069FB" w:rsidRDefault="00D069FB" w:rsidP="00026EEE">
      <w:pPr>
        <w:spacing w:line="360" w:lineRule="auto"/>
        <w:ind w:right="51"/>
        <w:jc w:val="both"/>
        <w:rPr>
          <w:lang w:val="es-US"/>
        </w:rPr>
      </w:pPr>
      <w:r w:rsidRPr="00D069FB">
        <w:rPr>
          <w:rFonts w:ascii="Arial" w:hAnsi="Arial" w:cs="Arial"/>
          <w:color w:val="000000"/>
          <w:lang w:val="es-US"/>
        </w:rPr>
        <w:t>Para poder dar solución a una situación tan compleja como la dificultad atencional de un individuo, hace falta adentrarse en un terreno que es intrincado y laberíntico, lo cual demanda un análisis profundo y multifacético. </w:t>
      </w:r>
    </w:p>
    <w:p w14:paraId="131D4AB0" w14:textId="77777777" w:rsidR="00026EEE" w:rsidRDefault="00026EEE" w:rsidP="00026EEE">
      <w:pPr>
        <w:spacing w:line="360" w:lineRule="auto"/>
        <w:ind w:right="51"/>
        <w:jc w:val="both"/>
        <w:rPr>
          <w:rFonts w:ascii="Arial" w:hAnsi="Arial" w:cs="Arial"/>
          <w:color w:val="000000"/>
          <w:lang w:val="es-US"/>
        </w:rPr>
      </w:pPr>
    </w:p>
    <w:p w14:paraId="31C2A7D7" w14:textId="5185BFD6" w:rsidR="00D069FB" w:rsidRPr="00D069FB" w:rsidRDefault="00D069FB" w:rsidP="00026EEE">
      <w:pPr>
        <w:spacing w:line="360" w:lineRule="auto"/>
        <w:ind w:right="51"/>
        <w:jc w:val="both"/>
        <w:rPr>
          <w:lang w:val="es-US"/>
        </w:rPr>
      </w:pPr>
      <w:r w:rsidRPr="00D069FB">
        <w:rPr>
          <w:rFonts w:ascii="Arial" w:hAnsi="Arial" w:cs="Arial"/>
          <w:color w:val="000000"/>
          <w:lang w:val="es-US"/>
        </w:rPr>
        <w:t>Del mismo modo en el que se requiere saber dónde estuvo la falla para hacer que un automóvil que dejó de funcionar, pueda volver a ponerse en marcha; se requieren pericia y procesos de observación rigurosos, prolongados e integrales, para mejorar los procesos de atención de una persona, lo cual, posibilitará la implementación de estrategias adecuadas a cada uno de los casos con sus características y consideraciones particulares.</w:t>
      </w:r>
    </w:p>
    <w:p w14:paraId="1EB8BE8D" w14:textId="77777777" w:rsidR="00026EEE" w:rsidRDefault="00026EEE" w:rsidP="00026EEE">
      <w:pPr>
        <w:spacing w:line="360" w:lineRule="auto"/>
        <w:ind w:right="51"/>
        <w:jc w:val="both"/>
        <w:rPr>
          <w:rFonts w:ascii="Arial" w:hAnsi="Arial" w:cs="Arial"/>
          <w:color w:val="000000"/>
          <w:lang w:val="es-US"/>
        </w:rPr>
      </w:pPr>
    </w:p>
    <w:p w14:paraId="13ADBD66" w14:textId="65C70286" w:rsidR="00D069FB" w:rsidRPr="00D069FB" w:rsidRDefault="00D069FB" w:rsidP="00026EEE">
      <w:pPr>
        <w:spacing w:line="360" w:lineRule="auto"/>
        <w:ind w:right="51"/>
        <w:jc w:val="both"/>
        <w:rPr>
          <w:lang w:val="es-US"/>
        </w:rPr>
      </w:pPr>
      <w:r w:rsidRPr="00D069FB">
        <w:rPr>
          <w:rFonts w:ascii="Arial" w:hAnsi="Arial" w:cs="Arial"/>
          <w:color w:val="000000"/>
          <w:lang w:val="es-US"/>
        </w:rPr>
        <w:t>Si el panorama y el contexto en el que se desarrolla el problema no son completos, la visión es sesgada y al existir un sesgo, se puede caer fácilmente en la pérdida de recursos; especialmente, del recurso “tiempo” que el estudiante no podrá recuperar.</w:t>
      </w:r>
    </w:p>
    <w:p w14:paraId="0B47A0D0" w14:textId="77777777" w:rsidR="00D069FB" w:rsidRPr="00D069FB" w:rsidRDefault="00D069FB" w:rsidP="00026EEE">
      <w:pPr>
        <w:spacing w:line="360" w:lineRule="auto"/>
        <w:ind w:right="51"/>
        <w:jc w:val="both"/>
        <w:rPr>
          <w:lang w:val="es-US"/>
        </w:rPr>
      </w:pPr>
      <w:r w:rsidRPr="00D069FB">
        <w:rPr>
          <w:rFonts w:ascii="Arial" w:hAnsi="Arial" w:cs="Arial"/>
          <w:color w:val="000000"/>
          <w:lang w:val="es-US"/>
        </w:rPr>
        <w:lastRenderedPageBreak/>
        <w:t>No importa que tan larga sea la espera, si el tratamiento no va directo a la causa de origen, el problema no se verá atenuado y mientras tanto, el o la estudiante con dificultades atencionales continuará acumulando sensación de fracaso, indefensión aprendida y frustración; mientras tanto – y por su parte-, el personal docente, continuará haciendo intentos infructuosos por ayudar a una persona estudiante sobre la cual pesará un estigma muy fuerte que le afectará en todas las esferas de su desarrollo a corto, mediano y largo plazo.</w:t>
      </w:r>
    </w:p>
    <w:p w14:paraId="4253AA28" w14:textId="77777777" w:rsidR="00026EEE" w:rsidRDefault="00026EEE" w:rsidP="00026EEE">
      <w:pPr>
        <w:spacing w:line="360" w:lineRule="auto"/>
        <w:ind w:right="51"/>
        <w:jc w:val="both"/>
        <w:rPr>
          <w:rFonts w:ascii="Arial" w:hAnsi="Arial" w:cs="Arial"/>
          <w:color w:val="000000"/>
          <w:lang w:val="es-US"/>
        </w:rPr>
      </w:pPr>
    </w:p>
    <w:p w14:paraId="55F10C39" w14:textId="3072E1F8" w:rsidR="00D069FB" w:rsidRPr="00D069FB" w:rsidRDefault="00D069FB" w:rsidP="00026EEE">
      <w:pPr>
        <w:spacing w:line="360" w:lineRule="auto"/>
        <w:ind w:right="51"/>
        <w:jc w:val="both"/>
        <w:rPr>
          <w:lang w:val="es-US"/>
        </w:rPr>
      </w:pPr>
      <w:r w:rsidRPr="00D069FB">
        <w:rPr>
          <w:rFonts w:ascii="Arial" w:hAnsi="Arial" w:cs="Arial"/>
          <w:color w:val="000000"/>
          <w:lang w:val="es-US"/>
        </w:rPr>
        <w:t>No se trata aquí de “demonizar” la utilización de fármacos, que en muchos casos se hace imprescindible; de lo que se trata, es de combatir integralmente al “atacante” para resguardar todos los flancos de forma que se garantice de este modo, el éxito en la batalla.</w:t>
      </w:r>
    </w:p>
    <w:p w14:paraId="68BABCC3" w14:textId="77777777" w:rsidR="00026EEE" w:rsidRDefault="00026EEE" w:rsidP="00026EEE">
      <w:pPr>
        <w:spacing w:line="360" w:lineRule="auto"/>
        <w:ind w:right="51"/>
        <w:jc w:val="both"/>
        <w:rPr>
          <w:rFonts w:ascii="Arial" w:hAnsi="Arial" w:cs="Arial"/>
          <w:color w:val="000000"/>
          <w:lang w:val="es-US"/>
        </w:rPr>
      </w:pPr>
    </w:p>
    <w:p w14:paraId="1B6EDD8C" w14:textId="1EB389D0" w:rsidR="00D069FB" w:rsidRPr="00D069FB" w:rsidRDefault="00D069FB" w:rsidP="00026EEE">
      <w:pPr>
        <w:spacing w:line="360" w:lineRule="auto"/>
        <w:ind w:right="51"/>
        <w:jc w:val="both"/>
        <w:rPr>
          <w:lang w:val="es-US"/>
        </w:rPr>
      </w:pPr>
      <w:r w:rsidRPr="00D069FB">
        <w:rPr>
          <w:rFonts w:ascii="Arial" w:hAnsi="Arial" w:cs="Arial"/>
          <w:color w:val="000000"/>
          <w:lang w:val="es-US"/>
        </w:rPr>
        <w:t xml:space="preserve">Los resultados de este estudio contribuyen con la </w:t>
      </w:r>
      <w:proofErr w:type="spellStart"/>
      <w:r w:rsidRPr="00D069FB">
        <w:rPr>
          <w:rFonts w:ascii="Arial" w:hAnsi="Arial" w:cs="Arial"/>
          <w:color w:val="000000"/>
          <w:lang w:val="es-US"/>
        </w:rPr>
        <w:t>visibilización</w:t>
      </w:r>
      <w:proofErr w:type="spellEnd"/>
      <w:r w:rsidRPr="00D069FB">
        <w:rPr>
          <w:rFonts w:ascii="Arial" w:hAnsi="Arial" w:cs="Arial"/>
          <w:color w:val="000000"/>
          <w:lang w:val="es-US"/>
        </w:rPr>
        <w:t xml:space="preserve"> de situaciones y dificultades que necesitan ser reconocidas para poder ser abordadas tanto a nivel individual, como dentro de la dinámica del aula activando acciones pertinentes; ya que, no es posible luchar contra una situación que no se ha identificado.</w:t>
      </w:r>
    </w:p>
    <w:p w14:paraId="17B53AA6" w14:textId="77777777" w:rsidR="00026EEE" w:rsidRDefault="00026EEE" w:rsidP="00026EEE">
      <w:pPr>
        <w:spacing w:line="360" w:lineRule="auto"/>
        <w:ind w:right="51"/>
        <w:jc w:val="both"/>
        <w:rPr>
          <w:rFonts w:ascii="Arial" w:hAnsi="Arial" w:cs="Arial"/>
          <w:color w:val="000000"/>
          <w:lang w:val="es-US"/>
        </w:rPr>
      </w:pPr>
    </w:p>
    <w:p w14:paraId="0735FA7C" w14:textId="5EE87AA0" w:rsidR="00D069FB" w:rsidRPr="00D069FB" w:rsidRDefault="00D069FB" w:rsidP="00026EEE">
      <w:pPr>
        <w:spacing w:line="360" w:lineRule="auto"/>
        <w:ind w:right="51"/>
        <w:jc w:val="both"/>
        <w:rPr>
          <w:lang w:val="es-US"/>
        </w:rPr>
      </w:pPr>
      <w:r w:rsidRPr="00D069FB">
        <w:rPr>
          <w:rFonts w:ascii="Arial" w:hAnsi="Arial" w:cs="Arial"/>
          <w:color w:val="000000"/>
          <w:lang w:val="es-US"/>
        </w:rPr>
        <w:t xml:space="preserve">Un ejemplo práctico -un único ejemplo de muchos-, podría ser que al reconocer esta problemática en una persona estudiante, exista la flexibilidad de no solicitarle que escriba en su cuaderno, sino de permitirle que estudie con notas de voz. Como puede verse, la simple aplicación de una adecuación “no significativa” podría paliar </w:t>
      </w:r>
      <w:r w:rsidRPr="00D069FB">
        <w:rPr>
          <w:rFonts w:ascii="Arial" w:hAnsi="Arial" w:cs="Arial"/>
          <w:color w:val="000000"/>
          <w:lang w:val="es-US"/>
        </w:rPr>
        <w:lastRenderedPageBreak/>
        <w:t>la frustración de la persona estudiante, elevar su motivación, incrementar su deseo de concentrarse, mejorar su rendimiento académico y resguardar la armonía en el salón de clases para poder dirigir adecuadamente la energía, a la absorción correcta de los contenidos de un plan de estudios.</w:t>
      </w:r>
    </w:p>
    <w:p w14:paraId="3A49E0A2" w14:textId="77777777" w:rsidR="00026EEE" w:rsidRDefault="00026EEE" w:rsidP="00026EEE">
      <w:pPr>
        <w:spacing w:line="360" w:lineRule="auto"/>
        <w:ind w:right="51"/>
        <w:jc w:val="both"/>
        <w:rPr>
          <w:rFonts w:ascii="Arial" w:hAnsi="Arial" w:cs="Arial"/>
          <w:color w:val="000000"/>
          <w:lang w:val="es-US"/>
        </w:rPr>
      </w:pPr>
    </w:p>
    <w:p w14:paraId="3CD72A7C" w14:textId="1E97A2B6" w:rsidR="00D069FB" w:rsidRPr="00D069FB" w:rsidRDefault="00D069FB" w:rsidP="00026EEE">
      <w:pPr>
        <w:spacing w:line="360" w:lineRule="auto"/>
        <w:ind w:right="51"/>
        <w:jc w:val="both"/>
        <w:rPr>
          <w:lang w:val="es-US"/>
        </w:rPr>
      </w:pPr>
      <w:r w:rsidRPr="00D069FB">
        <w:rPr>
          <w:rFonts w:ascii="Arial" w:hAnsi="Arial" w:cs="Arial"/>
          <w:color w:val="000000"/>
          <w:lang w:val="es-US"/>
        </w:rPr>
        <w:t>Con mucha más frecuencia de la deseada, puede constatarse, cómo personas estudiantes con este tipo de dificultades –pese a tener una inteligencia promedio-, cursan con bajo rendimiento académico, un marcado déficit de tiempo para realizar tareas y una autoestima lesionada a causa de no poder rendir con lo que se espera de ellas en un nivel determinado.</w:t>
      </w:r>
    </w:p>
    <w:p w14:paraId="6546E031" w14:textId="77777777" w:rsidR="00026EEE" w:rsidRDefault="00026EEE" w:rsidP="00026EEE">
      <w:pPr>
        <w:spacing w:line="360" w:lineRule="auto"/>
        <w:ind w:right="51"/>
        <w:jc w:val="both"/>
        <w:rPr>
          <w:rFonts w:ascii="Arial" w:hAnsi="Arial" w:cs="Arial"/>
          <w:color w:val="000000"/>
          <w:lang w:val="es-US"/>
        </w:rPr>
      </w:pPr>
    </w:p>
    <w:p w14:paraId="25859CCF" w14:textId="3F3B6963" w:rsidR="00D069FB" w:rsidRPr="00D069FB" w:rsidRDefault="00D069FB" w:rsidP="00026EEE">
      <w:pPr>
        <w:spacing w:line="360" w:lineRule="auto"/>
        <w:ind w:right="51"/>
        <w:jc w:val="both"/>
        <w:rPr>
          <w:lang w:val="es-US"/>
        </w:rPr>
      </w:pPr>
      <w:r w:rsidRPr="00D069FB">
        <w:rPr>
          <w:rFonts w:ascii="Arial" w:hAnsi="Arial" w:cs="Arial"/>
          <w:color w:val="000000"/>
          <w:lang w:val="es-US"/>
        </w:rPr>
        <w:t>Esto, aunado al hecho de que por invertir tanto tiempo tratando de escribir correctamente, no pueden concentrar su energía en absorber adecuadamente los contenidos, convierten la experiencia de aprendizaje en algo digno de rechazo debido al desgaste físico, mental y emocional que genera la dificultad que arrastran a lo largo de todo el proceso.</w:t>
      </w:r>
    </w:p>
    <w:p w14:paraId="6B0E97FF" w14:textId="77777777" w:rsidR="00026EEE" w:rsidRDefault="00026EEE" w:rsidP="00026EEE">
      <w:pPr>
        <w:spacing w:line="360" w:lineRule="auto"/>
        <w:ind w:right="51"/>
        <w:jc w:val="both"/>
        <w:rPr>
          <w:rFonts w:ascii="Arial" w:hAnsi="Arial" w:cs="Arial"/>
          <w:color w:val="000000"/>
          <w:lang w:val="es-US"/>
        </w:rPr>
      </w:pPr>
    </w:p>
    <w:p w14:paraId="11DD68CD" w14:textId="6B13A0D9" w:rsidR="00D069FB" w:rsidRPr="00D069FB" w:rsidRDefault="00D069FB" w:rsidP="00026EEE">
      <w:pPr>
        <w:spacing w:line="360" w:lineRule="auto"/>
        <w:ind w:right="51"/>
        <w:jc w:val="both"/>
        <w:rPr>
          <w:lang w:val="es-US"/>
        </w:rPr>
      </w:pPr>
      <w:r w:rsidRPr="00D069FB">
        <w:rPr>
          <w:rFonts w:ascii="Arial" w:hAnsi="Arial" w:cs="Arial"/>
          <w:color w:val="000000"/>
          <w:lang w:val="es-US"/>
        </w:rPr>
        <w:t>Por otro lado, el tener que compensar en el hogar, lo que no lograron terminar durante la jornada educativa produce un fenómeno de saturación que a muy corto plazo genera una desconexión de la persona estudiante con toda actividad que sea fuente de cansancio y sobreesfuerzo.</w:t>
      </w:r>
    </w:p>
    <w:p w14:paraId="760A2B67" w14:textId="77777777" w:rsidR="00D069FB" w:rsidRPr="00D069FB" w:rsidRDefault="00D069FB" w:rsidP="00026EEE">
      <w:pPr>
        <w:spacing w:line="360" w:lineRule="auto"/>
        <w:ind w:right="51"/>
        <w:jc w:val="both"/>
        <w:rPr>
          <w:lang w:val="es-US"/>
        </w:rPr>
      </w:pPr>
      <w:r w:rsidRPr="00D069FB">
        <w:rPr>
          <w:rFonts w:ascii="Arial" w:hAnsi="Arial" w:cs="Arial"/>
          <w:color w:val="000000"/>
          <w:lang w:val="es-US"/>
        </w:rPr>
        <w:lastRenderedPageBreak/>
        <w:t>Para los y las estudiantes que participaron de la investigación, es un hecho inapelable que las actividades relacionadas con la escritura, disminuyen sus niveles de atención, desatan los problemas de conducta y obstaculizan el libre curso del proceso de aprendizaje y es además palpable, que la medicación recibida en estos casos, no está resultando suficiente para resolver el problema; por ello, los resultados obtenidos, deberían ser una razón válida para hacer un cambio en las estrategias de mediación pedagógica, en las metodologías y en los tratamientos y abordajes implementados.</w:t>
      </w:r>
    </w:p>
    <w:p w14:paraId="0F09ACEA" w14:textId="77777777" w:rsidR="00026EEE" w:rsidRDefault="00026EEE" w:rsidP="00026EEE">
      <w:pPr>
        <w:spacing w:line="360" w:lineRule="auto"/>
        <w:ind w:right="51"/>
        <w:jc w:val="both"/>
        <w:rPr>
          <w:rFonts w:ascii="Arial" w:hAnsi="Arial" w:cs="Arial"/>
          <w:color w:val="000000"/>
          <w:lang w:val="es-US"/>
        </w:rPr>
      </w:pPr>
    </w:p>
    <w:p w14:paraId="7F3011B0" w14:textId="29E9F285" w:rsidR="00D069FB" w:rsidRPr="00D069FB" w:rsidRDefault="00D069FB" w:rsidP="00026EEE">
      <w:pPr>
        <w:spacing w:line="360" w:lineRule="auto"/>
        <w:ind w:right="51"/>
        <w:jc w:val="both"/>
        <w:rPr>
          <w:lang w:val="es-US"/>
        </w:rPr>
      </w:pPr>
      <w:r w:rsidRPr="00D069FB">
        <w:rPr>
          <w:rFonts w:ascii="Arial" w:hAnsi="Arial" w:cs="Arial"/>
          <w:color w:val="000000"/>
          <w:lang w:val="es-US"/>
        </w:rPr>
        <w:t>Ciertamente, como todos, este estudio presenta limitantes; una muy importante, radica en la ausencia de seguimiento, posterior a la obtención de estos resultados.</w:t>
      </w:r>
    </w:p>
    <w:p w14:paraId="599001EF" w14:textId="77777777" w:rsidR="00026EEE" w:rsidRDefault="00026EEE" w:rsidP="00026EEE">
      <w:pPr>
        <w:spacing w:line="360" w:lineRule="auto"/>
        <w:ind w:right="51"/>
        <w:jc w:val="both"/>
        <w:rPr>
          <w:rFonts w:ascii="Arial" w:hAnsi="Arial" w:cs="Arial"/>
          <w:color w:val="000000"/>
          <w:lang w:val="es-US"/>
        </w:rPr>
      </w:pPr>
    </w:p>
    <w:p w14:paraId="72239621" w14:textId="013B4343" w:rsidR="00D069FB" w:rsidRPr="00D069FB" w:rsidRDefault="00D069FB" w:rsidP="00DC7A51">
      <w:pPr>
        <w:spacing w:line="360" w:lineRule="auto"/>
        <w:jc w:val="both"/>
        <w:rPr>
          <w:rFonts w:ascii="Arial" w:hAnsi="Arial" w:cs="Arial"/>
          <w:lang w:val="es-US"/>
        </w:rPr>
      </w:pPr>
      <w:r w:rsidRPr="00D069FB">
        <w:rPr>
          <w:rFonts w:ascii="Arial" w:hAnsi="Arial" w:cs="Arial"/>
          <w:color w:val="000000"/>
          <w:lang w:val="es-US"/>
        </w:rPr>
        <w:t>Hace falta observar qué sucedería con los niveles de atención de estudiantes bajo esta misma condición - que no están siendo medicados-, si se desarrollara un plan de intervención psicoeducativa que aborde de manera directa sus dificultades motrices; o bien, que busque compensar estas debilidades de alguna otra manera; ¿mejoraría acaso su concentración pese a la no administración de un fármaco si por ejemplo se le proporciona un teclado en lugar de pedirle que escriba con el lápiz?, ¿contribuiría esto con una interacción mucho más armónica y fluida dentro de la dinámica del aula? La interrogante está en el aire, el espacio para la respuesta está dado y la plaza está vacante.</w:t>
      </w:r>
    </w:p>
    <w:p w14:paraId="1D267535" w14:textId="77777777" w:rsidR="000744BD" w:rsidRPr="00DC7A51" w:rsidRDefault="000744BD" w:rsidP="00DC7A51">
      <w:pPr>
        <w:spacing w:line="360" w:lineRule="auto"/>
        <w:outlineLvl w:val="0"/>
        <w:rPr>
          <w:rFonts w:ascii="Arial" w:hAnsi="Arial" w:cs="Arial"/>
          <w:lang w:val="es-US"/>
        </w:rPr>
      </w:pPr>
    </w:p>
    <w:p w14:paraId="65D274F6" w14:textId="6BC26EED" w:rsidR="00D069FB" w:rsidRPr="00D069FB" w:rsidRDefault="00D069FB" w:rsidP="00DC7A51">
      <w:pPr>
        <w:spacing w:line="360" w:lineRule="auto"/>
        <w:outlineLvl w:val="0"/>
        <w:rPr>
          <w:rFonts w:ascii="Arial" w:hAnsi="Arial" w:cs="Arial"/>
          <w:b/>
          <w:bCs/>
          <w:kern w:val="36"/>
          <w:sz w:val="48"/>
          <w:szCs w:val="48"/>
          <w:lang w:val="es-US"/>
        </w:rPr>
      </w:pPr>
      <w:r w:rsidRPr="00D069FB">
        <w:rPr>
          <w:rFonts w:ascii="Arial" w:hAnsi="Arial" w:cs="Arial"/>
          <w:b/>
          <w:bCs/>
          <w:color w:val="000000"/>
          <w:kern w:val="36"/>
          <w:lang w:val="es-US"/>
        </w:rPr>
        <w:lastRenderedPageBreak/>
        <w:t>R</w:t>
      </w:r>
      <w:r w:rsidR="000744BD" w:rsidRPr="00DC7A51">
        <w:rPr>
          <w:rFonts w:ascii="Arial" w:hAnsi="Arial" w:cs="Arial"/>
          <w:b/>
          <w:bCs/>
          <w:color w:val="000000"/>
          <w:kern w:val="36"/>
          <w:lang w:val="es-US"/>
        </w:rPr>
        <w:t>EFERENCIAS</w:t>
      </w:r>
    </w:p>
    <w:p w14:paraId="55DDFF65" w14:textId="77777777" w:rsidR="00D069FB" w:rsidRPr="00D069FB" w:rsidRDefault="00D069FB" w:rsidP="00DC7A51">
      <w:pPr>
        <w:spacing w:line="360" w:lineRule="auto"/>
        <w:rPr>
          <w:rFonts w:ascii="Arial" w:hAnsi="Arial" w:cs="Arial"/>
          <w:lang w:val="es-US"/>
        </w:rPr>
      </w:pPr>
    </w:p>
    <w:p w14:paraId="409BB376" w14:textId="77777777" w:rsidR="00D069FB" w:rsidRPr="00D069FB" w:rsidRDefault="00D069FB" w:rsidP="00DC7A51">
      <w:pPr>
        <w:spacing w:line="360" w:lineRule="auto"/>
        <w:ind w:left="709" w:hanging="709"/>
        <w:jc w:val="both"/>
        <w:rPr>
          <w:rFonts w:ascii="Arial" w:hAnsi="Arial" w:cs="Arial"/>
          <w:lang w:val="es-US"/>
        </w:rPr>
      </w:pPr>
      <w:r w:rsidRPr="00D069FB">
        <w:rPr>
          <w:rFonts w:ascii="Arial" w:hAnsi="Arial" w:cs="Arial"/>
          <w:color w:val="000000"/>
          <w:lang w:val="es-US"/>
        </w:rPr>
        <w:t xml:space="preserve">Aguirre, M., </w:t>
      </w:r>
      <w:proofErr w:type="spellStart"/>
      <w:r w:rsidRPr="00D069FB">
        <w:rPr>
          <w:rFonts w:ascii="Arial" w:hAnsi="Arial" w:cs="Arial"/>
          <w:color w:val="000000"/>
          <w:lang w:val="es-US"/>
        </w:rPr>
        <w:t>Sidera</w:t>
      </w:r>
      <w:proofErr w:type="spellEnd"/>
      <w:r w:rsidRPr="00D069FB">
        <w:rPr>
          <w:rFonts w:ascii="Arial" w:hAnsi="Arial" w:cs="Arial"/>
          <w:color w:val="000000"/>
          <w:lang w:val="es-US"/>
        </w:rPr>
        <w:t xml:space="preserve">-Caballero, F., </w:t>
      </w:r>
      <w:proofErr w:type="spellStart"/>
      <w:r w:rsidRPr="00D069FB">
        <w:rPr>
          <w:rFonts w:ascii="Arial" w:hAnsi="Arial" w:cs="Arial"/>
          <w:color w:val="000000"/>
          <w:lang w:val="es-US"/>
        </w:rPr>
        <w:t>Rostán</w:t>
      </w:r>
      <w:proofErr w:type="spellEnd"/>
      <w:r w:rsidRPr="00D069FB">
        <w:rPr>
          <w:rFonts w:ascii="Arial" w:hAnsi="Arial" w:cs="Arial"/>
          <w:color w:val="000000"/>
          <w:lang w:val="es-US"/>
        </w:rPr>
        <w:t xml:space="preserve">-Sánchez, C., &amp; </w:t>
      </w:r>
      <w:proofErr w:type="spellStart"/>
      <w:r w:rsidRPr="00D069FB">
        <w:rPr>
          <w:rFonts w:ascii="Arial" w:hAnsi="Arial" w:cs="Arial"/>
          <w:color w:val="000000"/>
          <w:lang w:val="es-US"/>
        </w:rPr>
        <w:t>Onandia</w:t>
      </w:r>
      <w:proofErr w:type="spellEnd"/>
      <w:r w:rsidRPr="00D069FB">
        <w:rPr>
          <w:rFonts w:ascii="Arial" w:hAnsi="Arial" w:cs="Arial"/>
          <w:color w:val="000000"/>
          <w:lang w:val="es-US"/>
        </w:rPr>
        <w:t>-Hinchado, I. (2022). Trastorno por déficit de atención e hiperactividad y su relación diagnóstica con el trastorno de estrés postraumático infantil: una revisión sistemática.</w:t>
      </w:r>
      <w:r w:rsidRPr="00D069FB">
        <w:rPr>
          <w:rFonts w:ascii="Arial" w:hAnsi="Arial" w:cs="Arial"/>
          <w:i/>
          <w:iCs/>
          <w:color w:val="000000"/>
          <w:lang w:val="es-US"/>
        </w:rPr>
        <w:t xml:space="preserve"> Revista de psicología clínica con niños y adolescentes, 9</w:t>
      </w:r>
      <w:r w:rsidRPr="00D069FB">
        <w:rPr>
          <w:rFonts w:ascii="Arial" w:hAnsi="Arial" w:cs="Arial"/>
          <w:color w:val="000000"/>
          <w:lang w:val="es-US"/>
        </w:rPr>
        <w:t xml:space="preserve"> (1), 9-19. </w:t>
      </w:r>
      <w:hyperlink r:id="rId17" w:history="1">
        <w:r w:rsidRPr="00D069FB">
          <w:rPr>
            <w:rFonts w:ascii="Arial" w:hAnsi="Arial" w:cs="Arial"/>
            <w:color w:val="002060"/>
            <w:u w:val="single"/>
            <w:lang w:val="es-US"/>
          </w:rPr>
          <w:t>https://dialnet.unirioja.es/servlet/articulo?codigo=8265637</w:t>
        </w:r>
      </w:hyperlink>
      <w:r w:rsidRPr="00D069FB">
        <w:rPr>
          <w:rFonts w:ascii="Arial" w:hAnsi="Arial" w:cs="Arial"/>
          <w:color w:val="002060"/>
          <w:lang w:val="es-US"/>
        </w:rPr>
        <w:t> </w:t>
      </w:r>
    </w:p>
    <w:p w14:paraId="21F54A2C" w14:textId="77777777" w:rsidR="00707CE6" w:rsidRDefault="00707CE6" w:rsidP="00707CE6">
      <w:pPr>
        <w:spacing w:line="360" w:lineRule="auto"/>
        <w:ind w:left="709" w:hanging="709"/>
        <w:jc w:val="both"/>
        <w:rPr>
          <w:rFonts w:ascii="Arial" w:hAnsi="Arial" w:cs="Arial"/>
          <w:color w:val="000000"/>
          <w:lang w:val="es-US"/>
        </w:rPr>
      </w:pPr>
    </w:p>
    <w:p w14:paraId="304093AE" w14:textId="01653029" w:rsidR="00D069FB" w:rsidRPr="00D069FB" w:rsidRDefault="00D069FB" w:rsidP="00707CE6">
      <w:pPr>
        <w:spacing w:line="360" w:lineRule="auto"/>
        <w:ind w:left="709" w:hanging="709"/>
        <w:jc w:val="both"/>
        <w:rPr>
          <w:rFonts w:ascii="Arial" w:hAnsi="Arial" w:cs="Arial"/>
          <w:lang w:val="es-US"/>
        </w:rPr>
      </w:pPr>
      <w:r w:rsidRPr="00D069FB">
        <w:rPr>
          <w:rFonts w:ascii="Arial" w:hAnsi="Arial" w:cs="Arial"/>
          <w:color w:val="000000"/>
          <w:lang w:val="es-US"/>
        </w:rPr>
        <w:t xml:space="preserve">Celis, G., &amp; Ochoa, M. (2022). Trastorno del Espectro Autista (TEA). </w:t>
      </w:r>
      <w:r w:rsidRPr="00D069FB">
        <w:rPr>
          <w:rFonts w:ascii="Arial" w:hAnsi="Arial" w:cs="Arial"/>
          <w:i/>
          <w:iCs/>
          <w:color w:val="000000"/>
          <w:lang w:val="es-US"/>
        </w:rPr>
        <w:t xml:space="preserve">Revista de la Facultad de Medicina de México, 65 </w:t>
      </w:r>
      <w:r w:rsidRPr="00D069FB">
        <w:rPr>
          <w:rFonts w:ascii="Arial" w:hAnsi="Arial" w:cs="Arial"/>
          <w:color w:val="000000"/>
          <w:lang w:val="es-US"/>
        </w:rPr>
        <w:t xml:space="preserve">(1), 7-20. </w:t>
      </w:r>
      <w:hyperlink r:id="rId18" w:history="1">
        <w:r w:rsidRPr="00D069FB">
          <w:rPr>
            <w:rFonts w:ascii="Arial" w:hAnsi="Arial" w:cs="Arial"/>
            <w:color w:val="002060"/>
            <w:u w:val="single"/>
            <w:lang w:val="es-US"/>
          </w:rPr>
          <w:t>http://doi.org/10.22201/fm.24484865e.2022.65.1.02</w:t>
        </w:r>
      </w:hyperlink>
      <w:r w:rsidRPr="00D069FB">
        <w:rPr>
          <w:rFonts w:ascii="Arial" w:hAnsi="Arial" w:cs="Arial"/>
          <w:color w:val="002060"/>
          <w:lang w:val="es-US"/>
        </w:rPr>
        <w:t> </w:t>
      </w:r>
    </w:p>
    <w:p w14:paraId="46537B57" w14:textId="77777777" w:rsidR="00707CE6" w:rsidRDefault="00707CE6" w:rsidP="00707CE6">
      <w:pPr>
        <w:spacing w:line="360" w:lineRule="auto"/>
        <w:ind w:left="709" w:hanging="709"/>
        <w:jc w:val="both"/>
        <w:rPr>
          <w:rFonts w:ascii="Arial" w:hAnsi="Arial" w:cs="Arial"/>
          <w:color w:val="000000"/>
          <w:lang w:val="es-US"/>
        </w:rPr>
      </w:pPr>
    </w:p>
    <w:p w14:paraId="386E3D92" w14:textId="5A2B3314" w:rsidR="00D069FB" w:rsidRPr="00D069FB" w:rsidRDefault="00D069FB" w:rsidP="00707CE6">
      <w:pPr>
        <w:spacing w:line="360" w:lineRule="auto"/>
        <w:ind w:left="709" w:hanging="709"/>
        <w:jc w:val="both"/>
        <w:rPr>
          <w:rFonts w:ascii="Arial" w:hAnsi="Arial" w:cs="Arial"/>
          <w:lang w:val="es-US"/>
        </w:rPr>
      </w:pPr>
      <w:r w:rsidRPr="00D069FB">
        <w:rPr>
          <w:rFonts w:ascii="Arial" w:hAnsi="Arial" w:cs="Arial"/>
          <w:color w:val="000000"/>
          <w:lang w:val="es-US"/>
        </w:rPr>
        <w:t xml:space="preserve">Chávez, M. E. (2017). </w:t>
      </w:r>
      <w:r w:rsidRPr="00D069FB">
        <w:rPr>
          <w:rFonts w:ascii="Arial" w:hAnsi="Arial" w:cs="Arial"/>
          <w:i/>
          <w:iCs/>
          <w:color w:val="000000"/>
          <w:lang w:val="es-US"/>
        </w:rPr>
        <w:t xml:space="preserve">Análisis de los problemas de escritura y la atención de estudiantes de primaria con TEA (Trastorno del Espectro Autista), que asisten al Centro de Desarrollo Humano </w:t>
      </w:r>
      <w:proofErr w:type="spellStart"/>
      <w:r w:rsidRPr="00D069FB">
        <w:rPr>
          <w:rFonts w:ascii="Arial" w:hAnsi="Arial" w:cs="Arial"/>
          <w:i/>
          <w:iCs/>
          <w:color w:val="000000"/>
          <w:lang w:val="es-US"/>
        </w:rPr>
        <w:t>Neuroterapeuta</w:t>
      </w:r>
      <w:proofErr w:type="spellEnd"/>
      <w:r w:rsidRPr="00D069FB">
        <w:rPr>
          <w:rFonts w:ascii="Arial" w:hAnsi="Arial" w:cs="Arial"/>
          <w:i/>
          <w:iCs/>
          <w:color w:val="000000"/>
          <w:lang w:val="es-US"/>
        </w:rPr>
        <w:t xml:space="preserve"> </w:t>
      </w:r>
      <w:r w:rsidRPr="00D069FB">
        <w:rPr>
          <w:rFonts w:ascii="Arial" w:hAnsi="Arial" w:cs="Arial"/>
          <w:color w:val="000000"/>
          <w:lang w:val="es-US"/>
        </w:rPr>
        <w:t>[Trabajo Final de Graduación de Maestría, Universidad Estatal a Distancia].</w:t>
      </w:r>
    </w:p>
    <w:p w14:paraId="44A1AE4D" w14:textId="77777777" w:rsidR="006D532B" w:rsidRDefault="006D532B" w:rsidP="00707CE6">
      <w:pPr>
        <w:spacing w:line="360" w:lineRule="auto"/>
        <w:ind w:left="709" w:hanging="709"/>
        <w:jc w:val="both"/>
        <w:rPr>
          <w:rFonts w:ascii="Arial" w:hAnsi="Arial" w:cs="Arial"/>
          <w:color w:val="000000"/>
          <w:lang w:val="es-US"/>
        </w:rPr>
      </w:pPr>
    </w:p>
    <w:p w14:paraId="783CEF30" w14:textId="4E238B3E" w:rsidR="00D069FB" w:rsidRPr="00D069FB" w:rsidRDefault="00D069FB" w:rsidP="00707CE6">
      <w:pPr>
        <w:spacing w:line="360" w:lineRule="auto"/>
        <w:ind w:left="709" w:hanging="709"/>
        <w:jc w:val="both"/>
        <w:rPr>
          <w:rFonts w:ascii="Arial" w:hAnsi="Arial" w:cs="Arial"/>
          <w:lang w:val="es-US"/>
        </w:rPr>
      </w:pPr>
      <w:r w:rsidRPr="00D069FB">
        <w:rPr>
          <w:rFonts w:ascii="Arial" w:hAnsi="Arial" w:cs="Arial"/>
          <w:color w:val="000000"/>
          <w:lang w:val="es-US"/>
        </w:rPr>
        <w:t xml:space="preserve">Greenspan, S. (2008). </w:t>
      </w:r>
      <w:r w:rsidRPr="00D069FB">
        <w:rPr>
          <w:rFonts w:ascii="Arial" w:hAnsi="Arial" w:cs="Arial"/>
          <w:i/>
          <w:iCs/>
          <w:color w:val="000000"/>
          <w:lang w:val="es-US"/>
        </w:rPr>
        <w:t>Comprender el autismo. Una perspectiva científica.</w:t>
      </w:r>
      <w:r w:rsidRPr="00D069FB">
        <w:rPr>
          <w:rFonts w:ascii="Arial" w:hAnsi="Arial" w:cs="Arial"/>
          <w:color w:val="000000"/>
          <w:lang w:val="es-US"/>
        </w:rPr>
        <w:t xml:space="preserve"> RBA. </w:t>
      </w:r>
    </w:p>
    <w:p w14:paraId="2803F0C1" w14:textId="77777777" w:rsidR="000A6030" w:rsidRDefault="000A6030" w:rsidP="00707CE6">
      <w:pPr>
        <w:spacing w:line="360" w:lineRule="auto"/>
        <w:ind w:left="709" w:hanging="709"/>
        <w:jc w:val="both"/>
        <w:rPr>
          <w:rFonts w:ascii="Arial" w:hAnsi="Arial" w:cs="Arial"/>
          <w:color w:val="000000"/>
          <w:lang w:val="es-US"/>
        </w:rPr>
      </w:pPr>
    </w:p>
    <w:p w14:paraId="54B10CE2" w14:textId="1B445880" w:rsidR="00D069FB" w:rsidRPr="00D069FB" w:rsidRDefault="00D069FB" w:rsidP="00707CE6">
      <w:pPr>
        <w:spacing w:line="360" w:lineRule="auto"/>
        <w:ind w:left="709" w:hanging="709"/>
        <w:jc w:val="both"/>
        <w:rPr>
          <w:rFonts w:ascii="Arial" w:hAnsi="Arial" w:cs="Arial"/>
          <w:lang w:val="en-US"/>
        </w:rPr>
      </w:pPr>
      <w:r w:rsidRPr="00D069FB">
        <w:rPr>
          <w:rFonts w:ascii="Arial" w:hAnsi="Arial" w:cs="Arial"/>
          <w:color w:val="000000"/>
          <w:lang w:val="es-US"/>
        </w:rPr>
        <w:t xml:space="preserve">Hernández, R., Fernández, C. &amp; Baptista, P. (2014). </w:t>
      </w:r>
      <w:r w:rsidRPr="00D069FB">
        <w:rPr>
          <w:rFonts w:ascii="Arial" w:hAnsi="Arial" w:cs="Arial"/>
          <w:i/>
          <w:iCs/>
          <w:color w:val="000000"/>
          <w:lang w:val="es-US"/>
        </w:rPr>
        <w:t>Metodología de la investigación</w:t>
      </w:r>
      <w:r w:rsidRPr="00D069FB">
        <w:rPr>
          <w:rFonts w:ascii="Arial" w:hAnsi="Arial" w:cs="Arial"/>
          <w:color w:val="000000"/>
          <w:lang w:val="es-US"/>
        </w:rPr>
        <w:t xml:space="preserve"> (6ª Ed.). </w:t>
      </w:r>
      <w:r w:rsidRPr="00D069FB">
        <w:rPr>
          <w:rFonts w:ascii="Arial" w:hAnsi="Arial" w:cs="Arial"/>
          <w:color w:val="000000"/>
          <w:lang w:val="en-US"/>
        </w:rPr>
        <w:t>Mc Graw Hill.</w:t>
      </w:r>
    </w:p>
    <w:p w14:paraId="25E4DDEF" w14:textId="77777777" w:rsidR="006D532B" w:rsidRDefault="006D532B" w:rsidP="00707CE6">
      <w:pPr>
        <w:spacing w:line="360" w:lineRule="auto"/>
        <w:ind w:left="709" w:hanging="709"/>
        <w:jc w:val="both"/>
        <w:rPr>
          <w:rFonts w:ascii="Arial" w:hAnsi="Arial" w:cs="Arial"/>
          <w:color w:val="000000"/>
          <w:lang w:val="en-US"/>
        </w:rPr>
      </w:pPr>
    </w:p>
    <w:p w14:paraId="27480B1A" w14:textId="09A8A594" w:rsidR="00D069FB" w:rsidRPr="00D069FB" w:rsidRDefault="00D069FB" w:rsidP="00707CE6">
      <w:pPr>
        <w:spacing w:line="360" w:lineRule="auto"/>
        <w:ind w:left="709" w:hanging="709"/>
        <w:jc w:val="both"/>
        <w:rPr>
          <w:rFonts w:ascii="Arial" w:hAnsi="Arial" w:cs="Arial"/>
          <w:lang w:val="es-US"/>
        </w:rPr>
      </w:pPr>
      <w:proofErr w:type="spellStart"/>
      <w:r w:rsidRPr="00D069FB">
        <w:rPr>
          <w:rFonts w:ascii="Arial" w:hAnsi="Arial" w:cs="Arial"/>
          <w:color w:val="000000"/>
          <w:lang w:val="en-US"/>
        </w:rPr>
        <w:lastRenderedPageBreak/>
        <w:t>Klin</w:t>
      </w:r>
      <w:proofErr w:type="spellEnd"/>
      <w:r w:rsidRPr="00D069FB">
        <w:rPr>
          <w:rFonts w:ascii="Arial" w:hAnsi="Arial" w:cs="Arial"/>
          <w:color w:val="000000"/>
          <w:lang w:val="en-US"/>
        </w:rPr>
        <w:t xml:space="preserve">, A. (2006). Autism and Asperger syndrome: an overview. </w:t>
      </w:r>
      <w:r w:rsidRPr="00D069FB">
        <w:rPr>
          <w:rFonts w:ascii="Arial" w:hAnsi="Arial" w:cs="Arial"/>
          <w:i/>
          <w:iCs/>
          <w:color w:val="000000"/>
          <w:lang w:val="es-US"/>
        </w:rPr>
        <w:t xml:space="preserve">Revista Brasileña de </w:t>
      </w:r>
      <w:proofErr w:type="spellStart"/>
      <w:r w:rsidRPr="00D069FB">
        <w:rPr>
          <w:rFonts w:ascii="Arial" w:hAnsi="Arial" w:cs="Arial"/>
          <w:i/>
          <w:iCs/>
          <w:color w:val="000000"/>
          <w:lang w:val="es-US"/>
        </w:rPr>
        <w:t>psiquiatria</w:t>
      </w:r>
      <w:proofErr w:type="spellEnd"/>
      <w:r w:rsidRPr="00D069FB">
        <w:rPr>
          <w:rFonts w:ascii="Arial" w:hAnsi="Arial" w:cs="Arial"/>
          <w:i/>
          <w:iCs/>
          <w:color w:val="000000"/>
          <w:lang w:val="es-US"/>
        </w:rPr>
        <w:t>, 28</w:t>
      </w:r>
      <w:r w:rsidRPr="00D069FB">
        <w:rPr>
          <w:rFonts w:ascii="Arial" w:hAnsi="Arial" w:cs="Arial"/>
          <w:color w:val="000000"/>
          <w:lang w:val="es-US"/>
        </w:rPr>
        <w:t xml:space="preserve"> (1),</w:t>
      </w:r>
      <w:r w:rsidRPr="00D069FB">
        <w:rPr>
          <w:rFonts w:ascii="Arial" w:hAnsi="Arial" w:cs="Arial"/>
          <w:color w:val="002060"/>
          <w:lang w:val="es-US"/>
        </w:rPr>
        <w:t xml:space="preserve"> </w:t>
      </w:r>
      <w:hyperlink r:id="rId19" w:history="1">
        <w:r w:rsidRPr="00D069FB">
          <w:rPr>
            <w:rFonts w:ascii="Arial" w:hAnsi="Arial" w:cs="Arial"/>
            <w:color w:val="002060"/>
            <w:u w:val="single"/>
            <w:lang w:val="es-US"/>
          </w:rPr>
          <w:t>https://doi.org/10.1590/S1516-44462006000500002</w:t>
        </w:r>
      </w:hyperlink>
      <w:r w:rsidRPr="00D069FB">
        <w:rPr>
          <w:rFonts w:ascii="Arial" w:hAnsi="Arial" w:cs="Arial"/>
          <w:i/>
          <w:iCs/>
          <w:color w:val="000000"/>
          <w:lang w:val="es-US"/>
        </w:rPr>
        <w:t> </w:t>
      </w:r>
    </w:p>
    <w:p w14:paraId="4ADFEC7F" w14:textId="77777777" w:rsidR="006D532B" w:rsidRPr="004443E3" w:rsidRDefault="006D532B" w:rsidP="00707CE6">
      <w:pPr>
        <w:spacing w:line="360" w:lineRule="auto"/>
        <w:ind w:left="709" w:hanging="709"/>
        <w:jc w:val="both"/>
        <w:rPr>
          <w:rFonts w:ascii="Arial" w:hAnsi="Arial" w:cs="Arial"/>
          <w:color w:val="000000"/>
        </w:rPr>
      </w:pPr>
    </w:p>
    <w:p w14:paraId="11DEA57C" w14:textId="5822D205" w:rsidR="00D069FB" w:rsidRPr="00D069FB" w:rsidRDefault="00D069FB" w:rsidP="00707CE6">
      <w:pPr>
        <w:spacing w:line="360" w:lineRule="auto"/>
        <w:ind w:left="709" w:hanging="709"/>
        <w:jc w:val="both"/>
        <w:rPr>
          <w:rFonts w:ascii="Arial" w:hAnsi="Arial" w:cs="Arial"/>
          <w:lang w:val="es-US"/>
        </w:rPr>
      </w:pPr>
      <w:proofErr w:type="spellStart"/>
      <w:r w:rsidRPr="00D069FB">
        <w:rPr>
          <w:rFonts w:ascii="Arial" w:hAnsi="Arial" w:cs="Arial"/>
          <w:color w:val="000000"/>
          <w:lang w:val="en-US"/>
        </w:rPr>
        <w:t>Klin</w:t>
      </w:r>
      <w:proofErr w:type="spellEnd"/>
      <w:r w:rsidRPr="00D069FB">
        <w:rPr>
          <w:rFonts w:ascii="Arial" w:hAnsi="Arial" w:cs="Arial"/>
          <w:color w:val="000000"/>
          <w:lang w:val="en-US"/>
        </w:rPr>
        <w:t xml:space="preserve">, A., McPartland, J. &amp; </w:t>
      </w:r>
      <w:proofErr w:type="spellStart"/>
      <w:r w:rsidRPr="00D069FB">
        <w:rPr>
          <w:rFonts w:ascii="Arial" w:hAnsi="Arial" w:cs="Arial"/>
          <w:color w:val="000000"/>
          <w:lang w:val="en-US"/>
        </w:rPr>
        <w:t>Volkmar</w:t>
      </w:r>
      <w:proofErr w:type="spellEnd"/>
      <w:r w:rsidRPr="00D069FB">
        <w:rPr>
          <w:rFonts w:ascii="Arial" w:hAnsi="Arial" w:cs="Arial"/>
          <w:color w:val="000000"/>
          <w:lang w:val="en-US"/>
        </w:rPr>
        <w:t>, F. (2014).</w:t>
      </w:r>
      <w:r w:rsidRPr="00D069FB">
        <w:rPr>
          <w:rFonts w:ascii="Arial" w:hAnsi="Arial" w:cs="Arial"/>
          <w:i/>
          <w:iCs/>
          <w:color w:val="000000"/>
          <w:lang w:val="en-US"/>
        </w:rPr>
        <w:t xml:space="preserve"> Asperger Syndrome: Assessing and Treating High-Functioning Autism Spectrum Disorders </w:t>
      </w:r>
      <w:r w:rsidRPr="00D069FB">
        <w:rPr>
          <w:rFonts w:ascii="Arial" w:hAnsi="Arial" w:cs="Arial"/>
          <w:color w:val="000000"/>
          <w:lang w:val="en-US"/>
        </w:rPr>
        <w:t>(1</w:t>
      </w:r>
      <w:r w:rsidRPr="00D069FB">
        <w:rPr>
          <w:rFonts w:ascii="Arial" w:hAnsi="Arial" w:cs="Arial"/>
          <w:color w:val="000000"/>
          <w:vertAlign w:val="superscript"/>
          <w:lang w:val="en-US"/>
        </w:rPr>
        <w:t>st</w:t>
      </w:r>
      <w:r w:rsidRPr="00D069FB">
        <w:rPr>
          <w:rFonts w:ascii="Arial" w:hAnsi="Arial" w:cs="Arial"/>
          <w:color w:val="000000"/>
          <w:lang w:val="en-US"/>
        </w:rPr>
        <w:t xml:space="preserve"> ed.). </w:t>
      </w:r>
      <w:proofErr w:type="spellStart"/>
      <w:r w:rsidRPr="00D069FB">
        <w:rPr>
          <w:rFonts w:ascii="Arial" w:hAnsi="Arial" w:cs="Arial"/>
          <w:color w:val="000000"/>
          <w:lang w:val="es-US"/>
        </w:rPr>
        <w:t>The</w:t>
      </w:r>
      <w:proofErr w:type="spellEnd"/>
      <w:r w:rsidRPr="00D069FB">
        <w:rPr>
          <w:rFonts w:ascii="Arial" w:hAnsi="Arial" w:cs="Arial"/>
          <w:color w:val="000000"/>
          <w:lang w:val="es-US"/>
        </w:rPr>
        <w:t xml:space="preserve"> Guilford </w:t>
      </w:r>
      <w:proofErr w:type="spellStart"/>
      <w:r w:rsidRPr="00D069FB">
        <w:rPr>
          <w:rFonts w:ascii="Arial" w:hAnsi="Arial" w:cs="Arial"/>
          <w:color w:val="000000"/>
          <w:lang w:val="es-US"/>
        </w:rPr>
        <w:t>Press</w:t>
      </w:r>
      <w:proofErr w:type="spellEnd"/>
      <w:r w:rsidRPr="00D069FB">
        <w:rPr>
          <w:rFonts w:ascii="Arial" w:hAnsi="Arial" w:cs="Arial"/>
          <w:color w:val="000000"/>
          <w:lang w:val="es-US"/>
        </w:rPr>
        <w:t>.</w:t>
      </w:r>
    </w:p>
    <w:p w14:paraId="617E22E0" w14:textId="77777777" w:rsidR="006D532B" w:rsidRDefault="006D532B" w:rsidP="00707CE6">
      <w:pPr>
        <w:spacing w:line="360" w:lineRule="auto"/>
        <w:ind w:left="709" w:hanging="709"/>
        <w:rPr>
          <w:rFonts w:ascii="Arial" w:hAnsi="Arial" w:cs="Arial"/>
          <w:color w:val="000000"/>
          <w:lang w:val="es-US"/>
        </w:rPr>
      </w:pPr>
    </w:p>
    <w:p w14:paraId="257F5300" w14:textId="1C1B079E" w:rsidR="00D069FB" w:rsidRPr="00D069FB" w:rsidRDefault="00D069FB" w:rsidP="00707CE6">
      <w:pPr>
        <w:spacing w:line="360" w:lineRule="auto"/>
        <w:ind w:left="709" w:hanging="709"/>
        <w:rPr>
          <w:rFonts w:ascii="Arial" w:hAnsi="Arial" w:cs="Arial"/>
          <w:color w:val="000000"/>
          <w:lang w:val="es-US"/>
        </w:rPr>
      </w:pPr>
      <w:proofErr w:type="spellStart"/>
      <w:r w:rsidRPr="00D069FB">
        <w:rPr>
          <w:rFonts w:ascii="Arial" w:hAnsi="Arial" w:cs="Arial"/>
          <w:color w:val="000000"/>
          <w:lang w:val="es-US"/>
        </w:rPr>
        <w:t>Timimi</w:t>
      </w:r>
      <w:proofErr w:type="spellEnd"/>
      <w:r w:rsidRPr="00D069FB">
        <w:rPr>
          <w:rFonts w:ascii="Arial" w:hAnsi="Arial" w:cs="Arial"/>
          <w:color w:val="000000"/>
          <w:lang w:val="es-US"/>
        </w:rPr>
        <w:t>, S., (2021). Cientificismo y trastorno por déficit de atención e hiperactividad (TDAH).</w:t>
      </w:r>
      <w:r w:rsidRPr="00D069FB">
        <w:rPr>
          <w:rFonts w:ascii="Arial" w:hAnsi="Arial" w:cs="Arial"/>
          <w:i/>
          <w:iCs/>
          <w:color w:val="000000"/>
          <w:lang w:val="es-US"/>
        </w:rPr>
        <w:t xml:space="preserve"> Revista de la Asociación Española de Neuropsiquiatría, 41 </w:t>
      </w:r>
      <w:r w:rsidRPr="00D069FB">
        <w:rPr>
          <w:rFonts w:ascii="Arial" w:hAnsi="Arial" w:cs="Arial"/>
          <w:color w:val="000000"/>
          <w:lang w:val="es-US"/>
        </w:rPr>
        <w:t>(139), 211-228.</w:t>
      </w:r>
    </w:p>
    <w:p w14:paraId="539E72E3" w14:textId="07028930" w:rsidR="0020679D" w:rsidRDefault="0020679D" w:rsidP="00A82B98">
      <w:pPr>
        <w:tabs>
          <w:tab w:val="left" w:pos="5865"/>
        </w:tabs>
        <w:rPr>
          <w:rFonts w:ascii="Arial" w:hAnsi="Arial" w:cs="Arial"/>
          <w:bCs/>
        </w:rPr>
      </w:pPr>
    </w:p>
    <w:sectPr w:rsidR="0020679D" w:rsidSect="00A2579C">
      <w:headerReference w:type="default" r:id="rId20"/>
      <w:footerReference w:type="default" r:id="rId21"/>
      <w:pgSz w:w="12240" w:h="15840"/>
      <w:pgMar w:top="1417" w:right="1750" w:bottom="1411"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B2D7D" w14:textId="77777777" w:rsidR="00F62D1F" w:rsidRDefault="00F62D1F" w:rsidP="003C3F58">
      <w:r>
        <w:separator/>
      </w:r>
    </w:p>
  </w:endnote>
  <w:endnote w:type="continuationSeparator" w:id="0">
    <w:p w14:paraId="42ADDDD5" w14:textId="77777777" w:rsidR="00F62D1F" w:rsidRDefault="00F62D1F"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E27FD97" w14:textId="1786A3D2" w:rsidR="001B321F" w:rsidRPr="001B321F" w:rsidRDefault="001B321F" w:rsidP="00A2579C">
        <w:pPr>
          <w:pStyle w:val="Sinespaciado"/>
          <w:jc w:val="center"/>
          <w:rPr>
            <w:rFonts w:ascii="Agency FB" w:hAnsi="Agency FB"/>
            <w:b/>
            <w:color w:val="E36C0A"/>
          </w:rPr>
        </w:pPr>
        <w:r w:rsidRPr="001B321F">
          <w:rPr>
            <w:rFonts w:ascii="Agency FB" w:hAnsi="Agency FB"/>
            <w:b/>
            <w:color w:val="E36C0A"/>
          </w:rPr>
          <w:t>La falta de atención como efecto secundario de una prensión inadecuada del lápiz: revelación de un estudio fenomenológico</w:t>
        </w:r>
      </w:p>
      <w:p w14:paraId="2EF245E8" w14:textId="74DD5083" w:rsidR="0020679D" w:rsidRPr="00BC0D99" w:rsidRDefault="001B321F" w:rsidP="0020679D">
        <w:pPr>
          <w:pStyle w:val="Sinespaciado"/>
          <w:jc w:val="center"/>
          <w:rPr>
            <w:rFonts w:ascii="Agency FB" w:hAnsi="Agency FB"/>
            <w:color w:val="E36C0A"/>
            <w:lang w:val="es-CR"/>
          </w:rPr>
        </w:pPr>
        <w:r w:rsidRPr="001B321F">
          <w:rPr>
            <w:rFonts w:ascii="Agency FB" w:hAnsi="Agency FB"/>
            <w:color w:val="E36C0A"/>
            <w:lang w:val="es-CR"/>
          </w:rPr>
          <w:t>Marta-E. Chávez-Gutiérrez</w:t>
        </w:r>
      </w:p>
      <w:p w14:paraId="1F70B1D2" w14:textId="7D40ADCD" w:rsidR="0020679D" w:rsidRPr="00D629A4" w:rsidRDefault="0020679D" w:rsidP="0020679D">
        <w:pPr>
          <w:pStyle w:val="Sinespaciado"/>
          <w:jc w:val="center"/>
          <w:rPr>
            <w:rFonts w:ascii="Agency FB" w:hAnsi="Agency FB"/>
            <w:color w:val="002060"/>
            <w:lang w:val="es-CR"/>
          </w:rPr>
        </w:pPr>
        <w:r w:rsidRPr="00D629A4">
          <w:rPr>
            <w:rFonts w:ascii="Agency FB" w:hAnsi="Agency FB"/>
            <w:color w:val="002060"/>
            <w:lang w:val="es-CR"/>
          </w:rPr>
          <w:t xml:space="preserve">DOI: </w:t>
        </w:r>
        <w:hyperlink r:id="rId1" w:history="1">
          <w:r w:rsidR="004443E3" w:rsidRPr="00D629A4">
            <w:rPr>
              <w:rStyle w:val="Hipervnculo"/>
              <w:rFonts w:ascii="Agency FB" w:hAnsi="Agency FB"/>
              <w:color w:val="002060"/>
              <w:lang w:val="es-CR"/>
            </w:rPr>
            <w:t>http://dx.doi.org/10.22458/caes.v16i1.5797</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D629A4">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1351A" w14:textId="77777777" w:rsidR="00F62D1F" w:rsidRDefault="00F62D1F" w:rsidP="003C3F58">
      <w:r>
        <w:separator/>
      </w:r>
    </w:p>
  </w:footnote>
  <w:footnote w:type="continuationSeparator" w:id="0">
    <w:p w14:paraId="4EDA3B69" w14:textId="77777777" w:rsidR="00F62D1F" w:rsidRDefault="00F62D1F" w:rsidP="003C3F58">
      <w:r>
        <w:continuationSeparator/>
      </w:r>
    </w:p>
  </w:footnote>
  <w:footnote w:id="1">
    <w:p w14:paraId="7F83BD30" w14:textId="1456C32F" w:rsidR="00A82B98" w:rsidRPr="00094380" w:rsidRDefault="00A82B98" w:rsidP="00AB5DCA">
      <w:pPr>
        <w:jc w:val="both"/>
        <w:rPr>
          <w:rFonts w:ascii="Arial" w:hAnsi="Arial" w:cs="Arial"/>
          <w:sz w:val="20"/>
          <w:szCs w:val="20"/>
          <w:lang w:val="es-ES"/>
        </w:rPr>
      </w:pPr>
      <w:r w:rsidRPr="00094380">
        <w:rPr>
          <w:rStyle w:val="Refdenotaalpie"/>
          <w:rFonts w:ascii="Arial" w:eastAsia="Arial" w:hAnsi="Arial" w:cs="Arial"/>
          <w:sz w:val="20"/>
          <w:szCs w:val="20"/>
        </w:rPr>
        <w:footnoteRef/>
      </w:r>
      <w:r w:rsidRPr="00094380">
        <w:rPr>
          <w:rFonts w:ascii="Arial" w:hAnsi="Arial" w:cs="Arial"/>
          <w:sz w:val="20"/>
          <w:szCs w:val="20"/>
        </w:rPr>
        <w:t xml:space="preserve"> </w:t>
      </w:r>
      <w:r w:rsidR="000C2DD9" w:rsidRPr="00094380">
        <w:rPr>
          <w:rFonts w:ascii="Arial" w:hAnsi="Arial" w:cs="Arial"/>
          <w:sz w:val="20"/>
          <w:szCs w:val="20"/>
        </w:rPr>
        <w:t xml:space="preserve">Psicopedagoga, </w:t>
      </w:r>
      <w:r w:rsidR="00AB5DCA" w:rsidRPr="00094380">
        <w:rPr>
          <w:rFonts w:ascii="Arial" w:hAnsi="Arial" w:cs="Arial"/>
          <w:sz w:val="20"/>
          <w:szCs w:val="20"/>
        </w:rPr>
        <w:t xml:space="preserve">docente e investigadora en la </w:t>
      </w:r>
      <w:r w:rsidR="00655271" w:rsidRPr="00094380">
        <w:rPr>
          <w:rFonts w:ascii="Arial" w:hAnsi="Arial" w:cs="Arial"/>
          <w:sz w:val="20"/>
          <w:szCs w:val="20"/>
        </w:rPr>
        <w:t xml:space="preserve">Escuela </w:t>
      </w:r>
      <w:r w:rsidR="00E47028" w:rsidRPr="00094380">
        <w:rPr>
          <w:rFonts w:ascii="Arial" w:hAnsi="Arial" w:cs="Arial"/>
          <w:sz w:val="20"/>
          <w:szCs w:val="20"/>
        </w:rPr>
        <w:t xml:space="preserve">Ciencias de la Educación, </w:t>
      </w:r>
      <w:r w:rsidR="00AB5DCA" w:rsidRPr="00094380">
        <w:rPr>
          <w:rFonts w:ascii="Arial" w:hAnsi="Arial" w:cs="Arial"/>
          <w:sz w:val="20"/>
          <w:szCs w:val="20"/>
        </w:rPr>
        <w:t>Universidad Estatal a Distancia.</w:t>
      </w:r>
      <w:r w:rsidRPr="00094380">
        <w:rPr>
          <w:rFonts w:ascii="Arial" w:hAnsi="Arial" w:cs="Arial"/>
          <w:color w:val="000000" w:themeColor="text1"/>
          <w:sz w:val="20"/>
          <w:szCs w:val="20"/>
        </w:rPr>
        <w:t xml:space="preserve"> </w:t>
      </w:r>
      <w:bookmarkStart w:id="4" w:name="_Hlk167366216"/>
      <w:bookmarkStart w:id="5" w:name="_Hlk167366217"/>
      <w:bookmarkStart w:id="6" w:name="_Hlk167366221"/>
      <w:bookmarkStart w:id="7" w:name="_Hlk167366222"/>
      <w:bookmarkStart w:id="8" w:name="_Hlk167366226"/>
      <w:bookmarkStart w:id="9" w:name="_Hlk167366227"/>
      <w:bookmarkStart w:id="10" w:name="_Hlk167366229"/>
      <w:bookmarkStart w:id="11" w:name="_Hlk167366230"/>
      <w:r w:rsidRPr="00094380">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4"/>
      <w:bookmarkEnd w:id="5"/>
      <w:bookmarkEnd w:id="6"/>
      <w:bookmarkEnd w:id="7"/>
      <w:bookmarkEnd w:id="8"/>
      <w:bookmarkEnd w:id="9"/>
      <w:bookmarkEnd w:id="10"/>
      <w:bookmarkEnd w:id="11"/>
      <w:r w:rsidR="006A27C7" w:rsidRPr="00094380">
        <w:rPr>
          <w:rFonts w:ascii="Arial" w:hAnsi="Arial" w:cs="Arial"/>
          <w:color w:val="000000" w:themeColor="text1"/>
          <w:sz w:val="20"/>
          <w:szCs w:val="20"/>
        </w:rPr>
        <w:t xml:space="preserve"> </w:t>
      </w:r>
      <w:r w:rsidR="00094380" w:rsidRPr="00094380">
        <w:rPr>
          <w:rFonts w:ascii="Arial" w:hAnsi="Arial" w:cs="Arial"/>
          <w:color w:val="002060"/>
          <w:sz w:val="20"/>
          <w:szCs w:val="20"/>
          <w:lang w:eastAsia="es-CR"/>
        </w:rPr>
        <w:t>https://orcid.org/0009-0003-4247-7878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59E40DC4" w:rsidR="00A82B98" w:rsidRPr="007862C8" w:rsidRDefault="00A82B98" w:rsidP="008A1766">
    <w:pPr>
      <w:pStyle w:val="Sinespaciado"/>
      <w:jc w:val="center"/>
      <w:rPr>
        <w:rFonts w:ascii="Agency FB" w:hAnsi="Agency FB"/>
        <w:color w:val="E36C0A"/>
        <w:sz w:val="22"/>
        <w:szCs w:val="22"/>
      </w:rPr>
    </w:pPr>
    <w:bookmarkStart w:id="14" w:name="_Hlk151106753"/>
    <w:r w:rsidRPr="007862C8">
      <w:rPr>
        <w:rFonts w:ascii="Agency FB" w:hAnsi="Agency FB"/>
        <w:color w:val="E36C0A"/>
        <w:sz w:val="22"/>
        <w:szCs w:val="22"/>
      </w:rPr>
      <w:t>REVISTA ELECTRÓNICA CALIDAD EN LA EDUCACIÓN SUPERIOR ISSN:</w:t>
    </w:r>
    <w:r w:rsidR="00D056CE" w:rsidRPr="007862C8">
      <w:rPr>
        <w:rFonts w:ascii="Agency FB" w:hAnsi="Agency FB"/>
        <w:color w:val="E36C0A"/>
        <w:sz w:val="22"/>
        <w:szCs w:val="22"/>
      </w:rPr>
      <w:t xml:space="preserve"> </w:t>
    </w:r>
    <w:r w:rsidRPr="007862C8">
      <w:rPr>
        <w:rFonts w:ascii="Agency FB" w:hAnsi="Agency FB"/>
        <w:color w:val="E36C0A"/>
        <w:sz w:val="22"/>
        <w:szCs w:val="22"/>
      </w:rPr>
      <w:t>1659</w:t>
    </w:r>
    <w:r w:rsidR="00D056CE" w:rsidRPr="007862C8">
      <w:rPr>
        <w:rFonts w:ascii="Agency FB" w:hAnsi="Agency FB"/>
        <w:color w:val="E36C0A"/>
        <w:sz w:val="22"/>
        <w:szCs w:val="22"/>
      </w:rPr>
      <w:t xml:space="preserve"> </w:t>
    </w:r>
    <w:r w:rsidRPr="007862C8">
      <w:rPr>
        <w:rFonts w:ascii="Agency FB" w:hAnsi="Agency FB"/>
        <w:color w:val="E36C0A"/>
        <w:sz w:val="22"/>
        <w:szCs w:val="22"/>
      </w:rPr>
      <w:t>-</w:t>
    </w:r>
    <w:r w:rsidR="00D056CE" w:rsidRPr="007862C8">
      <w:rPr>
        <w:rFonts w:ascii="Agency FB" w:hAnsi="Agency FB"/>
        <w:color w:val="E36C0A"/>
        <w:sz w:val="22"/>
        <w:szCs w:val="22"/>
      </w:rPr>
      <w:t xml:space="preserve"> </w:t>
    </w:r>
    <w:r w:rsidRPr="007862C8">
      <w:rPr>
        <w:rFonts w:ascii="Agency FB" w:hAnsi="Agency FB"/>
        <w:color w:val="E36C0A"/>
        <w:sz w:val="22"/>
        <w:szCs w:val="22"/>
      </w:rPr>
      <w:t>4703,</w:t>
    </w:r>
    <w:r w:rsidR="008A1766" w:rsidRPr="007862C8">
      <w:rPr>
        <w:rFonts w:ascii="Agency FB" w:hAnsi="Agency FB"/>
        <w:color w:val="E36C0A"/>
        <w:sz w:val="22"/>
        <w:szCs w:val="22"/>
      </w:rPr>
      <w:t xml:space="preserve"> </w:t>
    </w:r>
    <w:r w:rsidRPr="007862C8">
      <w:rPr>
        <w:rFonts w:ascii="Agency FB" w:hAnsi="Agency FB"/>
        <w:color w:val="E36C0A"/>
        <w:sz w:val="22"/>
        <w:szCs w:val="22"/>
      </w:rPr>
      <w:t>VOL.</w:t>
    </w:r>
    <w:r w:rsidR="008A1766" w:rsidRPr="007862C8">
      <w:rPr>
        <w:rFonts w:ascii="Agency FB" w:hAnsi="Agency FB"/>
        <w:color w:val="E36C0A"/>
        <w:sz w:val="22"/>
        <w:szCs w:val="22"/>
      </w:rPr>
      <w:t xml:space="preserve"> </w:t>
    </w:r>
    <w:r w:rsidRPr="007862C8">
      <w:rPr>
        <w:rFonts w:ascii="Agency FB" w:hAnsi="Agency FB"/>
        <w:color w:val="E36C0A"/>
        <w:sz w:val="22"/>
        <w:szCs w:val="22"/>
      </w:rPr>
      <w:t>1</w:t>
    </w:r>
    <w:r w:rsidR="00FB3FF8" w:rsidRPr="007862C8">
      <w:rPr>
        <w:rFonts w:ascii="Agency FB" w:hAnsi="Agency FB"/>
        <w:color w:val="E36C0A"/>
        <w:sz w:val="22"/>
        <w:szCs w:val="22"/>
      </w:rPr>
      <w:t>6</w:t>
    </w:r>
    <w:r w:rsidR="00800BB7">
      <w:rPr>
        <w:rFonts w:ascii="Agency FB" w:hAnsi="Agency FB"/>
        <w:color w:val="E36C0A"/>
        <w:sz w:val="22"/>
        <w:szCs w:val="22"/>
      </w:rPr>
      <w:t xml:space="preserve"> </w:t>
    </w:r>
    <w:r w:rsidRPr="007862C8">
      <w:rPr>
        <w:rFonts w:ascii="Agency FB" w:hAnsi="Agency FB"/>
        <w:color w:val="E36C0A"/>
        <w:sz w:val="22"/>
        <w:szCs w:val="22"/>
      </w:rPr>
      <w:t>(</w:t>
    </w:r>
    <w:r w:rsidR="00FB3FF8" w:rsidRPr="007862C8">
      <w:rPr>
        <w:rFonts w:ascii="Agency FB" w:hAnsi="Agency FB"/>
        <w:color w:val="E36C0A"/>
        <w:sz w:val="22"/>
        <w:szCs w:val="22"/>
      </w:rPr>
      <w:t>E</w:t>
    </w:r>
    <w:r w:rsidR="007862C8" w:rsidRPr="007862C8">
      <w:rPr>
        <w:rFonts w:ascii="Agency FB" w:hAnsi="Agency FB"/>
        <w:color w:val="E36C0A"/>
        <w:sz w:val="22"/>
        <w:szCs w:val="22"/>
      </w:rPr>
      <w:t xml:space="preserve">SPECIAL </w:t>
    </w:r>
    <w:r w:rsidR="00725F01">
      <w:rPr>
        <w:rFonts w:ascii="Agency FB" w:hAnsi="Agency FB"/>
        <w:color w:val="E36C0A"/>
        <w:sz w:val="22"/>
        <w:szCs w:val="22"/>
      </w:rPr>
      <w:t>2</w:t>
    </w:r>
    <w:r w:rsidRPr="007862C8">
      <w:rPr>
        <w:rFonts w:ascii="Agency FB" w:hAnsi="Agency FB"/>
        <w:color w:val="E36C0A"/>
        <w:sz w:val="22"/>
        <w:szCs w:val="22"/>
      </w:rPr>
      <w:t>)</w:t>
    </w:r>
    <w:r w:rsidR="008A1766" w:rsidRPr="007862C8">
      <w:rPr>
        <w:rFonts w:ascii="Agency FB" w:hAnsi="Agency FB"/>
        <w:color w:val="E36C0A"/>
        <w:sz w:val="22"/>
        <w:szCs w:val="22"/>
      </w:rPr>
      <w:t xml:space="preserve"> </w:t>
    </w:r>
    <w:r w:rsidR="00B344FA" w:rsidRPr="007862C8">
      <w:rPr>
        <w:rFonts w:ascii="Agency FB" w:hAnsi="Agency FB"/>
        <w:color w:val="E36C0A"/>
        <w:sz w:val="22"/>
        <w:szCs w:val="22"/>
      </w:rPr>
      <w:t>ENERO</w:t>
    </w:r>
    <w:r w:rsidRPr="007862C8">
      <w:rPr>
        <w:rFonts w:ascii="Agency FB" w:hAnsi="Agency FB"/>
        <w:color w:val="E36C0A"/>
        <w:sz w:val="22"/>
        <w:szCs w:val="22"/>
      </w:rPr>
      <w:t>-</w:t>
    </w:r>
    <w:r w:rsidR="00B344FA" w:rsidRPr="007862C8">
      <w:rPr>
        <w:rFonts w:ascii="Agency FB" w:hAnsi="Agency FB"/>
        <w:color w:val="E36C0A"/>
        <w:sz w:val="22"/>
        <w:szCs w:val="22"/>
      </w:rPr>
      <w:t>MAYO</w:t>
    </w:r>
    <w:r w:rsidRPr="007862C8">
      <w:rPr>
        <w:rFonts w:ascii="Agency FB" w:hAnsi="Agency FB"/>
        <w:color w:val="E36C0A"/>
        <w:sz w:val="22"/>
        <w:szCs w:val="22"/>
      </w:rPr>
      <w:t>,</w:t>
    </w:r>
    <w:r w:rsidR="00B344FA" w:rsidRPr="007862C8">
      <w:rPr>
        <w:rFonts w:ascii="Agency FB" w:hAnsi="Agency FB"/>
        <w:color w:val="E36C0A"/>
        <w:sz w:val="22"/>
        <w:szCs w:val="22"/>
      </w:rPr>
      <w:t xml:space="preserve"> </w:t>
    </w:r>
    <w:r w:rsidRPr="007862C8">
      <w:rPr>
        <w:rFonts w:ascii="Agency FB" w:hAnsi="Agency FB"/>
        <w:color w:val="E36C0A"/>
        <w:sz w:val="22"/>
        <w:szCs w:val="22"/>
      </w:rPr>
      <w:t>202</w:t>
    </w:r>
    <w:r w:rsidR="00B344FA" w:rsidRPr="007862C8">
      <w:rPr>
        <w:rFonts w:ascii="Agency FB" w:hAnsi="Agency FB"/>
        <w:color w:val="E36C0A"/>
        <w:sz w:val="22"/>
        <w:szCs w:val="22"/>
      </w:rPr>
      <w:t>5</w:t>
    </w:r>
    <w:r w:rsidRPr="007862C8">
      <w:rPr>
        <w:rFonts w:ascii="Agency FB" w:hAnsi="Agency FB"/>
        <w:color w:val="E36C0A"/>
        <w:sz w:val="22"/>
        <w:szCs w:val="22"/>
      </w:rPr>
      <w:t xml:space="preserve">: </w:t>
    </w:r>
    <w:r w:rsidR="008A1766" w:rsidRPr="001F384E">
      <w:rPr>
        <w:rFonts w:ascii="Agency FB" w:hAnsi="Agency FB"/>
        <w:color w:val="E36C0A"/>
        <w:sz w:val="22"/>
        <w:szCs w:val="22"/>
      </w:rPr>
      <w:t>01</w:t>
    </w:r>
    <w:r w:rsidRPr="001F384E">
      <w:rPr>
        <w:rFonts w:ascii="Agency FB" w:hAnsi="Agency FB"/>
        <w:color w:val="E36C0A"/>
        <w:sz w:val="22"/>
        <w:szCs w:val="22"/>
      </w:rPr>
      <w:t>-3</w:t>
    </w:r>
    <w:r w:rsidR="001F384E" w:rsidRPr="001F384E">
      <w:rPr>
        <w:rFonts w:ascii="Agency FB" w:hAnsi="Agency FB"/>
        <w:color w:val="E36C0A"/>
        <w:sz w:val="22"/>
        <w:szCs w:val="22"/>
      </w:rPr>
      <w:t>2</w:t>
    </w:r>
  </w:p>
  <w:p w14:paraId="505074AE" w14:textId="4D68327B" w:rsidR="00A82B98" w:rsidRPr="00FE0969" w:rsidRDefault="00FE0969"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A82B98" w:rsidRPr="0081623B" w:rsidRDefault="00F62D1F"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4"/>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357B"/>
    <w:multiLevelType w:val="multilevel"/>
    <w:tmpl w:val="B770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3" w15:restartNumberingAfterBreak="0">
    <w:nsid w:val="0E1E3DFB"/>
    <w:multiLevelType w:val="multilevel"/>
    <w:tmpl w:val="0382D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6"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1A90792"/>
    <w:multiLevelType w:val="multilevel"/>
    <w:tmpl w:val="31C6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2"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7"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2"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5"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8"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9"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0"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2"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9"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2"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8"/>
  </w:num>
  <w:num w:numId="2">
    <w:abstractNumId w:val="35"/>
  </w:num>
  <w:num w:numId="3">
    <w:abstractNumId w:val="23"/>
  </w:num>
  <w:num w:numId="4">
    <w:abstractNumId w:val="27"/>
  </w:num>
  <w:num w:numId="5">
    <w:abstractNumId w:val="4"/>
  </w:num>
  <w:num w:numId="6">
    <w:abstractNumId w:val="26"/>
  </w:num>
  <w:num w:numId="7">
    <w:abstractNumId w:val="42"/>
  </w:num>
  <w:num w:numId="8">
    <w:abstractNumId w:val="17"/>
  </w:num>
  <w:num w:numId="9">
    <w:abstractNumId w:val="33"/>
  </w:num>
  <w:num w:numId="10">
    <w:abstractNumId w:val="24"/>
  </w:num>
  <w:num w:numId="11">
    <w:abstractNumId w:val="1"/>
  </w:num>
  <w:num w:numId="12">
    <w:abstractNumId w:val="41"/>
  </w:num>
  <w:num w:numId="13">
    <w:abstractNumId w:val="30"/>
  </w:num>
  <w:num w:numId="14">
    <w:abstractNumId w:val="6"/>
  </w:num>
  <w:num w:numId="15">
    <w:abstractNumId w:val="16"/>
  </w:num>
  <w:num w:numId="16">
    <w:abstractNumId w:val="9"/>
  </w:num>
  <w:num w:numId="17">
    <w:abstractNumId w:val="12"/>
  </w:num>
  <w:num w:numId="18">
    <w:abstractNumId w:val="34"/>
  </w:num>
  <w:num w:numId="19">
    <w:abstractNumId w:val="11"/>
  </w:num>
  <w:num w:numId="20">
    <w:abstractNumId w:val="32"/>
  </w:num>
  <w:num w:numId="21">
    <w:abstractNumId w:val="2"/>
  </w:num>
  <w:num w:numId="22">
    <w:abstractNumId w:val="8"/>
  </w:num>
  <w:num w:numId="23">
    <w:abstractNumId w:val="5"/>
  </w:num>
  <w:num w:numId="24">
    <w:abstractNumId w:val="15"/>
  </w:num>
  <w:num w:numId="25">
    <w:abstractNumId w:val="44"/>
  </w:num>
  <w:num w:numId="26">
    <w:abstractNumId w:val="40"/>
  </w:num>
  <w:num w:numId="27">
    <w:abstractNumId w:val="14"/>
  </w:num>
  <w:num w:numId="28">
    <w:abstractNumId w:val="19"/>
  </w:num>
  <w:num w:numId="29">
    <w:abstractNumId w:val="31"/>
  </w:num>
  <w:num w:numId="30">
    <w:abstractNumId w:val="21"/>
  </w:num>
  <w:num w:numId="31">
    <w:abstractNumId w:val="13"/>
  </w:num>
  <w:num w:numId="32">
    <w:abstractNumId w:val="43"/>
  </w:num>
  <w:num w:numId="33">
    <w:abstractNumId w:val="28"/>
  </w:num>
  <w:num w:numId="34">
    <w:abstractNumId w:val="20"/>
  </w:num>
  <w:num w:numId="35">
    <w:abstractNumId w:val="37"/>
  </w:num>
  <w:num w:numId="36">
    <w:abstractNumId w:val="25"/>
  </w:num>
  <w:num w:numId="37">
    <w:abstractNumId w:val="7"/>
  </w:num>
  <w:num w:numId="38">
    <w:abstractNumId w:val="22"/>
  </w:num>
  <w:num w:numId="39">
    <w:abstractNumId w:val="36"/>
  </w:num>
  <w:num w:numId="40">
    <w:abstractNumId w:val="29"/>
  </w:num>
  <w:num w:numId="41">
    <w:abstractNumId w:val="38"/>
  </w:num>
  <w:num w:numId="42">
    <w:abstractNumId w:val="39"/>
  </w:num>
  <w:num w:numId="43">
    <w:abstractNumId w:val="3"/>
  </w:num>
  <w:num w:numId="44">
    <w:abstractNumId w:val="1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4E4E"/>
    <w:rsid w:val="00015D9E"/>
    <w:rsid w:val="00016045"/>
    <w:rsid w:val="0001748B"/>
    <w:rsid w:val="0001780B"/>
    <w:rsid w:val="00017E6D"/>
    <w:rsid w:val="0002238C"/>
    <w:rsid w:val="00024251"/>
    <w:rsid w:val="00025A7E"/>
    <w:rsid w:val="00026707"/>
    <w:rsid w:val="00026EEE"/>
    <w:rsid w:val="0003520A"/>
    <w:rsid w:val="00036860"/>
    <w:rsid w:val="00041B5C"/>
    <w:rsid w:val="00041F99"/>
    <w:rsid w:val="00046D6E"/>
    <w:rsid w:val="00050CBC"/>
    <w:rsid w:val="00051E67"/>
    <w:rsid w:val="000534BC"/>
    <w:rsid w:val="000540B9"/>
    <w:rsid w:val="00054BA5"/>
    <w:rsid w:val="0005594E"/>
    <w:rsid w:val="00057376"/>
    <w:rsid w:val="0005763D"/>
    <w:rsid w:val="00057A12"/>
    <w:rsid w:val="00061C1E"/>
    <w:rsid w:val="000626B9"/>
    <w:rsid w:val="0007083E"/>
    <w:rsid w:val="00072192"/>
    <w:rsid w:val="00073695"/>
    <w:rsid w:val="000744BD"/>
    <w:rsid w:val="000749E7"/>
    <w:rsid w:val="00075680"/>
    <w:rsid w:val="00076624"/>
    <w:rsid w:val="00081189"/>
    <w:rsid w:val="00081EA1"/>
    <w:rsid w:val="00084C26"/>
    <w:rsid w:val="00091331"/>
    <w:rsid w:val="00091D68"/>
    <w:rsid w:val="00094380"/>
    <w:rsid w:val="00095A07"/>
    <w:rsid w:val="00097C08"/>
    <w:rsid w:val="00097DE7"/>
    <w:rsid w:val="000A1290"/>
    <w:rsid w:val="000A227F"/>
    <w:rsid w:val="000A521C"/>
    <w:rsid w:val="000A6030"/>
    <w:rsid w:val="000A6D9A"/>
    <w:rsid w:val="000A7E22"/>
    <w:rsid w:val="000B7151"/>
    <w:rsid w:val="000C08B0"/>
    <w:rsid w:val="000C1371"/>
    <w:rsid w:val="000C2DD9"/>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2F3C"/>
    <w:rsid w:val="000F393F"/>
    <w:rsid w:val="000F61B7"/>
    <w:rsid w:val="00100ADE"/>
    <w:rsid w:val="00101707"/>
    <w:rsid w:val="00102586"/>
    <w:rsid w:val="00104E6F"/>
    <w:rsid w:val="00106270"/>
    <w:rsid w:val="00107071"/>
    <w:rsid w:val="00107EBF"/>
    <w:rsid w:val="00111083"/>
    <w:rsid w:val="00116616"/>
    <w:rsid w:val="00116C20"/>
    <w:rsid w:val="00120219"/>
    <w:rsid w:val="001207A6"/>
    <w:rsid w:val="001234AE"/>
    <w:rsid w:val="00123FEA"/>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95C20"/>
    <w:rsid w:val="001A0561"/>
    <w:rsid w:val="001A0C4F"/>
    <w:rsid w:val="001A43CA"/>
    <w:rsid w:val="001A5BBC"/>
    <w:rsid w:val="001A5FB1"/>
    <w:rsid w:val="001A6A7E"/>
    <w:rsid w:val="001B05D2"/>
    <w:rsid w:val="001B1F0E"/>
    <w:rsid w:val="001B2F02"/>
    <w:rsid w:val="001B321F"/>
    <w:rsid w:val="001B33FD"/>
    <w:rsid w:val="001B38E2"/>
    <w:rsid w:val="001B49A7"/>
    <w:rsid w:val="001B52E9"/>
    <w:rsid w:val="001C017C"/>
    <w:rsid w:val="001C0FDB"/>
    <w:rsid w:val="001C395C"/>
    <w:rsid w:val="001C605C"/>
    <w:rsid w:val="001C77F9"/>
    <w:rsid w:val="001D06ED"/>
    <w:rsid w:val="001D2A22"/>
    <w:rsid w:val="001D437A"/>
    <w:rsid w:val="001D4799"/>
    <w:rsid w:val="001E202F"/>
    <w:rsid w:val="001E2221"/>
    <w:rsid w:val="001E34E7"/>
    <w:rsid w:val="001E5DA2"/>
    <w:rsid w:val="001F018B"/>
    <w:rsid w:val="001F1C42"/>
    <w:rsid w:val="001F2282"/>
    <w:rsid w:val="001F308D"/>
    <w:rsid w:val="001F384E"/>
    <w:rsid w:val="001F4C2D"/>
    <w:rsid w:val="001F69CF"/>
    <w:rsid w:val="00202760"/>
    <w:rsid w:val="002033B3"/>
    <w:rsid w:val="0020679D"/>
    <w:rsid w:val="00211B63"/>
    <w:rsid w:val="002135BF"/>
    <w:rsid w:val="002144FC"/>
    <w:rsid w:val="0021492A"/>
    <w:rsid w:val="00214DB4"/>
    <w:rsid w:val="002205F4"/>
    <w:rsid w:val="00220D72"/>
    <w:rsid w:val="00224C62"/>
    <w:rsid w:val="002258EE"/>
    <w:rsid w:val="00226640"/>
    <w:rsid w:val="00226CC3"/>
    <w:rsid w:val="00231519"/>
    <w:rsid w:val="00233067"/>
    <w:rsid w:val="00233172"/>
    <w:rsid w:val="00236788"/>
    <w:rsid w:val="00240604"/>
    <w:rsid w:val="00240D80"/>
    <w:rsid w:val="00241400"/>
    <w:rsid w:val="00241AE9"/>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86E0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2F65E8"/>
    <w:rsid w:val="00300366"/>
    <w:rsid w:val="00301975"/>
    <w:rsid w:val="00302CE3"/>
    <w:rsid w:val="00302FF9"/>
    <w:rsid w:val="00304107"/>
    <w:rsid w:val="0030625A"/>
    <w:rsid w:val="003072E5"/>
    <w:rsid w:val="003111A0"/>
    <w:rsid w:val="00315C55"/>
    <w:rsid w:val="00316745"/>
    <w:rsid w:val="003172E9"/>
    <w:rsid w:val="003172FD"/>
    <w:rsid w:val="00317744"/>
    <w:rsid w:val="00317EF9"/>
    <w:rsid w:val="00323EC0"/>
    <w:rsid w:val="00326D5D"/>
    <w:rsid w:val="00330067"/>
    <w:rsid w:val="00331067"/>
    <w:rsid w:val="00331E99"/>
    <w:rsid w:val="00332945"/>
    <w:rsid w:val="00333698"/>
    <w:rsid w:val="0033689E"/>
    <w:rsid w:val="00336BAC"/>
    <w:rsid w:val="00337BFF"/>
    <w:rsid w:val="00340ED9"/>
    <w:rsid w:val="00342683"/>
    <w:rsid w:val="0034275A"/>
    <w:rsid w:val="003449AE"/>
    <w:rsid w:val="00345C30"/>
    <w:rsid w:val="00346E6A"/>
    <w:rsid w:val="00347892"/>
    <w:rsid w:val="0035096D"/>
    <w:rsid w:val="00352916"/>
    <w:rsid w:val="00352AF0"/>
    <w:rsid w:val="00352BEC"/>
    <w:rsid w:val="003534F4"/>
    <w:rsid w:val="00356311"/>
    <w:rsid w:val="003569DD"/>
    <w:rsid w:val="00356BC7"/>
    <w:rsid w:val="003570BE"/>
    <w:rsid w:val="00357FE9"/>
    <w:rsid w:val="0036277B"/>
    <w:rsid w:val="0036524A"/>
    <w:rsid w:val="00365ACA"/>
    <w:rsid w:val="003676E3"/>
    <w:rsid w:val="00367C53"/>
    <w:rsid w:val="00373766"/>
    <w:rsid w:val="003740EE"/>
    <w:rsid w:val="00376A84"/>
    <w:rsid w:val="003777DF"/>
    <w:rsid w:val="003800B4"/>
    <w:rsid w:val="0038147B"/>
    <w:rsid w:val="00384F2B"/>
    <w:rsid w:val="003871D4"/>
    <w:rsid w:val="003874FF"/>
    <w:rsid w:val="00396255"/>
    <w:rsid w:val="00397F3C"/>
    <w:rsid w:val="003A57EF"/>
    <w:rsid w:val="003A6498"/>
    <w:rsid w:val="003A67D3"/>
    <w:rsid w:val="003A6B4B"/>
    <w:rsid w:val="003A6C5E"/>
    <w:rsid w:val="003B19CC"/>
    <w:rsid w:val="003B4896"/>
    <w:rsid w:val="003B4B60"/>
    <w:rsid w:val="003B6BFD"/>
    <w:rsid w:val="003B757F"/>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3F6069"/>
    <w:rsid w:val="00400EA4"/>
    <w:rsid w:val="00403008"/>
    <w:rsid w:val="00403E7A"/>
    <w:rsid w:val="00410140"/>
    <w:rsid w:val="0041152C"/>
    <w:rsid w:val="004115EC"/>
    <w:rsid w:val="00413EE0"/>
    <w:rsid w:val="004168C6"/>
    <w:rsid w:val="00416F62"/>
    <w:rsid w:val="00417F4D"/>
    <w:rsid w:val="004208C7"/>
    <w:rsid w:val="004225FB"/>
    <w:rsid w:val="00424D73"/>
    <w:rsid w:val="00425DD9"/>
    <w:rsid w:val="004277D9"/>
    <w:rsid w:val="00433155"/>
    <w:rsid w:val="004338FF"/>
    <w:rsid w:val="00434831"/>
    <w:rsid w:val="004356F4"/>
    <w:rsid w:val="00435F9F"/>
    <w:rsid w:val="00436C08"/>
    <w:rsid w:val="00440744"/>
    <w:rsid w:val="00441C89"/>
    <w:rsid w:val="00443AA3"/>
    <w:rsid w:val="004443E3"/>
    <w:rsid w:val="00446427"/>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CA"/>
    <w:rsid w:val="0048384E"/>
    <w:rsid w:val="00485B80"/>
    <w:rsid w:val="004860FC"/>
    <w:rsid w:val="004900B4"/>
    <w:rsid w:val="00491411"/>
    <w:rsid w:val="004969B8"/>
    <w:rsid w:val="00497788"/>
    <w:rsid w:val="004A4B06"/>
    <w:rsid w:val="004A5542"/>
    <w:rsid w:val="004B2A4C"/>
    <w:rsid w:val="004B5ADB"/>
    <w:rsid w:val="004B7156"/>
    <w:rsid w:val="004B722B"/>
    <w:rsid w:val="004B7852"/>
    <w:rsid w:val="004B7B50"/>
    <w:rsid w:val="004C372B"/>
    <w:rsid w:val="004C39B6"/>
    <w:rsid w:val="004C521F"/>
    <w:rsid w:val="004C6D4B"/>
    <w:rsid w:val="004D0DC5"/>
    <w:rsid w:val="004D0E85"/>
    <w:rsid w:val="004D2193"/>
    <w:rsid w:val="004D5004"/>
    <w:rsid w:val="004E18C0"/>
    <w:rsid w:val="004E7499"/>
    <w:rsid w:val="004E788A"/>
    <w:rsid w:val="004F08D4"/>
    <w:rsid w:val="004F0FE0"/>
    <w:rsid w:val="004F13B1"/>
    <w:rsid w:val="004F1C1D"/>
    <w:rsid w:val="004F7973"/>
    <w:rsid w:val="00501B4A"/>
    <w:rsid w:val="00502FAB"/>
    <w:rsid w:val="00503594"/>
    <w:rsid w:val="00507793"/>
    <w:rsid w:val="00510AD4"/>
    <w:rsid w:val="0051132E"/>
    <w:rsid w:val="005122DF"/>
    <w:rsid w:val="005128DA"/>
    <w:rsid w:val="00512D0C"/>
    <w:rsid w:val="00515D08"/>
    <w:rsid w:val="00515DC7"/>
    <w:rsid w:val="005213B5"/>
    <w:rsid w:val="00522F1F"/>
    <w:rsid w:val="005249ED"/>
    <w:rsid w:val="00525FB4"/>
    <w:rsid w:val="00527687"/>
    <w:rsid w:val="00527ABE"/>
    <w:rsid w:val="00527BEC"/>
    <w:rsid w:val="005300FD"/>
    <w:rsid w:val="0053097E"/>
    <w:rsid w:val="00530CFF"/>
    <w:rsid w:val="0053263A"/>
    <w:rsid w:val="00533C7B"/>
    <w:rsid w:val="00534225"/>
    <w:rsid w:val="0053666D"/>
    <w:rsid w:val="005377F3"/>
    <w:rsid w:val="00541167"/>
    <w:rsid w:val="005442E2"/>
    <w:rsid w:val="00547768"/>
    <w:rsid w:val="0055071D"/>
    <w:rsid w:val="0055122E"/>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914B2"/>
    <w:rsid w:val="005942A2"/>
    <w:rsid w:val="005A009A"/>
    <w:rsid w:val="005A6114"/>
    <w:rsid w:val="005A7216"/>
    <w:rsid w:val="005A7337"/>
    <w:rsid w:val="005B14D6"/>
    <w:rsid w:val="005B2308"/>
    <w:rsid w:val="005B5BEA"/>
    <w:rsid w:val="005C026C"/>
    <w:rsid w:val="005C13D6"/>
    <w:rsid w:val="005C37CC"/>
    <w:rsid w:val="005C45C9"/>
    <w:rsid w:val="005C543F"/>
    <w:rsid w:val="005C5940"/>
    <w:rsid w:val="005C5A64"/>
    <w:rsid w:val="005C70D0"/>
    <w:rsid w:val="005C739C"/>
    <w:rsid w:val="005D0E06"/>
    <w:rsid w:val="005D5E43"/>
    <w:rsid w:val="005D6952"/>
    <w:rsid w:val="005E25B6"/>
    <w:rsid w:val="005E4587"/>
    <w:rsid w:val="005E67D7"/>
    <w:rsid w:val="005E6E39"/>
    <w:rsid w:val="005F024D"/>
    <w:rsid w:val="005F04E9"/>
    <w:rsid w:val="005F0ADA"/>
    <w:rsid w:val="005F2A1A"/>
    <w:rsid w:val="005F2C40"/>
    <w:rsid w:val="005F39FA"/>
    <w:rsid w:val="005F3B70"/>
    <w:rsid w:val="005F7470"/>
    <w:rsid w:val="00600E64"/>
    <w:rsid w:val="00601FE6"/>
    <w:rsid w:val="00602E79"/>
    <w:rsid w:val="00603BD0"/>
    <w:rsid w:val="006063A3"/>
    <w:rsid w:val="00606FFD"/>
    <w:rsid w:val="00607453"/>
    <w:rsid w:val="00607B78"/>
    <w:rsid w:val="00610B37"/>
    <w:rsid w:val="006129EB"/>
    <w:rsid w:val="006133CB"/>
    <w:rsid w:val="00614ADE"/>
    <w:rsid w:val="006158E1"/>
    <w:rsid w:val="00616400"/>
    <w:rsid w:val="00617408"/>
    <w:rsid w:val="00622E87"/>
    <w:rsid w:val="0062395B"/>
    <w:rsid w:val="006248DF"/>
    <w:rsid w:val="0062566E"/>
    <w:rsid w:val="0062570F"/>
    <w:rsid w:val="006309AF"/>
    <w:rsid w:val="00633D94"/>
    <w:rsid w:val="00636E5E"/>
    <w:rsid w:val="00643A38"/>
    <w:rsid w:val="00643B39"/>
    <w:rsid w:val="00644334"/>
    <w:rsid w:val="00645E24"/>
    <w:rsid w:val="006460F4"/>
    <w:rsid w:val="00647389"/>
    <w:rsid w:val="006512E1"/>
    <w:rsid w:val="00652F95"/>
    <w:rsid w:val="00653068"/>
    <w:rsid w:val="006532E1"/>
    <w:rsid w:val="00655271"/>
    <w:rsid w:val="00657240"/>
    <w:rsid w:val="0066002E"/>
    <w:rsid w:val="00663C93"/>
    <w:rsid w:val="00664955"/>
    <w:rsid w:val="006654C2"/>
    <w:rsid w:val="0066591E"/>
    <w:rsid w:val="00666054"/>
    <w:rsid w:val="00666928"/>
    <w:rsid w:val="00666BAD"/>
    <w:rsid w:val="00667D08"/>
    <w:rsid w:val="00670264"/>
    <w:rsid w:val="00672C12"/>
    <w:rsid w:val="00674530"/>
    <w:rsid w:val="0067488E"/>
    <w:rsid w:val="00674942"/>
    <w:rsid w:val="006754BB"/>
    <w:rsid w:val="006775AC"/>
    <w:rsid w:val="00680113"/>
    <w:rsid w:val="0068071A"/>
    <w:rsid w:val="00680985"/>
    <w:rsid w:val="00680F98"/>
    <w:rsid w:val="006839BB"/>
    <w:rsid w:val="00683F1B"/>
    <w:rsid w:val="00685622"/>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27C7"/>
    <w:rsid w:val="006A454A"/>
    <w:rsid w:val="006A6322"/>
    <w:rsid w:val="006B126A"/>
    <w:rsid w:val="006B47F4"/>
    <w:rsid w:val="006B5776"/>
    <w:rsid w:val="006C170C"/>
    <w:rsid w:val="006C2B89"/>
    <w:rsid w:val="006C2D94"/>
    <w:rsid w:val="006C4E91"/>
    <w:rsid w:val="006C638B"/>
    <w:rsid w:val="006D1379"/>
    <w:rsid w:val="006D1AFF"/>
    <w:rsid w:val="006D40C4"/>
    <w:rsid w:val="006D4368"/>
    <w:rsid w:val="006D532B"/>
    <w:rsid w:val="006E2B35"/>
    <w:rsid w:val="006E472E"/>
    <w:rsid w:val="006E5984"/>
    <w:rsid w:val="006F55E9"/>
    <w:rsid w:val="007012CF"/>
    <w:rsid w:val="007013D8"/>
    <w:rsid w:val="00703454"/>
    <w:rsid w:val="007053EE"/>
    <w:rsid w:val="00706912"/>
    <w:rsid w:val="007077DC"/>
    <w:rsid w:val="00707CE6"/>
    <w:rsid w:val="00711661"/>
    <w:rsid w:val="0071178D"/>
    <w:rsid w:val="007118C9"/>
    <w:rsid w:val="0071551E"/>
    <w:rsid w:val="0072045D"/>
    <w:rsid w:val="00720A83"/>
    <w:rsid w:val="007220F0"/>
    <w:rsid w:val="0072344A"/>
    <w:rsid w:val="00723D31"/>
    <w:rsid w:val="00723FEB"/>
    <w:rsid w:val="00725F01"/>
    <w:rsid w:val="00727ABF"/>
    <w:rsid w:val="007321F5"/>
    <w:rsid w:val="00733199"/>
    <w:rsid w:val="00734975"/>
    <w:rsid w:val="0073623C"/>
    <w:rsid w:val="0073740C"/>
    <w:rsid w:val="007430BA"/>
    <w:rsid w:val="00744BFD"/>
    <w:rsid w:val="00745B70"/>
    <w:rsid w:val="0074781F"/>
    <w:rsid w:val="00751F7B"/>
    <w:rsid w:val="0075299A"/>
    <w:rsid w:val="00753B73"/>
    <w:rsid w:val="00753D2B"/>
    <w:rsid w:val="00754B72"/>
    <w:rsid w:val="00755684"/>
    <w:rsid w:val="00755F1F"/>
    <w:rsid w:val="007564BC"/>
    <w:rsid w:val="00756E9B"/>
    <w:rsid w:val="00757C2B"/>
    <w:rsid w:val="00760793"/>
    <w:rsid w:val="00760845"/>
    <w:rsid w:val="00762450"/>
    <w:rsid w:val="007649A8"/>
    <w:rsid w:val="00765414"/>
    <w:rsid w:val="00766517"/>
    <w:rsid w:val="00766BBE"/>
    <w:rsid w:val="00771090"/>
    <w:rsid w:val="007734F0"/>
    <w:rsid w:val="00775FAB"/>
    <w:rsid w:val="00777310"/>
    <w:rsid w:val="007800DA"/>
    <w:rsid w:val="0078065A"/>
    <w:rsid w:val="00784A71"/>
    <w:rsid w:val="007862C8"/>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5200"/>
    <w:rsid w:val="007C7FBC"/>
    <w:rsid w:val="007D5276"/>
    <w:rsid w:val="007D5A67"/>
    <w:rsid w:val="007D665F"/>
    <w:rsid w:val="007E2654"/>
    <w:rsid w:val="007E28CD"/>
    <w:rsid w:val="007E3044"/>
    <w:rsid w:val="007E3C28"/>
    <w:rsid w:val="007E3D5A"/>
    <w:rsid w:val="007E4199"/>
    <w:rsid w:val="007E7F01"/>
    <w:rsid w:val="007F0774"/>
    <w:rsid w:val="007F1913"/>
    <w:rsid w:val="007F196D"/>
    <w:rsid w:val="007F38EF"/>
    <w:rsid w:val="007F3DC0"/>
    <w:rsid w:val="007F5066"/>
    <w:rsid w:val="007F7494"/>
    <w:rsid w:val="007F7714"/>
    <w:rsid w:val="008000FD"/>
    <w:rsid w:val="008007E2"/>
    <w:rsid w:val="00800898"/>
    <w:rsid w:val="00800BB7"/>
    <w:rsid w:val="00807AD4"/>
    <w:rsid w:val="00807BCD"/>
    <w:rsid w:val="00814594"/>
    <w:rsid w:val="0081594A"/>
    <w:rsid w:val="008325B7"/>
    <w:rsid w:val="00832BEC"/>
    <w:rsid w:val="00832D4D"/>
    <w:rsid w:val="008377E1"/>
    <w:rsid w:val="00842ADC"/>
    <w:rsid w:val="0084340D"/>
    <w:rsid w:val="00843913"/>
    <w:rsid w:val="00843D05"/>
    <w:rsid w:val="008464C6"/>
    <w:rsid w:val="00851BB2"/>
    <w:rsid w:val="00852F2A"/>
    <w:rsid w:val="00853AAF"/>
    <w:rsid w:val="00854DB2"/>
    <w:rsid w:val="00854DF1"/>
    <w:rsid w:val="0085755A"/>
    <w:rsid w:val="00861876"/>
    <w:rsid w:val="008649AB"/>
    <w:rsid w:val="00864B6F"/>
    <w:rsid w:val="00865600"/>
    <w:rsid w:val="00870F4D"/>
    <w:rsid w:val="00873DD9"/>
    <w:rsid w:val="00875E4B"/>
    <w:rsid w:val="008765EE"/>
    <w:rsid w:val="00876939"/>
    <w:rsid w:val="00877DAE"/>
    <w:rsid w:val="00880477"/>
    <w:rsid w:val="008804CE"/>
    <w:rsid w:val="00882E05"/>
    <w:rsid w:val="00883D29"/>
    <w:rsid w:val="0088562A"/>
    <w:rsid w:val="00896C63"/>
    <w:rsid w:val="00896CBC"/>
    <w:rsid w:val="00897031"/>
    <w:rsid w:val="00897072"/>
    <w:rsid w:val="008972B9"/>
    <w:rsid w:val="008A1766"/>
    <w:rsid w:val="008A3B1E"/>
    <w:rsid w:val="008A4F23"/>
    <w:rsid w:val="008B0429"/>
    <w:rsid w:val="008B26CA"/>
    <w:rsid w:val="008B354C"/>
    <w:rsid w:val="008C08FC"/>
    <w:rsid w:val="008C38EA"/>
    <w:rsid w:val="008C3C7A"/>
    <w:rsid w:val="008C40C9"/>
    <w:rsid w:val="008C7F3C"/>
    <w:rsid w:val="008D6912"/>
    <w:rsid w:val="008D6BF4"/>
    <w:rsid w:val="008D792C"/>
    <w:rsid w:val="008E0FF1"/>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0F59"/>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462A8"/>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419A"/>
    <w:rsid w:val="009B5613"/>
    <w:rsid w:val="009C2A48"/>
    <w:rsid w:val="009C623F"/>
    <w:rsid w:val="009D0F40"/>
    <w:rsid w:val="009D2091"/>
    <w:rsid w:val="009D6880"/>
    <w:rsid w:val="009D7EB4"/>
    <w:rsid w:val="009E0339"/>
    <w:rsid w:val="009E0A47"/>
    <w:rsid w:val="009E17B4"/>
    <w:rsid w:val="009E1C9E"/>
    <w:rsid w:val="009E26F8"/>
    <w:rsid w:val="009E28AA"/>
    <w:rsid w:val="009E301E"/>
    <w:rsid w:val="009E6987"/>
    <w:rsid w:val="009E6C6B"/>
    <w:rsid w:val="009E7EBB"/>
    <w:rsid w:val="009F0D19"/>
    <w:rsid w:val="009F10DB"/>
    <w:rsid w:val="009F20EE"/>
    <w:rsid w:val="009F7465"/>
    <w:rsid w:val="00A02C72"/>
    <w:rsid w:val="00A05C29"/>
    <w:rsid w:val="00A0714B"/>
    <w:rsid w:val="00A115F8"/>
    <w:rsid w:val="00A11A38"/>
    <w:rsid w:val="00A1218E"/>
    <w:rsid w:val="00A12931"/>
    <w:rsid w:val="00A158DF"/>
    <w:rsid w:val="00A20A87"/>
    <w:rsid w:val="00A23BAD"/>
    <w:rsid w:val="00A2579C"/>
    <w:rsid w:val="00A2745F"/>
    <w:rsid w:val="00A27677"/>
    <w:rsid w:val="00A332A4"/>
    <w:rsid w:val="00A36366"/>
    <w:rsid w:val="00A379A4"/>
    <w:rsid w:val="00A42036"/>
    <w:rsid w:val="00A45C89"/>
    <w:rsid w:val="00A464E4"/>
    <w:rsid w:val="00A4691A"/>
    <w:rsid w:val="00A46E8C"/>
    <w:rsid w:val="00A53FEC"/>
    <w:rsid w:val="00A54E27"/>
    <w:rsid w:val="00A613E1"/>
    <w:rsid w:val="00A618DE"/>
    <w:rsid w:val="00A62147"/>
    <w:rsid w:val="00A642AB"/>
    <w:rsid w:val="00A659B7"/>
    <w:rsid w:val="00A65BDD"/>
    <w:rsid w:val="00A67253"/>
    <w:rsid w:val="00A677D1"/>
    <w:rsid w:val="00A70A28"/>
    <w:rsid w:val="00A71B7E"/>
    <w:rsid w:val="00A72AAA"/>
    <w:rsid w:val="00A72F88"/>
    <w:rsid w:val="00A74B1A"/>
    <w:rsid w:val="00A74CFD"/>
    <w:rsid w:val="00A753C8"/>
    <w:rsid w:val="00A75810"/>
    <w:rsid w:val="00A80D4D"/>
    <w:rsid w:val="00A816D2"/>
    <w:rsid w:val="00A82B98"/>
    <w:rsid w:val="00A831C5"/>
    <w:rsid w:val="00A849E6"/>
    <w:rsid w:val="00A910D1"/>
    <w:rsid w:val="00A91EC7"/>
    <w:rsid w:val="00A92906"/>
    <w:rsid w:val="00A94B92"/>
    <w:rsid w:val="00A95E12"/>
    <w:rsid w:val="00A96900"/>
    <w:rsid w:val="00A97821"/>
    <w:rsid w:val="00A97DA5"/>
    <w:rsid w:val="00AA06F4"/>
    <w:rsid w:val="00AA0784"/>
    <w:rsid w:val="00AA0C8B"/>
    <w:rsid w:val="00AA156F"/>
    <w:rsid w:val="00AA19BD"/>
    <w:rsid w:val="00AA3F8E"/>
    <w:rsid w:val="00AB18FF"/>
    <w:rsid w:val="00AB23E8"/>
    <w:rsid w:val="00AB2572"/>
    <w:rsid w:val="00AB3130"/>
    <w:rsid w:val="00AB3461"/>
    <w:rsid w:val="00AB502B"/>
    <w:rsid w:val="00AB5DCA"/>
    <w:rsid w:val="00AB714D"/>
    <w:rsid w:val="00AB728D"/>
    <w:rsid w:val="00AB767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055D9"/>
    <w:rsid w:val="00B10E7C"/>
    <w:rsid w:val="00B114F7"/>
    <w:rsid w:val="00B151B6"/>
    <w:rsid w:val="00B1656A"/>
    <w:rsid w:val="00B17699"/>
    <w:rsid w:val="00B21A3F"/>
    <w:rsid w:val="00B21DBF"/>
    <w:rsid w:val="00B2388D"/>
    <w:rsid w:val="00B255EE"/>
    <w:rsid w:val="00B26013"/>
    <w:rsid w:val="00B27A27"/>
    <w:rsid w:val="00B31323"/>
    <w:rsid w:val="00B32E84"/>
    <w:rsid w:val="00B344FA"/>
    <w:rsid w:val="00B35B89"/>
    <w:rsid w:val="00B363BB"/>
    <w:rsid w:val="00B37206"/>
    <w:rsid w:val="00B40AAA"/>
    <w:rsid w:val="00B40EB5"/>
    <w:rsid w:val="00B4569C"/>
    <w:rsid w:val="00B47C76"/>
    <w:rsid w:val="00B50E59"/>
    <w:rsid w:val="00B51AF9"/>
    <w:rsid w:val="00B53056"/>
    <w:rsid w:val="00B547E6"/>
    <w:rsid w:val="00B55452"/>
    <w:rsid w:val="00B56C5F"/>
    <w:rsid w:val="00B62C34"/>
    <w:rsid w:val="00B64379"/>
    <w:rsid w:val="00B72183"/>
    <w:rsid w:val="00B72467"/>
    <w:rsid w:val="00B73158"/>
    <w:rsid w:val="00B7794A"/>
    <w:rsid w:val="00B85E0C"/>
    <w:rsid w:val="00B92AAE"/>
    <w:rsid w:val="00B93825"/>
    <w:rsid w:val="00B93855"/>
    <w:rsid w:val="00B95B67"/>
    <w:rsid w:val="00B96872"/>
    <w:rsid w:val="00BA59F2"/>
    <w:rsid w:val="00BA6BA5"/>
    <w:rsid w:val="00BB0075"/>
    <w:rsid w:val="00BB1F20"/>
    <w:rsid w:val="00BB2A2E"/>
    <w:rsid w:val="00BB341D"/>
    <w:rsid w:val="00BB36EC"/>
    <w:rsid w:val="00BB44B1"/>
    <w:rsid w:val="00BB66F0"/>
    <w:rsid w:val="00BC0725"/>
    <w:rsid w:val="00BC0A56"/>
    <w:rsid w:val="00BC280F"/>
    <w:rsid w:val="00BC3BCD"/>
    <w:rsid w:val="00BC4115"/>
    <w:rsid w:val="00BC4D54"/>
    <w:rsid w:val="00BC5D54"/>
    <w:rsid w:val="00BC634D"/>
    <w:rsid w:val="00BD0279"/>
    <w:rsid w:val="00BD07D3"/>
    <w:rsid w:val="00BD25E2"/>
    <w:rsid w:val="00BD2D5A"/>
    <w:rsid w:val="00BD4163"/>
    <w:rsid w:val="00BD6531"/>
    <w:rsid w:val="00BE1276"/>
    <w:rsid w:val="00BE1C79"/>
    <w:rsid w:val="00BE2EC8"/>
    <w:rsid w:val="00BE4806"/>
    <w:rsid w:val="00BE58F6"/>
    <w:rsid w:val="00BE698A"/>
    <w:rsid w:val="00BE77DF"/>
    <w:rsid w:val="00BE7F12"/>
    <w:rsid w:val="00BF0C07"/>
    <w:rsid w:val="00BF1831"/>
    <w:rsid w:val="00BF36FD"/>
    <w:rsid w:val="00BF4BB2"/>
    <w:rsid w:val="00C000EE"/>
    <w:rsid w:val="00C011E5"/>
    <w:rsid w:val="00C03587"/>
    <w:rsid w:val="00C04057"/>
    <w:rsid w:val="00C1393F"/>
    <w:rsid w:val="00C175C1"/>
    <w:rsid w:val="00C216A9"/>
    <w:rsid w:val="00C23100"/>
    <w:rsid w:val="00C24041"/>
    <w:rsid w:val="00C24E68"/>
    <w:rsid w:val="00C25291"/>
    <w:rsid w:val="00C261B5"/>
    <w:rsid w:val="00C266BF"/>
    <w:rsid w:val="00C310F5"/>
    <w:rsid w:val="00C32A91"/>
    <w:rsid w:val="00C35374"/>
    <w:rsid w:val="00C35D2F"/>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394"/>
    <w:rsid w:val="00CB196B"/>
    <w:rsid w:val="00CB5176"/>
    <w:rsid w:val="00CB5853"/>
    <w:rsid w:val="00CB76BB"/>
    <w:rsid w:val="00CC04A1"/>
    <w:rsid w:val="00CC20E9"/>
    <w:rsid w:val="00CC434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69FB"/>
    <w:rsid w:val="00D073F9"/>
    <w:rsid w:val="00D16262"/>
    <w:rsid w:val="00D1670A"/>
    <w:rsid w:val="00D16D63"/>
    <w:rsid w:val="00D176BB"/>
    <w:rsid w:val="00D2050D"/>
    <w:rsid w:val="00D20629"/>
    <w:rsid w:val="00D264EA"/>
    <w:rsid w:val="00D31D1A"/>
    <w:rsid w:val="00D32ADB"/>
    <w:rsid w:val="00D33152"/>
    <w:rsid w:val="00D335B8"/>
    <w:rsid w:val="00D33FAA"/>
    <w:rsid w:val="00D35BDC"/>
    <w:rsid w:val="00D35FF7"/>
    <w:rsid w:val="00D37C84"/>
    <w:rsid w:val="00D40019"/>
    <w:rsid w:val="00D4075F"/>
    <w:rsid w:val="00D40E0A"/>
    <w:rsid w:val="00D4193A"/>
    <w:rsid w:val="00D42AEC"/>
    <w:rsid w:val="00D43C57"/>
    <w:rsid w:val="00D4529A"/>
    <w:rsid w:val="00D462D4"/>
    <w:rsid w:val="00D47002"/>
    <w:rsid w:val="00D47746"/>
    <w:rsid w:val="00D50426"/>
    <w:rsid w:val="00D567FB"/>
    <w:rsid w:val="00D56BA6"/>
    <w:rsid w:val="00D57E8F"/>
    <w:rsid w:val="00D62879"/>
    <w:rsid w:val="00D629A4"/>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4A4D"/>
    <w:rsid w:val="00DB53EE"/>
    <w:rsid w:val="00DB7AE2"/>
    <w:rsid w:val="00DC2054"/>
    <w:rsid w:val="00DC3156"/>
    <w:rsid w:val="00DC355F"/>
    <w:rsid w:val="00DC3685"/>
    <w:rsid w:val="00DC3E1C"/>
    <w:rsid w:val="00DC47A1"/>
    <w:rsid w:val="00DC6B15"/>
    <w:rsid w:val="00DC7A51"/>
    <w:rsid w:val="00DD01D0"/>
    <w:rsid w:val="00DD01F3"/>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7028"/>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67261"/>
    <w:rsid w:val="00E72A92"/>
    <w:rsid w:val="00E847BA"/>
    <w:rsid w:val="00E84AFB"/>
    <w:rsid w:val="00E855EF"/>
    <w:rsid w:val="00E90070"/>
    <w:rsid w:val="00E94C2D"/>
    <w:rsid w:val="00EA1073"/>
    <w:rsid w:val="00EA2D86"/>
    <w:rsid w:val="00EA3CE3"/>
    <w:rsid w:val="00EA4C11"/>
    <w:rsid w:val="00EA6D6A"/>
    <w:rsid w:val="00EB14B3"/>
    <w:rsid w:val="00EB3291"/>
    <w:rsid w:val="00EB3DF8"/>
    <w:rsid w:val="00EB4F14"/>
    <w:rsid w:val="00EB5002"/>
    <w:rsid w:val="00EC0231"/>
    <w:rsid w:val="00EC02C0"/>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015"/>
    <w:rsid w:val="00EF7504"/>
    <w:rsid w:val="00F01CDD"/>
    <w:rsid w:val="00F031C2"/>
    <w:rsid w:val="00F03615"/>
    <w:rsid w:val="00F04141"/>
    <w:rsid w:val="00F05A8C"/>
    <w:rsid w:val="00F10336"/>
    <w:rsid w:val="00F13858"/>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4D5D"/>
    <w:rsid w:val="00F45938"/>
    <w:rsid w:val="00F50667"/>
    <w:rsid w:val="00F51894"/>
    <w:rsid w:val="00F53375"/>
    <w:rsid w:val="00F54108"/>
    <w:rsid w:val="00F5739F"/>
    <w:rsid w:val="00F6074D"/>
    <w:rsid w:val="00F612F4"/>
    <w:rsid w:val="00F62D1F"/>
    <w:rsid w:val="00F64977"/>
    <w:rsid w:val="00F65B31"/>
    <w:rsid w:val="00F67C00"/>
    <w:rsid w:val="00F713A2"/>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52D0"/>
    <w:rsid w:val="00F97097"/>
    <w:rsid w:val="00FA08C6"/>
    <w:rsid w:val="00FA34BC"/>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131F"/>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doi.org/10.22201/fm.24484865e.2022.65.1.0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dialnet.unirioja.es/servlet/articulo?codigo=8265637"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aeugeniachavez@gmail.com"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590/S1516-44462006000500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dx.doi.org/10.22458/caes.v16i1.5797"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A04F7-3E20-44D0-8805-208E70B2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5604</Words>
  <Characters>30826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2025-05-06T16:50:00Z</dcterms:created>
  <dcterms:modified xsi:type="dcterms:W3CDTF">2025-05-21T17:04:00Z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