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4A26F" w14:textId="77777777" w:rsidR="00A77806" w:rsidRPr="00A77806" w:rsidRDefault="00A77806" w:rsidP="00A77806">
      <w:pPr>
        <w:pStyle w:val="NormalWeb"/>
        <w:spacing w:line="360" w:lineRule="auto"/>
        <w:jc w:val="center"/>
        <w:rPr>
          <w:rFonts w:ascii="Arial" w:hAnsi="Arial" w:cs="Arial"/>
          <w:b/>
          <w:bCs/>
          <w:color w:val="C45911" w:themeColor="accent2" w:themeShade="BF"/>
        </w:rPr>
      </w:pPr>
      <w:bookmarkStart w:id="0" w:name="_Hlk199013993"/>
      <w:bookmarkStart w:id="1" w:name="_Hlk198820249"/>
      <w:bookmarkStart w:id="2" w:name="_Hlk145952311"/>
      <w:bookmarkStart w:id="3" w:name="_GoBack"/>
      <w:bookmarkEnd w:id="3"/>
      <w:r w:rsidRPr="00A77806">
        <w:rPr>
          <w:rFonts w:ascii="Arial" w:hAnsi="Arial" w:cs="Arial"/>
          <w:b/>
          <w:bCs/>
          <w:color w:val="C45911" w:themeColor="accent2" w:themeShade="BF"/>
        </w:rPr>
        <w:t>Posgrado en Ecuador: redefiniendo oportunidades para el desarrollo personal y profesional</w:t>
      </w:r>
    </w:p>
    <w:bookmarkEnd w:id="0"/>
    <w:p w14:paraId="5F836CCD" w14:textId="542C8EC6" w:rsidR="00A77806" w:rsidRPr="00A77806" w:rsidRDefault="00A77806" w:rsidP="00A77806">
      <w:pPr>
        <w:pStyle w:val="NormalWeb"/>
        <w:spacing w:before="0" w:beforeAutospacing="0" w:after="0" w:afterAutospacing="0" w:line="360" w:lineRule="auto"/>
        <w:jc w:val="center"/>
        <w:rPr>
          <w:rFonts w:ascii="Arial" w:hAnsi="Arial" w:cs="Arial"/>
          <w:b/>
          <w:bCs/>
          <w:color w:val="C45911" w:themeColor="accent2" w:themeShade="BF"/>
          <w:lang w:val="en-US"/>
        </w:rPr>
      </w:pPr>
      <w:r w:rsidRPr="00A77806">
        <w:rPr>
          <w:rFonts w:ascii="Arial" w:hAnsi="Arial" w:cs="Arial"/>
          <w:b/>
          <w:bCs/>
          <w:color w:val="C45911" w:themeColor="accent2" w:themeShade="BF"/>
          <w:lang w:val="en-US"/>
        </w:rPr>
        <w:t>Postgraduate studies in Ecuador: redefining opportunities for personal and professional development</w:t>
      </w:r>
    </w:p>
    <w:p w14:paraId="0D9E010B" w14:textId="77777777" w:rsidR="00A77806" w:rsidRPr="00A77806" w:rsidRDefault="00A77806" w:rsidP="00A82B98">
      <w:pPr>
        <w:pStyle w:val="NormalWeb"/>
        <w:spacing w:before="0" w:beforeAutospacing="0" w:after="0" w:afterAutospacing="0" w:line="360" w:lineRule="auto"/>
        <w:jc w:val="center"/>
        <w:rPr>
          <w:rFonts w:ascii="Arial" w:hAnsi="Arial" w:cs="Arial"/>
          <w:b/>
          <w:bCs/>
          <w:color w:val="C45911" w:themeColor="accent2" w:themeShade="BF"/>
          <w:lang w:val="en-US"/>
        </w:rPr>
      </w:pPr>
    </w:p>
    <w:p w14:paraId="15395EE9" w14:textId="16ED756C" w:rsidR="00A82B98" w:rsidRPr="00071238" w:rsidRDefault="001E7BA4" w:rsidP="00D0272D">
      <w:pPr>
        <w:pStyle w:val="NormalWeb"/>
        <w:spacing w:before="0" w:beforeAutospacing="0" w:after="0" w:afterAutospacing="0"/>
        <w:jc w:val="right"/>
        <w:rPr>
          <w:rFonts w:ascii="Arial" w:hAnsi="Arial" w:cs="Arial"/>
        </w:rPr>
      </w:pPr>
      <w:bookmarkStart w:id="4" w:name="_Hlk199014035"/>
      <w:bookmarkEnd w:id="1"/>
      <w:bookmarkEnd w:id="2"/>
      <w:r w:rsidRPr="00071238">
        <w:rPr>
          <w:rFonts w:ascii="Arial" w:hAnsi="Arial" w:cs="Arial"/>
        </w:rPr>
        <w:t>Grace-S. Zurita-Maldonado</w:t>
      </w:r>
      <w:bookmarkEnd w:id="4"/>
      <w:r w:rsidR="00A82B98" w:rsidRPr="00071238">
        <w:rPr>
          <w:rStyle w:val="Refdenotaalpie"/>
          <w:rFonts w:ascii="Arial" w:eastAsia="Arial" w:hAnsi="Arial" w:cs="Arial"/>
        </w:rPr>
        <w:footnoteReference w:id="1"/>
      </w:r>
    </w:p>
    <w:p w14:paraId="54FACEFC" w14:textId="6A8EB652" w:rsidR="00A82B98" w:rsidRPr="00071238" w:rsidRDefault="00A82B98" w:rsidP="00D0272D">
      <w:pPr>
        <w:pStyle w:val="NormalWeb"/>
        <w:spacing w:before="0" w:beforeAutospacing="0" w:after="0" w:afterAutospacing="0"/>
        <w:jc w:val="right"/>
        <w:rPr>
          <w:rFonts w:ascii="Arial" w:hAnsi="Arial" w:cs="Arial"/>
        </w:rPr>
      </w:pPr>
      <w:r w:rsidRPr="00071238">
        <w:rPr>
          <w:rFonts w:ascii="Arial" w:hAnsi="Arial" w:cs="Arial"/>
        </w:rPr>
        <w:t xml:space="preserve">Universidad </w:t>
      </w:r>
      <w:r w:rsidR="004F6716" w:rsidRPr="00071238">
        <w:rPr>
          <w:rFonts w:ascii="Arial" w:hAnsi="Arial" w:cs="Arial"/>
        </w:rPr>
        <w:t xml:space="preserve">de </w:t>
      </w:r>
      <w:r w:rsidR="001E7BA4" w:rsidRPr="00071238">
        <w:rPr>
          <w:rFonts w:ascii="Arial" w:hAnsi="Arial" w:cs="Arial"/>
        </w:rPr>
        <w:t>las Américas</w:t>
      </w:r>
    </w:p>
    <w:p w14:paraId="34E3782F" w14:textId="3DCF00BB" w:rsidR="00A82B98" w:rsidRPr="00071238" w:rsidRDefault="001E7BA4" w:rsidP="00D0272D">
      <w:pPr>
        <w:pStyle w:val="NormalWeb"/>
        <w:spacing w:before="0" w:beforeAutospacing="0" w:after="0" w:afterAutospacing="0"/>
        <w:jc w:val="right"/>
        <w:rPr>
          <w:rFonts w:ascii="Arial" w:hAnsi="Arial" w:cs="Arial"/>
        </w:rPr>
      </w:pPr>
      <w:r w:rsidRPr="00071238">
        <w:rPr>
          <w:rFonts w:ascii="Arial" w:hAnsi="Arial" w:cs="Arial"/>
        </w:rPr>
        <w:t>Quito, Ecuador</w:t>
      </w:r>
    </w:p>
    <w:p w14:paraId="1586665D" w14:textId="65CE6BAE" w:rsidR="00A82B98" w:rsidRPr="001E7BA4" w:rsidRDefault="001E7BA4" w:rsidP="00D0272D">
      <w:pPr>
        <w:pStyle w:val="NormalWeb"/>
        <w:spacing w:before="0" w:beforeAutospacing="0" w:after="0" w:afterAutospacing="0"/>
        <w:jc w:val="right"/>
        <w:rPr>
          <w:rFonts w:ascii="Arial" w:hAnsi="Arial" w:cs="Arial"/>
          <w:color w:val="002060"/>
          <w:u w:val="single"/>
        </w:rPr>
      </w:pPr>
      <w:r w:rsidRPr="001E7BA4">
        <w:rPr>
          <w:rFonts w:ascii="Arial" w:hAnsi="Arial" w:cs="Arial"/>
          <w:color w:val="002060"/>
          <w:u w:val="single"/>
        </w:rPr>
        <w:t>grace.zurita.maldonado@udla.edu.ec</w:t>
      </w:r>
      <w:r w:rsidR="00A82B98" w:rsidRPr="001E7BA4">
        <w:rPr>
          <w:rStyle w:val="Hipervnculo"/>
          <w:rFonts w:ascii="Arial" w:hAnsi="Arial" w:cs="Arial"/>
          <w:color w:val="002060"/>
        </w:rPr>
        <w:t xml:space="preserve"> </w:t>
      </w:r>
    </w:p>
    <w:p w14:paraId="6011B59B" w14:textId="41409BA6" w:rsidR="00A82B98" w:rsidRDefault="00A82B98" w:rsidP="00D0272D">
      <w:pPr>
        <w:pStyle w:val="NormalWeb"/>
        <w:spacing w:before="0" w:beforeAutospacing="0" w:after="0" w:afterAutospacing="0"/>
        <w:jc w:val="right"/>
        <w:rPr>
          <w:rFonts w:ascii="Arial" w:hAnsi="Arial" w:cs="Arial"/>
          <w:color w:val="002060"/>
        </w:rPr>
      </w:pPr>
      <w:r w:rsidRPr="000D7954">
        <w:rPr>
          <w:rFonts w:ascii="Arial" w:hAnsi="Arial" w:cs="Arial"/>
          <w:color w:val="002060"/>
        </w:rPr>
        <w:t xml:space="preserve">  </w:t>
      </w:r>
    </w:p>
    <w:p w14:paraId="669FFC67" w14:textId="367AE3E3" w:rsidR="00F750C8" w:rsidRPr="00071238" w:rsidRDefault="00F750C8" w:rsidP="00D0272D">
      <w:pPr>
        <w:pStyle w:val="NormalWeb"/>
        <w:spacing w:before="0" w:beforeAutospacing="0" w:after="0" w:afterAutospacing="0"/>
        <w:jc w:val="right"/>
        <w:rPr>
          <w:rFonts w:ascii="Arial" w:hAnsi="Arial" w:cs="Arial"/>
        </w:rPr>
      </w:pPr>
      <w:bookmarkStart w:id="14" w:name="_Hlk199014098"/>
      <w:r w:rsidRPr="00071238">
        <w:rPr>
          <w:rFonts w:ascii="Arial" w:hAnsi="Arial" w:cs="Arial"/>
        </w:rPr>
        <w:t>Efstathios Stefos</w:t>
      </w:r>
      <w:bookmarkEnd w:id="14"/>
      <w:r w:rsidR="00071238">
        <w:rPr>
          <w:rStyle w:val="Refdenotaalpie"/>
          <w:rFonts w:ascii="Arial" w:hAnsi="Arial" w:cs="Arial"/>
        </w:rPr>
        <w:footnoteReference w:id="2"/>
      </w:r>
    </w:p>
    <w:p w14:paraId="5820D229" w14:textId="77777777" w:rsidR="00D0272D" w:rsidRPr="00071238" w:rsidRDefault="00D0272D" w:rsidP="00D0272D">
      <w:pPr>
        <w:pStyle w:val="NormalWeb"/>
        <w:spacing w:before="0" w:beforeAutospacing="0" w:after="0" w:afterAutospacing="0"/>
        <w:jc w:val="right"/>
        <w:rPr>
          <w:rFonts w:ascii="Arial" w:hAnsi="Arial" w:cs="Arial"/>
        </w:rPr>
      </w:pPr>
      <w:r w:rsidRPr="00071238">
        <w:rPr>
          <w:rFonts w:ascii="Arial" w:hAnsi="Arial" w:cs="Arial"/>
        </w:rPr>
        <w:t>Universidad Nacional de Educación</w:t>
      </w:r>
    </w:p>
    <w:p w14:paraId="7E2B4E20" w14:textId="7813333C" w:rsidR="00D0272D" w:rsidRPr="00071238" w:rsidRDefault="00D0272D" w:rsidP="00D0272D">
      <w:pPr>
        <w:pStyle w:val="NormalWeb"/>
        <w:spacing w:before="0" w:beforeAutospacing="0" w:after="0" w:afterAutospacing="0"/>
        <w:jc w:val="right"/>
        <w:rPr>
          <w:rFonts w:ascii="Arial" w:hAnsi="Arial" w:cs="Arial"/>
        </w:rPr>
      </w:pPr>
      <w:r w:rsidRPr="00071238">
        <w:rPr>
          <w:rFonts w:ascii="Arial" w:hAnsi="Arial" w:cs="Arial"/>
        </w:rPr>
        <w:t>Azogues</w:t>
      </w:r>
      <w:r w:rsidR="006350AA">
        <w:rPr>
          <w:rFonts w:ascii="Arial" w:hAnsi="Arial" w:cs="Arial"/>
        </w:rPr>
        <w:t>, Ecuador</w:t>
      </w:r>
    </w:p>
    <w:p w14:paraId="440357D2" w14:textId="5E611CA8" w:rsidR="00F5687F" w:rsidRPr="00013400" w:rsidRDefault="00D0272D" w:rsidP="00D0272D">
      <w:pPr>
        <w:pStyle w:val="NormalWeb"/>
        <w:spacing w:before="0" w:beforeAutospacing="0" w:after="0" w:afterAutospacing="0"/>
        <w:jc w:val="right"/>
        <w:rPr>
          <w:rFonts w:ascii="Arial" w:hAnsi="Arial" w:cs="Arial"/>
          <w:color w:val="002060"/>
          <w:u w:val="single"/>
        </w:rPr>
      </w:pPr>
      <w:r w:rsidRPr="00013400">
        <w:rPr>
          <w:rFonts w:ascii="Arial" w:hAnsi="Arial" w:cs="Arial"/>
          <w:color w:val="002060"/>
          <w:u w:val="single"/>
        </w:rPr>
        <w:t>stefos.efstathios@unae.edu.ec</w:t>
      </w:r>
    </w:p>
    <w:p w14:paraId="6114BA83" w14:textId="77777777" w:rsidR="00F750C8" w:rsidRPr="00013400" w:rsidRDefault="00F750C8" w:rsidP="00F750C8">
      <w:pPr>
        <w:pStyle w:val="NormalWeb"/>
        <w:spacing w:before="0" w:beforeAutospacing="0" w:after="0" w:afterAutospacing="0" w:line="276" w:lineRule="auto"/>
        <w:jc w:val="right"/>
        <w:rPr>
          <w:rFonts w:ascii="Arial" w:hAnsi="Arial" w:cs="Arial"/>
          <w:color w:val="002060"/>
          <w:u w:val="single"/>
        </w:rPr>
      </w:pPr>
    </w:p>
    <w:p w14:paraId="4C1650BF" w14:textId="46A7DDC1" w:rsidR="00A82B98" w:rsidRPr="00AC70D7" w:rsidRDefault="00A82B98" w:rsidP="00A82B98">
      <w:pPr>
        <w:tabs>
          <w:tab w:val="left" w:pos="5865"/>
        </w:tabs>
        <w:jc w:val="center"/>
        <w:rPr>
          <w:rFonts w:ascii="Arial" w:hAnsi="Arial" w:cs="Arial"/>
          <w:bCs/>
          <w:color w:val="002060"/>
          <w:u w:val="single"/>
        </w:rPr>
      </w:pPr>
      <w:r w:rsidRPr="00AC70D7">
        <w:rPr>
          <w:rFonts w:ascii="Arial" w:hAnsi="Arial" w:cs="Arial"/>
          <w:bCs/>
          <w:color w:val="002060"/>
          <w:u w:val="single"/>
        </w:rPr>
        <w:t>DOI: http://dx.doi.org/10.22458/caes.v1</w:t>
      </w:r>
      <w:r w:rsidR="00B344FA" w:rsidRPr="00AC70D7">
        <w:rPr>
          <w:rFonts w:ascii="Arial" w:hAnsi="Arial" w:cs="Arial"/>
          <w:bCs/>
          <w:color w:val="002060"/>
          <w:u w:val="single"/>
        </w:rPr>
        <w:t>6</w:t>
      </w:r>
      <w:r w:rsidRPr="00AC70D7">
        <w:rPr>
          <w:rFonts w:ascii="Arial" w:hAnsi="Arial" w:cs="Arial"/>
          <w:bCs/>
          <w:color w:val="002060"/>
          <w:u w:val="single"/>
        </w:rPr>
        <w:t>i</w:t>
      </w:r>
      <w:r w:rsidR="009B093A" w:rsidRPr="00AC70D7">
        <w:rPr>
          <w:rFonts w:ascii="Arial" w:hAnsi="Arial" w:cs="Arial"/>
          <w:bCs/>
          <w:color w:val="002060"/>
          <w:u w:val="single"/>
        </w:rPr>
        <w:t>1</w:t>
      </w:r>
      <w:r w:rsidRPr="00AC70D7">
        <w:rPr>
          <w:rFonts w:ascii="Arial" w:hAnsi="Arial" w:cs="Arial"/>
          <w:bCs/>
          <w:color w:val="002060"/>
          <w:u w:val="single"/>
        </w:rPr>
        <w:t>.</w:t>
      </w:r>
      <w:r w:rsidR="001D0E42" w:rsidRPr="00AC70D7">
        <w:rPr>
          <w:rFonts w:ascii="Arial" w:hAnsi="Arial" w:cs="Arial"/>
          <w:bCs/>
          <w:color w:val="002060"/>
          <w:u w:val="single"/>
        </w:rPr>
        <w:t>5</w:t>
      </w:r>
      <w:r w:rsidR="00435D59" w:rsidRPr="00AC70D7">
        <w:rPr>
          <w:rFonts w:ascii="Arial" w:hAnsi="Arial" w:cs="Arial"/>
          <w:bCs/>
          <w:color w:val="002060"/>
          <w:u w:val="single"/>
        </w:rPr>
        <w:t>6</w:t>
      </w:r>
      <w:r w:rsidR="00A77806" w:rsidRPr="00AC70D7">
        <w:rPr>
          <w:rFonts w:ascii="Arial" w:hAnsi="Arial" w:cs="Arial"/>
          <w:bCs/>
          <w:color w:val="002060"/>
          <w:u w:val="single"/>
        </w:rPr>
        <w:t>36</w:t>
      </w:r>
    </w:p>
    <w:p w14:paraId="0F249272" w14:textId="1E536AEE"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1D0E42">
        <w:rPr>
          <w:rFonts w:ascii="Arial" w:hAnsi="Arial" w:cs="Arial"/>
          <w:bCs/>
        </w:rPr>
        <w:t>6</w:t>
      </w:r>
      <w:r>
        <w:rPr>
          <w:rFonts w:ascii="Arial" w:hAnsi="Arial" w:cs="Arial"/>
          <w:bCs/>
        </w:rPr>
        <w:t xml:space="preserve">, Número </w:t>
      </w:r>
      <w:r w:rsidR="001D0E42">
        <w:rPr>
          <w:rFonts w:ascii="Arial" w:hAnsi="Arial" w:cs="Arial"/>
          <w:bCs/>
        </w:rPr>
        <w:t>1</w:t>
      </w:r>
    </w:p>
    <w:p w14:paraId="0912D7D7" w14:textId="6404C53F"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EA755A">
        <w:rPr>
          <w:rFonts w:ascii="Arial" w:hAnsi="Arial" w:cs="Arial"/>
          <w:bCs/>
        </w:rPr>
        <w:t>mayo</w:t>
      </w:r>
      <w:r>
        <w:rPr>
          <w:rFonts w:ascii="Arial" w:hAnsi="Arial" w:cs="Arial"/>
          <w:bCs/>
        </w:rPr>
        <w:t xml:space="preserve"> de 202</w:t>
      </w:r>
      <w:r w:rsidR="00EA755A">
        <w:rPr>
          <w:rFonts w:ascii="Arial" w:hAnsi="Arial" w:cs="Arial"/>
          <w:bCs/>
        </w:rPr>
        <w:t>5</w:t>
      </w:r>
    </w:p>
    <w:p w14:paraId="32EEFDF7" w14:textId="5AC7EEC3" w:rsidR="00A82B98" w:rsidRDefault="00A82B98" w:rsidP="0020679D">
      <w:pPr>
        <w:tabs>
          <w:tab w:val="left" w:pos="5865"/>
        </w:tabs>
        <w:spacing w:line="276" w:lineRule="auto"/>
        <w:jc w:val="center"/>
        <w:rPr>
          <w:rFonts w:ascii="Arial" w:hAnsi="Arial" w:cs="Arial"/>
          <w:bCs/>
        </w:rPr>
      </w:pPr>
      <w:r w:rsidRPr="001D0E42">
        <w:rPr>
          <w:rFonts w:ascii="Arial" w:hAnsi="Arial" w:cs="Arial"/>
          <w:bCs/>
        </w:rPr>
        <w:t xml:space="preserve">pp. </w:t>
      </w:r>
      <w:r w:rsidR="005A5F49">
        <w:rPr>
          <w:rFonts w:ascii="Arial" w:hAnsi="Arial" w:cs="Arial"/>
          <w:bCs/>
        </w:rPr>
        <w:t>453-</w:t>
      </w:r>
      <w:r w:rsidR="008D5FC8">
        <w:rPr>
          <w:rFonts w:ascii="Arial" w:hAnsi="Arial" w:cs="Arial"/>
          <w:bCs/>
        </w:rPr>
        <w:t>492</w:t>
      </w:r>
    </w:p>
    <w:p w14:paraId="2C811F73" w14:textId="77777777" w:rsidR="00063B82" w:rsidRDefault="00063B82" w:rsidP="0020679D">
      <w:pPr>
        <w:tabs>
          <w:tab w:val="left" w:pos="5865"/>
        </w:tabs>
        <w:spacing w:line="276" w:lineRule="auto"/>
        <w:rPr>
          <w:rFonts w:ascii="Arial" w:hAnsi="Arial" w:cs="Arial"/>
          <w:bCs/>
        </w:rPr>
      </w:pPr>
      <w:bookmarkStart w:id="15" w:name="_Hlk182838172"/>
    </w:p>
    <w:p w14:paraId="1591C2AD" w14:textId="3C2B2A45" w:rsidR="00A82B98" w:rsidRPr="004246B0" w:rsidRDefault="00A82B98" w:rsidP="0020679D">
      <w:pPr>
        <w:tabs>
          <w:tab w:val="left" w:pos="5865"/>
        </w:tabs>
        <w:spacing w:line="276" w:lineRule="auto"/>
        <w:rPr>
          <w:rFonts w:ascii="Arial" w:hAnsi="Arial" w:cs="Arial"/>
          <w:bCs/>
        </w:rPr>
      </w:pPr>
      <w:r w:rsidRPr="004246B0">
        <w:rPr>
          <w:rFonts w:ascii="Arial" w:hAnsi="Arial" w:cs="Arial"/>
          <w:bCs/>
        </w:rPr>
        <w:t xml:space="preserve">Recibido: </w:t>
      </w:r>
      <w:r w:rsidR="00FD51DC">
        <w:rPr>
          <w:rFonts w:ascii="Arial" w:hAnsi="Arial" w:cs="Arial"/>
          <w:bCs/>
        </w:rPr>
        <w:t>0</w:t>
      </w:r>
      <w:r w:rsidRPr="004246B0">
        <w:rPr>
          <w:rFonts w:ascii="Arial" w:hAnsi="Arial" w:cs="Arial"/>
          <w:bCs/>
        </w:rPr>
        <w:t xml:space="preserve">2 de </w:t>
      </w:r>
      <w:r w:rsidR="00FD51DC">
        <w:rPr>
          <w:rFonts w:ascii="Arial" w:hAnsi="Arial" w:cs="Arial"/>
          <w:bCs/>
        </w:rPr>
        <w:t>enero</w:t>
      </w:r>
      <w:r w:rsidRPr="004246B0">
        <w:rPr>
          <w:rFonts w:ascii="Arial" w:hAnsi="Arial" w:cs="Arial"/>
          <w:bCs/>
        </w:rPr>
        <w:t xml:space="preserve"> de 202</w:t>
      </w:r>
      <w:r w:rsidR="00FD51DC">
        <w:rPr>
          <w:rFonts w:ascii="Arial" w:hAnsi="Arial" w:cs="Arial"/>
          <w:bCs/>
        </w:rPr>
        <w:t>5</w:t>
      </w:r>
    </w:p>
    <w:p w14:paraId="13E62770" w14:textId="27DC3684" w:rsidR="00A82B98" w:rsidRDefault="00A82B98" w:rsidP="0020679D">
      <w:pPr>
        <w:tabs>
          <w:tab w:val="left" w:pos="5865"/>
        </w:tabs>
        <w:spacing w:line="276" w:lineRule="auto"/>
        <w:rPr>
          <w:rFonts w:ascii="Arial" w:hAnsi="Arial" w:cs="Arial"/>
          <w:bCs/>
        </w:rPr>
      </w:pPr>
      <w:r w:rsidRPr="004246B0">
        <w:rPr>
          <w:rFonts w:ascii="Arial" w:hAnsi="Arial" w:cs="Arial"/>
          <w:bCs/>
        </w:rPr>
        <w:t xml:space="preserve">Aprobado: </w:t>
      </w:r>
      <w:r w:rsidR="004246B0" w:rsidRPr="004246B0">
        <w:rPr>
          <w:rFonts w:ascii="Arial" w:hAnsi="Arial" w:cs="Arial"/>
          <w:bCs/>
        </w:rPr>
        <w:t>1</w:t>
      </w:r>
      <w:r w:rsidR="00FD51DC">
        <w:rPr>
          <w:rFonts w:ascii="Arial" w:hAnsi="Arial" w:cs="Arial"/>
          <w:bCs/>
        </w:rPr>
        <w:t>8</w:t>
      </w:r>
      <w:r w:rsidRPr="004246B0">
        <w:rPr>
          <w:rFonts w:ascii="Arial" w:hAnsi="Arial" w:cs="Arial"/>
          <w:bCs/>
        </w:rPr>
        <w:t xml:space="preserve"> de </w:t>
      </w:r>
      <w:r w:rsidR="00FD51DC">
        <w:rPr>
          <w:rFonts w:ascii="Arial" w:hAnsi="Arial" w:cs="Arial"/>
          <w:bCs/>
        </w:rPr>
        <w:t>febrero</w:t>
      </w:r>
      <w:r w:rsidRPr="004246B0">
        <w:rPr>
          <w:rFonts w:ascii="Arial" w:hAnsi="Arial" w:cs="Arial"/>
          <w:bCs/>
        </w:rPr>
        <w:t xml:space="preserve"> de 202</w:t>
      </w:r>
      <w:r w:rsidR="004246B0" w:rsidRPr="004246B0">
        <w:rPr>
          <w:rFonts w:ascii="Arial" w:hAnsi="Arial" w:cs="Arial"/>
          <w:bCs/>
        </w:rPr>
        <w:t>5</w:t>
      </w:r>
    </w:p>
    <w:bookmarkEnd w:id="15"/>
    <w:p w14:paraId="16760F1C" w14:textId="261F65E0" w:rsidR="00064C79" w:rsidRPr="00064C79" w:rsidRDefault="00064C79" w:rsidP="006A0287">
      <w:pPr>
        <w:autoSpaceDE w:val="0"/>
        <w:autoSpaceDN w:val="0"/>
        <w:adjustRightInd w:val="0"/>
        <w:spacing w:before="100" w:beforeAutospacing="1" w:after="100" w:afterAutospacing="1" w:line="360" w:lineRule="auto"/>
        <w:jc w:val="both"/>
        <w:rPr>
          <w:rFonts w:ascii="Arial" w:eastAsia="Calibri" w:hAnsi="Arial" w:cs="Arial"/>
          <w:color w:val="000000"/>
          <w:lang w:val="es-EC" w:eastAsia="en-US"/>
        </w:rPr>
      </w:pPr>
      <w:r w:rsidRPr="00064C79">
        <w:rPr>
          <w:rFonts w:ascii="Arial" w:eastAsia="Calibri" w:hAnsi="Arial" w:cs="Arial"/>
          <w:b/>
          <w:bCs/>
          <w:color w:val="000000"/>
          <w:lang w:val="es-EC" w:eastAsia="en-US"/>
        </w:rPr>
        <w:lastRenderedPageBreak/>
        <w:t>Resumen</w:t>
      </w:r>
      <w:r w:rsidR="006A0287">
        <w:rPr>
          <w:rFonts w:ascii="Arial" w:eastAsia="Calibri" w:hAnsi="Arial" w:cs="Arial"/>
          <w:b/>
          <w:bCs/>
          <w:color w:val="000000"/>
          <w:lang w:val="es-EC" w:eastAsia="en-US"/>
        </w:rPr>
        <w:t xml:space="preserve">: </w:t>
      </w:r>
      <w:r w:rsidRPr="00064C79">
        <w:rPr>
          <w:rFonts w:ascii="Arial" w:eastAsia="Calibri" w:hAnsi="Arial" w:cs="Arial"/>
          <w:color w:val="000000"/>
          <w:lang w:val="es-EC" w:eastAsia="en-US"/>
        </w:rPr>
        <w:t>El artículo explora la relación entre el nivel educativo y la empleabilidad en Ecuador, comparando a individuos con educación superior universitaria y posgrado. Basado en datos de la ENEMDU 2023, el análisis considera variables como área de residencia, estado civil, edad, ocupación y pobreza. Los resultados muestran que el posgrado mejora significativamente la estabilidad laboral, los ingresos y las oportunidades de empleo pleno, reduciendo la incidencia de pobreza y pobreza extrema. Sin embargo, persisten desigualdades en el acceso a la educación avanzada, especialmente entre grupos étnicos y poblaciones rurales. Este estudio subraya la necesidad de políticas públicas inclusivas para promover la equidad en la educación superior y maximizar su impacto en el desarrollo social y económico.</w:t>
      </w:r>
    </w:p>
    <w:p w14:paraId="4A2E7160" w14:textId="77777777" w:rsidR="00064C79" w:rsidRPr="00064C79" w:rsidRDefault="00064C79" w:rsidP="006A0287">
      <w:pPr>
        <w:autoSpaceDE w:val="0"/>
        <w:autoSpaceDN w:val="0"/>
        <w:adjustRightInd w:val="0"/>
        <w:spacing w:before="100" w:beforeAutospacing="1" w:after="100" w:afterAutospacing="1" w:line="360" w:lineRule="auto"/>
        <w:jc w:val="both"/>
        <w:rPr>
          <w:rFonts w:ascii="Arial" w:eastAsia="Calibri" w:hAnsi="Arial" w:cs="Arial"/>
          <w:color w:val="000000"/>
          <w:lang w:val="es-EC" w:eastAsia="en-US"/>
        </w:rPr>
      </w:pPr>
      <w:r w:rsidRPr="00064C79">
        <w:rPr>
          <w:rFonts w:ascii="Arial" w:eastAsia="Calibri" w:hAnsi="Arial" w:cs="Arial"/>
          <w:b/>
          <w:bCs/>
          <w:color w:val="000000"/>
          <w:lang w:val="es-EC" w:eastAsia="en-US"/>
        </w:rPr>
        <w:t xml:space="preserve">Palabras Claves: </w:t>
      </w:r>
      <w:r w:rsidRPr="00064C79">
        <w:rPr>
          <w:rFonts w:ascii="Arial" w:eastAsia="Calibri" w:hAnsi="Arial" w:cs="Arial"/>
          <w:color w:val="000000"/>
          <w:lang w:val="es-EC" w:eastAsia="en-US"/>
        </w:rPr>
        <w:t>Educación superior, Ecuador, posgrado, empleabilidad.</w:t>
      </w:r>
    </w:p>
    <w:p w14:paraId="178809D5" w14:textId="7A4EBB49" w:rsidR="00064C79" w:rsidRPr="00064C79" w:rsidRDefault="00064C79" w:rsidP="006A0287">
      <w:pPr>
        <w:autoSpaceDE w:val="0"/>
        <w:autoSpaceDN w:val="0"/>
        <w:adjustRightInd w:val="0"/>
        <w:spacing w:before="100" w:beforeAutospacing="1" w:after="100" w:afterAutospacing="1" w:line="360" w:lineRule="auto"/>
        <w:jc w:val="both"/>
        <w:rPr>
          <w:rFonts w:ascii="Arial" w:eastAsia="Calibri" w:hAnsi="Arial" w:cs="Arial"/>
          <w:color w:val="000000"/>
          <w:lang w:val="en-GB" w:eastAsia="en-US"/>
        </w:rPr>
      </w:pPr>
      <w:r w:rsidRPr="00064C79">
        <w:rPr>
          <w:rFonts w:ascii="Arial" w:eastAsia="Calibri" w:hAnsi="Arial" w:cs="Arial"/>
          <w:b/>
          <w:bCs/>
          <w:color w:val="000000"/>
          <w:lang w:val="en-GB" w:eastAsia="en-US"/>
        </w:rPr>
        <w:t>Abstract</w:t>
      </w:r>
      <w:r w:rsidR="006A0287">
        <w:rPr>
          <w:rFonts w:ascii="Arial" w:eastAsia="Calibri" w:hAnsi="Arial" w:cs="Arial"/>
          <w:b/>
          <w:bCs/>
          <w:color w:val="000000"/>
          <w:lang w:val="en-GB" w:eastAsia="en-US"/>
        </w:rPr>
        <w:t xml:space="preserve">: </w:t>
      </w:r>
      <w:r w:rsidRPr="00064C79">
        <w:rPr>
          <w:rFonts w:ascii="Arial" w:eastAsia="Calibri" w:hAnsi="Arial" w:cs="Arial"/>
          <w:color w:val="000000"/>
          <w:lang w:val="en-GB" w:eastAsia="en-US"/>
        </w:rPr>
        <w:t xml:space="preserve">The article explores the relationship between educational level and employability in Ecuador, comparing individuals with university and postgraduate education. Based on ENEMDU 2023 data, the analysis considers variables such as residence area, marital status, age, occupation, and poverty. The results indicate that postgraduate education significantly enhances job stability, income, and access to full employment while reducing poverty and extreme poverty rates. However, inequalities in access to advanced education persist, particularly among ethnic groups and rural populations. This study highlights the need for inclusive public </w:t>
      </w:r>
      <w:r w:rsidRPr="00064C79">
        <w:rPr>
          <w:rFonts w:ascii="Arial" w:eastAsia="Calibri" w:hAnsi="Arial" w:cs="Arial"/>
          <w:color w:val="000000"/>
          <w:lang w:val="en-GB" w:eastAsia="en-US"/>
        </w:rPr>
        <w:lastRenderedPageBreak/>
        <w:t>policies to promote equity in higher education and maximize its impact on social and economic development.</w:t>
      </w:r>
    </w:p>
    <w:p w14:paraId="58EDF7DC" w14:textId="77777777" w:rsidR="00064C79" w:rsidRPr="00064C79" w:rsidRDefault="00064C79" w:rsidP="006A0287">
      <w:pPr>
        <w:autoSpaceDE w:val="0"/>
        <w:autoSpaceDN w:val="0"/>
        <w:adjustRightInd w:val="0"/>
        <w:spacing w:before="100" w:beforeAutospacing="1" w:after="100" w:afterAutospacing="1" w:line="360" w:lineRule="auto"/>
        <w:jc w:val="both"/>
        <w:rPr>
          <w:rFonts w:ascii="Arial" w:eastAsia="Calibri" w:hAnsi="Arial" w:cs="Arial"/>
          <w:lang w:val="en-GB" w:eastAsia="en-US"/>
        </w:rPr>
      </w:pPr>
      <w:r w:rsidRPr="00064C79">
        <w:rPr>
          <w:rFonts w:ascii="Arial" w:eastAsia="Calibri" w:hAnsi="Arial" w:cs="Arial"/>
          <w:b/>
          <w:bCs/>
          <w:lang w:val="en-GB" w:eastAsia="en-US"/>
        </w:rPr>
        <w:t xml:space="preserve">Keywords: </w:t>
      </w:r>
      <w:r w:rsidRPr="00064C79">
        <w:rPr>
          <w:rFonts w:ascii="Arial" w:eastAsia="Calibri" w:hAnsi="Arial" w:cs="Arial"/>
          <w:color w:val="000000"/>
          <w:lang w:val="en-GB" w:eastAsia="en-US"/>
        </w:rPr>
        <w:t>Higher education, Ecuador, postgraduate studies, employability.</w:t>
      </w:r>
    </w:p>
    <w:p w14:paraId="14AA93A2" w14:textId="120F97E9" w:rsidR="00064C79" w:rsidRPr="00064C79" w:rsidRDefault="006A0287" w:rsidP="003E69FC">
      <w:pPr>
        <w:pBdr>
          <w:top w:val="nil"/>
          <w:left w:val="nil"/>
          <w:bottom w:val="nil"/>
          <w:right w:val="nil"/>
          <w:between w:val="nil"/>
        </w:pBdr>
        <w:spacing w:before="100" w:beforeAutospacing="1" w:after="100" w:afterAutospacing="1" w:line="360" w:lineRule="auto"/>
        <w:jc w:val="both"/>
        <w:rPr>
          <w:rFonts w:ascii="Arial" w:eastAsia="Arial" w:hAnsi="Arial" w:cs="Arial"/>
          <w:b/>
          <w:bCs/>
          <w:lang w:val="es-EC" w:eastAsia="en-US"/>
        </w:rPr>
      </w:pPr>
      <w:r w:rsidRPr="003E69FC">
        <w:rPr>
          <w:rFonts w:ascii="Arial" w:eastAsia="Arial" w:hAnsi="Arial" w:cs="Arial"/>
          <w:b/>
          <w:bCs/>
          <w:lang w:val="es-EC" w:eastAsia="en-US"/>
        </w:rPr>
        <w:t>INTRODUCCIÓN</w:t>
      </w:r>
    </w:p>
    <w:p w14:paraId="6EEE6D03" w14:textId="77777777" w:rsidR="00064C79" w:rsidRPr="00064C79" w:rsidRDefault="00064C79" w:rsidP="003E69FC">
      <w:pPr>
        <w:pBdr>
          <w:top w:val="nil"/>
          <w:left w:val="nil"/>
          <w:bottom w:val="nil"/>
          <w:right w:val="nil"/>
          <w:between w:val="nil"/>
        </w:pBdr>
        <w:spacing w:before="100" w:beforeAutospacing="1" w:after="100" w:afterAutospacing="1" w:line="360" w:lineRule="auto"/>
        <w:jc w:val="both"/>
        <w:rPr>
          <w:rFonts w:ascii="Arial" w:eastAsia="Arial" w:hAnsi="Arial" w:cs="Arial"/>
          <w:lang w:val="es-EC" w:eastAsia="en-US"/>
        </w:rPr>
      </w:pPr>
      <w:r w:rsidRPr="00064C79">
        <w:rPr>
          <w:rFonts w:ascii="Arial" w:eastAsia="Arial" w:hAnsi="Arial" w:cs="Arial"/>
          <w:lang w:val="es-EC" w:eastAsia="en-US"/>
        </w:rPr>
        <w:t xml:space="preserve">A partir de la mitad del siglo XX, se fortaleció la relación entre las universidades y las organizaciones económicas de la sociedad, tanto públicas como privadas. Este vínculo destacó el valor intrínseco de los estudios superiores en función de su aplicación productiva en la sociedad. En sus comienzos, la atención se dirigió hacia la importancia de fortalecer la educación superior como un pilar para el desarrollo socioeconómico de las naciones. Así, se buscó mejorar la fuerza laboral, promoviendo empleos de mayor calidad para profesionales con niveles avanzados de educación, en respuesta a las demandas del desarrollo nacional (Morales-Muñoz et al., 2022; Zabala-Peñafiel, 2022). </w:t>
      </w:r>
    </w:p>
    <w:p w14:paraId="4BD91103" w14:textId="77777777" w:rsidR="00064C79" w:rsidRPr="00064C79" w:rsidRDefault="00064C79" w:rsidP="003E69FC">
      <w:pPr>
        <w:pBdr>
          <w:top w:val="nil"/>
          <w:left w:val="nil"/>
          <w:bottom w:val="nil"/>
          <w:right w:val="nil"/>
          <w:between w:val="nil"/>
        </w:pBd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t xml:space="preserve">Al establecer la relación entre el nivel de educación y su entorno social y productivo, conocido como el mundo del trabajo, se observa una dinámica que refleja una correspondencia entre la oferta y la demanda internas, acorde con las necesidades de desarrollo de cada país (Álvarez-Gómez et al., 2021). Para equilibrar estas fuerzas, las universidades proporcionan ofertas acordes a las exigencias productivas y de comercio (Jiménez-Ulate, 2022). </w:t>
      </w:r>
    </w:p>
    <w:p w14:paraId="616E82EB" w14:textId="77777777" w:rsidR="00064C79" w:rsidRPr="00064C79" w:rsidRDefault="00064C79" w:rsidP="003E69FC">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lastRenderedPageBreak/>
        <w:t xml:space="preserve">De acuerdo con </w:t>
      </w:r>
      <w:proofErr w:type="spellStart"/>
      <w:r w:rsidRPr="00064C79">
        <w:rPr>
          <w:rFonts w:ascii="Arial" w:eastAsia="Calibri" w:hAnsi="Arial" w:cs="Arial"/>
          <w:lang w:val="es-EC" w:eastAsia="en-US"/>
        </w:rPr>
        <w:t>Blanka</w:t>
      </w:r>
      <w:proofErr w:type="spellEnd"/>
      <w:r w:rsidRPr="00064C79">
        <w:rPr>
          <w:rFonts w:ascii="Arial" w:eastAsia="Calibri" w:hAnsi="Arial" w:cs="Arial"/>
          <w:lang w:val="es-EC" w:eastAsia="en-US"/>
        </w:rPr>
        <w:t xml:space="preserve"> (2019), Abreu y </w:t>
      </w:r>
      <w:proofErr w:type="spellStart"/>
      <w:r w:rsidRPr="00064C79">
        <w:rPr>
          <w:rFonts w:ascii="Arial" w:eastAsia="Calibri" w:hAnsi="Arial" w:cs="Arial"/>
          <w:lang w:val="es-EC" w:eastAsia="en-US"/>
        </w:rPr>
        <w:t>Grinevich</w:t>
      </w:r>
      <w:proofErr w:type="spellEnd"/>
      <w:r w:rsidRPr="00064C79">
        <w:rPr>
          <w:rFonts w:ascii="Arial" w:eastAsia="Calibri" w:hAnsi="Arial" w:cs="Arial"/>
          <w:lang w:val="es-EC" w:eastAsia="en-US"/>
        </w:rPr>
        <w:t xml:space="preserve"> (2024), </w:t>
      </w:r>
      <w:proofErr w:type="spellStart"/>
      <w:r w:rsidRPr="00064C79">
        <w:rPr>
          <w:rFonts w:ascii="Arial" w:eastAsia="Calibri" w:hAnsi="Arial" w:cs="Arial"/>
          <w:lang w:val="es-EC" w:eastAsia="en-US"/>
        </w:rPr>
        <w:t>Burkholder</w:t>
      </w:r>
      <w:proofErr w:type="spellEnd"/>
      <w:r w:rsidRPr="00064C79">
        <w:rPr>
          <w:rFonts w:ascii="Arial" w:eastAsia="Calibri" w:hAnsi="Arial" w:cs="Arial"/>
          <w:lang w:val="es-EC" w:eastAsia="en-US"/>
        </w:rPr>
        <w:t xml:space="preserve"> y </w:t>
      </w:r>
      <w:proofErr w:type="spellStart"/>
      <w:r w:rsidRPr="00064C79">
        <w:rPr>
          <w:rFonts w:ascii="Arial" w:eastAsia="Calibri" w:hAnsi="Arial" w:cs="Arial"/>
          <w:lang w:val="es-EC" w:eastAsia="en-US"/>
        </w:rPr>
        <w:t>Hulsink</w:t>
      </w:r>
      <w:proofErr w:type="spellEnd"/>
      <w:r w:rsidRPr="00064C79">
        <w:rPr>
          <w:rFonts w:ascii="Arial" w:eastAsia="Calibri" w:hAnsi="Arial" w:cs="Arial"/>
          <w:lang w:val="es-EC" w:eastAsia="en-US"/>
        </w:rPr>
        <w:t xml:space="preserve"> (2022), al responder a las necesidades laborales, la universidad ha generado muchas actividades orientadas a incluir nuevos servicios, productos y ofertas para beneficiar al mercado y a la sociedad. Siegel y Wright (2015) afirmaron que se estaba conformando un nuevo ecosistema universitario que colaboraría con diversos emprendimientos financieros con actividades empresariales que, a su vez, favorecerían la vida profesional de sus graduados. </w:t>
      </w:r>
    </w:p>
    <w:p w14:paraId="67A1619D" w14:textId="77777777" w:rsidR="00064C79" w:rsidRPr="00064C79" w:rsidRDefault="00064C79" w:rsidP="003E69FC">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t xml:space="preserve">Según </w:t>
      </w:r>
      <w:proofErr w:type="spellStart"/>
      <w:r w:rsidRPr="00064C79">
        <w:rPr>
          <w:rFonts w:ascii="Arial" w:eastAsia="Calibri" w:hAnsi="Arial" w:cs="Arial"/>
          <w:lang w:val="es-EC" w:eastAsia="en-US"/>
        </w:rPr>
        <w:t>Compagnucci</w:t>
      </w:r>
      <w:proofErr w:type="spellEnd"/>
      <w:r w:rsidRPr="00064C79">
        <w:rPr>
          <w:rFonts w:ascii="Arial" w:eastAsia="Calibri" w:hAnsi="Arial" w:cs="Arial"/>
          <w:lang w:val="es-EC" w:eastAsia="en-US"/>
        </w:rPr>
        <w:t xml:space="preserve"> y </w:t>
      </w:r>
      <w:proofErr w:type="spellStart"/>
      <w:r w:rsidRPr="00064C79">
        <w:rPr>
          <w:rFonts w:ascii="Arial" w:eastAsia="Calibri" w:hAnsi="Arial" w:cs="Arial"/>
          <w:lang w:val="es-EC" w:eastAsia="en-US"/>
        </w:rPr>
        <w:t>Spigarelli</w:t>
      </w:r>
      <w:proofErr w:type="spellEnd"/>
      <w:r w:rsidRPr="00064C79">
        <w:rPr>
          <w:rFonts w:ascii="Arial" w:eastAsia="Calibri" w:hAnsi="Arial" w:cs="Arial"/>
          <w:lang w:val="es-EC" w:eastAsia="en-US"/>
        </w:rPr>
        <w:t xml:space="preserve"> (2020), la reputación de las universidades se encuentra en una convergencia con el trabajo pleno que obtienen sus graduados; por esta razón, se vuelve indispensable apoyarlos para mejorar su empleabilidad. Entonces, el bienestar de posgraduados es un importante factor para las universidades (Finley, 2016; </w:t>
      </w:r>
      <w:proofErr w:type="spellStart"/>
      <w:r w:rsidRPr="00064C79">
        <w:rPr>
          <w:rFonts w:ascii="Arial" w:eastAsia="Calibri" w:hAnsi="Arial" w:cs="Arial"/>
          <w:lang w:val="es-EC" w:eastAsia="en-US"/>
        </w:rPr>
        <w:t>Markén</w:t>
      </w:r>
      <w:proofErr w:type="spellEnd"/>
      <w:r w:rsidRPr="00064C79">
        <w:rPr>
          <w:rFonts w:ascii="Arial" w:eastAsia="Calibri" w:hAnsi="Arial" w:cs="Arial"/>
          <w:lang w:val="es-EC" w:eastAsia="en-US"/>
        </w:rPr>
        <w:t>, 2021).</w:t>
      </w:r>
    </w:p>
    <w:p w14:paraId="352AA19F" w14:textId="77777777" w:rsidR="00064C79" w:rsidRPr="00064C79" w:rsidRDefault="00064C79" w:rsidP="003E69FC">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t xml:space="preserve">El mundo de trabajo se refiere al quehacer ocupacional de profesionales en que el nivel de la educación superior es una condición importante (pregrado vs posgrado) (Álvarez-Gavilanes y Romero-Fernández, 2015). </w:t>
      </w:r>
    </w:p>
    <w:p w14:paraId="3F872595" w14:textId="77777777" w:rsidR="00064C79" w:rsidRPr="00064C79" w:rsidRDefault="00064C79" w:rsidP="003E69FC">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t xml:space="preserve">La empleabilidad de las personas posgraduadas está alineada con las exigencias del mercado, al satisfacer sus expectativas y necesidades en función de las competencias requeridas, esto contribuye a elevar el bienestar del individuo. Abreu y </w:t>
      </w:r>
      <w:proofErr w:type="spellStart"/>
      <w:r w:rsidRPr="00064C79">
        <w:rPr>
          <w:rFonts w:ascii="Arial" w:eastAsia="Calibri" w:hAnsi="Arial" w:cs="Arial"/>
          <w:lang w:val="es-EC" w:eastAsia="en-US"/>
        </w:rPr>
        <w:t>Grinevich</w:t>
      </w:r>
      <w:proofErr w:type="spellEnd"/>
      <w:r w:rsidRPr="00064C79">
        <w:rPr>
          <w:rFonts w:ascii="Arial" w:eastAsia="Calibri" w:hAnsi="Arial" w:cs="Arial"/>
          <w:lang w:val="es-EC" w:eastAsia="en-US"/>
        </w:rPr>
        <w:t xml:space="preserve"> (2024) aseveran que quienes están posgraduados se mantienen mayor tiempo en trabajos adecuados y plenos, sean estos emprendimientos, contratación en empresas públicas o privadas. Para los autores, otra característica importante </w:t>
      </w:r>
      <w:r w:rsidRPr="00064C79">
        <w:rPr>
          <w:rFonts w:ascii="Arial" w:eastAsia="Calibri" w:hAnsi="Arial" w:cs="Arial"/>
          <w:lang w:val="es-EC" w:eastAsia="en-US"/>
        </w:rPr>
        <w:lastRenderedPageBreak/>
        <w:t xml:space="preserve">es el aumento de su nivel de ingresos, se encuentran mejor pagados que los que poseen un nivel de pregrado; en este sector, el porcentaje de desempleo es muy bajo. </w:t>
      </w:r>
    </w:p>
    <w:p w14:paraId="3EB99048" w14:textId="77777777" w:rsidR="00064C79" w:rsidRPr="00064C79" w:rsidRDefault="00064C79" w:rsidP="003E69FC">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t xml:space="preserve">Esta investigación busca identificar el vínculo existente entre el nivel de instrucción y la empleabilidad, estableciendo características de la población que ha realizado estudios superiores de tercer nivel en comparación con quienes tienen cuarto nivel. Para ello, es importante reconocer que la educación se relaciona con el valor intrínseco del conocimiento, mientras que el trabajo está asociado a una actividad fundamental de la vida cotidiana de las personas (Orellana, 2018). </w:t>
      </w:r>
    </w:p>
    <w:p w14:paraId="6FE0FB1C" w14:textId="77777777" w:rsidR="00064C79" w:rsidRPr="00064C79" w:rsidRDefault="00064C79" w:rsidP="003E69FC">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t xml:space="preserve">Para establecer una relación entre los dos mundos, se ha utilizado las siguientes variables: </w:t>
      </w:r>
      <w:r w:rsidRPr="00064C79">
        <w:rPr>
          <w:rFonts w:ascii="Arial" w:hAnsi="Arial" w:cs="Arial"/>
          <w:lang w:val="es-EC" w:eastAsia="en-US"/>
        </w:rPr>
        <w:t>“</w:t>
      </w:r>
      <w:r w:rsidRPr="00064C79">
        <w:rPr>
          <w:rFonts w:ascii="Arial" w:eastAsia="Calibri" w:hAnsi="Arial" w:cs="Arial"/>
          <w:lang w:val="es-EC" w:eastAsia="en-US"/>
        </w:rPr>
        <w:t>nivel de instrucción” (superior universitario – posgrado)</w:t>
      </w:r>
      <w:r w:rsidRPr="00064C79">
        <w:rPr>
          <w:rFonts w:ascii="Arial" w:hAnsi="Arial" w:cs="Arial"/>
          <w:lang w:val="es-EC" w:eastAsia="en-US"/>
        </w:rPr>
        <w:t xml:space="preserve"> en correlación con las variables </w:t>
      </w:r>
      <w:r w:rsidRPr="00064C79">
        <w:rPr>
          <w:rFonts w:ascii="Arial" w:eastAsia="Calibri" w:hAnsi="Arial" w:cs="Arial"/>
          <w:lang w:val="es-EC" w:eastAsia="en-US"/>
        </w:rPr>
        <w:t xml:space="preserve">“área”, “edad”, “estado </w:t>
      </w:r>
      <w:r w:rsidRPr="00064C79">
        <w:rPr>
          <w:rFonts w:ascii="Arial" w:hAnsi="Arial" w:cs="Arial"/>
          <w:lang w:val="es-MX" w:eastAsia="en-US"/>
        </w:rPr>
        <w:t>civil”, “trabajó</w:t>
      </w:r>
      <w:r w:rsidRPr="00064C79">
        <w:rPr>
          <w:rFonts w:ascii="Arial" w:eastAsia="Calibri" w:hAnsi="Arial" w:cs="Arial"/>
          <w:lang w:val="es-EC" w:eastAsia="en-US"/>
        </w:rPr>
        <w:t xml:space="preserve"> la semana pasada”, “condición de inactividad”, “categoría de ocupación”, “el trabajo que tiene es”, “sitio de trabajo”, “condición de actividad”, “sectorización de los empleados”, “grupo de ocupación”, “rama de actividad”, “pobreza” y “pobreza extrema.</w:t>
      </w:r>
    </w:p>
    <w:p w14:paraId="33F9AEC7" w14:textId="77777777" w:rsidR="00064C79" w:rsidRPr="00064C79" w:rsidRDefault="00064C79" w:rsidP="003E69FC">
      <w:pPr>
        <w:spacing w:before="100" w:beforeAutospacing="1" w:after="100" w:afterAutospacing="1" w:line="360" w:lineRule="auto"/>
        <w:jc w:val="both"/>
        <w:rPr>
          <w:rFonts w:ascii="Arial" w:eastAsia="Calibri" w:hAnsi="Arial" w:cs="Arial"/>
          <w:b/>
          <w:bCs/>
          <w:lang w:val="es-EC" w:eastAsia="en-US"/>
        </w:rPr>
      </w:pPr>
      <w:bookmarkStart w:id="16" w:name="idm125"/>
      <w:bookmarkEnd w:id="16"/>
      <w:r w:rsidRPr="00064C79">
        <w:rPr>
          <w:rFonts w:ascii="Arial" w:eastAsia="Calibri" w:hAnsi="Arial" w:cs="Arial"/>
          <w:b/>
          <w:bCs/>
          <w:lang w:val="es-EC" w:eastAsia="en-US"/>
        </w:rPr>
        <w:t>Universidad y empleabilidad</w:t>
      </w:r>
    </w:p>
    <w:p w14:paraId="0CB2DAB8" w14:textId="77777777" w:rsidR="00064C79" w:rsidRPr="00064C79" w:rsidRDefault="00064C79" w:rsidP="003E69FC">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t xml:space="preserve">En 1997, el "Informe </w:t>
      </w:r>
      <w:proofErr w:type="spellStart"/>
      <w:r w:rsidRPr="00064C79">
        <w:rPr>
          <w:rFonts w:ascii="Arial" w:eastAsia="Calibri" w:hAnsi="Arial" w:cs="Arial"/>
          <w:lang w:val="es-EC" w:eastAsia="en-US"/>
        </w:rPr>
        <w:t>Dearing</w:t>
      </w:r>
      <w:proofErr w:type="spellEnd"/>
      <w:r w:rsidRPr="00064C79">
        <w:rPr>
          <w:rFonts w:ascii="Arial" w:eastAsia="Calibri" w:hAnsi="Arial" w:cs="Arial"/>
          <w:lang w:val="es-EC" w:eastAsia="en-US"/>
        </w:rPr>
        <w:t>" (</w:t>
      </w:r>
      <w:proofErr w:type="spellStart"/>
      <w:r w:rsidRPr="003E69FC">
        <w:rPr>
          <w:rFonts w:ascii="Arial" w:eastAsia="Calibri" w:hAnsi="Arial" w:cs="Arial"/>
          <w:i/>
          <w:iCs/>
          <w:lang w:val="es-EC" w:eastAsia="en-US"/>
        </w:rPr>
        <w:t>Higher</w:t>
      </w:r>
      <w:proofErr w:type="spellEnd"/>
      <w:r w:rsidRPr="003E69FC">
        <w:rPr>
          <w:rFonts w:ascii="Arial" w:eastAsia="Calibri" w:hAnsi="Arial" w:cs="Arial"/>
          <w:i/>
          <w:iCs/>
          <w:lang w:val="es-EC" w:eastAsia="en-US"/>
        </w:rPr>
        <w:t xml:space="preserve"> </w:t>
      </w:r>
      <w:proofErr w:type="spellStart"/>
      <w:r w:rsidRPr="003E69FC">
        <w:rPr>
          <w:rFonts w:ascii="Arial" w:eastAsia="Calibri" w:hAnsi="Arial" w:cs="Arial"/>
          <w:i/>
          <w:iCs/>
          <w:lang w:val="es-EC" w:eastAsia="en-US"/>
        </w:rPr>
        <w:t>Education</w:t>
      </w:r>
      <w:proofErr w:type="spellEnd"/>
      <w:r w:rsidRPr="003E69FC">
        <w:rPr>
          <w:rFonts w:ascii="Arial" w:eastAsia="Calibri" w:hAnsi="Arial" w:cs="Arial"/>
          <w:i/>
          <w:iCs/>
          <w:lang w:val="es-EC" w:eastAsia="en-US"/>
        </w:rPr>
        <w:t xml:space="preserve"> in </w:t>
      </w:r>
      <w:proofErr w:type="spellStart"/>
      <w:r w:rsidRPr="003E69FC">
        <w:rPr>
          <w:rFonts w:ascii="Arial" w:eastAsia="Calibri" w:hAnsi="Arial" w:cs="Arial"/>
          <w:i/>
          <w:iCs/>
          <w:lang w:val="es-EC" w:eastAsia="en-US"/>
        </w:rPr>
        <w:t>the</w:t>
      </w:r>
      <w:proofErr w:type="spellEnd"/>
      <w:r w:rsidRPr="003E69FC">
        <w:rPr>
          <w:rFonts w:ascii="Arial" w:eastAsia="Calibri" w:hAnsi="Arial" w:cs="Arial"/>
          <w:i/>
          <w:iCs/>
          <w:lang w:val="es-EC" w:eastAsia="en-US"/>
        </w:rPr>
        <w:t xml:space="preserve"> </w:t>
      </w:r>
      <w:proofErr w:type="spellStart"/>
      <w:r w:rsidRPr="003E69FC">
        <w:rPr>
          <w:rFonts w:ascii="Arial" w:eastAsia="Calibri" w:hAnsi="Arial" w:cs="Arial"/>
          <w:i/>
          <w:iCs/>
          <w:lang w:val="es-EC" w:eastAsia="en-US"/>
        </w:rPr>
        <w:t>Learning</w:t>
      </w:r>
      <w:proofErr w:type="spellEnd"/>
      <w:r w:rsidRPr="003E69FC">
        <w:rPr>
          <w:rFonts w:ascii="Arial" w:eastAsia="Calibri" w:hAnsi="Arial" w:cs="Arial"/>
          <w:i/>
          <w:iCs/>
          <w:lang w:val="es-EC" w:eastAsia="en-US"/>
        </w:rPr>
        <w:t xml:space="preserve"> </w:t>
      </w:r>
      <w:proofErr w:type="spellStart"/>
      <w:r w:rsidRPr="003E69FC">
        <w:rPr>
          <w:rFonts w:ascii="Arial" w:eastAsia="Calibri" w:hAnsi="Arial" w:cs="Arial"/>
          <w:i/>
          <w:iCs/>
          <w:lang w:val="es-EC" w:eastAsia="en-US"/>
        </w:rPr>
        <w:t>Society</w:t>
      </w:r>
      <w:proofErr w:type="spellEnd"/>
      <w:r w:rsidRPr="00064C79">
        <w:rPr>
          <w:rFonts w:ascii="Arial" w:eastAsia="Calibri" w:hAnsi="Arial" w:cs="Arial"/>
          <w:lang w:val="es-EC" w:eastAsia="en-US"/>
        </w:rPr>
        <w:t xml:space="preserve">) destacó la importancia de incorporar competencias específicas para garantizar un mejor desempeño en el trabajo. Este documento, elaborado por el Comité Nacional de Investigación sobre la educación superior del Reino Unido, marcó un hito al influir </w:t>
      </w:r>
      <w:r w:rsidRPr="00064C79">
        <w:rPr>
          <w:rFonts w:ascii="Arial" w:eastAsia="Calibri" w:hAnsi="Arial" w:cs="Arial"/>
          <w:lang w:val="es-EC" w:eastAsia="en-US"/>
        </w:rPr>
        <w:lastRenderedPageBreak/>
        <w:t>en las políticas educativas a nivel mundial, fomentando gradualmente estos cambios en diferentes países (</w:t>
      </w:r>
      <w:proofErr w:type="spellStart"/>
      <w:r w:rsidRPr="00064C79">
        <w:rPr>
          <w:rFonts w:ascii="Arial" w:eastAsia="Calibri" w:hAnsi="Arial" w:cs="Arial"/>
          <w:lang w:val="es-EC" w:eastAsia="en-US"/>
        </w:rPr>
        <w:t>National</w:t>
      </w:r>
      <w:proofErr w:type="spellEnd"/>
      <w:r w:rsidRPr="00064C79">
        <w:rPr>
          <w:rFonts w:ascii="Arial" w:eastAsia="Calibri" w:hAnsi="Arial" w:cs="Arial"/>
          <w:lang w:val="es-EC" w:eastAsia="en-US"/>
        </w:rPr>
        <w:t xml:space="preserve"> </w:t>
      </w:r>
      <w:proofErr w:type="spellStart"/>
      <w:r w:rsidRPr="00064C79">
        <w:rPr>
          <w:rFonts w:ascii="Arial" w:eastAsia="Calibri" w:hAnsi="Arial" w:cs="Arial"/>
          <w:lang w:val="es-EC" w:eastAsia="en-US"/>
        </w:rPr>
        <w:t>Committee</w:t>
      </w:r>
      <w:proofErr w:type="spellEnd"/>
      <w:r w:rsidRPr="00064C79">
        <w:rPr>
          <w:rFonts w:ascii="Arial" w:eastAsia="Calibri" w:hAnsi="Arial" w:cs="Arial"/>
          <w:lang w:val="es-EC" w:eastAsia="en-US"/>
        </w:rPr>
        <w:t xml:space="preserve"> </w:t>
      </w:r>
      <w:proofErr w:type="spellStart"/>
      <w:r w:rsidRPr="00064C79">
        <w:rPr>
          <w:rFonts w:ascii="Arial" w:eastAsia="Calibri" w:hAnsi="Arial" w:cs="Arial"/>
          <w:lang w:val="es-EC" w:eastAsia="en-US"/>
        </w:rPr>
        <w:t>of</w:t>
      </w:r>
      <w:proofErr w:type="spellEnd"/>
      <w:r w:rsidRPr="00064C79">
        <w:rPr>
          <w:rFonts w:ascii="Arial" w:eastAsia="Calibri" w:hAnsi="Arial" w:cs="Arial"/>
          <w:lang w:val="es-EC" w:eastAsia="en-US"/>
        </w:rPr>
        <w:t xml:space="preserve"> </w:t>
      </w:r>
      <w:proofErr w:type="spellStart"/>
      <w:r w:rsidRPr="00064C79">
        <w:rPr>
          <w:rFonts w:ascii="Arial" w:eastAsia="Calibri" w:hAnsi="Arial" w:cs="Arial"/>
          <w:lang w:val="es-EC" w:eastAsia="en-US"/>
        </w:rPr>
        <w:t>Inquiry</w:t>
      </w:r>
      <w:proofErr w:type="spellEnd"/>
      <w:r w:rsidRPr="00064C79">
        <w:rPr>
          <w:rFonts w:ascii="Arial" w:eastAsia="Calibri" w:hAnsi="Arial" w:cs="Arial"/>
          <w:lang w:val="es-EC" w:eastAsia="en-US"/>
        </w:rPr>
        <w:t xml:space="preserve"> </w:t>
      </w:r>
      <w:proofErr w:type="spellStart"/>
      <w:r w:rsidRPr="00064C79">
        <w:rPr>
          <w:rFonts w:ascii="Arial" w:eastAsia="Calibri" w:hAnsi="Arial" w:cs="Arial"/>
          <w:lang w:val="es-EC" w:eastAsia="en-US"/>
        </w:rPr>
        <w:t>into</w:t>
      </w:r>
      <w:proofErr w:type="spellEnd"/>
      <w:r w:rsidRPr="00064C79">
        <w:rPr>
          <w:rFonts w:ascii="Arial" w:eastAsia="Calibri" w:hAnsi="Arial" w:cs="Arial"/>
          <w:lang w:val="es-EC" w:eastAsia="en-US"/>
        </w:rPr>
        <w:t xml:space="preserve"> </w:t>
      </w:r>
      <w:proofErr w:type="spellStart"/>
      <w:r w:rsidRPr="00064C79">
        <w:rPr>
          <w:rFonts w:ascii="Arial" w:eastAsia="Calibri" w:hAnsi="Arial" w:cs="Arial"/>
          <w:lang w:val="es-EC" w:eastAsia="en-US"/>
        </w:rPr>
        <w:t>Higher</w:t>
      </w:r>
      <w:proofErr w:type="spellEnd"/>
      <w:r w:rsidRPr="00064C79">
        <w:rPr>
          <w:rFonts w:ascii="Arial" w:eastAsia="Calibri" w:hAnsi="Arial" w:cs="Arial"/>
          <w:lang w:val="es-EC" w:eastAsia="en-US"/>
        </w:rPr>
        <w:t xml:space="preserve"> </w:t>
      </w:r>
      <w:proofErr w:type="spellStart"/>
      <w:r w:rsidRPr="00064C79">
        <w:rPr>
          <w:rFonts w:ascii="Arial" w:eastAsia="Calibri" w:hAnsi="Arial" w:cs="Arial"/>
          <w:lang w:val="es-EC" w:eastAsia="en-US"/>
        </w:rPr>
        <w:t>Education</w:t>
      </w:r>
      <w:proofErr w:type="spellEnd"/>
      <w:r w:rsidRPr="00064C79">
        <w:rPr>
          <w:rFonts w:ascii="Arial" w:eastAsia="Calibri" w:hAnsi="Arial" w:cs="Arial"/>
          <w:lang w:val="es-EC" w:eastAsia="en-US"/>
        </w:rPr>
        <w:t xml:space="preserve">, 1997). </w:t>
      </w:r>
    </w:p>
    <w:p w14:paraId="447D70D4" w14:textId="77777777" w:rsidR="00064C79" w:rsidRPr="00064C79" w:rsidRDefault="00064C79" w:rsidP="003E69FC">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t xml:space="preserve">Dentro de este marco, la empleabilidad se integra en el ámbito de la educación superior como parte de una estrategia de política pública que busca optimizar la eficiencia del sistema educativo formal, con el objetivo de potenciar tanto la productividad como el desarrollo económico personal. Durante la Conferencia Mundial sobre Educación Superior organizada por la UNESCO en París en 1998, se incorporó el concepto de empleabilidad como un componente esencial dentro del contexto de la sociedad del conocimiento. </w:t>
      </w:r>
    </w:p>
    <w:p w14:paraId="1B5E4065" w14:textId="77777777" w:rsidR="00064C79" w:rsidRPr="00064C79" w:rsidRDefault="00064C79" w:rsidP="003E69FC">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t xml:space="preserve">Este planteamiento impulsó la implementación de directrices que asignan a las universidades la responsabilidad clave de fomentar las competencias de empleabilidad entre personas egresadas. En la actualidad, estas políticas se han integrado en los sistemas de aseguramiento de la calidad, se refleja en la elaboración de </w:t>
      </w:r>
      <w:r w:rsidRPr="00064C79">
        <w:rPr>
          <w:rFonts w:ascii="Arial" w:eastAsia="Calibri" w:hAnsi="Arial" w:cs="Arial"/>
          <w:i/>
          <w:iCs/>
          <w:lang w:val="es-EC" w:eastAsia="en-US"/>
        </w:rPr>
        <w:t>rankings</w:t>
      </w:r>
      <w:r w:rsidRPr="00064C79">
        <w:rPr>
          <w:rFonts w:ascii="Arial" w:eastAsia="Calibri" w:hAnsi="Arial" w:cs="Arial"/>
          <w:lang w:val="es-EC" w:eastAsia="en-US"/>
        </w:rPr>
        <w:t xml:space="preserve"> universitarios que consideran el nivel de empleabilidad de población egresada como un criterio clave a nivel mundial (UNESCO, 1998).</w:t>
      </w:r>
    </w:p>
    <w:p w14:paraId="09D93232" w14:textId="77777777" w:rsidR="00064C79" w:rsidRPr="00064C79" w:rsidRDefault="00064C79" w:rsidP="003E69FC">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t xml:space="preserve">La universidad ecuatoriana tiene reglas restrictivas de ingreso a pregrado, lo que ha posibilitado el crecimiento de la oferta de posgrados y especializaciones, permitiendo a las personas profesionales trabajar en el área que han escogido (González-Fernández-Larrea et al., 2021). </w:t>
      </w:r>
    </w:p>
    <w:p w14:paraId="6C6750EC" w14:textId="77777777" w:rsidR="00064C79" w:rsidRPr="00064C79" w:rsidRDefault="00064C79" w:rsidP="003E69FC">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lastRenderedPageBreak/>
        <w:t>En consecuencia, la universidad se enfrentó al desafío de reconocer, transformar, proyectar y redefinir su oferta en atención a las demandas laborales surgidas de las necesidades para el desarrollo del país. Hay una búsqueda continua en el mercado de la especialización específica, lo cual es vinculante al momento de la contratación, igualmente, brinda nuevas oportunidades a profesionales que buscan mejorar sus estudios y ser más competitivos.</w:t>
      </w:r>
    </w:p>
    <w:p w14:paraId="529866BE" w14:textId="77777777" w:rsidR="00064C79" w:rsidRPr="00064C79" w:rsidRDefault="00064C79" w:rsidP="003E69FC">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t>En esta tendencia, las instituciones de educación superior utilizan la empleabilidad como un factor diferenciador, relacionando los atributos de sus graduados con las competencias indispensables para su desempeño laboral y desarrollo profesional como parte de su proyecto de vida (</w:t>
      </w:r>
      <w:proofErr w:type="spellStart"/>
      <w:r w:rsidRPr="00064C79">
        <w:rPr>
          <w:rFonts w:ascii="Arial" w:eastAsia="Calibri" w:hAnsi="Arial" w:cs="Arial"/>
          <w:shd w:val="clear" w:color="auto" w:fill="FFFFFF"/>
          <w:lang w:val="es-EC" w:eastAsia="en-US"/>
        </w:rPr>
        <w:t>Ascención</w:t>
      </w:r>
      <w:proofErr w:type="spellEnd"/>
      <w:r w:rsidRPr="00064C79">
        <w:rPr>
          <w:rFonts w:ascii="Arial" w:eastAsia="Calibri" w:hAnsi="Arial" w:cs="Arial"/>
          <w:shd w:val="clear" w:color="auto" w:fill="FFFFFF"/>
          <w:lang w:val="es-EC" w:eastAsia="en-US"/>
        </w:rPr>
        <w:t>-Campos y Díaz-Manrique, 2022).</w:t>
      </w:r>
      <w:r w:rsidRPr="00064C79">
        <w:rPr>
          <w:rFonts w:ascii="Arial" w:eastAsia="Calibri" w:hAnsi="Arial" w:cs="Arial"/>
          <w:lang w:val="es-EC" w:eastAsia="en-US"/>
        </w:rPr>
        <w:t xml:space="preserve"> Esto incluye logros, habilidades, conocimientos y atributos personales del individuo, además de los aportados por su nivel de estudios. Entre estos atributos se destacan la estabilidad personal, la edad, el lugar de residencia y, especialmente, el nivel educativo. Estos factores permiten que profesionales graduados de posgrado no solo accedan al empleo, sino que también alcancen el éxito en sus ocupaciones, beneficiando no solo a ellos mismos, sino también a la fuerza laboral, la comunidad y la economía (Orellana, 2018).</w:t>
      </w:r>
    </w:p>
    <w:p w14:paraId="145838AE" w14:textId="77777777" w:rsidR="00064C79" w:rsidRPr="00064C79" w:rsidRDefault="00064C79" w:rsidP="003E69FC">
      <w:pPr>
        <w:spacing w:before="100" w:beforeAutospacing="1" w:after="100" w:afterAutospacing="1" w:line="360" w:lineRule="auto"/>
        <w:jc w:val="both"/>
        <w:rPr>
          <w:rFonts w:ascii="Arial" w:eastAsia="Calibri" w:hAnsi="Arial" w:cs="Arial"/>
          <w:b/>
          <w:bCs/>
          <w:lang w:val="es-EC" w:eastAsia="en-US"/>
        </w:rPr>
      </w:pPr>
      <w:bookmarkStart w:id="17" w:name="idm169"/>
      <w:bookmarkEnd w:id="17"/>
      <w:r w:rsidRPr="00064C79">
        <w:rPr>
          <w:rFonts w:ascii="Arial" w:eastAsia="Calibri" w:hAnsi="Arial" w:cs="Arial"/>
          <w:b/>
          <w:bCs/>
          <w:lang w:val="es-EC" w:eastAsia="en-US"/>
        </w:rPr>
        <w:t>Desafíos de la vinculación laboral en la educación superior</w:t>
      </w:r>
    </w:p>
    <w:p w14:paraId="178337B7" w14:textId="77777777" w:rsidR="00064C79" w:rsidRPr="00064C79" w:rsidRDefault="00064C79" w:rsidP="003E69FC">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t xml:space="preserve">Según Zabala-Peñafiel (2022), la institucionalización de la empleabilidad en el entorno universitario está dada como una política pública que simula ser neutral y beneficiosa por sí misma, donde se establece al momento de instituir un valor </w:t>
      </w:r>
      <w:r w:rsidRPr="00064C79">
        <w:rPr>
          <w:rFonts w:ascii="Arial" w:eastAsia="Calibri" w:hAnsi="Arial" w:cs="Arial"/>
          <w:lang w:val="es-EC" w:eastAsia="en-US"/>
        </w:rPr>
        <w:lastRenderedPageBreak/>
        <w:t xml:space="preserve">circunstancial al conocimiento, y trasladar las responsabilidades de empleo al individuo, refuerza el sentido comercial del conocimiento, prioriza las necesidades del mercado y convierte a quien se gradúa en un consumidor motivado por un salario que le brinda mayor estatus. </w:t>
      </w:r>
    </w:p>
    <w:p w14:paraId="1FFD2C6B" w14:textId="77777777" w:rsidR="00064C79" w:rsidRPr="00064C79" w:rsidRDefault="00064C79" w:rsidP="003E69FC">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t xml:space="preserve">Con esta visión, cada profesional debe adaptarse a las demandas del mercado laboral, requiriendo continuamente la inversión en la mejora de sus habilidades y competencias. De forma que una de las funciones de la educación superior es mejorar el nivel de inserción laboral de sus graduados, entonces la empleabilidad se ha convertido en un indicador crucial para medir la calidad educativa, con un enfoque de éxito o fracaso conectado directamente a la vida laboral del individuo, sin tomar en cuenta otros factores que influyen en la empleabilidad (Núñez-Flores et al., 2021). </w:t>
      </w:r>
    </w:p>
    <w:p w14:paraId="4E9DBC8B" w14:textId="77777777" w:rsidR="00064C79" w:rsidRPr="00064C79" w:rsidRDefault="00064C79" w:rsidP="003E69FC">
      <w:pPr>
        <w:spacing w:before="100" w:beforeAutospacing="1" w:after="100" w:afterAutospacing="1" w:line="360" w:lineRule="auto"/>
        <w:jc w:val="both"/>
        <w:rPr>
          <w:rFonts w:ascii="Arial" w:hAnsi="Arial" w:cs="Arial"/>
          <w:b/>
          <w:bCs/>
          <w:color w:val="000000"/>
          <w:lang w:val="es-EC" w:eastAsia="en-US"/>
        </w:rPr>
      </w:pPr>
      <w:r w:rsidRPr="00064C79">
        <w:rPr>
          <w:rFonts w:ascii="Arial" w:eastAsia="Calibri" w:hAnsi="Arial" w:cs="Arial"/>
          <w:lang w:val="es-EC" w:eastAsia="en-US"/>
        </w:rPr>
        <w:t xml:space="preserve">En la actualidad, los países alrededor del mundo que cuentan con estas políticas de educación y trabajo en la gestión universitaria son Reino Unido, Canadá, Finlandia, Dinamarca, Estados Unidos, Australia, Nueva Zelanda, España, Corea del Sur y Japón (Pérez et al., 2021). En casi toda América Latina, hay políticas, no obstante, estas han generado un aumento de estudiantes de posgrados que responden al mercado laboral (Bobadilla-Cornelio et al., 2024). Un ejemplo es el que Jiménez-Vásquez (2014) proporciona a través de su estudio del mercado de trabajo mexicano versus la inserción laboral, en el que población egresada responde a las exigencias de mercado, a su vez, los procesos de inserción laboral </w:t>
      </w:r>
      <w:r w:rsidRPr="00064C79">
        <w:rPr>
          <w:rFonts w:ascii="Arial" w:eastAsia="Calibri" w:hAnsi="Arial" w:cs="Arial"/>
          <w:lang w:val="es-EC" w:eastAsia="en-US"/>
        </w:rPr>
        <w:lastRenderedPageBreak/>
        <w:t>y el aumento de contratación de profesionales con posgrado han aumentado un 18,5%, lo que se debe a la adquisición de nuevas competencias (Rama, 2015).</w:t>
      </w:r>
    </w:p>
    <w:p w14:paraId="679229A1" w14:textId="77777777" w:rsidR="00064C79" w:rsidRPr="00064C79" w:rsidRDefault="00064C79" w:rsidP="003E69FC">
      <w:pPr>
        <w:spacing w:before="100" w:beforeAutospacing="1" w:after="100" w:afterAutospacing="1" w:line="360" w:lineRule="auto"/>
        <w:jc w:val="both"/>
        <w:rPr>
          <w:rFonts w:ascii="Arial" w:hAnsi="Arial" w:cs="Arial"/>
          <w:b/>
          <w:bCs/>
          <w:color w:val="000000"/>
          <w:lang w:val="es-EC" w:eastAsia="en-US"/>
        </w:rPr>
      </w:pPr>
      <w:r w:rsidRPr="00064C79">
        <w:rPr>
          <w:rFonts w:ascii="Arial" w:eastAsia="Calibri" w:hAnsi="Arial" w:cs="Arial"/>
          <w:b/>
          <w:bCs/>
          <w:lang w:val="es-EC" w:eastAsia="en-US"/>
        </w:rPr>
        <w:t>Dimensiones sociales y educativas en la población con estudios superiores</w:t>
      </w:r>
    </w:p>
    <w:p w14:paraId="6D53E8B1" w14:textId="77777777" w:rsidR="00064C79" w:rsidRPr="00064C79" w:rsidRDefault="00064C79" w:rsidP="003E69FC">
      <w:pPr>
        <w:spacing w:before="100" w:beforeAutospacing="1" w:after="100" w:afterAutospacing="1" w:line="360" w:lineRule="auto"/>
        <w:jc w:val="both"/>
        <w:rPr>
          <w:rFonts w:ascii="Arial" w:hAnsi="Arial" w:cs="Arial"/>
          <w:lang w:val="es-EC" w:eastAsia="es-EC"/>
        </w:rPr>
      </w:pPr>
      <w:r w:rsidRPr="00064C79">
        <w:rPr>
          <w:rFonts w:ascii="Arial" w:hAnsi="Arial" w:cs="Arial"/>
          <w:lang w:val="es-EC" w:eastAsia="es-EC"/>
        </w:rPr>
        <w:t>Las dimensiones sociales son fundamentales para analizar cómo las condiciones individuales y estructurales influyen en el acceso y progreso dentro del sistema educativo. Estas características reflejan las realidades socioeconómicas de las personas y sus entornos, mostrando cómo aspectos como el estado civil, la edad, la etnicidad y la pobreza afectan de manera significativa sus trayectorias educativas y de desarrollo personal (Guevara-Segarra et al., 2017).</w:t>
      </w:r>
    </w:p>
    <w:p w14:paraId="4712BB06" w14:textId="77777777" w:rsidR="00064C79" w:rsidRPr="00064C79" w:rsidRDefault="00064C79" w:rsidP="003E69FC">
      <w:pPr>
        <w:spacing w:before="100" w:beforeAutospacing="1" w:after="100" w:afterAutospacing="1" w:line="360" w:lineRule="auto"/>
        <w:jc w:val="both"/>
        <w:rPr>
          <w:rFonts w:ascii="Arial" w:hAnsi="Arial" w:cs="Arial"/>
          <w:lang w:val="es-EC" w:eastAsia="es-EC"/>
        </w:rPr>
      </w:pPr>
      <w:r w:rsidRPr="00064C79">
        <w:rPr>
          <w:rFonts w:ascii="Arial" w:hAnsi="Arial" w:cs="Arial"/>
          <w:lang w:val="es-EC" w:eastAsia="es-EC"/>
        </w:rPr>
        <w:t>El estado civil se relaciona estrechamente con la estabilidad emocional y las responsabilidades familiares que, a menudo determinan las posibilidades de continuar con estudios superiores. Aquellos en relaciones estables, como el matrimonio o la unión libre, tienden a asumir compromisos que pueden facilitar o limitar el acceso a la educación avanzada. Este factor influye en las decisiones educativas, también en el equilibrio entre las responsabilidades personales y las oportunidades de desarrollo académico.</w:t>
      </w:r>
    </w:p>
    <w:p w14:paraId="349D9E3C" w14:textId="77777777" w:rsidR="00064C79" w:rsidRPr="00064C79" w:rsidRDefault="00064C79" w:rsidP="003E69FC">
      <w:pPr>
        <w:spacing w:before="100" w:beforeAutospacing="1" w:after="100" w:afterAutospacing="1" w:line="360" w:lineRule="auto"/>
        <w:jc w:val="both"/>
        <w:rPr>
          <w:rFonts w:ascii="Arial" w:hAnsi="Arial" w:cs="Arial"/>
          <w:lang w:val="es-EC" w:eastAsia="es-EC"/>
        </w:rPr>
      </w:pPr>
      <w:r w:rsidRPr="00064C79">
        <w:rPr>
          <w:rFonts w:ascii="Arial" w:hAnsi="Arial" w:cs="Arial"/>
          <w:lang w:val="es-EC" w:eastAsia="es-EC"/>
        </w:rPr>
        <w:t xml:space="preserve">La edad introduce una perspectiva temporal en el análisis educativo, las personas más jóvenes suelen estar más orientadas a completar la educación superior, mientras que los individuos mayores enfrentan barreras adicionales para retornar al sistema educativo, como obligaciones laborales o familiares. Sin embargo, </w:t>
      </w:r>
      <w:r w:rsidRPr="00064C79">
        <w:rPr>
          <w:rFonts w:ascii="Arial" w:hAnsi="Arial" w:cs="Arial"/>
          <w:lang w:val="es-EC" w:eastAsia="es-EC"/>
        </w:rPr>
        <w:lastRenderedPageBreak/>
        <w:t>quienes optan por continuar sus estudios en etapas avanzadas de la vida frecuentemente logran mejoras significativas en sus condiciones de vida y oportunidades de desarrollo (</w:t>
      </w:r>
      <w:proofErr w:type="spellStart"/>
      <w:r w:rsidRPr="00064C79">
        <w:rPr>
          <w:rFonts w:ascii="Arial" w:hAnsi="Arial" w:cs="Arial"/>
          <w:lang w:val="es-EC" w:eastAsia="es-EC"/>
        </w:rPr>
        <w:t>Stefos</w:t>
      </w:r>
      <w:proofErr w:type="spellEnd"/>
      <w:r w:rsidRPr="00064C79">
        <w:rPr>
          <w:rFonts w:ascii="Arial" w:hAnsi="Arial" w:cs="Arial"/>
          <w:lang w:val="es-EC" w:eastAsia="es-EC"/>
        </w:rPr>
        <w:t>, 2022).</w:t>
      </w:r>
    </w:p>
    <w:p w14:paraId="1DCC4176" w14:textId="77777777" w:rsidR="00064C79" w:rsidRPr="00064C79" w:rsidRDefault="00064C79" w:rsidP="003E69FC">
      <w:pPr>
        <w:spacing w:before="100" w:beforeAutospacing="1" w:after="100" w:afterAutospacing="1" w:line="360" w:lineRule="auto"/>
        <w:jc w:val="both"/>
        <w:rPr>
          <w:rFonts w:ascii="Arial" w:hAnsi="Arial" w:cs="Arial"/>
          <w:lang w:val="es-EC" w:eastAsia="es-EC"/>
        </w:rPr>
      </w:pPr>
      <w:r w:rsidRPr="00064C79">
        <w:rPr>
          <w:rFonts w:ascii="Arial" w:hAnsi="Arial" w:cs="Arial"/>
          <w:lang w:val="es-EC" w:eastAsia="es-EC"/>
        </w:rPr>
        <w:t>En cuanto a la etnicidad, esta evidencia desigualdades profundas en el acceso a la educación. Comunidades pertenecientes a los pueblos indígenas y afrodescendientes han enfrentado históricamente barreras que limitan su representación en los niveles educativos avanzados. Estas brechas reflejan inequidades estructurales y la persistencia de dinámicas de exclusión social que afectan el desarrollo integral de estas comunidades.</w:t>
      </w:r>
    </w:p>
    <w:p w14:paraId="3FF8014B" w14:textId="77777777" w:rsidR="00064C79" w:rsidRPr="00064C79" w:rsidRDefault="00064C79" w:rsidP="003E69FC">
      <w:pPr>
        <w:spacing w:before="100" w:beforeAutospacing="1" w:after="100" w:afterAutospacing="1" w:line="360" w:lineRule="auto"/>
        <w:jc w:val="both"/>
        <w:rPr>
          <w:rFonts w:ascii="Arial" w:hAnsi="Arial" w:cs="Arial"/>
          <w:lang w:val="es-EC" w:eastAsia="es-EC"/>
        </w:rPr>
      </w:pPr>
      <w:r w:rsidRPr="00064C79">
        <w:rPr>
          <w:rFonts w:ascii="Arial" w:hAnsi="Arial" w:cs="Arial"/>
          <w:lang w:val="es-EC" w:eastAsia="es-EC"/>
        </w:rPr>
        <w:t>La pobreza se presenta como un eje transversal que amplifica las disparidades mencionadas. Las condiciones económicas restringen el acceso a recursos, infraestructura y financiamiento educativo, perpetuando ciclos de desigualdad que afectan tanto a individuos como a las comunidades en las que se desarrollan. Este factor condiciona las oportunidades educativas, al tiempo que también impacta en las posibilidades de movilidad social y mejora de las condiciones de vida (</w:t>
      </w:r>
      <w:proofErr w:type="spellStart"/>
      <w:r w:rsidRPr="00064C79">
        <w:rPr>
          <w:rFonts w:ascii="Arial" w:hAnsi="Arial" w:cs="Arial"/>
          <w:lang w:val="es-EC" w:eastAsia="es-EC"/>
        </w:rPr>
        <w:t>Stefos</w:t>
      </w:r>
      <w:proofErr w:type="spellEnd"/>
      <w:r w:rsidRPr="00064C79">
        <w:rPr>
          <w:rFonts w:ascii="Arial" w:hAnsi="Arial" w:cs="Arial"/>
          <w:lang w:val="es-EC" w:eastAsia="es-EC"/>
        </w:rPr>
        <w:t>, 2022).</w:t>
      </w:r>
    </w:p>
    <w:p w14:paraId="28566148" w14:textId="77777777" w:rsidR="00064C79" w:rsidRPr="00064C79" w:rsidRDefault="00064C79" w:rsidP="003E69FC">
      <w:pPr>
        <w:spacing w:before="100" w:beforeAutospacing="1" w:after="100" w:afterAutospacing="1" w:line="360" w:lineRule="auto"/>
        <w:jc w:val="both"/>
        <w:rPr>
          <w:rFonts w:ascii="Arial" w:hAnsi="Arial" w:cs="Arial"/>
          <w:lang w:val="es-EC" w:eastAsia="es-EC"/>
        </w:rPr>
      </w:pPr>
      <w:r w:rsidRPr="00064C79">
        <w:rPr>
          <w:rFonts w:ascii="Arial" w:hAnsi="Arial" w:cs="Arial"/>
          <w:lang w:val="es-EC" w:eastAsia="es-EC"/>
        </w:rPr>
        <w:t xml:space="preserve">Abordar estas dimensiones sociales permite construir una comprensión más integral de las dinámicas educativas, al identificar las barreras, o bien, las oportunidades que enfrentan distintos grupos de la población. Este enfoque contribuye a un análisis más profundo, también promueve la creación de políticas </w:t>
      </w:r>
      <w:r w:rsidRPr="00064C79">
        <w:rPr>
          <w:rFonts w:ascii="Arial" w:hAnsi="Arial" w:cs="Arial"/>
          <w:lang w:val="es-EC" w:eastAsia="es-EC"/>
        </w:rPr>
        <w:lastRenderedPageBreak/>
        <w:t>inclusivas que satisfagan los requerimientos específicos de la sociedad, integrando el conocimiento académico con una perspectiva transformadora y equitativa.</w:t>
      </w:r>
    </w:p>
    <w:p w14:paraId="40CA1D97" w14:textId="70EE1F2E" w:rsidR="00064C79" w:rsidRPr="00064C79" w:rsidRDefault="00637C44" w:rsidP="003E69FC">
      <w:pPr>
        <w:spacing w:before="100" w:beforeAutospacing="1" w:after="100" w:afterAutospacing="1" w:line="360" w:lineRule="auto"/>
        <w:jc w:val="both"/>
        <w:rPr>
          <w:rFonts w:ascii="Arial" w:hAnsi="Arial" w:cs="Arial"/>
          <w:b/>
          <w:bCs/>
          <w:color w:val="000000"/>
          <w:lang w:val="es-EC" w:eastAsia="en-US"/>
        </w:rPr>
      </w:pPr>
      <w:r w:rsidRPr="00064C79">
        <w:rPr>
          <w:rFonts w:ascii="Arial" w:hAnsi="Arial" w:cs="Arial"/>
          <w:b/>
          <w:bCs/>
          <w:color w:val="000000"/>
          <w:lang w:val="es-EC" w:eastAsia="en-US"/>
        </w:rPr>
        <w:t>METODOLOGÍA</w:t>
      </w:r>
    </w:p>
    <w:p w14:paraId="24DE0D23" w14:textId="77777777" w:rsidR="00064C79" w:rsidRPr="00064C79" w:rsidRDefault="00064C79" w:rsidP="003E69FC">
      <w:pPr>
        <w:spacing w:before="100" w:beforeAutospacing="1" w:after="100" w:afterAutospacing="1" w:line="360" w:lineRule="auto"/>
        <w:jc w:val="both"/>
        <w:rPr>
          <w:rFonts w:ascii="Arial" w:hAnsi="Arial" w:cs="Arial"/>
          <w:color w:val="000000"/>
          <w:lang w:val="es-EC" w:eastAsia="en-US"/>
        </w:rPr>
      </w:pPr>
      <w:r w:rsidRPr="00064C79">
        <w:rPr>
          <w:rFonts w:ascii="Arial" w:hAnsi="Arial" w:cs="Arial"/>
          <w:color w:val="000000"/>
          <w:lang w:val="es-EC" w:eastAsia="en-US"/>
        </w:rPr>
        <w:t>El estudio utiliza los datos de la Encuesta Nacional de Empleo, Desempleo y Subempleo (ENEMDU) de 2023, proporcionada por el Instituto Nacional de Estadística y Censos (INEC) de Ecuador. Esta encuesta ofrece una visión detallada de los aspectos socioeconómicos de la población ecuatoriana.</w:t>
      </w:r>
    </w:p>
    <w:p w14:paraId="75AAC50A" w14:textId="77777777" w:rsidR="00064C79" w:rsidRPr="00064C79" w:rsidRDefault="00064C79" w:rsidP="003E69FC">
      <w:pPr>
        <w:spacing w:before="100" w:beforeAutospacing="1" w:after="100" w:afterAutospacing="1" w:line="360" w:lineRule="auto"/>
        <w:jc w:val="both"/>
        <w:rPr>
          <w:rFonts w:ascii="Arial" w:hAnsi="Arial" w:cs="Arial"/>
          <w:color w:val="000000"/>
          <w:lang w:val="es-EC" w:eastAsia="en-US"/>
        </w:rPr>
      </w:pPr>
      <w:r w:rsidRPr="00064C79">
        <w:rPr>
          <w:rFonts w:ascii="Arial" w:hAnsi="Arial" w:cs="Arial"/>
          <w:color w:val="000000"/>
          <w:lang w:val="es-EC" w:eastAsia="en-US"/>
        </w:rPr>
        <w:t>La población investigada está compuesta por personas ecuatorianas de entre 25 y 64 años, considerados en edad productiva. El análisis se centra en quienes han alcanzado un nivel de instrucción de educación superior o posgrado, con el objetivo de comparar cómo estos dos niveles de instrucción influyen en aspectos laborales, sociales y demográficos.</w:t>
      </w:r>
    </w:p>
    <w:p w14:paraId="3355FBDB" w14:textId="77777777" w:rsidR="00064C79" w:rsidRPr="00064C79" w:rsidRDefault="00064C79" w:rsidP="003E69FC">
      <w:pPr>
        <w:spacing w:before="100" w:beforeAutospacing="1" w:after="100" w:afterAutospacing="1" w:line="360" w:lineRule="auto"/>
        <w:jc w:val="both"/>
        <w:rPr>
          <w:rFonts w:ascii="Arial" w:hAnsi="Arial" w:cs="Arial"/>
          <w:color w:val="000000"/>
          <w:lang w:val="es-EC" w:eastAsia="en-US"/>
        </w:rPr>
      </w:pPr>
      <w:r w:rsidRPr="00064C79">
        <w:rPr>
          <w:rFonts w:ascii="Arial" w:hAnsi="Arial" w:cs="Arial"/>
          <w:color w:val="000000"/>
          <w:lang w:val="es-EC" w:eastAsia="en-US"/>
        </w:rPr>
        <w:t>La ENEMDU utiliza un factor de expansión para que los resultados de la muestra sean representativos a nivel nacional. Esto garantiza que los hallazgos reflejen con precisión las características y condiciones de la población ecuatoriana en su conjunto.</w:t>
      </w:r>
    </w:p>
    <w:p w14:paraId="04ABD7B4" w14:textId="77777777" w:rsidR="00064C79" w:rsidRPr="00064C79" w:rsidRDefault="00064C79" w:rsidP="003E69FC">
      <w:pPr>
        <w:spacing w:before="100" w:beforeAutospacing="1" w:after="100" w:afterAutospacing="1" w:line="360" w:lineRule="auto"/>
        <w:jc w:val="both"/>
        <w:rPr>
          <w:rFonts w:ascii="Arial" w:hAnsi="Arial" w:cs="Arial"/>
          <w:color w:val="000000"/>
          <w:lang w:val="es-EC" w:eastAsia="en-US"/>
        </w:rPr>
      </w:pPr>
      <w:r w:rsidRPr="00064C79">
        <w:rPr>
          <w:rFonts w:ascii="Arial" w:hAnsi="Arial" w:cs="Arial"/>
          <w:color w:val="000000"/>
          <w:lang w:val="es-EC" w:eastAsia="en-US"/>
        </w:rPr>
        <w:t xml:space="preserve">Se emplean tablas de contingencia para comparar la distribución de las variables investigadas entre las personas con educación superior universitaria y las que poseen estudios de posgrado. Las tablas permiten observar cómo estas dos </w:t>
      </w:r>
      <w:r w:rsidRPr="00064C79">
        <w:rPr>
          <w:rFonts w:ascii="Arial" w:hAnsi="Arial" w:cs="Arial"/>
          <w:color w:val="000000"/>
          <w:lang w:val="es-EC" w:eastAsia="en-US"/>
        </w:rPr>
        <w:lastRenderedPageBreak/>
        <w:t>categorías se distribuyen en función de variables como área de residencia, estado civil, ocupación, entre otras.</w:t>
      </w:r>
    </w:p>
    <w:p w14:paraId="4F7ED162" w14:textId="77777777" w:rsidR="00064C79" w:rsidRPr="00064C79" w:rsidRDefault="00064C79" w:rsidP="003E69FC">
      <w:pPr>
        <w:spacing w:before="100" w:beforeAutospacing="1" w:after="100" w:afterAutospacing="1" w:line="360" w:lineRule="auto"/>
        <w:jc w:val="both"/>
        <w:rPr>
          <w:rFonts w:ascii="Arial" w:hAnsi="Arial" w:cs="Arial"/>
          <w:color w:val="000000"/>
          <w:lang w:val="es-EC" w:eastAsia="en-US"/>
        </w:rPr>
      </w:pPr>
      <w:r w:rsidRPr="00064C79">
        <w:rPr>
          <w:rFonts w:ascii="Arial" w:hAnsi="Arial" w:cs="Arial"/>
          <w:color w:val="000000"/>
          <w:lang w:val="es-EC" w:eastAsia="en-US"/>
        </w:rPr>
        <w:t xml:space="preserve">Para evaluar la significancia de las correlaciones entre estas variables, se utiliza el valor de prueba (V.TEST). </w:t>
      </w:r>
      <w:r w:rsidRPr="00064C79">
        <w:rPr>
          <w:rFonts w:ascii="Arial" w:eastAsia="Calibri" w:hAnsi="Arial" w:cs="Arial"/>
          <w:lang w:val="es-EC" w:eastAsia="en-US"/>
        </w:rPr>
        <w:t>Esta prueba mide la fortaleza de la relación entre las variables y establece un umbral de significancia: si el valor de prueba es mayor o igual a dos, la correlación se considera estadísticamente significativa, lo que indica que las diferencias observadas entre personas con educación superior y posgrado no son atribuibles a variaciones aleatorias, sino a una relación sistemática.</w:t>
      </w:r>
    </w:p>
    <w:p w14:paraId="4F3370E5" w14:textId="7BCFEAD3" w:rsidR="00064C79" w:rsidRPr="00064C79" w:rsidRDefault="00064C79" w:rsidP="003E69FC">
      <w:pPr>
        <w:spacing w:before="100" w:beforeAutospacing="1" w:after="100" w:afterAutospacing="1" w:line="360" w:lineRule="auto"/>
        <w:jc w:val="both"/>
        <w:rPr>
          <w:rFonts w:ascii="Arial" w:hAnsi="Arial" w:cs="Arial"/>
          <w:color w:val="000000"/>
          <w:lang w:val="es-EC" w:eastAsia="en-US"/>
        </w:rPr>
      </w:pPr>
      <w:r w:rsidRPr="00064C79">
        <w:rPr>
          <w:rFonts w:ascii="Arial" w:hAnsi="Arial" w:cs="Arial"/>
          <w:color w:val="000000"/>
          <w:lang w:val="es-EC" w:eastAsia="en-US"/>
        </w:rPr>
        <w:t>Además, se realiza un análisis de riesgo que compara la probabilidad de que ciertos eventos (como no tener empleo adecuado o en situación de pobreza) ocurran entre personas con educación superior y aquellas con posgrado. Este análisis cuantifica el riesgo relativo entre los dos grupos, mostrando las desventajas que enfrentan las personas con educación superior en comparación con quienes tienen un posgrado, y cómo este último grupo tiene mejores oportunidades laborales y económicas.</w:t>
      </w:r>
    </w:p>
    <w:p w14:paraId="037EE84C" w14:textId="754899E3" w:rsidR="00064C79" w:rsidRPr="00637C44" w:rsidRDefault="00637C44" w:rsidP="003E69FC">
      <w:pPr>
        <w:spacing w:before="100" w:beforeAutospacing="1" w:after="100" w:afterAutospacing="1" w:line="360" w:lineRule="auto"/>
        <w:jc w:val="both"/>
        <w:rPr>
          <w:rFonts w:ascii="Arial" w:hAnsi="Arial" w:cs="Arial"/>
          <w:b/>
          <w:color w:val="000000"/>
          <w:lang w:val="es-EC" w:eastAsia="en-US"/>
        </w:rPr>
      </w:pPr>
      <w:r w:rsidRPr="00637C44">
        <w:rPr>
          <w:rFonts w:ascii="Arial" w:hAnsi="Arial" w:cs="Arial"/>
          <w:b/>
          <w:color w:val="000000"/>
          <w:lang w:val="es-EC" w:eastAsia="en-US"/>
        </w:rPr>
        <w:t>RESULTADOS</w:t>
      </w:r>
    </w:p>
    <w:p w14:paraId="36A25CB0" w14:textId="77777777" w:rsidR="00064C79" w:rsidRPr="00064C79" w:rsidRDefault="00064C79" w:rsidP="003E69FC">
      <w:pPr>
        <w:spacing w:before="100" w:beforeAutospacing="1" w:after="100" w:afterAutospacing="1" w:line="360" w:lineRule="auto"/>
        <w:jc w:val="both"/>
        <w:rPr>
          <w:rFonts w:ascii="Arial" w:hAnsi="Arial" w:cs="Arial"/>
          <w:b/>
          <w:lang w:val="es-EC" w:eastAsia="en-US"/>
        </w:rPr>
      </w:pPr>
      <w:r w:rsidRPr="00064C79">
        <w:rPr>
          <w:rFonts w:ascii="Arial" w:hAnsi="Arial" w:cs="Arial"/>
          <w:b/>
          <w:lang w:val="es-EC" w:eastAsia="en-US"/>
        </w:rPr>
        <w:t>Resultados del análisis con uso de valor de prueba</w:t>
      </w:r>
    </w:p>
    <w:p w14:paraId="0DCAA4CE" w14:textId="45D1E454" w:rsidR="00064C79" w:rsidRPr="00064C79" w:rsidRDefault="00064C79" w:rsidP="003E69FC">
      <w:pPr>
        <w:spacing w:before="100" w:beforeAutospacing="1" w:after="100" w:afterAutospacing="1" w:line="360" w:lineRule="auto"/>
        <w:jc w:val="both"/>
        <w:rPr>
          <w:rFonts w:ascii="Arial" w:hAnsi="Arial" w:cs="Arial"/>
          <w:lang w:val="es-EC" w:eastAsia="en-US"/>
        </w:rPr>
      </w:pPr>
      <w:r w:rsidRPr="00064C79">
        <w:rPr>
          <w:rFonts w:ascii="Arial" w:hAnsi="Arial" w:cs="Arial"/>
          <w:lang w:val="es-EC" w:eastAsia="en-US"/>
        </w:rPr>
        <w:t>La correlación entre la variable “</w:t>
      </w:r>
      <w:r w:rsidRPr="00064C79">
        <w:rPr>
          <w:rFonts w:ascii="Arial" w:eastAsia="Calibri" w:hAnsi="Arial" w:cs="Arial"/>
          <w:lang w:val="es-EC" w:eastAsia="en-US"/>
        </w:rPr>
        <w:t xml:space="preserve">nivel de instrucción” (superior universitario - posgrado) </w:t>
      </w:r>
      <w:r w:rsidRPr="00064C79">
        <w:rPr>
          <w:rFonts w:ascii="Arial" w:hAnsi="Arial" w:cs="Arial"/>
          <w:lang w:val="es-EC" w:eastAsia="en-US"/>
        </w:rPr>
        <w:t xml:space="preserve">y las variables: </w:t>
      </w:r>
      <w:r w:rsidRPr="00064C79">
        <w:rPr>
          <w:rFonts w:ascii="Arial" w:eastAsia="Calibri" w:hAnsi="Arial" w:cs="Arial"/>
          <w:lang w:val="es-EC" w:eastAsia="en-US"/>
        </w:rPr>
        <w:t xml:space="preserve">“área”, “edad”, “estado </w:t>
      </w:r>
      <w:r w:rsidRPr="00064C79">
        <w:rPr>
          <w:rFonts w:ascii="Arial" w:hAnsi="Arial" w:cs="Arial"/>
          <w:lang w:val="es-MX" w:eastAsia="en-US"/>
        </w:rPr>
        <w:t>civil”, “trabajó</w:t>
      </w:r>
      <w:r w:rsidRPr="00064C79">
        <w:rPr>
          <w:rFonts w:ascii="Arial" w:eastAsia="Calibri" w:hAnsi="Arial" w:cs="Arial"/>
          <w:lang w:val="es-EC" w:eastAsia="en-US"/>
        </w:rPr>
        <w:t xml:space="preserve"> la semana pasada”, “condición de inactividad”, “categoría de ocupación”, “el trabajo que tiene es”, “sitio </w:t>
      </w:r>
      <w:r w:rsidRPr="00064C79">
        <w:rPr>
          <w:rFonts w:ascii="Arial" w:eastAsia="Calibri" w:hAnsi="Arial" w:cs="Arial"/>
          <w:lang w:val="es-EC" w:eastAsia="en-US"/>
        </w:rPr>
        <w:lastRenderedPageBreak/>
        <w:t xml:space="preserve">de trabajo”, “condición de actividad”, “sectorización de los empleados”, “grupo de ocupación”, “rama de actividad”, “pobreza” y “pobreza extrema” </w:t>
      </w:r>
      <w:r w:rsidRPr="00064C79">
        <w:rPr>
          <w:rFonts w:ascii="Arial" w:hAnsi="Arial" w:cs="Arial"/>
          <w:lang w:val="es-EC" w:eastAsia="en-US"/>
        </w:rPr>
        <w:t xml:space="preserve">fue investigada utilizando el valor de prueba (V.TEST). Las correlaciones en las que el valor de prueba es mayor o igual a dos son estadísticamente interesantes. Cuanto mayor </w:t>
      </w:r>
      <w:r w:rsidR="006A55C0">
        <w:rPr>
          <w:rFonts w:ascii="Arial" w:hAnsi="Arial" w:cs="Arial"/>
          <w:lang w:val="es-EC" w:eastAsia="en-US"/>
        </w:rPr>
        <w:t>es</w:t>
      </w:r>
      <w:r w:rsidRPr="00064C79">
        <w:rPr>
          <w:rFonts w:ascii="Arial" w:hAnsi="Arial" w:cs="Arial"/>
          <w:lang w:val="es-EC" w:eastAsia="en-US"/>
        </w:rPr>
        <w:t xml:space="preserve"> el valor de prueba, mayor </w:t>
      </w:r>
      <w:r w:rsidR="00957EAA">
        <w:rPr>
          <w:rFonts w:ascii="Arial" w:hAnsi="Arial" w:cs="Arial"/>
          <w:lang w:val="es-EC" w:eastAsia="en-US"/>
        </w:rPr>
        <w:t>e</w:t>
      </w:r>
      <w:r w:rsidRPr="00064C79">
        <w:rPr>
          <w:rFonts w:ascii="Arial" w:hAnsi="Arial" w:cs="Arial"/>
          <w:lang w:val="es-EC" w:eastAsia="en-US"/>
        </w:rPr>
        <w:t>s la correlación entre las dos variables (Morineau, 1984).</w:t>
      </w:r>
    </w:p>
    <w:p w14:paraId="322136A6" w14:textId="77777777" w:rsidR="00064C79" w:rsidRPr="00064C79" w:rsidRDefault="00064C79" w:rsidP="003E69FC">
      <w:pPr>
        <w:spacing w:before="100" w:beforeAutospacing="1" w:after="100" w:afterAutospacing="1" w:line="360" w:lineRule="auto"/>
        <w:jc w:val="both"/>
        <w:rPr>
          <w:rFonts w:ascii="Arial" w:hAnsi="Arial" w:cs="Arial"/>
          <w:lang w:val="es-EC" w:eastAsia="en-US"/>
        </w:rPr>
      </w:pPr>
      <w:r w:rsidRPr="00064C79">
        <w:rPr>
          <w:rFonts w:ascii="Arial" w:hAnsi="Arial" w:cs="Arial"/>
          <w:lang w:val="es-EC" w:eastAsia="en-US"/>
        </w:rPr>
        <w:t>Los resultados del análisis de valor de prueba (V.TEST) para las tablas de contingencia presentadas se detallan a continuación:</w:t>
      </w:r>
    </w:p>
    <w:p w14:paraId="3F3A408B" w14:textId="47649155" w:rsidR="00064C79" w:rsidRPr="000823E6" w:rsidRDefault="00064C79" w:rsidP="00CD2406">
      <w:pPr>
        <w:pStyle w:val="Prrafodelista"/>
        <w:numPr>
          <w:ilvl w:val="0"/>
          <w:numId w:val="49"/>
        </w:numPr>
        <w:spacing w:before="100" w:beforeAutospacing="1" w:after="100" w:afterAutospacing="1" w:line="360" w:lineRule="auto"/>
        <w:ind w:left="714" w:hanging="357"/>
        <w:jc w:val="both"/>
        <w:rPr>
          <w:rFonts w:ascii="Arial" w:hAnsi="Arial" w:cs="Arial"/>
          <w:lang w:val="es-MX" w:eastAsia="en-US"/>
        </w:rPr>
      </w:pPr>
      <w:r w:rsidRPr="000823E6">
        <w:rPr>
          <w:rFonts w:ascii="Arial" w:eastAsia="Calibri" w:hAnsi="Arial" w:cs="Arial"/>
          <w:lang w:val="es-EC" w:eastAsia="en-US"/>
        </w:rPr>
        <w:t>Nivel de instrucción - Área</w:t>
      </w:r>
      <w:r w:rsidRPr="000823E6">
        <w:rPr>
          <w:rFonts w:ascii="Arial" w:eastAsia="Calibri" w:hAnsi="Arial" w:cs="Arial"/>
          <w:lang w:val="es-MX" w:eastAsia="en-US"/>
        </w:rPr>
        <w:t>: Valor de prueba (V.TEST) = 7,17 / 1 grado de</w:t>
      </w:r>
      <w:r w:rsidR="00AA1805" w:rsidRPr="000823E6">
        <w:rPr>
          <w:rFonts w:ascii="Arial" w:eastAsia="Calibri" w:hAnsi="Arial" w:cs="Arial"/>
          <w:lang w:val="es-MX" w:eastAsia="en-US"/>
        </w:rPr>
        <w:t xml:space="preserve"> </w:t>
      </w:r>
      <w:r w:rsidRPr="000823E6">
        <w:rPr>
          <w:rFonts w:ascii="Arial" w:eastAsia="Calibri" w:hAnsi="Arial" w:cs="Arial"/>
          <w:lang w:val="es-MX" w:eastAsia="en-US"/>
        </w:rPr>
        <w:t>libertad</w:t>
      </w:r>
      <w:r w:rsidRPr="000823E6">
        <w:rPr>
          <w:rFonts w:ascii="Arial" w:hAnsi="Arial" w:cs="Arial"/>
          <w:lang w:val="es-MX" w:eastAsia="en-US"/>
        </w:rPr>
        <w:t>.</w:t>
      </w:r>
    </w:p>
    <w:p w14:paraId="38CADDDA" w14:textId="74193A0F" w:rsidR="00064C79" w:rsidRPr="000823E6" w:rsidRDefault="00064C79" w:rsidP="000823E6">
      <w:pPr>
        <w:pStyle w:val="Prrafodelista"/>
        <w:numPr>
          <w:ilvl w:val="0"/>
          <w:numId w:val="49"/>
        </w:numPr>
        <w:spacing w:before="100" w:beforeAutospacing="1" w:after="100" w:afterAutospacing="1" w:line="360" w:lineRule="auto"/>
        <w:ind w:left="714" w:hanging="357"/>
        <w:jc w:val="both"/>
        <w:rPr>
          <w:rFonts w:ascii="Arial" w:hAnsi="Arial" w:cs="Arial"/>
          <w:lang w:val="es-MX" w:eastAsia="en-US"/>
        </w:rPr>
      </w:pPr>
      <w:r w:rsidRPr="000823E6">
        <w:rPr>
          <w:rFonts w:ascii="Arial" w:eastAsia="Calibri" w:hAnsi="Arial" w:cs="Arial"/>
          <w:lang w:val="es-EC" w:eastAsia="en-US"/>
        </w:rPr>
        <w:t>Nivel de instrucción - Edad: Valor de prueba (V.TEST) = 99,99 / 3 grados de libertad</w:t>
      </w:r>
      <w:r w:rsidRPr="000823E6">
        <w:rPr>
          <w:rFonts w:ascii="Arial" w:hAnsi="Arial" w:cs="Arial"/>
          <w:lang w:val="es-MX" w:eastAsia="en-US"/>
        </w:rPr>
        <w:t>.</w:t>
      </w:r>
    </w:p>
    <w:p w14:paraId="59ADC75D" w14:textId="011BCD9F" w:rsidR="00064C79" w:rsidRPr="000823E6" w:rsidRDefault="00064C79" w:rsidP="000823E6">
      <w:pPr>
        <w:pStyle w:val="Prrafodelista"/>
        <w:numPr>
          <w:ilvl w:val="0"/>
          <w:numId w:val="49"/>
        </w:numPr>
        <w:spacing w:before="100" w:beforeAutospacing="1" w:after="100" w:afterAutospacing="1" w:line="360" w:lineRule="auto"/>
        <w:ind w:left="714" w:hanging="357"/>
        <w:jc w:val="both"/>
        <w:rPr>
          <w:rFonts w:ascii="Arial" w:hAnsi="Arial" w:cs="Arial"/>
          <w:lang w:val="es-MX" w:eastAsia="en-US"/>
        </w:rPr>
      </w:pPr>
      <w:r w:rsidRPr="000823E6">
        <w:rPr>
          <w:rFonts w:ascii="Arial" w:hAnsi="Arial" w:cs="Arial"/>
          <w:lang w:val="es-MX" w:eastAsia="en-US"/>
        </w:rPr>
        <w:t>Nivel de instrucción - Estado civil: Valor de prueba (V.TEST) = 99,99 / 3 grados de libertad.</w:t>
      </w:r>
    </w:p>
    <w:p w14:paraId="7AC62C73" w14:textId="583C170B" w:rsidR="00064C79" w:rsidRPr="000823E6" w:rsidRDefault="00064C79" w:rsidP="000823E6">
      <w:pPr>
        <w:pStyle w:val="Prrafodelista"/>
        <w:numPr>
          <w:ilvl w:val="0"/>
          <w:numId w:val="49"/>
        </w:numPr>
        <w:spacing w:before="100" w:beforeAutospacing="1" w:after="100" w:afterAutospacing="1" w:line="360" w:lineRule="auto"/>
        <w:ind w:left="714" w:hanging="357"/>
        <w:jc w:val="both"/>
        <w:rPr>
          <w:rFonts w:ascii="Arial" w:hAnsi="Arial" w:cs="Arial"/>
          <w:lang w:val="es-MX" w:eastAsia="en-US"/>
        </w:rPr>
      </w:pPr>
      <w:r w:rsidRPr="000823E6">
        <w:rPr>
          <w:rFonts w:ascii="Arial" w:eastAsia="Calibri" w:hAnsi="Arial" w:cs="Arial"/>
          <w:lang w:val="es-EC" w:eastAsia="en-US"/>
        </w:rPr>
        <w:t>Nivel de instrucción - Como se considera: Valor de prueba (V.TEST) = 5,48 / 4 grados de libertad</w:t>
      </w:r>
      <w:r w:rsidRPr="000823E6">
        <w:rPr>
          <w:rFonts w:ascii="Arial" w:hAnsi="Arial" w:cs="Arial"/>
          <w:lang w:val="es-MX" w:eastAsia="en-US"/>
        </w:rPr>
        <w:t>.</w:t>
      </w:r>
    </w:p>
    <w:p w14:paraId="1FA426AC" w14:textId="7D620BF6" w:rsidR="00064C79" w:rsidRPr="000823E6" w:rsidRDefault="00064C79" w:rsidP="000823E6">
      <w:pPr>
        <w:pStyle w:val="Prrafodelista"/>
        <w:numPr>
          <w:ilvl w:val="0"/>
          <w:numId w:val="49"/>
        </w:numPr>
        <w:spacing w:before="100" w:beforeAutospacing="1" w:after="100" w:afterAutospacing="1" w:line="360" w:lineRule="auto"/>
        <w:ind w:left="714" w:hanging="357"/>
        <w:jc w:val="both"/>
        <w:rPr>
          <w:rFonts w:ascii="Arial" w:hAnsi="Arial" w:cs="Arial"/>
          <w:lang w:val="es-MX" w:eastAsia="en-US"/>
        </w:rPr>
      </w:pPr>
      <w:r w:rsidRPr="000823E6">
        <w:rPr>
          <w:rFonts w:ascii="Arial" w:eastAsia="Calibri" w:hAnsi="Arial" w:cs="Arial"/>
          <w:lang w:val="es-EC" w:eastAsia="en-US"/>
        </w:rPr>
        <w:t>Nivel de instrucción - Trabajó la semana pasada: Valor de prueba (V.TEST) = 99,99 / 1 grado de libertad</w:t>
      </w:r>
      <w:r w:rsidRPr="000823E6">
        <w:rPr>
          <w:rFonts w:ascii="Arial" w:hAnsi="Arial" w:cs="Arial"/>
          <w:lang w:val="es-MX" w:eastAsia="en-US"/>
        </w:rPr>
        <w:t>.</w:t>
      </w:r>
    </w:p>
    <w:p w14:paraId="776C67BA" w14:textId="695976B2" w:rsidR="00064C79" w:rsidRPr="000823E6" w:rsidRDefault="00064C79" w:rsidP="000823E6">
      <w:pPr>
        <w:pStyle w:val="Prrafodelista"/>
        <w:numPr>
          <w:ilvl w:val="0"/>
          <w:numId w:val="49"/>
        </w:numPr>
        <w:spacing w:before="100" w:beforeAutospacing="1" w:after="100" w:afterAutospacing="1" w:line="360" w:lineRule="auto"/>
        <w:ind w:left="714" w:hanging="357"/>
        <w:jc w:val="both"/>
        <w:rPr>
          <w:rFonts w:ascii="Arial" w:hAnsi="Arial" w:cs="Arial"/>
          <w:lang w:val="es-MX" w:eastAsia="en-US"/>
        </w:rPr>
      </w:pPr>
      <w:r w:rsidRPr="000823E6">
        <w:rPr>
          <w:rFonts w:ascii="Arial" w:eastAsia="Calibri" w:hAnsi="Arial" w:cs="Arial"/>
          <w:lang w:val="es-EC" w:eastAsia="en-US"/>
        </w:rPr>
        <w:t>Nivel de instrucción - Condición de inactividad: Valor de prueba (V.TEST) = 99,99 / 3 grados de libertad</w:t>
      </w:r>
      <w:r w:rsidRPr="000823E6">
        <w:rPr>
          <w:rFonts w:ascii="Arial" w:hAnsi="Arial" w:cs="Arial"/>
          <w:lang w:val="es-MX" w:eastAsia="en-US"/>
        </w:rPr>
        <w:t>.</w:t>
      </w:r>
    </w:p>
    <w:p w14:paraId="14D44335" w14:textId="24973AF3" w:rsidR="00064C79" w:rsidRPr="000823E6" w:rsidRDefault="00064C79" w:rsidP="000823E6">
      <w:pPr>
        <w:pStyle w:val="Prrafodelista"/>
        <w:numPr>
          <w:ilvl w:val="0"/>
          <w:numId w:val="49"/>
        </w:numPr>
        <w:spacing w:before="100" w:beforeAutospacing="1" w:after="100" w:afterAutospacing="1" w:line="360" w:lineRule="auto"/>
        <w:ind w:left="714" w:hanging="357"/>
        <w:jc w:val="both"/>
        <w:rPr>
          <w:rFonts w:ascii="Arial" w:hAnsi="Arial" w:cs="Arial"/>
          <w:lang w:val="es-MX" w:eastAsia="en-US"/>
        </w:rPr>
      </w:pPr>
      <w:r w:rsidRPr="000823E6">
        <w:rPr>
          <w:rFonts w:ascii="Arial" w:eastAsia="Calibri" w:hAnsi="Arial" w:cs="Arial"/>
          <w:lang w:val="es-EC" w:eastAsia="en-US"/>
        </w:rPr>
        <w:t>Nivel de instrucción - Categoría de ocupación: Valor de prueba (V.TEST) = 99,99 / 3 grados de libertad</w:t>
      </w:r>
    </w:p>
    <w:p w14:paraId="2E230CD1" w14:textId="33E1E150" w:rsidR="00064C79" w:rsidRPr="000823E6" w:rsidRDefault="00064C79" w:rsidP="000823E6">
      <w:pPr>
        <w:pStyle w:val="Prrafodelista"/>
        <w:numPr>
          <w:ilvl w:val="0"/>
          <w:numId w:val="49"/>
        </w:numPr>
        <w:spacing w:before="100" w:beforeAutospacing="1" w:after="100" w:afterAutospacing="1" w:line="360" w:lineRule="auto"/>
        <w:ind w:left="714" w:hanging="357"/>
        <w:jc w:val="both"/>
        <w:rPr>
          <w:rFonts w:ascii="Arial" w:hAnsi="Arial" w:cs="Arial"/>
          <w:lang w:val="es-MX" w:eastAsia="en-US"/>
        </w:rPr>
      </w:pPr>
      <w:r w:rsidRPr="000823E6">
        <w:rPr>
          <w:rFonts w:ascii="Arial" w:eastAsia="Calibri" w:hAnsi="Arial" w:cs="Arial"/>
          <w:lang w:val="es-EC" w:eastAsia="en-US"/>
        </w:rPr>
        <w:lastRenderedPageBreak/>
        <w:t>Nivel de instrucción - El trabajo que tiene es: Valor de prueba (V.TEST) = 99,99 / 3 grados de libertad</w:t>
      </w:r>
      <w:r w:rsidRPr="000823E6">
        <w:rPr>
          <w:rFonts w:ascii="Arial" w:hAnsi="Arial" w:cs="Arial"/>
          <w:lang w:val="es-MX" w:eastAsia="en-US"/>
        </w:rPr>
        <w:t>.</w:t>
      </w:r>
    </w:p>
    <w:p w14:paraId="11AF691F" w14:textId="2032E0F3" w:rsidR="00064C79" w:rsidRPr="000823E6" w:rsidRDefault="00064C79" w:rsidP="000823E6">
      <w:pPr>
        <w:pStyle w:val="Prrafodelista"/>
        <w:numPr>
          <w:ilvl w:val="0"/>
          <w:numId w:val="49"/>
        </w:numPr>
        <w:spacing w:before="100" w:beforeAutospacing="1" w:after="100" w:afterAutospacing="1" w:line="360" w:lineRule="auto"/>
        <w:ind w:left="714" w:hanging="357"/>
        <w:jc w:val="both"/>
        <w:rPr>
          <w:rFonts w:ascii="Arial" w:hAnsi="Arial" w:cs="Arial"/>
          <w:lang w:val="es-MX" w:eastAsia="en-US"/>
        </w:rPr>
      </w:pPr>
      <w:r w:rsidRPr="000823E6">
        <w:rPr>
          <w:rFonts w:ascii="Arial" w:eastAsia="Calibri" w:hAnsi="Arial" w:cs="Arial"/>
          <w:lang w:val="es-EC" w:eastAsia="en-US"/>
        </w:rPr>
        <w:t>Nivel de instrucción - Sitio de trabajo: Valor de prueba (V.TEST) = 27,66 / 3 grados de libertad</w:t>
      </w:r>
      <w:r w:rsidRPr="000823E6">
        <w:rPr>
          <w:rFonts w:ascii="Arial" w:hAnsi="Arial" w:cs="Arial"/>
          <w:lang w:val="es-MX" w:eastAsia="en-US"/>
        </w:rPr>
        <w:t>.</w:t>
      </w:r>
    </w:p>
    <w:p w14:paraId="116090C6" w14:textId="5E950742" w:rsidR="00064C79" w:rsidRPr="000823E6" w:rsidRDefault="00064C79" w:rsidP="000823E6">
      <w:pPr>
        <w:pStyle w:val="Prrafodelista"/>
        <w:numPr>
          <w:ilvl w:val="0"/>
          <w:numId w:val="49"/>
        </w:numPr>
        <w:spacing w:before="100" w:beforeAutospacing="1" w:after="100" w:afterAutospacing="1" w:line="360" w:lineRule="auto"/>
        <w:ind w:left="714" w:hanging="357"/>
        <w:jc w:val="both"/>
        <w:rPr>
          <w:rFonts w:ascii="Arial" w:hAnsi="Arial" w:cs="Arial"/>
          <w:lang w:val="es-MX" w:eastAsia="en-US"/>
        </w:rPr>
      </w:pPr>
      <w:r w:rsidRPr="000823E6">
        <w:rPr>
          <w:rFonts w:ascii="Arial" w:eastAsia="Calibri" w:hAnsi="Arial" w:cs="Arial"/>
          <w:lang w:val="es-EC" w:eastAsia="en-US"/>
        </w:rPr>
        <w:t>Nivel de instrucción - Condición de actividad: Valor de prueba (V.TEST) = 99,99 / 3 grados de libertad</w:t>
      </w:r>
      <w:r w:rsidRPr="000823E6">
        <w:rPr>
          <w:rFonts w:ascii="Arial" w:hAnsi="Arial" w:cs="Arial"/>
          <w:lang w:val="es-MX" w:eastAsia="en-US"/>
        </w:rPr>
        <w:t>.</w:t>
      </w:r>
    </w:p>
    <w:p w14:paraId="409EAC7C" w14:textId="0BB14DE5" w:rsidR="00064C79" w:rsidRPr="000823E6" w:rsidRDefault="00064C79" w:rsidP="000823E6">
      <w:pPr>
        <w:pStyle w:val="Prrafodelista"/>
        <w:numPr>
          <w:ilvl w:val="0"/>
          <w:numId w:val="49"/>
        </w:numPr>
        <w:spacing w:before="100" w:beforeAutospacing="1" w:after="100" w:afterAutospacing="1" w:line="360" w:lineRule="auto"/>
        <w:ind w:left="714" w:hanging="357"/>
        <w:jc w:val="both"/>
        <w:rPr>
          <w:rFonts w:ascii="Arial" w:hAnsi="Arial" w:cs="Arial"/>
          <w:lang w:val="es-MX" w:eastAsia="en-US"/>
        </w:rPr>
      </w:pPr>
      <w:r w:rsidRPr="000823E6">
        <w:rPr>
          <w:rFonts w:ascii="Arial" w:eastAsia="Calibri" w:hAnsi="Arial" w:cs="Arial"/>
          <w:lang w:val="es-EC" w:eastAsia="en-US"/>
        </w:rPr>
        <w:t>Nivel de instrucción - Sectorización de los empleados: Valor de prueba (V.TEST) = 99,99 / 2 grados de libertad</w:t>
      </w:r>
      <w:r w:rsidRPr="000823E6">
        <w:rPr>
          <w:rFonts w:ascii="Arial" w:hAnsi="Arial" w:cs="Arial"/>
          <w:lang w:val="es-MX" w:eastAsia="en-US"/>
        </w:rPr>
        <w:t>.</w:t>
      </w:r>
    </w:p>
    <w:p w14:paraId="224BDF80" w14:textId="19E3F0F4" w:rsidR="00064C79" w:rsidRPr="000823E6" w:rsidRDefault="00064C79" w:rsidP="000823E6">
      <w:pPr>
        <w:pStyle w:val="Prrafodelista"/>
        <w:numPr>
          <w:ilvl w:val="0"/>
          <w:numId w:val="49"/>
        </w:numPr>
        <w:spacing w:before="100" w:beforeAutospacing="1" w:after="100" w:afterAutospacing="1" w:line="360" w:lineRule="auto"/>
        <w:ind w:left="714" w:hanging="357"/>
        <w:jc w:val="both"/>
        <w:rPr>
          <w:rFonts w:ascii="Arial" w:hAnsi="Arial" w:cs="Arial"/>
          <w:lang w:val="es-MX" w:eastAsia="en-US"/>
        </w:rPr>
      </w:pPr>
      <w:r w:rsidRPr="000823E6">
        <w:rPr>
          <w:rFonts w:ascii="Arial" w:eastAsia="Calibri" w:hAnsi="Arial" w:cs="Arial"/>
          <w:lang w:val="es-EC" w:eastAsia="en-US"/>
        </w:rPr>
        <w:t>Nivel de instrucción - Grupo de ocupación: Valor de prueba (V.TEST) = 99,99 / 3 grados de libertad</w:t>
      </w:r>
      <w:r w:rsidRPr="000823E6">
        <w:rPr>
          <w:rFonts w:ascii="Arial" w:hAnsi="Arial" w:cs="Arial"/>
          <w:lang w:val="es-MX" w:eastAsia="en-US"/>
        </w:rPr>
        <w:t>.</w:t>
      </w:r>
    </w:p>
    <w:p w14:paraId="53C9EBCB" w14:textId="1EB79A0E" w:rsidR="00064C79" w:rsidRPr="000823E6" w:rsidRDefault="00064C79" w:rsidP="000823E6">
      <w:pPr>
        <w:pStyle w:val="Prrafodelista"/>
        <w:numPr>
          <w:ilvl w:val="0"/>
          <w:numId w:val="49"/>
        </w:numPr>
        <w:spacing w:before="100" w:beforeAutospacing="1" w:after="100" w:afterAutospacing="1" w:line="360" w:lineRule="auto"/>
        <w:ind w:left="714" w:hanging="357"/>
        <w:jc w:val="both"/>
        <w:rPr>
          <w:rFonts w:ascii="Arial" w:hAnsi="Arial" w:cs="Arial"/>
          <w:lang w:val="es-MX" w:eastAsia="en-US"/>
        </w:rPr>
      </w:pPr>
      <w:r w:rsidRPr="000823E6">
        <w:rPr>
          <w:rFonts w:ascii="Arial" w:eastAsia="Calibri" w:hAnsi="Arial" w:cs="Arial"/>
          <w:lang w:val="es-EC" w:eastAsia="en-US"/>
        </w:rPr>
        <w:t>Nivel de instrucción - Rama de actividad: Valor de prueba (V.TEST) = 56,11 / 20 grados de libertad</w:t>
      </w:r>
      <w:r w:rsidRPr="000823E6">
        <w:rPr>
          <w:rFonts w:ascii="Arial" w:hAnsi="Arial" w:cs="Arial"/>
          <w:lang w:val="es-MX" w:eastAsia="en-US"/>
        </w:rPr>
        <w:t>.</w:t>
      </w:r>
    </w:p>
    <w:p w14:paraId="0467B0BA" w14:textId="2E57E2E0" w:rsidR="00064C79" w:rsidRPr="000823E6" w:rsidRDefault="00064C79" w:rsidP="000823E6">
      <w:pPr>
        <w:pStyle w:val="Prrafodelista"/>
        <w:numPr>
          <w:ilvl w:val="0"/>
          <w:numId w:val="49"/>
        </w:numPr>
        <w:spacing w:before="100" w:beforeAutospacing="1" w:after="100" w:afterAutospacing="1" w:line="360" w:lineRule="auto"/>
        <w:ind w:left="714" w:hanging="357"/>
        <w:jc w:val="both"/>
        <w:rPr>
          <w:rFonts w:ascii="Arial" w:hAnsi="Arial" w:cs="Arial"/>
          <w:lang w:val="es-MX" w:eastAsia="en-US"/>
        </w:rPr>
      </w:pPr>
      <w:r w:rsidRPr="000823E6">
        <w:rPr>
          <w:rFonts w:ascii="Arial" w:eastAsia="Calibri" w:hAnsi="Arial" w:cs="Arial"/>
          <w:lang w:val="es-EC" w:eastAsia="en-US"/>
        </w:rPr>
        <w:t>Nivel de instrucción - Pobreza: Valor de prueba (V.TEST) = 12,12 / 1 grado de libertad</w:t>
      </w:r>
      <w:r w:rsidRPr="000823E6">
        <w:rPr>
          <w:rFonts w:ascii="Arial" w:hAnsi="Arial" w:cs="Arial"/>
          <w:lang w:val="es-MX" w:eastAsia="en-US"/>
        </w:rPr>
        <w:t>.</w:t>
      </w:r>
    </w:p>
    <w:p w14:paraId="18F38B37" w14:textId="260BDD91" w:rsidR="00064C79" w:rsidRPr="000823E6" w:rsidRDefault="00064C79" w:rsidP="000823E6">
      <w:pPr>
        <w:pStyle w:val="Prrafodelista"/>
        <w:numPr>
          <w:ilvl w:val="0"/>
          <w:numId w:val="49"/>
        </w:numPr>
        <w:spacing w:before="100" w:beforeAutospacing="1" w:after="100" w:afterAutospacing="1" w:line="360" w:lineRule="auto"/>
        <w:ind w:left="714" w:hanging="357"/>
        <w:jc w:val="both"/>
        <w:rPr>
          <w:rFonts w:ascii="Arial" w:hAnsi="Arial" w:cs="Arial"/>
          <w:lang w:val="es-MX" w:eastAsia="en-US"/>
        </w:rPr>
      </w:pPr>
      <w:r w:rsidRPr="000823E6">
        <w:rPr>
          <w:rFonts w:ascii="Arial" w:eastAsia="Calibri" w:hAnsi="Arial" w:cs="Arial"/>
          <w:lang w:val="es-EC" w:eastAsia="en-US"/>
        </w:rPr>
        <w:t>Nivel de instrucción - Pobreza extrema: Valor de prueba (V.TEST) = 6,68 / 1 grado de libertad</w:t>
      </w:r>
      <w:r w:rsidRPr="000823E6">
        <w:rPr>
          <w:rFonts w:ascii="Arial" w:hAnsi="Arial" w:cs="Arial"/>
          <w:lang w:val="es-MX" w:eastAsia="en-US"/>
        </w:rPr>
        <w:t>.</w:t>
      </w:r>
    </w:p>
    <w:p w14:paraId="523086EF" w14:textId="77777777" w:rsidR="00064C79" w:rsidRPr="000823E6" w:rsidRDefault="00064C79" w:rsidP="000823E6">
      <w:pPr>
        <w:spacing w:before="100" w:beforeAutospacing="1" w:after="100" w:afterAutospacing="1" w:line="360" w:lineRule="auto"/>
        <w:jc w:val="both"/>
        <w:rPr>
          <w:rFonts w:ascii="Arial" w:eastAsia="Calibri" w:hAnsi="Arial" w:cs="Arial"/>
          <w:lang w:val="es-EC" w:eastAsia="en-US"/>
        </w:rPr>
      </w:pPr>
      <w:r w:rsidRPr="000823E6">
        <w:rPr>
          <w:rFonts w:ascii="Arial" w:eastAsia="Calibri" w:hAnsi="Arial" w:cs="Arial"/>
          <w:lang w:val="es-EC" w:eastAsia="en-US"/>
        </w:rPr>
        <w:t>Los resultados del análisis muestran que el nivel de instrucción (superior universitario - posgrado) está significativamente correlacionado con todas las variables estudiadas. Destacan relaciones especialmente fuertes con factores laborales, como la categoría de ocupación y la condición de actividad, y con aspectos sociales, por ejemplo, edad y estado civil.</w:t>
      </w:r>
    </w:p>
    <w:p w14:paraId="0BB250F1" w14:textId="77777777" w:rsidR="00064C79" w:rsidRPr="00064C79" w:rsidRDefault="00064C79" w:rsidP="003E69FC">
      <w:pPr>
        <w:spacing w:before="100" w:beforeAutospacing="1" w:after="100" w:afterAutospacing="1" w:line="360" w:lineRule="auto"/>
        <w:jc w:val="both"/>
        <w:rPr>
          <w:rFonts w:ascii="Arial" w:hAnsi="Arial" w:cs="Arial"/>
          <w:b/>
          <w:lang w:val="es-EC" w:eastAsia="en-US"/>
        </w:rPr>
      </w:pPr>
      <w:r w:rsidRPr="00064C79">
        <w:rPr>
          <w:rFonts w:ascii="Arial" w:hAnsi="Arial" w:cs="Arial"/>
          <w:b/>
          <w:lang w:val="es-EC" w:eastAsia="en-US"/>
        </w:rPr>
        <w:lastRenderedPageBreak/>
        <w:t>Resultados del análisis descriptivo con uso de tablas de contingencia</w:t>
      </w:r>
    </w:p>
    <w:p w14:paraId="52D7D2B7" w14:textId="77777777" w:rsidR="00064C79" w:rsidRPr="00064C79" w:rsidRDefault="00064C79" w:rsidP="003E69FC">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t>El 91,98% de las personas de 25 a 64 años con posgrado residen en áreas urbanas, mientras que el 88,22% de las personas con educación superior universitaria también lo hacen. Esto muestra que, aunque ambos grupos están altamente concentrados en las zonas urbanas, la proporción de personas con posgrado es mayor, lo que indica una tendencia más acentuada de las personas con estudios de posgrado a vivir en áreas urbanas en comparación con las personas con nivel de instrucción superior universitario (tabla de contingencia 1).</w:t>
      </w:r>
    </w:p>
    <w:p w14:paraId="03266542" w14:textId="691D7F8A" w:rsidR="00064C79" w:rsidRPr="00E94942" w:rsidRDefault="00064C79" w:rsidP="00E94942">
      <w:pPr>
        <w:spacing w:after="100" w:afterAutospacing="1"/>
        <w:jc w:val="center"/>
        <w:rPr>
          <w:rFonts w:ascii="Arial" w:eastAsia="Calibri" w:hAnsi="Arial" w:cs="Arial"/>
          <w:b/>
          <w:iCs/>
          <w:sz w:val="20"/>
          <w:szCs w:val="20"/>
          <w:lang w:val="es-EC" w:eastAsia="en-US"/>
        </w:rPr>
      </w:pPr>
      <w:r w:rsidRPr="00E94942">
        <w:rPr>
          <w:rFonts w:ascii="Arial" w:eastAsia="Calibri" w:hAnsi="Arial" w:cs="Arial"/>
          <w:b/>
          <w:bCs/>
          <w:sz w:val="20"/>
          <w:szCs w:val="20"/>
          <w:lang w:val="es-EC" w:eastAsia="en-US"/>
        </w:rPr>
        <w:t>Tabla de contingencia 1</w:t>
      </w:r>
      <w:r w:rsidR="00E94942" w:rsidRPr="00E94942">
        <w:rPr>
          <w:rFonts w:ascii="Arial" w:eastAsia="Calibri" w:hAnsi="Arial" w:cs="Arial"/>
          <w:b/>
          <w:bCs/>
          <w:sz w:val="20"/>
          <w:szCs w:val="20"/>
          <w:lang w:val="es-EC" w:eastAsia="en-US"/>
        </w:rPr>
        <w:t xml:space="preserve">. </w:t>
      </w:r>
      <w:r w:rsidRPr="00E94942">
        <w:rPr>
          <w:rFonts w:ascii="Arial" w:eastAsia="Calibri" w:hAnsi="Arial" w:cs="Arial"/>
          <w:b/>
          <w:iCs/>
          <w:sz w:val="20"/>
          <w:szCs w:val="20"/>
          <w:lang w:val="es-EC" w:eastAsia="en-US"/>
        </w:rPr>
        <w:t>Nivel de instrucción - Área</w:t>
      </w:r>
    </w:p>
    <w:tbl>
      <w:tblPr>
        <w:tblW w:w="5134" w:type="pct"/>
        <w:jc w:val="center"/>
        <w:tblLook w:val="04A0" w:firstRow="1" w:lastRow="0" w:firstColumn="1" w:lastColumn="0" w:noHBand="0" w:noVBand="1"/>
      </w:tblPr>
      <w:tblGrid>
        <w:gridCol w:w="1859"/>
        <w:gridCol w:w="2174"/>
        <w:gridCol w:w="1745"/>
        <w:gridCol w:w="1491"/>
        <w:gridCol w:w="1745"/>
      </w:tblGrid>
      <w:tr w:rsidR="00064C79" w:rsidRPr="00E94942" w14:paraId="555AACAB" w14:textId="77777777" w:rsidTr="0012304C">
        <w:trPr>
          <w:trHeight w:val="550"/>
          <w:jc w:val="center"/>
        </w:trPr>
        <w:tc>
          <w:tcPr>
            <w:tcW w:w="223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3074201" w14:textId="77777777" w:rsidR="00064C79" w:rsidRPr="00E94942" w:rsidRDefault="00064C79" w:rsidP="00E94942">
            <w:pPr>
              <w:spacing w:line="276" w:lineRule="auto"/>
              <w:jc w:val="both"/>
              <w:rPr>
                <w:rFonts w:ascii="Arial" w:hAnsi="Arial" w:cs="Arial"/>
                <w:b/>
                <w:bCs/>
                <w:sz w:val="20"/>
                <w:szCs w:val="20"/>
                <w:lang w:val="es-EC" w:eastAsia="es-EC"/>
              </w:rPr>
            </w:pPr>
            <w:r w:rsidRPr="00E94942">
              <w:rPr>
                <w:rFonts w:ascii="Arial" w:hAnsi="Arial" w:cs="Arial"/>
                <w:b/>
                <w:bCs/>
                <w:sz w:val="20"/>
                <w:szCs w:val="20"/>
                <w:lang w:val="es-EC" w:eastAsia="es-EC"/>
              </w:rPr>
              <w:t> </w:t>
            </w:r>
          </w:p>
        </w:tc>
        <w:tc>
          <w:tcPr>
            <w:tcW w:w="1795" w:type="pct"/>
            <w:gridSpan w:val="2"/>
            <w:tcBorders>
              <w:top w:val="single" w:sz="4" w:space="0" w:color="000000"/>
              <w:left w:val="nil"/>
              <w:bottom w:val="single" w:sz="4" w:space="0" w:color="000000"/>
              <w:right w:val="single" w:sz="4" w:space="0" w:color="000000"/>
            </w:tcBorders>
            <w:shd w:val="clear" w:color="auto" w:fill="auto"/>
            <w:tcMar>
              <w:left w:w="70" w:type="dxa"/>
              <w:right w:w="70" w:type="dxa"/>
            </w:tcMar>
            <w:vAlign w:val="center"/>
          </w:tcPr>
          <w:p w14:paraId="787C26EF" w14:textId="77777777" w:rsidR="00064C79" w:rsidRPr="00E94942" w:rsidRDefault="00064C79" w:rsidP="00E94942">
            <w:pPr>
              <w:spacing w:line="276" w:lineRule="auto"/>
              <w:jc w:val="center"/>
              <w:rPr>
                <w:rFonts w:ascii="Arial" w:hAnsi="Arial" w:cs="Arial"/>
                <w:b/>
                <w:bCs/>
                <w:sz w:val="20"/>
                <w:szCs w:val="20"/>
                <w:lang w:val="es-EC" w:eastAsia="es-EC"/>
              </w:rPr>
            </w:pPr>
            <w:r w:rsidRPr="00E94942">
              <w:rPr>
                <w:rFonts w:ascii="Arial" w:hAnsi="Arial" w:cs="Arial"/>
                <w:b/>
                <w:bCs/>
                <w:sz w:val="20"/>
                <w:szCs w:val="20"/>
                <w:lang w:val="es-EC" w:eastAsia="es-EC"/>
              </w:rPr>
              <w:t>Área</w:t>
            </w:r>
          </w:p>
        </w:tc>
        <w:tc>
          <w:tcPr>
            <w:tcW w:w="968" w:type="pct"/>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DEE986F" w14:textId="77777777" w:rsidR="00064C79" w:rsidRPr="00E94942" w:rsidRDefault="00064C79" w:rsidP="00E94942">
            <w:pPr>
              <w:spacing w:line="276" w:lineRule="auto"/>
              <w:jc w:val="center"/>
              <w:rPr>
                <w:rFonts w:ascii="Arial" w:hAnsi="Arial" w:cs="Arial"/>
                <w:b/>
                <w:bCs/>
                <w:sz w:val="20"/>
                <w:szCs w:val="20"/>
                <w:lang w:val="es-EC" w:eastAsia="es-EC"/>
              </w:rPr>
            </w:pPr>
            <w:r w:rsidRPr="00E94942">
              <w:rPr>
                <w:rFonts w:ascii="Arial" w:hAnsi="Arial" w:cs="Arial"/>
                <w:b/>
                <w:bCs/>
                <w:sz w:val="20"/>
                <w:szCs w:val="20"/>
                <w:lang w:val="es-EC" w:eastAsia="es-EC"/>
              </w:rPr>
              <w:t>Total</w:t>
            </w:r>
          </w:p>
        </w:tc>
      </w:tr>
      <w:tr w:rsidR="00064C79" w:rsidRPr="00E94942" w14:paraId="553D753E" w14:textId="77777777" w:rsidTr="0012304C">
        <w:trPr>
          <w:trHeight w:val="550"/>
          <w:jc w:val="center"/>
        </w:trPr>
        <w:tc>
          <w:tcPr>
            <w:tcW w:w="2237"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29F0DDE" w14:textId="77777777" w:rsidR="00064C79" w:rsidRPr="00E94942" w:rsidRDefault="00064C79" w:rsidP="00E94942">
            <w:pPr>
              <w:spacing w:line="276" w:lineRule="auto"/>
              <w:rPr>
                <w:rFonts w:ascii="Arial" w:eastAsia="Calibri" w:hAnsi="Arial" w:cs="Arial"/>
                <w:b/>
                <w:bCs/>
                <w:sz w:val="20"/>
                <w:szCs w:val="20"/>
                <w:lang w:val="es-EC" w:eastAsia="en-US"/>
              </w:rPr>
            </w:pPr>
          </w:p>
        </w:tc>
        <w:tc>
          <w:tcPr>
            <w:tcW w:w="968" w:type="pct"/>
            <w:tcBorders>
              <w:top w:val="nil"/>
              <w:left w:val="nil"/>
              <w:bottom w:val="single" w:sz="4" w:space="0" w:color="000000"/>
              <w:right w:val="single" w:sz="4" w:space="0" w:color="000000"/>
            </w:tcBorders>
            <w:shd w:val="clear" w:color="auto" w:fill="auto"/>
            <w:tcMar>
              <w:left w:w="70" w:type="dxa"/>
              <w:right w:w="70" w:type="dxa"/>
            </w:tcMar>
            <w:vAlign w:val="center"/>
          </w:tcPr>
          <w:p w14:paraId="7AE3A6C8" w14:textId="77777777" w:rsidR="00064C79" w:rsidRPr="00E94942" w:rsidRDefault="00064C79" w:rsidP="00E94942">
            <w:pPr>
              <w:spacing w:line="276" w:lineRule="auto"/>
              <w:jc w:val="center"/>
              <w:rPr>
                <w:rFonts w:ascii="Arial" w:hAnsi="Arial" w:cs="Arial"/>
                <w:b/>
                <w:bCs/>
                <w:sz w:val="20"/>
                <w:szCs w:val="20"/>
                <w:lang w:val="es-EC" w:eastAsia="es-EC"/>
              </w:rPr>
            </w:pPr>
            <w:r w:rsidRPr="00E94942">
              <w:rPr>
                <w:rFonts w:ascii="Arial" w:hAnsi="Arial" w:cs="Arial"/>
                <w:b/>
                <w:bCs/>
                <w:sz w:val="20"/>
                <w:szCs w:val="20"/>
                <w:lang w:val="es-EC" w:eastAsia="es-EC"/>
              </w:rPr>
              <w:t>Urbana</w:t>
            </w:r>
          </w:p>
        </w:tc>
        <w:tc>
          <w:tcPr>
            <w:tcW w:w="827" w:type="pct"/>
            <w:tcBorders>
              <w:top w:val="nil"/>
              <w:left w:val="nil"/>
              <w:bottom w:val="single" w:sz="4" w:space="0" w:color="000000"/>
              <w:right w:val="single" w:sz="4" w:space="0" w:color="000000"/>
            </w:tcBorders>
            <w:shd w:val="clear" w:color="auto" w:fill="auto"/>
            <w:tcMar>
              <w:left w:w="70" w:type="dxa"/>
              <w:right w:w="70" w:type="dxa"/>
            </w:tcMar>
            <w:vAlign w:val="center"/>
          </w:tcPr>
          <w:p w14:paraId="0A823C26" w14:textId="77777777" w:rsidR="00064C79" w:rsidRPr="00E94942" w:rsidRDefault="00064C79" w:rsidP="00E94942">
            <w:pPr>
              <w:spacing w:line="276" w:lineRule="auto"/>
              <w:jc w:val="center"/>
              <w:rPr>
                <w:rFonts w:ascii="Arial" w:hAnsi="Arial" w:cs="Arial"/>
                <w:b/>
                <w:bCs/>
                <w:sz w:val="20"/>
                <w:szCs w:val="20"/>
                <w:lang w:val="es-EC" w:eastAsia="es-EC"/>
              </w:rPr>
            </w:pPr>
            <w:r w:rsidRPr="00E94942">
              <w:rPr>
                <w:rFonts w:ascii="Arial" w:hAnsi="Arial" w:cs="Arial"/>
                <w:b/>
                <w:bCs/>
                <w:sz w:val="20"/>
                <w:szCs w:val="20"/>
                <w:lang w:val="es-EC" w:eastAsia="es-EC"/>
              </w:rPr>
              <w:t>Rural</w:t>
            </w:r>
          </w:p>
        </w:tc>
        <w:tc>
          <w:tcPr>
            <w:tcW w:w="968" w:type="pct"/>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14A2A16" w14:textId="77777777" w:rsidR="00064C79" w:rsidRPr="00E94942" w:rsidRDefault="00064C79" w:rsidP="00E94942">
            <w:pPr>
              <w:spacing w:line="276" w:lineRule="auto"/>
              <w:rPr>
                <w:rFonts w:ascii="Arial" w:eastAsia="Calibri" w:hAnsi="Arial" w:cs="Arial"/>
                <w:sz w:val="20"/>
                <w:szCs w:val="20"/>
                <w:lang w:val="es-EC" w:eastAsia="en-US"/>
              </w:rPr>
            </w:pPr>
          </w:p>
        </w:tc>
      </w:tr>
      <w:tr w:rsidR="00064C79" w:rsidRPr="00E94942" w14:paraId="205A97C5" w14:textId="77777777" w:rsidTr="0012304C">
        <w:trPr>
          <w:trHeight w:val="550"/>
          <w:jc w:val="center"/>
        </w:trPr>
        <w:tc>
          <w:tcPr>
            <w:tcW w:w="1031"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31C7B0E7" w14:textId="77777777" w:rsidR="00064C79" w:rsidRPr="00E94942" w:rsidRDefault="00064C79" w:rsidP="00E94942">
            <w:pPr>
              <w:spacing w:line="276" w:lineRule="auto"/>
              <w:jc w:val="center"/>
              <w:rPr>
                <w:rFonts w:ascii="Arial" w:hAnsi="Arial" w:cs="Arial"/>
                <w:b/>
                <w:bCs/>
                <w:sz w:val="20"/>
                <w:szCs w:val="20"/>
                <w:lang w:val="es-EC" w:eastAsia="es-EC"/>
              </w:rPr>
            </w:pPr>
            <w:r w:rsidRPr="00E94942">
              <w:rPr>
                <w:rFonts w:ascii="Arial" w:hAnsi="Arial" w:cs="Arial"/>
                <w:b/>
                <w:bCs/>
                <w:sz w:val="20"/>
                <w:szCs w:val="20"/>
                <w:lang w:val="es-EC" w:eastAsia="es-EC"/>
              </w:rPr>
              <w:t>Nivel de instrucción</w:t>
            </w:r>
          </w:p>
        </w:tc>
        <w:tc>
          <w:tcPr>
            <w:tcW w:w="1206"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54DA5E8A" w14:textId="77777777" w:rsidR="00064C79" w:rsidRPr="00E94942" w:rsidRDefault="00064C79" w:rsidP="00E94942">
            <w:pPr>
              <w:spacing w:line="276" w:lineRule="auto"/>
              <w:jc w:val="center"/>
              <w:rPr>
                <w:rFonts w:ascii="Arial" w:hAnsi="Arial" w:cs="Arial"/>
                <w:b/>
                <w:bCs/>
                <w:sz w:val="20"/>
                <w:szCs w:val="20"/>
                <w:lang w:val="es-EC" w:eastAsia="es-EC"/>
              </w:rPr>
            </w:pPr>
            <w:r w:rsidRPr="00E94942">
              <w:rPr>
                <w:rFonts w:ascii="Arial" w:hAnsi="Arial" w:cs="Arial"/>
                <w:b/>
                <w:bCs/>
                <w:sz w:val="20"/>
                <w:szCs w:val="20"/>
                <w:lang w:val="es-EC" w:eastAsia="es-EC"/>
              </w:rPr>
              <w:t>Superior Universitario</w:t>
            </w:r>
          </w:p>
        </w:tc>
        <w:tc>
          <w:tcPr>
            <w:tcW w:w="968" w:type="pct"/>
            <w:tcBorders>
              <w:top w:val="nil"/>
              <w:left w:val="nil"/>
              <w:bottom w:val="single" w:sz="4" w:space="0" w:color="000000"/>
              <w:right w:val="single" w:sz="4" w:space="0" w:color="000000"/>
            </w:tcBorders>
            <w:shd w:val="clear" w:color="auto" w:fill="auto"/>
            <w:tcMar>
              <w:left w:w="70" w:type="dxa"/>
              <w:right w:w="70" w:type="dxa"/>
            </w:tcMar>
          </w:tcPr>
          <w:p w14:paraId="5869BF0E"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1.239.183</w:t>
            </w:r>
          </w:p>
        </w:tc>
        <w:tc>
          <w:tcPr>
            <w:tcW w:w="827" w:type="pct"/>
            <w:tcBorders>
              <w:top w:val="nil"/>
              <w:left w:val="nil"/>
              <w:bottom w:val="single" w:sz="4" w:space="0" w:color="000000"/>
              <w:right w:val="single" w:sz="4" w:space="0" w:color="000000"/>
            </w:tcBorders>
            <w:shd w:val="clear" w:color="auto" w:fill="auto"/>
            <w:tcMar>
              <w:left w:w="70" w:type="dxa"/>
              <w:right w:w="70" w:type="dxa"/>
            </w:tcMar>
          </w:tcPr>
          <w:p w14:paraId="6BD35DA4"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165.456</w:t>
            </w:r>
          </w:p>
        </w:tc>
        <w:tc>
          <w:tcPr>
            <w:tcW w:w="968" w:type="pct"/>
            <w:tcBorders>
              <w:top w:val="nil"/>
              <w:left w:val="nil"/>
              <w:bottom w:val="single" w:sz="4" w:space="0" w:color="000000"/>
              <w:right w:val="single" w:sz="4" w:space="0" w:color="000000"/>
            </w:tcBorders>
            <w:shd w:val="clear" w:color="auto" w:fill="auto"/>
            <w:tcMar>
              <w:left w:w="70" w:type="dxa"/>
              <w:right w:w="70" w:type="dxa"/>
            </w:tcMar>
          </w:tcPr>
          <w:p w14:paraId="26BC4973"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1.404.639</w:t>
            </w:r>
          </w:p>
        </w:tc>
      </w:tr>
      <w:tr w:rsidR="00064C79" w:rsidRPr="00E94942" w14:paraId="694DFBCE" w14:textId="77777777" w:rsidTr="0012304C">
        <w:trPr>
          <w:trHeight w:val="550"/>
          <w:jc w:val="center"/>
        </w:trPr>
        <w:tc>
          <w:tcPr>
            <w:tcW w:w="1031" w:type="pct"/>
            <w:vMerge/>
            <w:tcBorders>
              <w:top w:val="nil"/>
              <w:left w:val="single" w:sz="4" w:space="0" w:color="000000"/>
              <w:bottom w:val="single" w:sz="4" w:space="0" w:color="000000"/>
              <w:right w:val="single" w:sz="4" w:space="0" w:color="000000"/>
            </w:tcBorders>
            <w:tcMar>
              <w:left w:w="70" w:type="dxa"/>
              <w:right w:w="70" w:type="dxa"/>
            </w:tcMar>
            <w:vAlign w:val="center"/>
          </w:tcPr>
          <w:p w14:paraId="4E7D35FC" w14:textId="77777777" w:rsidR="00064C79" w:rsidRPr="00E94942" w:rsidRDefault="00064C79" w:rsidP="00E94942">
            <w:pPr>
              <w:spacing w:line="276" w:lineRule="auto"/>
              <w:jc w:val="center"/>
              <w:rPr>
                <w:rFonts w:ascii="Arial" w:eastAsia="Calibri" w:hAnsi="Arial" w:cs="Arial"/>
                <w:b/>
                <w:bCs/>
                <w:sz w:val="20"/>
                <w:szCs w:val="20"/>
                <w:lang w:val="es-EC" w:eastAsia="en-US"/>
              </w:rPr>
            </w:pPr>
          </w:p>
        </w:tc>
        <w:tc>
          <w:tcPr>
            <w:tcW w:w="1206" w:type="pct"/>
            <w:vMerge/>
            <w:tcBorders>
              <w:top w:val="nil"/>
              <w:left w:val="single" w:sz="4" w:space="0" w:color="000000"/>
              <w:bottom w:val="single" w:sz="4" w:space="0" w:color="000000"/>
              <w:right w:val="single" w:sz="4" w:space="0" w:color="000000"/>
            </w:tcBorders>
            <w:tcMar>
              <w:left w:w="70" w:type="dxa"/>
              <w:right w:w="70" w:type="dxa"/>
            </w:tcMar>
            <w:vAlign w:val="center"/>
          </w:tcPr>
          <w:p w14:paraId="348CE116" w14:textId="77777777" w:rsidR="00064C79" w:rsidRPr="00E94942" w:rsidRDefault="00064C79" w:rsidP="00E94942">
            <w:pPr>
              <w:spacing w:line="276" w:lineRule="auto"/>
              <w:jc w:val="center"/>
              <w:rPr>
                <w:rFonts w:ascii="Arial" w:eastAsia="Calibri" w:hAnsi="Arial" w:cs="Arial"/>
                <w:b/>
                <w:bCs/>
                <w:sz w:val="20"/>
                <w:szCs w:val="20"/>
                <w:lang w:val="es-EC" w:eastAsia="en-US"/>
              </w:rPr>
            </w:pPr>
          </w:p>
        </w:tc>
        <w:tc>
          <w:tcPr>
            <w:tcW w:w="968" w:type="pct"/>
            <w:tcBorders>
              <w:top w:val="nil"/>
              <w:left w:val="nil"/>
              <w:bottom w:val="single" w:sz="4" w:space="0" w:color="000000"/>
              <w:right w:val="single" w:sz="4" w:space="0" w:color="000000"/>
            </w:tcBorders>
            <w:shd w:val="clear" w:color="auto" w:fill="auto"/>
            <w:tcMar>
              <w:left w:w="70" w:type="dxa"/>
              <w:right w:w="70" w:type="dxa"/>
            </w:tcMar>
          </w:tcPr>
          <w:p w14:paraId="1BA3C8FC"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88,22%</w:t>
            </w:r>
          </w:p>
        </w:tc>
        <w:tc>
          <w:tcPr>
            <w:tcW w:w="827" w:type="pct"/>
            <w:tcBorders>
              <w:top w:val="nil"/>
              <w:left w:val="nil"/>
              <w:bottom w:val="single" w:sz="4" w:space="0" w:color="000000"/>
              <w:right w:val="single" w:sz="4" w:space="0" w:color="000000"/>
            </w:tcBorders>
            <w:shd w:val="clear" w:color="auto" w:fill="auto"/>
            <w:tcMar>
              <w:left w:w="70" w:type="dxa"/>
              <w:right w:w="70" w:type="dxa"/>
            </w:tcMar>
          </w:tcPr>
          <w:p w14:paraId="756223AA"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11,78%</w:t>
            </w:r>
          </w:p>
        </w:tc>
        <w:tc>
          <w:tcPr>
            <w:tcW w:w="968" w:type="pct"/>
            <w:tcBorders>
              <w:top w:val="nil"/>
              <w:left w:val="nil"/>
              <w:bottom w:val="single" w:sz="4" w:space="0" w:color="000000"/>
              <w:right w:val="single" w:sz="4" w:space="0" w:color="000000"/>
            </w:tcBorders>
            <w:shd w:val="clear" w:color="auto" w:fill="auto"/>
            <w:tcMar>
              <w:left w:w="70" w:type="dxa"/>
              <w:right w:w="70" w:type="dxa"/>
            </w:tcMar>
          </w:tcPr>
          <w:p w14:paraId="50FF32D5"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100,00%</w:t>
            </w:r>
          </w:p>
        </w:tc>
      </w:tr>
      <w:tr w:rsidR="00064C79" w:rsidRPr="00E94942" w14:paraId="6615B8C1" w14:textId="77777777" w:rsidTr="0012304C">
        <w:trPr>
          <w:trHeight w:val="550"/>
          <w:jc w:val="center"/>
        </w:trPr>
        <w:tc>
          <w:tcPr>
            <w:tcW w:w="1031" w:type="pct"/>
            <w:vMerge/>
            <w:tcBorders>
              <w:top w:val="nil"/>
              <w:left w:val="single" w:sz="4" w:space="0" w:color="000000"/>
              <w:bottom w:val="single" w:sz="4" w:space="0" w:color="000000"/>
              <w:right w:val="single" w:sz="4" w:space="0" w:color="000000"/>
            </w:tcBorders>
            <w:tcMar>
              <w:left w:w="70" w:type="dxa"/>
              <w:right w:w="70" w:type="dxa"/>
            </w:tcMar>
            <w:vAlign w:val="center"/>
          </w:tcPr>
          <w:p w14:paraId="6FC1F349" w14:textId="77777777" w:rsidR="00064C79" w:rsidRPr="00E94942" w:rsidRDefault="00064C79" w:rsidP="00E94942">
            <w:pPr>
              <w:spacing w:line="276" w:lineRule="auto"/>
              <w:jc w:val="center"/>
              <w:rPr>
                <w:rFonts w:ascii="Arial" w:eastAsia="Calibri" w:hAnsi="Arial" w:cs="Arial"/>
                <w:b/>
                <w:bCs/>
                <w:sz w:val="20"/>
                <w:szCs w:val="20"/>
                <w:lang w:val="es-EC" w:eastAsia="en-US"/>
              </w:rPr>
            </w:pPr>
          </w:p>
        </w:tc>
        <w:tc>
          <w:tcPr>
            <w:tcW w:w="1206"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7E9F3578" w14:textId="77777777" w:rsidR="00064C79" w:rsidRPr="00E94942" w:rsidRDefault="00064C79" w:rsidP="00E94942">
            <w:pPr>
              <w:spacing w:line="276" w:lineRule="auto"/>
              <w:jc w:val="center"/>
              <w:rPr>
                <w:rFonts w:ascii="Arial" w:hAnsi="Arial" w:cs="Arial"/>
                <w:b/>
                <w:bCs/>
                <w:sz w:val="20"/>
                <w:szCs w:val="20"/>
                <w:lang w:val="es-EC" w:eastAsia="es-EC"/>
              </w:rPr>
            </w:pPr>
            <w:r w:rsidRPr="00E94942">
              <w:rPr>
                <w:rFonts w:ascii="Arial" w:hAnsi="Arial" w:cs="Arial"/>
                <w:b/>
                <w:bCs/>
                <w:sz w:val="20"/>
                <w:szCs w:val="20"/>
                <w:lang w:val="es-EC" w:eastAsia="es-EC"/>
              </w:rPr>
              <w:t>Posgrado</w:t>
            </w:r>
          </w:p>
        </w:tc>
        <w:tc>
          <w:tcPr>
            <w:tcW w:w="968" w:type="pct"/>
            <w:tcBorders>
              <w:top w:val="nil"/>
              <w:left w:val="nil"/>
              <w:bottom w:val="single" w:sz="4" w:space="0" w:color="000000"/>
              <w:right w:val="single" w:sz="4" w:space="0" w:color="000000"/>
            </w:tcBorders>
            <w:shd w:val="clear" w:color="auto" w:fill="auto"/>
            <w:tcMar>
              <w:left w:w="70" w:type="dxa"/>
              <w:right w:w="70" w:type="dxa"/>
            </w:tcMar>
          </w:tcPr>
          <w:p w14:paraId="3CD349D6"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169.047</w:t>
            </w:r>
          </w:p>
        </w:tc>
        <w:tc>
          <w:tcPr>
            <w:tcW w:w="827" w:type="pct"/>
            <w:tcBorders>
              <w:top w:val="nil"/>
              <w:left w:val="nil"/>
              <w:bottom w:val="single" w:sz="4" w:space="0" w:color="000000"/>
              <w:right w:val="single" w:sz="4" w:space="0" w:color="000000"/>
            </w:tcBorders>
            <w:shd w:val="clear" w:color="auto" w:fill="auto"/>
            <w:tcMar>
              <w:left w:w="70" w:type="dxa"/>
              <w:right w:w="70" w:type="dxa"/>
            </w:tcMar>
          </w:tcPr>
          <w:p w14:paraId="10C4595B"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14.746</w:t>
            </w:r>
          </w:p>
        </w:tc>
        <w:tc>
          <w:tcPr>
            <w:tcW w:w="968" w:type="pct"/>
            <w:tcBorders>
              <w:top w:val="nil"/>
              <w:left w:val="nil"/>
              <w:bottom w:val="single" w:sz="4" w:space="0" w:color="000000"/>
              <w:right w:val="single" w:sz="4" w:space="0" w:color="000000"/>
            </w:tcBorders>
            <w:shd w:val="clear" w:color="auto" w:fill="auto"/>
            <w:tcMar>
              <w:left w:w="70" w:type="dxa"/>
              <w:right w:w="70" w:type="dxa"/>
            </w:tcMar>
          </w:tcPr>
          <w:p w14:paraId="57A4BDE4"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183.793</w:t>
            </w:r>
          </w:p>
        </w:tc>
      </w:tr>
      <w:tr w:rsidR="00064C79" w:rsidRPr="00E94942" w14:paraId="66E204CD" w14:textId="77777777" w:rsidTr="0012304C">
        <w:trPr>
          <w:trHeight w:val="550"/>
          <w:jc w:val="center"/>
        </w:trPr>
        <w:tc>
          <w:tcPr>
            <w:tcW w:w="1031" w:type="pct"/>
            <w:vMerge/>
            <w:tcBorders>
              <w:top w:val="nil"/>
              <w:left w:val="single" w:sz="4" w:space="0" w:color="000000"/>
              <w:bottom w:val="single" w:sz="4" w:space="0" w:color="000000"/>
              <w:right w:val="single" w:sz="4" w:space="0" w:color="000000"/>
            </w:tcBorders>
            <w:tcMar>
              <w:left w:w="70" w:type="dxa"/>
              <w:right w:w="70" w:type="dxa"/>
            </w:tcMar>
            <w:vAlign w:val="center"/>
          </w:tcPr>
          <w:p w14:paraId="6A5DB7A7" w14:textId="77777777" w:rsidR="00064C79" w:rsidRPr="00E94942" w:rsidRDefault="00064C79" w:rsidP="00E94942">
            <w:pPr>
              <w:spacing w:line="276" w:lineRule="auto"/>
              <w:jc w:val="center"/>
              <w:rPr>
                <w:rFonts w:ascii="Arial" w:eastAsia="Calibri" w:hAnsi="Arial" w:cs="Arial"/>
                <w:b/>
                <w:bCs/>
                <w:sz w:val="20"/>
                <w:szCs w:val="20"/>
                <w:lang w:val="es-EC" w:eastAsia="en-US"/>
              </w:rPr>
            </w:pPr>
          </w:p>
        </w:tc>
        <w:tc>
          <w:tcPr>
            <w:tcW w:w="1206" w:type="pct"/>
            <w:vMerge/>
            <w:tcBorders>
              <w:top w:val="nil"/>
              <w:left w:val="single" w:sz="4" w:space="0" w:color="000000"/>
              <w:bottom w:val="single" w:sz="4" w:space="0" w:color="000000"/>
              <w:right w:val="single" w:sz="4" w:space="0" w:color="000000"/>
            </w:tcBorders>
            <w:tcMar>
              <w:left w:w="70" w:type="dxa"/>
              <w:right w:w="70" w:type="dxa"/>
            </w:tcMar>
            <w:vAlign w:val="center"/>
          </w:tcPr>
          <w:p w14:paraId="285B5EF5" w14:textId="77777777" w:rsidR="00064C79" w:rsidRPr="00E94942" w:rsidRDefault="00064C79" w:rsidP="00E94942">
            <w:pPr>
              <w:spacing w:line="276" w:lineRule="auto"/>
              <w:rPr>
                <w:rFonts w:ascii="Arial" w:eastAsia="Calibri" w:hAnsi="Arial" w:cs="Arial"/>
                <w:b/>
                <w:bCs/>
                <w:sz w:val="20"/>
                <w:szCs w:val="20"/>
                <w:lang w:val="es-EC" w:eastAsia="en-US"/>
              </w:rPr>
            </w:pPr>
          </w:p>
        </w:tc>
        <w:tc>
          <w:tcPr>
            <w:tcW w:w="968" w:type="pct"/>
            <w:tcBorders>
              <w:top w:val="nil"/>
              <w:left w:val="nil"/>
              <w:bottom w:val="single" w:sz="4" w:space="0" w:color="000000"/>
              <w:right w:val="single" w:sz="4" w:space="0" w:color="000000"/>
            </w:tcBorders>
            <w:shd w:val="clear" w:color="auto" w:fill="auto"/>
            <w:tcMar>
              <w:left w:w="70" w:type="dxa"/>
              <w:right w:w="70" w:type="dxa"/>
            </w:tcMar>
          </w:tcPr>
          <w:p w14:paraId="545695F3"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91,98%</w:t>
            </w:r>
          </w:p>
        </w:tc>
        <w:tc>
          <w:tcPr>
            <w:tcW w:w="827" w:type="pct"/>
            <w:tcBorders>
              <w:top w:val="nil"/>
              <w:left w:val="nil"/>
              <w:bottom w:val="single" w:sz="4" w:space="0" w:color="000000"/>
              <w:right w:val="single" w:sz="4" w:space="0" w:color="000000"/>
            </w:tcBorders>
            <w:shd w:val="clear" w:color="auto" w:fill="auto"/>
            <w:tcMar>
              <w:left w:w="70" w:type="dxa"/>
              <w:right w:w="70" w:type="dxa"/>
            </w:tcMar>
          </w:tcPr>
          <w:p w14:paraId="18C366EB"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8,02%</w:t>
            </w:r>
          </w:p>
        </w:tc>
        <w:tc>
          <w:tcPr>
            <w:tcW w:w="968" w:type="pct"/>
            <w:tcBorders>
              <w:top w:val="nil"/>
              <w:left w:val="nil"/>
              <w:bottom w:val="single" w:sz="4" w:space="0" w:color="000000"/>
              <w:right w:val="single" w:sz="4" w:space="0" w:color="000000"/>
            </w:tcBorders>
            <w:shd w:val="clear" w:color="auto" w:fill="auto"/>
            <w:tcMar>
              <w:left w:w="70" w:type="dxa"/>
              <w:right w:w="70" w:type="dxa"/>
            </w:tcMar>
          </w:tcPr>
          <w:p w14:paraId="1B4FFE78"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100,00%</w:t>
            </w:r>
          </w:p>
        </w:tc>
      </w:tr>
      <w:tr w:rsidR="00064C79" w:rsidRPr="00E94942" w14:paraId="14A3F106" w14:textId="77777777" w:rsidTr="0012304C">
        <w:trPr>
          <w:trHeight w:val="550"/>
          <w:jc w:val="center"/>
        </w:trPr>
        <w:tc>
          <w:tcPr>
            <w:tcW w:w="223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7DF2A0E" w14:textId="77777777" w:rsidR="00064C79" w:rsidRPr="00E94942" w:rsidRDefault="00064C79" w:rsidP="00E94942">
            <w:pPr>
              <w:spacing w:line="276" w:lineRule="auto"/>
              <w:jc w:val="center"/>
              <w:rPr>
                <w:rFonts w:ascii="Arial" w:hAnsi="Arial" w:cs="Arial"/>
                <w:b/>
                <w:bCs/>
                <w:sz w:val="20"/>
                <w:szCs w:val="20"/>
                <w:lang w:val="es-EC" w:eastAsia="es-EC"/>
              </w:rPr>
            </w:pPr>
            <w:r w:rsidRPr="00E94942">
              <w:rPr>
                <w:rFonts w:ascii="Arial" w:hAnsi="Arial" w:cs="Arial"/>
                <w:b/>
                <w:bCs/>
                <w:sz w:val="20"/>
                <w:szCs w:val="20"/>
                <w:lang w:val="es-EC" w:eastAsia="es-EC"/>
              </w:rPr>
              <w:t>Total</w:t>
            </w:r>
          </w:p>
        </w:tc>
        <w:tc>
          <w:tcPr>
            <w:tcW w:w="968" w:type="pct"/>
            <w:tcBorders>
              <w:top w:val="nil"/>
              <w:left w:val="nil"/>
              <w:bottom w:val="single" w:sz="4" w:space="0" w:color="000000"/>
              <w:right w:val="single" w:sz="4" w:space="0" w:color="000000"/>
            </w:tcBorders>
            <w:shd w:val="clear" w:color="auto" w:fill="auto"/>
            <w:tcMar>
              <w:left w:w="70" w:type="dxa"/>
              <w:right w:w="70" w:type="dxa"/>
            </w:tcMar>
          </w:tcPr>
          <w:p w14:paraId="175D1F0C"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1.408.230</w:t>
            </w:r>
          </w:p>
        </w:tc>
        <w:tc>
          <w:tcPr>
            <w:tcW w:w="827" w:type="pct"/>
            <w:tcBorders>
              <w:top w:val="nil"/>
              <w:left w:val="nil"/>
              <w:bottom w:val="single" w:sz="4" w:space="0" w:color="000000"/>
              <w:right w:val="single" w:sz="4" w:space="0" w:color="000000"/>
            </w:tcBorders>
            <w:shd w:val="clear" w:color="auto" w:fill="auto"/>
            <w:tcMar>
              <w:left w:w="70" w:type="dxa"/>
              <w:right w:w="70" w:type="dxa"/>
            </w:tcMar>
          </w:tcPr>
          <w:p w14:paraId="6A7CDF88"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180.202</w:t>
            </w:r>
          </w:p>
        </w:tc>
        <w:tc>
          <w:tcPr>
            <w:tcW w:w="968" w:type="pct"/>
            <w:tcBorders>
              <w:top w:val="nil"/>
              <w:left w:val="nil"/>
              <w:bottom w:val="single" w:sz="4" w:space="0" w:color="000000"/>
              <w:right w:val="single" w:sz="4" w:space="0" w:color="000000"/>
            </w:tcBorders>
            <w:shd w:val="clear" w:color="auto" w:fill="auto"/>
            <w:tcMar>
              <w:left w:w="70" w:type="dxa"/>
              <w:right w:w="70" w:type="dxa"/>
            </w:tcMar>
          </w:tcPr>
          <w:p w14:paraId="53984BE2"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1.588.432</w:t>
            </w:r>
          </w:p>
        </w:tc>
      </w:tr>
      <w:tr w:rsidR="00064C79" w:rsidRPr="00E94942" w14:paraId="704CD34A" w14:textId="77777777" w:rsidTr="0012304C">
        <w:trPr>
          <w:trHeight w:val="550"/>
          <w:jc w:val="center"/>
        </w:trPr>
        <w:tc>
          <w:tcPr>
            <w:tcW w:w="2237"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0623770" w14:textId="77777777" w:rsidR="00064C79" w:rsidRPr="00E94942" w:rsidRDefault="00064C79" w:rsidP="00E94942">
            <w:pPr>
              <w:spacing w:line="276" w:lineRule="auto"/>
              <w:rPr>
                <w:rFonts w:ascii="Arial" w:eastAsia="Calibri" w:hAnsi="Arial" w:cs="Arial"/>
                <w:sz w:val="20"/>
                <w:szCs w:val="20"/>
                <w:lang w:val="es-EC" w:eastAsia="en-US"/>
              </w:rPr>
            </w:pPr>
          </w:p>
        </w:tc>
        <w:tc>
          <w:tcPr>
            <w:tcW w:w="968" w:type="pct"/>
            <w:tcBorders>
              <w:top w:val="nil"/>
              <w:left w:val="nil"/>
              <w:bottom w:val="single" w:sz="4" w:space="0" w:color="000000"/>
              <w:right w:val="single" w:sz="4" w:space="0" w:color="000000"/>
            </w:tcBorders>
            <w:shd w:val="clear" w:color="auto" w:fill="auto"/>
            <w:tcMar>
              <w:left w:w="70" w:type="dxa"/>
              <w:right w:w="70" w:type="dxa"/>
            </w:tcMar>
          </w:tcPr>
          <w:p w14:paraId="02F5AFBD"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88,66%</w:t>
            </w:r>
          </w:p>
        </w:tc>
        <w:tc>
          <w:tcPr>
            <w:tcW w:w="827" w:type="pct"/>
            <w:tcBorders>
              <w:top w:val="nil"/>
              <w:left w:val="nil"/>
              <w:bottom w:val="single" w:sz="4" w:space="0" w:color="000000"/>
              <w:right w:val="single" w:sz="4" w:space="0" w:color="000000"/>
            </w:tcBorders>
            <w:shd w:val="clear" w:color="auto" w:fill="auto"/>
            <w:tcMar>
              <w:left w:w="70" w:type="dxa"/>
              <w:right w:w="70" w:type="dxa"/>
            </w:tcMar>
          </w:tcPr>
          <w:p w14:paraId="26639671"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11,34%</w:t>
            </w:r>
          </w:p>
        </w:tc>
        <w:tc>
          <w:tcPr>
            <w:tcW w:w="968" w:type="pct"/>
            <w:tcBorders>
              <w:top w:val="nil"/>
              <w:left w:val="nil"/>
              <w:bottom w:val="single" w:sz="4" w:space="0" w:color="000000"/>
              <w:right w:val="single" w:sz="4" w:space="0" w:color="000000"/>
            </w:tcBorders>
            <w:shd w:val="clear" w:color="auto" w:fill="auto"/>
            <w:tcMar>
              <w:left w:w="70" w:type="dxa"/>
              <w:right w:w="70" w:type="dxa"/>
            </w:tcMar>
          </w:tcPr>
          <w:p w14:paraId="558F2A0B" w14:textId="77777777" w:rsidR="00064C79" w:rsidRPr="00E94942" w:rsidRDefault="00064C79" w:rsidP="00E94942">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100,00%</w:t>
            </w:r>
          </w:p>
        </w:tc>
      </w:tr>
    </w:tbl>
    <w:p w14:paraId="4E52C248" w14:textId="77777777" w:rsidR="00064C79" w:rsidRPr="00E94942" w:rsidRDefault="00064C79" w:rsidP="00064C79">
      <w:pPr>
        <w:spacing w:line="360" w:lineRule="auto"/>
        <w:jc w:val="both"/>
        <w:rPr>
          <w:rFonts w:ascii="Arial" w:eastAsia="Calibri" w:hAnsi="Arial" w:cs="Arial"/>
          <w:spacing w:val="-1"/>
          <w:sz w:val="20"/>
          <w:szCs w:val="20"/>
          <w:lang w:val="es-EC" w:eastAsia="en-US"/>
        </w:rPr>
      </w:pPr>
      <w:r w:rsidRPr="00E94942">
        <w:rPr>
          <w:rFonts w:ascii="Arial" w:eastAsia="Calibri" w:hAnsi="Arial" w:cs="Arial"/>
          <w:iCs/>
          <w:spacing w:val="-1"/>
          <w:sz w:val="20"/>
          <w:szCs w:val="20"/>
          <w:lang w:val="es-EC" w:eastAsia="en-US"/>
        </w:rPr>
        <w:t>Nota</w:t>
      </w:r>
      <w:r w:rsidRPr="00E94942">
        <w:rPr>
          <w:rFonts w:ascii="Arial" w:eastAsia="Calibri" w:hAnsi="Arial" w:cs="Arial"/>
          <w:spacing w:val="-1"/>
          <w:sz w:val="20"/>
          <w:szCs w:val="20"/>
          <w:lang w:val="es-EC" w:eastAsia="en-US"/>
        </w:rPr>
        <w:t>. Elaboración propia con base en el INEC, 2023.</w:t>
      </w:r>
    </w:p>
    <w:p w14:paraId="4AF613E5" w14:textId="77777777" w:rsidR="00064C79" w:rsidRPr="00064C79" w:rsidRDefault="00064C79" w:rsidP="00E94942">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lastRenderedPageBreak/>
        <w:t>El nivel de educación superior universitario tiene su mayor concentración en el grupo de edad de 25-34 años, con un 40,99%. En cambio, para las personas con estudios de posgrado, la mayor concentración se encuentra en el grupo de edad de 35-44 años, con un 35,56%. Esto indica que las personas con educación superior universitaria tienden a completar sus estudios en una edad más temprana; en cambio, quienes obtienen un posgrado suelen hacerlo en una etapa posterior de su vida profesional (tabla de contingencia 2).</w:t>
      </w:r>
    </w:p>
    <w:p w14:paraId="49819180" w14:textId="2C895514" w:rsidR="00064C79" w:rsidRPr="00E94942" w:rsidRDefault="00064C79" w:rsidP="00E94942">
      <w:pPr>
        <w:spacing w:after="100" w:afterAutospacing="1"/>
        <w:jc w:val="center"/>
        <w:rPr>
          <w:rFonts w:ascii="Arial" w:eastAsia="Calibri" w:hAnsi="Arial" w:cs="Arial"/>
          <w:b/>
          <w:iCs/>
          <w:sz w:val="20"/>
          <w:szCs w:val="20"/>
          <w:lang w:val="es-EC" w:eastAsia="en-US"/>
        </w:rPr>
      </w:pPr>
      <w:r w:rsidRPr="00E94942">
        <w:rPr>
          <w:rFonts w:ascii="Arial" w:eastAsia="Calibri" w:hAnsi="Arial" w:cs="Arial"/>
          <w:b/>
          <w:bCs/>
          <w:sz w:val="20"/>
          <w:szCs w:val="20"/>
          <w:lang w:val="es-EC" w:eastAsia="en-US"/>
        </w:rPr>
        <w:t>Tabla de contingencia 2</w:t>
      </w:r>
      <w:r w:rsidR="00E94942" w:rsidRPr="00E94942">
        <w:rPr>
          <w:rFonts w:ascii="Arial" w:eastAsia="Calibri" w:hAnsi="Arial" w:cs="Arial"/>
          <w:b/>
          <w:bCs/>
          <w:sz w:val="20"/>
          <w:szCs w:val="20"/>
          <w:lang w:val="es-EC" w:eastAsia="en-US"/>
        </w:rPr>
        <w:t xml:space="preserve">. </w:t>
      </w:r>
      <w:r w:rsidRPr="00E94942">
        <w:rPr>
          <w:rFonts w:ascii="Arial" w:eastAsia="Calibri" w:hAnsi="Arial" w:cs="Arial"/>
          <w:b/>
          <w:iCs/>
          <w:sz w:val="20"/>
          <w:szCs w:val="20"/>
          <w:lang w:val="es-EC" w:eastAsia="en-US"/>
        </w:rPr>
        <w:t>Nivel de instrucción - Edad</w:t>
      </w:r>
    </w:p>
    <w:tbl>
      <w:tblPr>
        <w:tblW w:w="5340" w:type="pct"/>
        <w:jc w:val="center"/>
        <w:tblLook w:val="04A0" w:firstRow="1" w:lastRow="0" w:firstColumn="1" w:lastColumn="0" w:noHBand="0" w:noVBand="1"/>
      </w:tblPr>
      <w:tblGrid>
        <w:gridCol w:w="1419"/>
        <w:gridCol w:w="1629"/>
        <w:gridCol w:w="1249"/>
        <w:gridCol w:w="1249"/>
        <w:gridCol w:w="1249"/>
        <w:gridCol w:w="1253"/>
        <w:gridCol w:w="1328"/>
      </w:tblGrid>
      <w:tr w:rsidR="00064C79" w:rsidRPr="00E94942" w14:paraId="1F45D5D7" w14:textId="77777777" w:rsidTr="00355A18">
        <w:trPr>
          <w:trHeight w:val="615"/>
          <w:jc w:val="center"/>
        </w:trPr>
        <w:tc>
          <w:tcPr>
            <w:tcW w:w="162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AB7C3F4" w14:textId="77777777" w:rsidR="00064C79" w:rsidRPr="00E94942" w:rsidRDefault="00064C79" w:rsidP="00064C79">
            <w:pPr>
              <w:spacing w:line="276" w:lineRule="auto"/>
              <w:jc w:val="both"/>
              <w:rPr>
                <w:rFonts w:ascii="Arial" w:hAnsi="Arial" w:cs="Arial"/>
                <w:sz w:val="20"/>
                <w:szCs w:val="20"/>
                <w:lang w:val="es-EC" w:eastAsia="es-EC"/>
              </w:rPr>
            </w:pPr>
            <w:r w:rsidRPr="00E94942">
              <w:rPr>
                <w:rFonts w:ascii="Arial" w:hAnsi="Arial" w:cs="Arial"/>
                <w:sz w:val="20"/>
                <w:szCs w:val="20"/>
                <w:lang w:val="es-EC" w:eastAsia="es-EC"/>
              </w:rPr>
              <w:t> </w:t>
            </w:r>
          </w:p>
        </w:tc>
        <w:tc>
          <w:tcPr>
            <w:tcW w:w="2665" w:type="pct"/>
            <w:gridSpan w:val="4"/>
            <w:tcBorders>
              <w:top w:val="single" w:sz="4" w:space="0" w:color="000000"/>
              <w:left w:val="nil"/>
              <w:bottom w:val="single" w:sz="4" w:space="0" w:color="000000"/>
              <w:right w:val="single" w:sz="4" w:space="0" w:color="000000"/>
            </w:tcBorders>
            <w:shd w:val="clear" w:color="auto" w:fill="auto"/>
            <w:tcMar>
              <w:left w:w="70" w:type="dxa"/>
              <w:right w:w="70" w:type="dxa"/>
            </w:tcMar>
            <w:vAlign w:val="center"/>
          </w:tcPr>
          <w:p w14:paraId="46E5230F" w14:textId="77777777" w:rsidR="00064C79" w:rsidRPr="00E94942" w:rsidRDefault="00064C79" w:rsidP="00064C79">
            <w:pPr>
              <w:spacing w:line="276" w:lineRule="auto"/>
              <w:jc w:val="center"/>
              <w:rPr>
                <w:rFonts w:ascii="Arial" w:hAnsi="Arial" w:cs="Arial"/>
                <w:b/>
                <w:bCs/>
                <w:sz w:val="20"/>
                <w:szCs w:val="20"/>
                <w:lang w:val="es-EC" w:eastAsia="es-EC"/>
              </w:rPr>
            </w:pPr>
            <w:r w:rsidRPr="00E94942">
              <w:rPr>
                <w:rFonts w:ascii="Arial" w:hAnsi="Arial" w:cs="Arial"/>
                <w:b/>
                <w:bCs/>
                <w:sz w:val="20"/>
                <w:szCs w:val="20"/>
                <w:lang w:val="es-EC" w:eastAsia="es-EC"/>
              </w:rPr>
              <w:t>Edad</w:t>
            </w:r>
          </w:p>
        </w:tc>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F7ED1DC" w14:textId="77777777" w:rsidR="00064C79" w:rsidRPr="00E94942" w:rsidRDefault="00064C79" w:rsidP="00064C79">
            <w:pPr>
              <w:spacing w:line="276" w:lineRule="auto"/>
              <w:jc w:val="center"/>
              <w:rPr>
                <w:rFonts w:ascii="Arial" w:hAnsi="Arial" w:cs="Arial"/>
                <w:b/>
                <w:bCs/>
                <w:sz w:val="20"/>
                <w:szCs w:val="20"/>
                <w:lang w:val="es-EC" w:eastAsia="es-EC"/>
              </w:rPr>
            </w:pPr>
            <w:r w:rsidRPr="00E94942">
              <w:rPr>
                <w:rFonts w:ascii="Arial" w:hAnsi="Arial" w:cs="Arial"/>
                <w:b/>
                <w:bCs/>
                <w:sz w:val="20"/>
                <w:szCs w:val="20"/>
                <w:lang w:val="es-EC" w:eastAsia="es-EC"/>
              </w:rPr>
              <w:t>Total</w:t>
            </w:r>
          </w:p>
        </w:tc>
      </w:tr>
      <w:tr w:rsidR="00355A18" w:rsidRPr="00E94942" w14:paraId="5BE30CB7" w14:textId="77777777" w:rsidTr="00355A18">
        <w:trPr>
          <w:trHeight w:val="615"/>
          <w:jc w:val="center"/>
        </w:trPr>
        <w:tc>
          <w:tcPr>
            <w:tcW w:w="1626"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52968AE" w14:textId="77777777" w:rsidR="00064C79" w:rsidRPr="00E94942" w:rsidRDefault="00064C79" w:rsidP="00064C79">
            <w:pPr>
              <w:spacing w:line="276" w:lineRule="auto"/>
              <w:rPr>
                <w:rFonts w:ascii="Arial" w:eastAsia="Calibri" w:hAnsi="Arial" w:cs="Arial"/>
                <w:sz w:val="20"/>
                <w:szCs w:val="20"/>
                <w:lang w:val="es-EC" w:eastAsia="en-US"/>
              </w:rPr>
            </w:pPr>
          </w:p>
        </w:tc>
        <w:tc>
          <w:tcPr>
            <w:tcW w:w="666" w:type="pct"/>
            <w:tcBorders>
              <w:top w:val="nil"/>
              <w:left w:val="nil"/>
              <w:bottom w:val="single" w:sz="4" w:space="0" w:color="000000"/>
              <w:right w:val="single" w:sz="4" w:space="0" w:color="000000"/>
            </w:tcBorders>
            <w:shd w:val="clear" w:color="auto" w:fill="auto"/>
            <w:tcMar>
              <w:left w:w="70" w:type="dxa"/>
              <w:right w:w="70" w:type="dxa"/>
            </w:tcMar>
            <w:vAlign w:val="bottom"/>
          </w:tcPr>
          <w:p w14:paraId="30A1B14E"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25-34</w:t>
            </w:r>
          </w:p>
        </w:tc>
        <w:tc>
          <w:tcPr>
            <w:tcW w:w="666" w:type="pct"/>
            <w:tcBorders>
              <w:top w:val="nil"/>
              <w:left w:val="nil"/>
              <w:bottom w:val="single" w:sz="4" w:space="0" w:color="000000"/>
              <w:right w:val="single" w:sz="4" w:space="0" w:color="000000"/>
            </w:tcBorders>
            <w:shd w:val="clear" w:color="auto" w:fill="auto"/>
            <w:tcMar>
              <w:left w:w="70" w:type="dxa"/>
              <w:right w:w="70" w:type="dxa"/>
            </w:tcMar>
            <w:vAlign w:val="bottom"/>
          </w:tcPr>
          <w:p w14:paraId="461BCBDC"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35-44</w:t>
            </w:r>
          </w:p>
        </w:tc>
        <w:tc>
          <w:tcPr>
            <w:tcW w:w="666" w:type="pct"/>
            <w:tcBorders>
              <w:top w:val="nil"/>
              <w:left w:val="nil"/>
              <w:bottom w:val="single" w:sz="4" w:space="0" w:color="000000"/>
              <w:right w:val="single" w:sz="4" w:space="0" w:color="000000"/>
            </w:tcBorders>
            <w:shd w:val="clear" w:color="auto" w:fill="auto"/>
            <w:tcMar>
              <w:left w:w="70" w:type="dxa"/>
              <w:right w:w="70" w:type="dxa"/>
            </w:tcMar>
            <w:vAlign w:val="bottom"/>
          </w:tcPr>
          <w:p w14:paraId="33689E8C"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45-54</w:t>
            </w:r>
          </w:p>
        </w:tc>
        <w:tc>
          <w:tcPr>
            <w:tcW w:w="668" w:type="pct"/>
            <w:tcBorders>
              <w:top w:val="nil"/>
              <w:left w:val="nil"/>
              <w:bottom w:val="single" w:sz="4" w:space="0" w:color="000000"/>
              <w:right w:val="single" w:sz="4" w:space="0" w:color="000000"/>
            </w:tcBorders>
            <w:shd w:val="clear" w:color="auto" w:fill="auto"/>
            <w:tcMar>
              <w:left w:w="70" w:type="dxa"/>
              <w:right w:w="70" w:type="dxa"/>
            </w:tcMar>
            <w:vAlign w:val="bottom"/>
          </w:tcPr>
          <w:p w14:paraId="4F9742B7"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55-64</w:t>
            </w:r>
          </w:p>
        </w:tc>
        <w:tc>
          <w:tcPr>
            <w:tcW w:w="709" w:type="pct"/>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8E748DC" w14:textId="77777777" w:rsidR="00064C79" w:rsidRPr="00E94942" w:rsidRDefault="00064C79" w:rsidP="00064C79">
            <w:pPr>
              <w:spacing w:line="276" w:lineRule="auto"/>
              <w:jc w:val="center"/>
              <w:rPr>
                <w:rFonts w:ascii="Arial" w:eastAsia="Calibri" w:hAnsi="Arial" w:cs="Arial"/>
                <w:sz w:val="20"/>
                <w:szCs w:val="20"/>
                <w:lang w:val="es-EC" w:eastAsia="en-US"/>
              </w:rPr>
            </w:pPr>
          </w:p>
        </w:tc>
      </w:tr>
      <w:tr w:rsidR="00355A18" w:rsidRPr="00E94942" w14:paraId="40263AA7" w14:textId="77777777" w:rsidTr="00355A18">
        <w:trPr>
          <w:trHeight w:val="615"/>
          <w:jc w:val="center"/>
        </w:trPr>
        <w:tc>
          <w:tcPr>
            <w:tcW w:w="757"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306BBECB" w14:textId="77777777" w:rsidR="00064C79" w:rsidRPr="00E94942" w:rsidRDefault="00064C79" w:rsidP="00064C79">
            <w:pPr>
              <w:spacing w:line="276" w:lineRule="auto"/>
              <w:jc w:val="center"/>
              <w:rPr>
                <w:rFonts w:ascii="Arial" w:hAnsi="Arial" w:cs="Arial"/>
                <w:b/>
                <w:bCs/>
                <w:sz w:val="20"/>
                <w:szCs w:val="20"/>
                <w:lang w:val="es-EC" w:eastAsia="es-EC"/>
              </w:rPr>
            </w:pPr>
            <w:r w:rsidRPr="00E94942">
              <w:rPr>
                <w:rFonts w:ascii="Arial" w:hAnsi="Arial" w:cs="Arial"/>
                <w:b/>
                <w:bCs/>
                <w:sz w:val="20"/>
                <w:szCs w:val="20"/>
                <w:lang w:val="es-EC" w:eastAsia="es-EC"/>
              </w:rPr>
              <w:t>Nivel de instrucción</w:t>
            </w:r>
          </w:p>
        </w:tc>
        <w:tc>
          <w:tcPr>
            <w:tcW w:w="869"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30834451" w14:textId="77777777" w:rsidR="00064C79" w:rsidRPr="00E94942" w:rsidRDefault="00064C79" w:rsidP="00064C79">
            <w:pPr>
              <w:spacing w:line="276" w:lineRule="auto"/>
              <w:jc w:val="center"/>
              <w:rPr>
                <w:rFonts w:ascii="Arial" w:hAnsi="Arial" w:cs="Arial"/>
                <w:b/>
                <w:bCs/>
                <w:sz w:val="20"/>
                <w:szCs w:val="20"/>
                <w:lang w:val="es-EC" w:eastAsia="es-EC"/>
              </w:rPr>
            </w:pPr>
            <w:r w:rsidRPr="00E94942">
              <w:rPr>
                <w:rFonts w:ascii="Arial" w:hAnsi="Arial" w:cs="Arial"/>
                <w:b/>
                <w:bCs/>
                <w:sz w:val="20"/>
                <w:szCs w:val="20"/>
                <w:lang w:val="es-EC" w:eastAsia="es-EC"/>
              </w:rPr>
              <w:t>Superior Universitario</w:t>
            </w: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36E0B7B6"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575.767</w:t>
            </w: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65F48440"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401.926</w:t>
            </w: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708281DC"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234.095</w:t>
            </w:r>
          </w:p>
        </w:tc>
        <w:tc>
          <w:tcPr>
            <w:tcW w:w="668" w:type="pct"/>
            <w:tcBorders>
              <w:top w:val="nil"/>
              <w:left w:val="nil"/>
              <w:bottom w:val="single" w:sz="4" w:space="0" w:color="000000"/>
              <w:right w:val="single" w:sz="4" w:space="0" w:color="000000"/>
            </w:tcBorders>
            <w:shd w:val="clear" w:color="auto" w:fill="auto"/>
            <w:tcMar>
              <w:left w:w="70" w:type="dxa"/>
              <w:right w:w="70" w:type="dxa"/>
            </w:tcMar>
          </w:tcPr>
          <w:p w14:paraId="59BCC35D"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192.852</w:t>
            </w:r>
          </w:p>
        </w:tc>
        <w:tc>
          <w:tcPr>
            <w:tcW w:w="709" w:type="pct"/>
            <w:tcBorders>
              <w:top w:val="nil"/>
              <w:left w:val="nil"/>
              <w:bottom w:val="single" w:sz="4" w:space="0" w:color="000000"/>
              <w:right w:val="single" w:sz="4" w:space="0" w:color="000000"/>
            </w:tcBorders>
            <w:shd w:val="clear" w:color="auto" w:fill="auto"/>
            <w:tcMar>
              <w:left w:w="70" w:type="dxa"/>
              <w:right w:w="70" w:type="dxa"/>
            </w:tcMar>
          </w:tcPr>
          <w:p w14:paraId="399FBD19"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1.404.640</w:t>
            </w:r>
          </w:p>
        </w:tc>
      </w:tr>
      <w:tr w:rsidR="00355A18" w:rsidRPr="00E94942" w14:paraId="58331ED3" w14:textId="77777777" w:rsidTr="00355A18">
        <w:trPr>
          <w:trHeight w:val="615"/>
          <w:jc w:val="center"/>
        </w:trPr>
        <w:tc>
          <w:tcPr>
            <w:tcW w:w="757" w:type="pct"/>
            <w:vMerge/>
            <w:tcBorders>
              <w:top w:val="nil"/>
              <w:left w:val="single" w:sz="4" w:space="0" w:color="000000"/>
              <w:bottom w:val="single" w:sz="4" w:space="0" w:color="000000"/>
              <w:right w:val="single" w:sz="4" w:space="0" w:color="000000"/>
            </w:tcBorders>
            <w:tcMar>
              <w:left w:w="70" w:type="dxa"/>
              <w:right w:w="70" w:type="dxa"/>
            </w:tcMar>
            <w:vAlign w:val="center"/>
          </w:tcPr>
          <w:p w14:paraId="15A4F8F4" w14:textId="77777777" w:rsidR="00064C79" w:rsidRPr="00E94942" w:rsidRDefault="00064C79" w:rsidP="00064C79">
            <w:pPr>
              <w:spacing w:line="276" w:lineRule="auto"/>
              <w:jc w:val="center"/>
              <w:rPr>
                <w:rFonts w:ascii="Arial" w:eastAsia="Calibri" w:hAnsi="Arial" w:cs="Arial"/>
                <w:b/>
                <w:bCs/>
                <w:sz w:val="20"/>
                <w:szCs w:val="20"/>
                <w:lang w:val="es-EC" w:eastAsia="en-US"/>
              </w:rPr>
            </w:pPr>
          </w:p>
        </w:tc>
        <w:tc>
          <w:tcPr>
            <w:tcW w:w="869" w:type="pct"/>
            <w:vMerge/>
            <w:tcBorders>
              <w:top w:val="nil"/>
              <w:left w:val="single" w:sz="4" w:space="0" w:color="000000"/>
              <w:bottom w:val="single" w:sz="4" w:space="0" w:color="000000"/>
              <w:right w:val="single" w:sz="4" w:space="0" w:color="000000"/>
            </w:tcBorders>
            <w:tcMar>
              <w:left w:w="70" w:type="dxa"/>
              <w:right w:w="70" w:type="dxa"/>
            </w:tcMar>
            <w:vAlign w:val="center"/>
          </w:tcPr>
          <w:p w14:paraId="74EF6BC6" w14:textId="77777777" w:rsidR="00064C79" w:rsidRPr="00E94942" w:rsidRDefault="00064C79" w:rsidP="00064C79">
            <w:pPr>
              <w:spacing w:line="276" w:lineRule="auto"/>
              <w:jc w:val="center"/>
              <w:rPr>
                <w:rFonts w:ascii="Arial" w:eastAsia="Calibri" w:hAnsi="Arial" w:cs="Arial"/>
                <w:b/>
                <w:bCs/>
                <w:sz w:val="20"/>
                <w:szCs w:val="20"/>
                <w:lang w:val="es-EC" w:eastAsia="en-US"/>
              </w:rPr>
            </w:pP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2006818B"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40,99%</w:t>
            </w: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34A479A7"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28,61%</w:t>
            </w: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24DBD270"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16,67%</w:t>
            </w:r>
          </w:p>
        </w:tc>
        <w:tc>
          <w:tcPr>
            <w:tcW w:w="668" w:type="pct"/>
            <w:tcBorders>
              <w:top w:val="nil"/>
              <w:left w:val="nil"/>
              <w:bottom w:val="single" w:sz="4" w:space="0" w:color="000000"/>
              <w:right w:val="single" w:sz="4" w:space="0" w:color="000000"/>
            </w:tcBorders>
            <w:shd w:val="clear" w:color="auto" w:fill="auto"/>
            <w:tcMar>
              <w:left w:w="70" w:type="dxa"/>
              <w:right w:w="70" w:type="dxa"/>
            </w:tcMar>
          </w:tcPr>
          <w:p w14:paraId="2024D334"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13,73%</w:t>
            </w:r>
          </w:p>
        </w:tc>
        <w:tc>
          <w:tcPr>
            <w:tcW w:w="709" w:type="pct"/>
            <w:tcBorders>
              <w:top w:val="nil"/>
              <w:left w:val="nil"/>
              <w:bottom w:val="single" w:sz="4" w:space="0" w:color="000000"/>
              <w:right w:val="single" w:sz="4" w:space="0" w:color="000000"/>
            </w:tcBorders>
            <w:shd w:val="clear" w:color="auto" w:fill="auto"/>
            <w:tcMar>
              <w:left w:w="70" w:type="dxa"/>
              <w:right w:w="70" w:type="dxa"/>
            </w:tcMar>
          </w:tcPr>
          <w:p w14:paraId="3FC7346D"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100,00%</w:t>
            </w:r>
          </w:p>
        </w:tc>
      </w:tr>
      <w:tr w:rsidR="00355A18" w:rsidRPr="00E94942" w14:paraId="47A8EF22" w14:textId="77777777" w:rsidTr="00355A18">
        <w:trPr>
          <w:trHeight w:val="615"/>
          <w:jc w:val="center"/>
        </w:trPr>
        <w:tc>
          <w:tcPr>
            <w:tcW w:w="757" w:type="pct"/>
            <w:vMerge/>
            <w:tcBorders>
              <w:top w:val="nil"/>
              <w:left w:val="single" w:sz="4" w:space="0" w:color="000000"/>
              <w:bottom w:val="single" w:sz="4" w:space="0" w:color="000000"/>
              <w:right w:val="single" w:sz="4" w:space="0" w:color="000000"/>
            </w:tcBorders>
            <w:tcMar>
              <w:left w:w="70" w:type="dxa"/>
              <w:right w:w="70" w:type="dxa"/>
            </w:tcMar>
            <w:vAlign w:val="center"/>
          </w:tcPr>
          <w:p w14:paraId="3C326DB4" w14:textId="77777777" w:rsidR="00064C79" w:rsidRPr="00E94942" w:rsidRDefault="00064C79" w:rsidP="00064C79">
            <w:pPr>
              <w:spacing w:line="276" w:lineRule="auto"/>
              <w:jc w:val="center"/>
              <w:rPr>
                <w:rFonts w:ascii="Arial" w:eastAsia="Calibri" w:hAnsi="Arial" w:cs="Arial"/>
                <w:b/>
                <w:bCs/>
                <w:sz w:val="20"/>
                <w:szCs w:val="20"/>
                <w:lang w:val="es-EC" w:eastAsia="en-US"/>
              </w:rPr>
            </w:pPr>
          </w:p>
        </w:tc>
        <w:tc>
          <w:tcPr>
            <w:tcW w:w="869"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75A75F30" w14:textId="77777777" w:rsidR="00064C79" w:rsidRPr="00E94942" w:rsidRDefault="00064C79" w:rsidP="00064C79">
            <w:pPr>
              <w:spacing w:line="276" w:lineRule="auto"/>
              <w:jc w:val="center"/>
              <w:rPr>
                <w:rFonts w:ascii="Arial" w:hAnsi="Arial" w:cs="Arial"/>
                <w:b/>
                <w:bCs/>
                <w:sz w:val="20"/>
                <w:szCs w:val="20"/>
                <w:lang w:val="es-EC" w:eastAsia="es-EC"/>
              </w:rPr>
            </w:pPr>
            <w:r w:rsidRPr="00E94942">
              <w:rPr>
                <w:rFonts w:ascii="Arial" w:hAnsi="Arial" w:cs="Arial"/>
                <w:b/>
                <w:bCs/>
                <w:sz w:val="20"/>
                <w:szCs w:val="20"/>
                <w:lang w:val="es-EC" w:eastAsia="es-EC"/>
              </w:rPr>
              <w:t>Posgrado</w:t>
            </w: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30FBBB9C"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45.354</w:t>
            </w: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44591D39"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65.364</w:t>
            </w: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29C2ED79"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45.317</w:t>
            </w:r>
          </w:p>
        </w:tc>
        <w:tc>
          <w:tcPr>
            <w:tcW w:w="668" w:type="pct"/>
            <w:tcBorders>
              <w:top w:val="nil"/>
              <w:left w:val="nil"/>
              <w:bottom w:val="single" w:sz="4" w:space="0" w:color="000000"/>
              <w:right w:val="single" w:sz="4" w:space="0" w:color="000000"/>
            </w:tcBorders>
            <w:shd w:val="clear" w:color="auto" w:fill="auto"/>
            <w:tcMar>
              <w:left w:w="70" w:type="dxa"/>
              <w:right w:w="70" w:type="dxa"/>
            </w:tcMar>
          </w:tcPr>
          <w:p w14:paraId="361D05A9"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27.757</w:t>
            </w:r>
          </w:p>
        </w:tc>
        <w:tc>
          <w:tcPr>
            <w:tcW w:w="709" w:type="pct"/>
            <w:tcBorders>
              <w:top w:val="nil"/>
              <w:left w:val="nil"/>
              <w:bottom w:val="single" w:sz="4" w:space="0" w:color="000000"/>
              <w:right w:val="single" w:sz="4" w:space="0" w:color="000000"/>
            </w:tcBorders>
            <w:shd w:val="clear" w:color="auto" w:fill="auto"/>
            <w:tcMar>
              <w:left w:w="70" w:type="dxa"/>
              <w:right w:w="70" w:type="dxa"/>
            </w:tcMar>
          </w:tcPr>
          <w:p w14:paraId="126F01E8"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183.792</w:t>
            </w:r>
          </w:p>
        </w:tc>
      </w:tr>
      <w:tr w:rsidR="00355A18" w:rsidRPr="00E94942" w14:paraId="67EA3B44" w14:textId="77777777" w:rsidTr="00355A18">
        <w:trPr>
          <w:trHeight w:val="615"/>
          <w:jc w:val="center"/>
        </w:trPr>
        <w:tc>
          <w:tcPr>
            <w:tcW w:w="757" w:type="pct"/>
            <w:vMerge/>
            <w:tcBorders>
              <w:top w:val="nil"/>
              <w:left w:val="single" w:sz="4" w:space="0" w:color="000000"/>
              <w:bottom w:val="single" w:sz="4" w:space="0" w:color="000000"/>
              <w:right w:val="single" w:sz="4" w:space="0" w:color="000000"/>
            </w:tcBorders>
            <w:tcMar>
              <w:left w:w="70" w:type="dxa"/>
              <w:right w:w="70" w:type="dxa"/>
            </w:tcMar>
            <w:vAlign w:val="center"/>
          </w:tcPr>
          <w:p w14:paraId="36EABAA0" w14:textId="77777777" w:rsidR="00064C79" w:rsidRPr="00E94942" w:rsidRDefault="00064C79" w:rsidP="00064C79">
            <w:pPr>
              <w:spacing w:line="276" w:lineRule="auto"/>
              <w:jc w:val="center"/>
              <w:rPr>
                <w:rFonts w:ascii="Arial" w:eastAsia="Calibri" w:hAnsi="Arial" w:cs="Arial"/>
                <w:b/>
                <w:bCs/>
                <w:sz w:val="20"/>
                <w:szCs w:val="20"/>
                <w:lang w:val="es-EC" w:eastAsia="en-US"/>
              </w:rPr>
            </w:pPr>
          </w:p>
        </w:tc>
        <w:tc>
          <w:tcPr>
            <w:tcW w:w="869" w:type="pct"/>
            <w:vMerge/>
            <w:tcBorders>
              <w:top w:val="nil"/>
              <w:left w:val="single" w:sz="4" w:space="0" w:color="000000"/>
              <w:bottom w:val="single" w:sz="4" w:space="0" w:color="000000"/>
              <w:right w:val="single" w:sz="4" w:space="0" w:color="000000"/>
            </w:tcBorders>
            <w:tcMar>
              <w:left w:w="70" w:type="dxa"/>
              <w:right w:w="70" w:type="dxa"/>
            </w:tcMar>
            <w:vAlign w:val="center"/>
          </w:tcPr>
          <w:p w14:paraId="66066CB5" w14:textId="77777777" w:rsidR="00064C79" w:rsidRPr="00E94942" w:rsidRDefault="00064C79" w:rsidP="00064C79">
            <w:pPr>
              <w:spacing w:line="276" w:lineRule="auto"/>
              <w:jc w:val="center"/>
              <w:rPr>
                <w:rFonts w:ascii="Arial" w:eastAsia="Calibri" w:hAnsi="Arial" w:cs="Arial"/>
                <w:b/>
                <w:bCs/>
                <w:sz w:val="20"/>
                <w:szCs w:val="20"/>
                <w:lang w:val="es-EC" w:eastAsia="en-US"/>
              </w:rPr>
            </w:pP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1F853AC4"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24,68%</w:t>
            </w: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552C30F7"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35,56%</w:t>
            </w: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1B5F63AD"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24,66%</w:t>
            </w:r>
          </w:p>
        </w:tc>
        <w:tc>
          <w:tcPr>
            <w:tcW w:w="668" w:type="pct"/>
            <w:tcBorders>
              <w:top w:val="nil"/>
              <w:left w:val="nil"/>
              <w:bottom w:val="single" w:sz="4" w:space="0" w:color="000000"/>
              <w:right w:val="single" w:sz="4" w:space="0" w:color="000000"/>
            </w:tcBorders>
            <w:shd w:val="clear" w:color="auto" w:fill="auto"/>
            <w:tcMar>
              <w:left w:w="70" w:type="dxa"/>
              <w:right w:w="70" w:type="dxa"/>
            </w:tcMar>
          </w:tcPr>
          <w:p w14:paraId="357FA590"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15,10%</w:t>
            </w:r>
          </w:p>
        </w:tc>
        <w:tc>
          <w:tcPr>
            <w:tcW w:w="709" w:type="pct"/>
            <w:tcBorders>
              <w:top w:val="nil"/>
              <w:left w:val="nil"/>
              <w:bottom w:val="single" w:sz="4" w:space="0" w:color="000000"/>
              <w:right w:val="single" w:sz="4" w:space="0" w:color="000000"/>
            </w:tcBorders>
            <w:shd w:val="clear" w:color="auto" w:fill="auto"/>
            <w:tcMar>
              <w:left w:w="70" w:type="dxa"/>
              <w:right w:w="70" w:type="dxa"/>
            </w:tcMar>
          </w:tcPr>
          <w:p w14:paraId="7CFF4440"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100,00%</w:t>
            </w:r>
          </w:p>
        </w:tc>
      </w:tr>
      <w:tr w:rsidR="00355A18" w:rsidRPr="00E94942" w14:paraId="214C02B0" w14:textId="77777777" w:rsidTr="00355A18">
        <w:trPr>
          <w:trHeight w:val="615"/>
          <w:jc w:val="center"/>
        </w:trPr>
        <w:tc>
          <w:tcPr>
            <w:tcW w:w="162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FF08ED3" w14:textId="77777777" w:rsidR="00064C79" w:rsidRPr="00E94942" w:rsidRDefault="00064C79" w:rsidP="00064C79">
            <w:pPr>
              <w:spacing w:line="276" w:lineRule="auto"/>
              <w:jc w:val="center"/>
              <w:rPr>
                <w:rFonts w:ascii="Arial" w:hAnsi="Arial" w:cs="Arial"/>
                <w:b/>
                <w:bCs/>
                <w:sz w:val="20"/>
                <w:szCs w:val="20"/>
                <w:lang w:val="es-EC" w:eastAsia="es-EC"/>
              </w:rPr>
            </w:pPr>
            <w:r w:rsidRPr="00E94942">
              <w:rPr>
                <w:rFonts w:ascii="Arial" w:hAnsi="Arial" w:cs="Arial"/>
                <w:b/>
                <w:bCs/>
                <w:sz w:val="20"/>
                <w:szCs w:val="20"/>
                <w:lang w:val="es-EC" w:eastAsia="es-EC"/>
              </w:rPr>
              <w:t>Total</w:t>
            </w: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6AA3F670"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621.121</w:t>
            </w: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2F3212F6"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467.290</w:t>
            </w: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2F0E2CE7"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279.412</w:t>
            </w:r>
          </w:p>
        </w:tc>
        <w:tc>
          <w:tcPr>
            <w:tcW w:w="668" w:type="pct"/>
            <w:tcBorders>
              <w:top w:val="nil"/>
              <w:left w:val="nil"/>
              <w:bottom w:val="single" w:sz="4" w:space="0" w:color="000000"/>
              <w:right w:val="single" w:sz="4" w:space="0" w:color="000000"/>
            </w:tcBorders>
            <w:shd w:val="clear" w:color="auto" w:fill="auto"/>
            <w:tcMar>
              <w:left w:w="70" w:type="dxa"/>
              <w:right w:w="70" w:type="dxa"/>
            </w:tcMar>
          </w:tcPr>
          <w:p w14:paraId="4DDD62F9"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220.609</w:t>
            </w:r>
          </w:p>
        </w:tc>
        <w:tc>
          <w:tcPr>
            <w:tcW w:w="709" w:type="pct"/>
            <w:tcBorders>
              <w:top w:val="nil"/>
              <w:left w:val="nil"/>
              <w:bottom w:val="single" w:sz="4" w:space="0" w:color="000000"/>
              <w:right w:val="single" w:sz="4" w:space="0" w:color="000000"/>
            </w:tcBorders>
            <w:shd w:val="clear" w:color="auto" w:fill="auto"/>
            <w:tcMar>
              <w:left w:w="70" w:type="dxa"/>
              <w:right w:w="70" w:type="dxa"/>
            </w:tcMar>
          </w:tcPr>
          <w:p w14:paraId="412AC81E"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1.588.432</w:t>
            </w:r>
          </w:p>
        </w:tc>
      </w:tr>
      <w:tr w:rsidR="00355A18" w:rsidRPr="00E94942" w14:paraId="531EF747" w14:textId="77777777" w:rsidTr="00355A18">
        <w:trPr>
          <w:trHeight w:val="615"/>
          <w:jc w:val="center"/>
        </w:trPr>
        <w:tc>
          <w:tcPr>
            <w:tcW w:w="1626"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C0FE0F7" w14:textId="77777777" w:rsidR="00064C79" w:rsidRPr="00E94942" w:rsidRDefault="00064C79" w:rsidP="00064C79">
            <w:pPr>
              <w:spacing w:line="276" w:lineRule="auto"/>
              <w:rPr>
                <w:rFonts w:ascii="Arial" w:eastAsia="Calibri" w:hAnsi="Arial" w:cs="Arial"/>
                <w:sz w:val="20"/>
                <w:szCs w:val="20"/>
                <w:lang w:val="es-EC" w:eastAsia="en-US"/>
              </w:rPr>
            </w:pP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08366B6E"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39,10%</w:t>
            </w: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2AC40CA4"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29,42%</w:t>
            </w:r>
          </w:p>
        </w:tc>
        <w:tc>
          <w:tcPr>
            <w:tcW w:w="666" w:type="pct"/>
            <w:tcBorders>
              <w:top w:val="nil"/>
              <w:left w:val="nil"/>
              <w:bottom w:val="single" w:sz="4" w:space="0" w:color="000000"/>
              <w:right w:val="single" w:sz="4" w:space="0" w:color="000000"/>
            </w:tcBorders>
            <w:shd w:val="clear" w:color="auto" w:fill="auto"/>
            <w:tcMar>
              <w:left w:w="70" w:type="dxa"/>
              <w:right w:w="70" w:type="dxa"/>
            </w:tcMar>
          </w:tcPr>
          <w:p w14:paraId="3E25B377"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17,59%</w:t>
            </w:r>
          </w:p>
        </w:tc>
        <w:tc>
          <w:tcPr>
            <w:tcW w:w="668" w:type="pct"/>
            <w:tcBorders>
              <w:top w:val="nil"/>
              <w:left w:val="nil"/>
              <w:bottom w:val="single" w:sz="4" w:space="0" w:color="000000"/>
              <w:right w:val="single" w:sz="4" w:space="0" w:color="000000"/>
            </w:tcBorders>
            <w:shd w:val="clear" w:color="auto" w:fill="auto"/>
            <w:tcMar>
              <w:left w:w="70" w:type="dxa"/>
              <w:right w:w="70" w:type="dxa"/>
            </w:tcMar>
          </w:tcPr>
          <w:p w14:paraId="4762A56F"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13,89%</w:t>
            </w:r>
          </w:p>
        </w:tc>
        <w:tc>
          <w:tcPr>
            <w:tcW w:w="709" w:type="pct"/>
            <w:tcBorders>
              <w:top w:val="nil"/>
              <w:left w:val="nil"/>
              <w:bottom w:val="single" w:sz="4" w:space="0" w:color="000000"/>
              <w:right w:val="single" w:sz="4" w:space="0" w:color="000000"/>
            </w:tcBorders>
            <w:shd w:val="clear" w:color="auto" w:fill="auto"/>
            <w:tcMar>
              <w:left w:w="70" w:type="dxa"/>
              <w:right w:w="70" w:type="dxa"/>
            </w:tcMar>
          </w:tcPr>
          <w:p w14:paraId="2E717EEC" w14:textId="77777777" w:rsidR="00064C79" w:rsidRPr="00E94942" w:rsidRDefault="00064C79" w:rsidP="00064C79">
            <w:pPr>
              <w:spacing w:line="276" w:lineRule="auto"/>
              <w:jc w:val="center"/>
              <w:rPr>
                <w:rFonts w:ascii="Arial" w:hAnsi="Arial" w:cs="Arial"/>
                <w:sz w:val="20"/>
                <w:szCs w:val="20"/>
                <w:lang w:val="es-EC" w:eastAsia="es-EC"/>
              </w:rPr>
            </w:pPr>
            <w:r w:rsidRPr="00E94942">
              <w:rPr>
                <w:rFonts w:ascii="Arial" w:hAnsi="Arial" w:cs="Arial"/>
                <w:sz w:val="20"/>
                <w:szCs w:val="20"/>
                <w:lang w:val="es-EC" w:eastAsia="es-EC"/>
              </w:rPr>
              <w:t>100,00%</w:t>
            </w:r>
          </w:p>
        </w:tc>
      </w:tr>
    </w:tbl>
    <w:p w14:paraId="66014CF0" w14:textId="77777777" w:rsidR="00064C79" w:rsidRPr="00E94942" w:rsidRDefault="00064C79" w:rsidP="00064C79">
      <w:pPr>
        <w:spacing w:line="360" w:lineRule="auto"/>
        <w:jc w:val="both"/>
        <w:rPr>
          <w:rFonts w:ascii="Arial" w:eastAsia="Calibri" w:hAnsi="Arial" w:cs="Arial"/>
          <w:spacing w:val="-1"/>
          <w:sz w:val="20"/>
          <w:szCs w:val="20"/>
          <w:lang w:val="es-EC" w:eastAsia="en-US"/>
        </w:rPr>
      </w:pPr>
      <w:r w:rsidRPr="00E94942">
        <w:rPr>
          <w:rFonts w:ascii="Arial" w:eastAsia="Calibri" w:hAnsi="Arial" w:cs="Arial"/>
          <w:iCs/>
          <w:spacing w:val="-1"/>
          <w:sz w:val="20"/>
          <w:szCs w:val="20"/>
          <w:lang w:val="es-EC" w:eastAsia="en-US"/>
        </w:rPr>
        <w:t>Nota</w:t>
      </w:r>
      <w:r w:rsidRPr="00E94942">
        <w:rPr>
          <w:rFonts w:ascii="Arial" w:eastAsia="Calibri" w:hAnsi="Arial" w:cs="Arial"/>
          <w:spacing w:val="-1"/>
          <w:sz w:val="20"/>
          <w:szCs w:val="20"/>
          <w:lang w:val="es-EC" w:eastAsia="en-US"/>
        </w:rPr>
        <w:t>. Elaboración propia con base en el INEC, 2023.</w:t>
      </w:r>
    </w:p>
    <w:p w14:paraId="0BC0CDB8" w14:textId="6E55A448" w:rsidR="00064C79" w:rsidRPr="00064C79" w:rsidRDefault="00064C79" w:rsidP="00A92810">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lastRenderedPageBreak/>
        <w:t>El 49,32% de las personas con estudios de posgrado está casado, mientras que, en el nivel de educación superior universitario, el 35,54%. Esto indica que una mayor proporción de personas con posgrado se encuentra en estado civil casado en comparación con quienes tienen solo estudios universitarios, lo que podría estar relacionado con el hecho de que los estudios de posgrado tienden a realizarse en etapas más avanzadas de la vida (tabla de contingencia 3).</w:t>
      </w:r>
    </w:p>
    <w:p w14:paraId="76740E7F" w14:textId="4475E2E3" w:rsidR="00064C79" w:rsidRPr="004B7471" w:rsidRDefault="00064C79" w:rsidP="004B7471">
      <w:pPr>
        <w:spacing w:after="100" w:afterAutospacing="1"/>
        <w:jc w:val="center"/>
        <w:rPr>
          <w:rFonts w:ascii="Arial" w:eastAsia="Calibri" w:hAnsi="Arial" w:cs="Arial"/>
          <w:b/>
          <w:iCs/>
          <w:sz w:val="20"/>
          <w:szCs w:val="20"/>
          <w:lang w:val="es-EC" w:eastAsia="en-US"/>
        </w:rPr>
      </w:pPr>
      <w:r w:rsidRPr="004B7471">
        <w:rPr>
          <w:rFonts w:ascii="Arial" w:eastAsia="Calibri" w:hAnsi="Arial" w:cs="Arial"/>
          <w:b/>
          <w:bCs/>
          <w:sz w:val="20"/>
          <w:szCs w:val="20"/>
          <w:lang w:val="es-EC" w:eastAsia="en-US"/>
        </w:rPr>
        <w:t>Tabla de contingencia 3</w:t>
      </w:r>
      <w:r w:rsidR="004B7471" w:rsidRPr="004B7471">
        <w:rPr>
          <w:rFonts w:ascii="Arial" w:eastAsia="Calibri" w:hAnsi="Arial" w:cs="Arial"/>
          <w:b/>
          <w:bCs/>
          <w:sz w:val="20"/>
          <w:szCs w:val="20"/>
          <w:lang w:val="es-EC" w:eastAsia="en-US"/>
        </w:rPr>
        <w:t xml:space="preserve">. </w:t>
      </w:r>
      <w:r w:rsidRPr="004B7471">
        <w:rPr>
          <w:rFonts w:ascii="Arial" w:eastAsia="Calibri" w:hAnsi="Arial" w:cs="Arial"/>
          <w:b/>
          <w:iCs/>
          <w:sz w:val="20"/>
          <w:szCs w:val="20"/>
          <w:lang w:val="es-EC" w:eastAsia="en-US"/>
        </w:rPr>
        <w:t>Nivel de instrucción - Estado civil</w:t>
      </w:r>
    </w:p>
    <w:tbl>
      <w:tblPr>
        <w:tblW w:w="5145" w:type="pct"/>
        <w:jc w:val="center"/>
        <w:tblLook w:val="04A0" w:firstRow="1" w:lastRow="0" w:firstColumn="1" w:lastColumn="0" w:noHBand="0" w:noVBand="1"/>
      </w:tblPr>
      <w:tblGrid>
        <w:gridCol w:w="1371"/>
        <w:gridCol w:w="1570"/>
        <w:gridCol w:w="1341"/>
        <w:gridCol w:w="1099"/>
        <w:gridCol w:w="1268"/>
        <w:gridCol w:w="1102"/>
        <w:gridCol w:w="1283"/>
      </w:tblGrid>
      <w:tr w:rsidR="00064C79" w:rsidRPr="004B7471" w14:paraId="63BFEDD0" w14:textId="77777777" w:rsidTr="00355A18">
        <w:trPr>
          <w:trHeight w:val="674"/>
          <w:jc w:val="center"/>
        </w:trPr>
        <w:tc>
          <w:tcPr>
            <w:tcW w:w="162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D5D03F6" w14:textId="77777777" w:rsidR="00064C79" w:rsidRPr="004B7471" w:rsidRDefault="00064C79" w:rsidP="00064C79">
            <w:pPr>
              <w:spacing w:line="276" w:lineRule="auto"/>
              <w:jc w:val="both"/>
              <w:rPr>
                <w:rFonts w:ascii="Arial" w:hAnsi="Arial" w:cs="Arial"/>
                <w:sz w:val="20"/>
                <w:szCs w:val="20"/>
                <w:lang w:val="es-EC" w:eastAsia="es-EC"/>
              </w:rPr>
            </w:pPr>
            <w:r w:rsidRPr="004B7471">
              <w:rPr>
                <w:rFonts w:ascii="Arial" w:hAnsi="Arial" w:cs="Arial"/>
                <w:sz w:val="20"/>
                <w:szCs w:val="20"/>
                <w:lang w:val="es-EC" w:eastAsia="es-EC"/>
              </w:rPr>
              <w:t> </w:t>
            </w:r>
          </w:p>
        </w:tc>
        <w:tc>
          <w:tcPr>
            <w:tcW w:w="2662" w:type="pct"/>
            <w:gridSpan w:val="4"/>
            <w:tcBorders>
              <w:top w:val="single" w:sz="4" w:space="0" w:color="000000"/>
              <w:left w:val="nil"/>
              <w:bottom w:val="single" w:sz="4" w:space="0" w:color="000000"/>
              <w:right w:val="single" w:sz="4" w:space="0" w:color="000000"/>
            </w:tcBorders>
            <w:shd w:val="clear" w:color="auto" w:fill="auto"/>
            <w:tcMar>
              <w:left w:w="70" w:type="dxa"/>
              <w:right w:w="70" w:type="dxa"/>
            </w:tcMar>
            <w:vAlign w:val="center"/>
          </w:tcPr>
          <w:p w14:paraId="546DEEE0" w14:textId="77777777" w:rsidR="00064C79" w:rsidRPr="004B7471" w:rsidRDefault="00064C79" w:rsidP="00064C79">
            <w:pPr>
              <w:spacing w:line="276" w:lineRule="auto"/>
              <w:jc w:val="center"/>
              <w:rPr>
                <w:rFonts w:ascii="Arial" w:hAnsi="Arial" w:cs="Arial"/>
                <w:b/>
                <w:bCs/>
                <w:sz w:val="20"/>
                <w:szCs w:val="20"/>
                <w:lang w:val="es-EC" w:eastAsia="es-EC"/>
              </w:rPr>
            </w:pPr>
            <w:r w:rsidRPr="004B7471">
              <w:rPr>
                <w:rFonts w:ascii="Arial" w:hAnsi="Arial" w:cs="Arial"/>
                <w:b/>
                <w:bCs/>
                <w:sz w:val="20"/>
                <w:szCs w:val="20"/>
                <w:lang w:val="es-EC" w:eastAsia="es-EC"/>
              </w:rPr>
              <w:t>Estado civil</w:t>
            </w:r>
          </w:p>
        </w:tc>
        <w:tc>
          <w:tcPr>
            <w:tcW w:w="710" w:type="pct"/>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871E08B" w14:textId="77777777" w:rsidR="00064C79" w:rsidRPr="004B7471" w:rsidRDefault="00064C79" w:rsidP="00064C79">
            <w:pPr>
              <w:spacing w:line="276" w:lineRule="auto"/>
              <w:jc w:val="center"/>
              <w:rPr>
                <w:rFonts w:ascii="Arial" w:hAnsi="Arial" w:cs="Arial"/>
                <w:b/>
                <w:bCs/>
                <w:sz w:val="20"/>
                <w:szCs w:val="20"/>
                <w:lang w:val="es-EC" w:eastAsia="es-EC"/>
              </w:rPr>
            </w:pPr>
            <w:r w:rsidRPr="004B7471">
              <w:rPr>
                <w:rFonts w:ascii="Arial" w:hAnsi="Arial" w:cs="Arial"/>
                <w:b/>
                <w:bCs/>
                <w:sz w:val="20"/>
                <w:szCs w:val="20"/>
                <w:lang w:val="es-EC" w:eastAsia="es-EC"/>
              </w:rPr>
              <w:t>Total</w:t>
            </w:r>
          </w:p>
        </w:tc>
      </w:tr>
      <w:tr w:rsidR="00355A18" w:rsidRPr="004B7471" w14:paraId="7D8ABBD5" w14:textId="77777777" w:rsidTr="00355A18">
        <w:trPr>
          <w:trHeight w:val="674"/>
          <w:jc w:val="center"/>
        </w:trPr>
        <w:tc>
          <w:tcPr>
            <w:tcW w:w="1628"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513430A" w14:textId="77777777" w:rsidR="00064C79" w:rsidRPr="004B7471" w:rsidRDefault="00064C79" w:rsidP="00064C79">
            <w:pPr>
              <w:spacing w:line="276" w:lineRule="auto"/>
              <w:rPr>
                <w:rFonts w:ascii="Arial" w:eastAsia="Calibri" w:hAnsi="Arial" w:cs="Arial"/>
                <w:sz w:val="20"/>
                <w:szCs w:val="20"/>
                <w:lang w:val="es-EC" w:eastAsia="en-US"/>
              </w:rPr>
            </w:pPr>
          </w:p>
        </w:tc>
        <w:tc>
          <w:tcPr>
            <w:tcW w:w="742" w:type="pct"/>
            <w:tcBorders>
              <w:top w:val="nil"/>
              <w:left w:val="nil"/>
              <w:bottom w:val="single" w:sz="4" w:space="0" w:color="000000"/>
              <w:right w:val="single" w:sz="4" w:space="0" w:color="000000"/>
            </w:tcBorders>
            <w:shd w:val="clear" w:color="auto" w:fill="auto"/>
            <w:tcMar>
              <w:left w:w="70" w:type="dxa"/>
              <w:right w:w="70" w:type="dxa"/>
            </w:tcMar>
            <w:vAlign w:val="center"/>
          </w:tcPr>
          <w:p w14:paraId="5EFFC7D9" w14:textId="77777777" w:rsidR="00064C79" w:rsidRPr="004B7471" w:rsidRDefault="00064C79" w:rsidP="00064C79">
            <w:pPr>
              <w:spacing w:line="276" w:lineRule="auto"/>
              <w:jc w:val="center"/>
              <w:rPr>
                <w:rFonts w:ascii="Arial" w:hAnsi="Arial" w:cs="Arial"/>
                <w:b/>
                <w:bCs/>
                <w:sz w:val="20"/>
                <w:szCs w:val="20"/>
                <w:lang w:val="es-EC" w:eastAsia="es-EC"/>
              </w:rPr>
            </w:pPr>
            <w:r w:rsidRPr="004B7471">
              <w:rPr>
                <w:rFonts w:ascii="Arial" w:hAnsi="Arial" w:cs="Arial"/>
                <w:b/>
                <w:bCs/>
                <w:sz w:val="20"/>
                <w:szCs w:val="20"/>
                <w:lang w:val="es-EC" w:eastAsia="es-EC"/>
              </w:rPr>
              <w:t>Casado(a)</w:t>
            </w:r>
          </w:p>
        </w:tc>
        <w:tc>
          <w:tcPr>
            <w:tcW w:w="608" w:type="pct"/>
            <w:tcBorders>
              <w:top w:val="nil"/>
              <w:left w:val="nil"/>
              <w:bottom w:val="single" w:sz="4" w:space="0" w:color="000000"/>
              <w:right w:val="single" w:sz="4" w:space="0" w:color="000000"/>
            </w:tcBorders>
            <w:shd w:val="clear" w:color="auto" w:fill="auto"/>
            <w:tcMar>
              <w:left w:w="70" w:type="dxa"/>
              <w:right w:w="70" w:type="dxa"/>
            </w:tcMar>
            <w:vAlign w:val="center"/>
          </w:tcPr>
          <w:p w14:paraId="15A2BB48" w14:textId="77777777" w:rsidR="00064C79" w:rsidRPr="004B7471" w:rsidRDefault="00064C79" w:rsidP="00064C79">
            <w:pPr>
              <w:spacing w:line="276" w:lineRule="auto"/>
              <w:jc w:val="center"/>
              <w:rPr>
                <w:rFonts w:ascii="Arial" w:hAnsi="Arial" w:cs="Arial"/>
                <w:b/>
                <w:bCs/>
                <w:sz w:val="20"/>
                <w:szCs w:val="20"/>
                <w:lang w:val="es-EC" w:eastAsia="es-EC"/>
              </w:rPr>
            </w:pPr>
            <w:r w:rsidRPr="004B7471">
              <w:rPr>
                <w:rFonts w:ascii="Arial" w:hAnsi="Arial" w:cs="Arial"/>
                <w:b/>
                <w:bCs/>
                <w:sz w:val="20"/>
                <w:szCs w:val="20"/>
                <w:lang w:val="es-EC" w:eastAsia="es-EC"/>
              </w:rPr>
              <w:t>Unión libre</w:t>
            </w:r>
          </w:p>
        </w:tc>
        <w:tc>
          <w:tcPr>
            <w:tcW w:w="702" w:type="pct"/>
            <w:tcBorders>
              <w:top w:val="nil"/>
              <w:left w:val="nil"/>
              <w:bottom w:val="single" w:sz="4" w:space="0" w:color="000000"/>
              <w:right w:val="single" w:sz="4" w:space="0" w:color="000000"/>
            </w:tcBorders>
            <w:shd w:val="clear" w:color="auto" w:fill="auto"/>
            <w:tcMar>
              <w:left w:w="70" w:type="dxa"/>
              <w:right w:w="70" w:type="dxa"/>
            </w:tcMar>
            <w:vAlign w:val="center"/>
          </w:tcPr>
          <w:p w14:paraId="1EF77EC4" w14:textId="77777777" w:rsidR="00064C79" w:rsidRPr="004B7471" w:rsidRDefault="00064C79" w:rsidP="00064C79">
            <w:pPr>
              <w:spacing w:line="276" w:lineRule="auto"/>
              <w:jc w:val="center"/>
              <w:rPr>
                <w:rFonts w:ascii="Arial" w:hAnsi="Arial" w:cs="Arial"/>
                <w:b/>
                <w:bCs/>
                <w:sz w:val="20"/>
                <w:szCs w:val="20"/>
                <w:lang w:val="es-EC" w:eastAsia="es-EC"/>
              </w:rPr>
            </w:pPr>
            <w:r w:rsidRPr="004B7471">
              <w:rPr>
                <w:rFonts w:ascii="Arial" w:hAnsi="Arial" w:cs="Arial"/>
                <w:b/>
                <w:bCs/>
                <w:sz w:val="20"/>
                <w:szCs w:val="20"/>
                <w:lang w:val="es-EC" w:eastAsia="es-EC"/>
              </w:rPr>
              <w:t>Soltero(a)</w:t>
            </w:r>
          </w:p>
        </w:tc>
        <w:tc>
          <w:tcPr>
            <w:tcW w:w="610" w:type="pct"/>
            <w:tcBorders>
              <w:top w:val="nil"/>
              <w:left w:val="nil"/>
              <w:bottom w:val="single" w:sz="4" w:space="0" w:color="000000"/>
              <w:right w:val="single" w:sz="4" w:space="0" w:color="000000"/>
            </w:tcBorders>
            <w:shd w:val="clear" w:color="auto" w:fill="auto"/>
            <w:tcMar>
              <w:left w:w="70" w:type="dxa"/>
              <w:right w:w="70" w:type="dxa"/>
            </w:tcMar>
            <w:vAlign w:val="center"/>
          </w:tcPr>
          <w:p w14:paraId="17C6F53B" w14:textId="77777777" w:rsidR="00064C79" w:rsidRPr="004B7471" w:rsidRDefault="00064C79" w:rsidP="00064C79">
            <w:pPr>
              <w:spacing w:line="276" w:lineRule="auto"/>
              <w:jc w:val="center"/>
              <w:rPr>
                <w:rFonts w:ascii="Arial" w:hAnsi="Arial" w:cs="Arial"/>
                <w:b/>
                <w:bCs/>
                <w:sz w:val="20"/>
                <w:szCs w:val="20"/>
                <w:lang w:val="es-EC" w:eastAsia="es-EC"/>
              </w:rPr>
            </w:pPr>
            <w:r w:rsidRPr="004B7471">
              <w:rPr>
                <w:rFonts w:ascii="Arial" w:hAnsi="Arial" w:cs="Arial"/>
                <w:b/>
                <w:bCs/>
                <w:sz w:val="20"/>
                <w:szCs w:val="20"/>
                <w:lang w:val="es-EC" w:eastAsia="es-EC"/>
              </w:rPr>
              <w:t>Otro</w:t>
            </w:r>
          </w:p>
        </w:tc>
        <w:tc>
          <w:tcPr>
            <w:tcW w:w="710" w:type="pct"/>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6BA8B9C" w14:textId="77777777" w:rsidR="00064C79" w:rsidRPr="004B7471" w:rsidRDefault="00064C79" w:rsidP="00064C79">
            <w:pPr>
              <w:spacing w:line="276" w:lineRule="auto"/>
              <w:rPr>
                <w:rFonts w:ascii="Arial" w:eastAsia="Calibri" w:hAnsi="Arial" w:cs="Arial"/>
                <w:sz w:val="20"/>
                <w:szCs w:val="20"/>
                <w:lang w:val="es-EC" w:eastAsia="en-US"/>
              </w:rPr>
            </w:pPr>
          </w:p>
        </w:tc>
      </w:tr>
      <w:tr w:rsidR="007623AD" w:rsidRPr="004B7471" w14:paraId="38AF8BB3" w14:textId="77777777" w:rsidTr="00355A18">
        <w:trPr>
          <w:trHeight w:val="674"/>
          <w:jc w:val="center"/>
        </w:trPr>
        <w:tc>
          <w:tcPr>
            <w:tcW w:w="759"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4E54C441" w14:textId="77777777" w:rsidR="00064C79" w:rsidRPr="004B7471" w:rsidRDefault="00064C79" w:rsidP="00064C79">
            <w:pPr>
              <w:spacing w:line="276" w:lineRule="auto"/>
              <w:jc w:val="center"/>
              <w:rPr>
                <w:rFonts w:ascii="Arial" w:hAnsi="Arial" w:cs="Arial"/>
                <w:b/>
                <w:bCs/>
                <w:sz w:val="20"/>
                <w:szCs w:val="20"/>
                <w:lang w:val="es-EC" w:eastAsia="es-EC"/>
              </w:rPr>
            </w:pPr>
            <w:r w:rsidRPr="004B7471">
              <w:rPr>
                <w:rFonts w:ascii="Arial" w:hAnsi="Arial" w:cs="Arial"/>
                <w:b/>
                <w:bCs/>
                <w:sz w:val="20"/>
                <w:szCs w:val="20"/>
                <w:lang w:val="es-EC" w:eastAsia="es-EC"/>
              </w:rPr>
              <w:t>Nivel de instrucción</w:t>
            </w:r>
          </w:p>
        </w:tc>
        <w:tc>
          <w:tcPr>
            <w:tcW w:w="869"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24F9BE6B" w14:textId="77777777" w:rsidR="00064C79" w:rsidRPr="004B7471" w:rsidRDefault="00064C79" w:rsidP="00064C79">
            <w:pPr>
              <w:spacing w:line="276" w:lineRule="auto"/>
              <w:jc w:val="center"/>
              <w:rPr>
                <w:rFonts w:ascii="Arial" w:hAnsi="Arial" w:cs="Arial"/>
                <w:b/>
                <w:bCs/>
                <w:sz w:val="20"/>
                <w:szCs w:val="20"/>
                <w:lang w:val="es-EC" w:eastAsia="es-EC"/>
              </w:rPr>
            </w:pPr>
            <w:r w:rsidRPr="004B7471">
              <w:rPr>
                <w:rFonts w:ascii="Arial" w:hAnsi="Arial" w:cs="Arial"/>
                <w:b/>
                <w:bCs/>
                <w:sz w:val="20"/>
                <w:szCs w:val="20"/>
                <w:lang w:val="es-EC" w:eastAsia="es-EC"/>
              </w:rPr>
              <w:t>Superior Universitario</w:t>
            </w:r>
          </w:p>
        </w:tc>
        <w:tc>
          <w:tcPr>
            <w:tcW w:w="742" w:type="pct"/>
            <w:tcBorders>
              <w:top w:val="nil"/>
              <w:left w:val="nil"/>
              <w:bottom w:val="single" w:sz="4" w:space="0" w:color="000000"/>
              <w:right w:val="single" w:sz="4" w:space="0" w:color="000000"/>
            </w:tcBorders>
            <w:shd w:val="clear" w:color="auto" w:fill="auto"/>
            <w:tcMar>
              <w:left w:w="70" w:type="dxa"/>
              <w:right w:w="70" w:type="dxa"/>
            </w:tcMar>
          </w:tcPr>
          <w:p w14:paraId="1C0AC951"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499.149</w:t>
            </w:r>
          </w:p>
        </w:tc>
        <w:tc>
          <w:tcPr>
            <w:tcW w:w="608" w:type="pct"/>
            <w:tcBorders>
              <w:top w:val="nil"/>
              <w:left w:val="nil"/>
              <w:bottom w:val="single" w:sz="4" w:space="0" w:color="000000"/>
              <w:right w:val="single" w:sz="4" w:space="0" w:color="000000"/>
            </w:tcBorders>
            <w:shd w:val="clear" w:color="auto" w:fill="auto"/>
            <w:tcMar>
              <w:left w:w="70" w:type="dxa"/>
              <w:right w:w="70" w:type="dxa"/>
            </w:tcMar>
          </w:tcPr>
          <w:p w14:paraId="64D9F5FA"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236.951</w:t>
            </w:r>
          </w:p>
        </w:tc>
        <w:tc>
          <w:tcPr>
            <w:tcW w:w="702" w:type="pct"/>
            <w:tcBorders>
              <w:top w:val="nil"/>
              <w:left w:val="nil"/>
              <w:bottom w:val="single" w:sz="4" w:space="0" w:color="000000"/>
              <w:right w:val="single" w:sz="4" w:space="0" w:color="000000"/>
            </w:tcBorders>
            <w:shd w:val="clear" w:color="auto" w:fill="auto"/>
            <w:tcMar>
              <w:left w:w="70" w:type="dxa"/>
              <w:right w:w="70" w:type="dxa"/>
            </w:tcMar>
          </w:tcPr>
          <w:p w14:paraId="18BE5196"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453.697</w:t>
            </w:r>
          </w:p>
        </w:tc>
        <w:tc>
          <w:tcPr>
            <w:tcW w:w="610" w:type="pct"/>
            <w:tcBorders>
              <w:top w:val="nil"/>
              <w:left w:val="nil"/>
              <w:bottom w:val="single" w:sz="4" w:space="0" w:color="000000"/>
              <w:right w:val="single" w:sz="4" w:space="0" w:color="000000"/>
            </w:tcBorders>
            <w:shd w:val="clear" w:color="auto" w:fill="auto"/>
            <w:tcMar>
              <w:left w:w="70" w:type="dxa"/>
              <w:right w:w="70" w:type="dxa"/>
            </w:tcMar>
          </w:tcPr>
          <w:p w14:paraId="584CB232"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214.841</w:t>
            </w:r>
          </w:p>
        </w:tc>
        <w:tc>
          <w:tcPr>
            <w:tcW w:w="710" w:type="pct"/>
            <w:tcBorders>
              <w:top w:val="nil"/>
              <w:left w:val="nil"/>
              <w:bottom w:val="single" w:sz="4" w:space="0" w:color="000000"/>
              <w:right w:val="single" w:sz="4" w:space="0" w:color="000000"/>
            </w:tcBorders>
            <w:shd w:val="clear" w:color="auto" w:fill="auto"/>
            <w:tcMar>
              <w:left w:w="70" w:type="dxa"/>
              <w:right w:w="70" w:type="dxa"/>
            </w:tcMar>
          </w:tcPr>
          <w:p w14:paraId="115D05AE"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1.404.638</w:t>
            </w:r>
          </w:p>
        </w:tc>
      </w:tr>
      <w:tr w:rsidR="007623AD" w:rsidRPr="004B7471" w14:paraId="0E960A77" w14:textId="77777777" w:rsidTr="00355A18">
        <w:trPr>
          <w:trHeight w:val="674"/>
          <w:jc w:val="center"/>
        </w:trPr>
        <w:tc>
          <w:tcPr>
            <w:tcW w:w="759" w:type="pct"/>
            <w:vMerge/>
            <w:tcBorders>
              <w:top w:val="nil"/>
              <w:left w:val="single" w:sz="4" w:space="0" w:color="000000"/>
              <w:bottom w:val="single" w:sz="4" w:space="0" w:color="000000"/>
              <w:right w:val="single" w:sz="4" w:space="0" w:color="000000"/>
            </w:tcBorders>
            <w:tcMar>
              <w:left w:w="70" w:type="dxa"/>
              <w:right w:w="70" w:type="dxa"/>
            </w:tcMar>
            <w:vAlign w:val="center"/>
          </w:tcPr>
          <w:p w14:paraId="418F214D" w14:textId="77777777" w:rsidR="00064C79" w:rsidRPr="004B7471" w:rsidRDefault="00064C79" w:rsidP="00064C79">
            <w:pPr>
              <w:spacing w:line="276" w:lineRule="auto"/>
              <w:jc w:val="center"/>
              <w:rPr>
                <w:rFonts w:ascii="Arial" w:eastAsia="Calibri" w:hAnsi="Arial" w:cs="Arial"/>
                <w:b/>
                <w:bCs/>
                <w:sz w:val="20"/>
                <w:szCs w:val="20"/>
                <w:lang w:val="es-EC" w:eastAsia="en-US"/>
              </w:rPr>
            </w:pPr>
          </w:p>
        </w:tc>
        <w:tc>
          <w:tcPr>
            <w:tcW w:w="869" w:type="pct"/>
            <w:vMerge/>
            <w:tcBorders>
              <w:top w:val="nil"/>
              <w:left w:val="single" w:sz="4" w:space="0" w:color="000000"/>
              <w:bottom w:val="single" w:sz="4" w:space="0" w:color="000000"/>
              <w:right w:val="single" w:sz="4" w:space="0" w:color="000000"/>
            </w:tcBorders>
            <w:tcMar>
              <w:left w:w="70" w:type="dxa"/>
              <w:right w:w="70" w:type="dxa"/>
            </w:tcMar>
            <w:vAlign w:val="center"/>
          </w:tcPr>
          <w:p w14:paraId="2AFD678F" w14:textId="77777777" w:rsidR="00064C79" w:rsidRPr="004B7471" w:rsidRDefault="00064C79" w:rsidP="00064C79">
            <w:pPr>
              <w:spacing w:line="276" w:lineRule="auto"/>
              <w:jc w:val="center"/>
              <w:rPr>
                <w:rFonts w:ascii="Arial" w:eastAsia="Calibri" w:hAnsi="Arial" w:cs="Arial"/>
                <w:b/>
                <w:bCs/>
                <w:sz w:val="20"/>
                <w:szCs w:val="20"/>
                <w:lang w:val="es-EC" w:eastAsia="en-US"/>
              </w:rPr>
            </w:pPr>
          </w:p>
        </w:tc>
        <w:tc>
          <w:tcPr>
            <w:tcW w:w="742" w:type="pct"/>
            <w:tcBorders>
              <w:top w:val="nil"/>
              <w:left w:val="nil"/>
              <w:bottom w:val="single" w:sz="4" w:space="0" w:color="000000"/>
              <w:right w:val="single" w:sz="4" w:space="0" w:color="000000"/>
            </w:tcBorders>
            <w:shd w:val="clear" w:color="auto" w:fill="auto"/>
            <w:tcMar>
              <w:left w:w="70" w:type="dxa"/>
              <w:right w:w="70" w:type="dxa"/>
            </w:tcMar>
          </w:tcPr>
          <w:p w14:paraId="567A9198"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35,54%</w:t>
            </w:r>
          </w:p>
        </w:tc>
        <w:tc>
          <w:tcPr>
            <w:tcW w:w="608" w:type="pct"/>
            <w:tcBorders>
              <w:top w:val="nil"/>
              <w:left w:val="nil"/>
              <w:bottom w:val="single" w:sz="4" w:space="0" w:color="000000"/>
              <w:right w:val="single" w:sz="4" w:space="0" w:color="000000"/>
            </w:tcBorders>
            <w:shd w:val="clear" w:color="auto" w:fill="auto"/>
            <w:tcMar>
              <w:left w:w="70" w:type="dxa"/>
              <w:right w:w="70" w:type="dxa"/>
            </w:tcMar>
          </w:tcPr>
          <w:p w14:paraId="37305A59"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16,87%</w:t>
            </w:r>
          </w:p>
        </w:tc>
        <w:tc>
          <w:tcPr>
            <w:tcW w:w="702" w:type="pct"/>
            <w:tcBorders>
              <w:top w:val="nil"/>
              <w:left w:val="nil"/>
              <w:bottom w:val="single" w:sz="4" w:space="0" w:color="000000"/>
              <w:right w:val="single" w:sz="4" w:space="0" w:color="000000"/>
            </w:tcBorders>
            <w:shd w:val="clear" w:color="auto" w:fill="auto"/>
            <w:tcMar>
              <w:left w:w="70" w:type="dxa"/>
              <w:right w:w="70" w:type="dxa"/>
            </w:tcMar>
          </w:tcPr>
          <w:p w14:paraId="5506D1E9"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32,30%</w:t>
            </w:r>
          </w:p>
        </w:tc>
        <w:tc>
          <w:tcPr>
            <w:tcW w:w="610" w:type="pct"/>
            <w:tcBorders>
              <w:top w:val="nil"/>
              <w:left w:val="nil"/>
              <w:bottom w:val="single" w:sz="4" w:space="0" w:color="000000"/>
              <w:right w:val="single" w:sz="4" w:space="0" w:color="000000"/>
            </w:tcBorders>
            <w:shd w:val="clear" w:color="auto" w:fill="auto"/>
            <w:tcMar>
              <w:left w:w="70" w:type="dxa"/>
              <w:right w:w="70" w:type="dxa"/>
            </w:tcMar>
          </w:tcPr>
          <w:p w14:paraId="01AFBFB9"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15,30%</w:t>
            </w:r>
          </w:p>
        </w:tc>
        <w:tc>
          <w:tcPr>
            <w:tcW w:w="710" w:type="pct"/>
            <w:tcBorders>
              <w:top w:val="nil"/>
              <w:left w:val="nil"/>
              <w:bottom w:val="single" w:sz="4" w:space="0" w:color="000000"/>
              <w:right w:val="single" w:sz="4" w:space="0" w:color="000000"/>
            </w:tcBorders>
            <w:shd w:val="clear" w:color="auto" w:fill="auto"/>
            <w:tcMar>
              <w:left w:w="70" w:type="dxa"/>
              <w:right w:w="70" w:type="dxa"/>
            </w:tcMar>
          </w:tcPr>
          <w:p w14:paraId="4E5ADB25"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100,00%</w:t>
            </w:r>
          </w:p>
        </w:tc>
      </w:tr>
      <w:tr w:rsidR="007623AD" w:rsidRPr="004B7471" w14:paraId="74B43941" w14:textId="77777777" w:rsidTr="00355A18">
        <w:trPr>
          <w:trHeight w:val="674"/>
          <w:jc w:val="center"/>
        </w:trPr>
        <w:tc>
          <w:tcPr>
            <w:tcW w:w="759" w:type="pct"/>
            <w:vMerge/>
            <w:tcBorders>
              <w:top w:val="nil"/>
              <w:left w:val="single" w:sz="4" w:space="0" w:color="000000"/>
              <w:bottom w:val="single" w:sz="4" w:space="0" w:color="000000"/>
              <w:right w:val="single" w:sz="4" w:space="0" w:color="000000"/>
            </w:tcBorders>
            <w:tcMar>
              <w:left w:w="70" w:type="dxa"/>
              <w:right w:w="70" w:type="dxa"/>
            </w:tcMar>
            <w:vAlign w:val="center"/>
          </w:tcPr>
          <w:p w14:paraId="2D1C308D" w14:textId="77777777" w:rsidR="00064C79" w:rsidRPr="004B7471" w:rsidRDefault="00064C79" w:rsidP="00064C79">
            <w:pPr>
              <w:spacing w:line="276" w:lineRule="auto"/>
              <w:jc w:val="center"/>
              <w:rPr>
                <w:rFonts w:ascii="Arial" w:eastAsia="Calibri" w:hAnsi="Arial" w:cs="Arial"/>
                <w:b/>
                <w:bCs/>
                <w:sz w:val="20"/>
                <w:szCs w:val="20"/>
                <w:lang w:val="es-EC" w:eastAsia="en-US"/>
              </w:rPr>
            </w:pPr>
          </w:p>
        </w:tc>
        <w:tc>
          <w:tcPr>
            <w:tcW w:w="869"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2D7F6957" w14:textId="77777777" w:rsidR="00064C79" w:rsidRPr="004B7471" w:rsidRDefault="00064C79" w:rsidP="00064C79">
            <w:pPr>
              <w:spacing w:line="276" w:lineRule="auto"/>
              <w:jc w:val="center"/>
              <w:rPr>
                <w:rFonts w:ascii="Arial" w:hAnsi="Arial" w:cs="Arial"/>
                <w:b/>
                <w:bCs/>
                <w:sz w:val="20"/>
                <w:szCs w:val="20"/>
                <w:lang w:val="es-EC" w:eastAsia="es-EC"/>
              </w:rPr>
            </w:pPr>
            <w:r w:rsidRPr="004B7471">
              <w:rPr>
                <w:rFonts w:ascii="Arial" w:hAnsi="Arial" w:cs="Arial"/>
                <w:b/>
                <w:bCs/>
                <w:sz w:val="20"/>
                <w:szCs w:val="20"/>
                <w:lang w:val="es-EC" w:eastAsia="es-EC"/>
              </w:rPr>
              <w:t>Posgrado</w:t>
            </w:r>
          </w:p>
        </w:tc>
        <w:tc>
          <w:tcPr>
            <w:tcW w:w="742" w:type="pct"/>
            <w:tcBorders>
              <w:top w:val="nil"/>
              <w:left w:val="nil"/>
              <w:bottom w:val="single" w:sz="4" w:space="0" w:color="000000"/>
              <w:right w:val="single" w:sz="4" w:space="0" w:color="000000"/>
            </w:tcBorders>
            <w:shd w:val="clear" w:color="auto" w:fill="auto"/>
            <w:tcMar>
              <w:left w:w="70" w:type="dxa"/>
              <w:right w:w="70" w:type="dxa"/>
            </w:tcMar>
          </w:tcPr>
          <w:p w14:paraId="0BF8F976"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90.650</w:t>
            </w:r>
          </w:p>
        </w:tc>
        <w:tc>
          <w:tcPr>
            <w:tcW w:w="608" w:type="pct"/>
            <w:tcBorders>
              <w:top w:val="nil"/>
              <w:left w:val="nil"/>
              <w:bottom w:val="single" w:sz="4" w:space="0" w:color="000000"/>
              <w:right w:val="single" w:sz="4" w:space="0" w:color="000000"/>
            </w:tcBorders>
            <w:shd w:val="clear" w:color="auto" w:fill="auto"/>
            <w:tcMar>
              <w:left w:w="70" w:type="dxa"/>
              <w:right w:w="70" w:type="dxa"/>
            </w:tcMar>
          </w:tcPr>
          <w:p w14:paraId="6986E8F3"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19.757</w:t>
            </w:r>
          </w:p>
        </w:tc>
        <w:tc>
          <w:tcPr>
            <w:tcW w:w="702" w:type="pct"/>
            <w:tcBorders>
              <w:top w:val="nil"/>
              <w:left w:val="nil"/>
              <w:bottom w:val="single" w:sz="4" w:space="0" w:color="000000"/>
              <w:right w:val="single" w:sz="4" w:space="0" w:color="000000"/>
            </w:tcBorders>
            <w:shd w:val="clear" w:color="auto" w:fill="auto"/>
            <w:tcMar>
              <w:left w:w="70" w:type="dxa"/>
              <w:right w:w="70" w:type="dxa"/>
            </w:tcMar>
          </w:tcPr>
          <w:p w14:paraId="77A39E3F"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46.744</w:t>
            </w:r>
          </w:p>
        </w:tc>
        <w:tc>
          <w:tcPr>
            <w:tcW w:w="610" w:type="pct"/>
            <w:tcBorders>
              <w:top w:val="nil"/>
              <w:left w:val="nil"/>
              <w:bottom w:val="single" w:sz="4" w:space="0" w:color="000000"/>
              <w:right w:val="single" w:sz="4" w:space="0" w:color="000000"/>
            </w:tcBorders>
            <w:shd w:val="clear" w:color="auto" w:fill="auto"/>
            <w:tcMar>
              <w:left w:w="70" w:type="dxa"/>
              <w:right w:w="70" w:type="dxa"/>
            </w:tcMar>
          </w:tcPr>
          <w:p w14:paraId="5AFACD46"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26.643</w:t>
            </w:r>
          </w:p>
        </w:tc>
        <w:tc>
          <w:tcPr>
            <w:tcW w:w="710" w:type="pct"/>
            <w:tcBorders>
              <w:top w:val="nil"/>
              <w:left w:val="nil"/>
              <w:bottom w:val="single" w:sz="4" w:space="0" w:color="000000"/>
              <w:right w:val="single" w:sz="4" w:space="0" w:color="000000"/>
            </w:tcBorders>
            <w:shd w:val="clear" w:color="auto" w:fill="auto"/>
            <w:tcMar>
              <w:left w:w="70" w:type="dxa"/>
              <w:right w:w="70" w:type="dxa"/>
            </w:tcMar>
          </w:tcPr>
          <w:p w14:paraId="62A1CFF8"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183.794</w:t>
            </w:r>
          </w:p>
        </w:tc>
      </w:tr>
      <w:tr w:rsidR="007623AD" w:rsidRPr="004B7471" w14:paraId="5A268C9E" w14:textId="77777777" w:rsidTr="00355A18">
        <w:trPr>
          <w:trHeight w:val="674"/>
          <w:jc w:val="center"/>
        </w:trPr>
        <w:tc>
          <w:tcPr>
            <w:tcW w:w="759" w:type="pct"/>
            <w:vMerge/>
            <w:tcBorders>
              <w:top w:val="nil"/>
              <w:left w:val="single" w:sz="4" w:space="0" w:color="000000"/>
              <w:bottom w:val="single" w:sz="4" w:space="0" w:color="000000"/>
              <w:right w:val="single" w:sz="4" w:space="0" w:color="000000"/>
            </w:tcBorders>
            <w:tcMar>
              <w:left w:w="70" w:type="dxa"/>
              <w:right w:w="70" w:type="dxa"/>
            </w:tcMar>
            <w:vAlign w:val="center"/>
          </w:tcPr>
          <w:p w14:paraId="41055C7D" w14:textId="77777777" w:rsidR="00064C79" w:rsidRPr="004B7471" w:rsidRDefault="00064C79" w:rsidP="00064C79">
            <w:pPr>
              <w:spacing w:line="276" w:lineRule="auto"/>
              <w:jc w:val="center"/>
              <w:rPr>
                <w:rFonts w:ascii="Arial" w:eastAsia="Calibri" w:hAnsi="Arial" w:cs="Arial"/>
                <w:b/>
                <w:bCs/>
                <w:sz w:val="20"/>
                <w:szCs w:val="20"/>
                <w:lang w:val="es-EC" w:eastAsia="en-US"/>
              </w:rPr>
            </w:pPr>
          </w:p>
        </w:tc>
        <w:tc>
          <w:tcPr>
            <w:tcW w:w="869" w:type="pct"/>
            <w:vMerge/>
            <w:tcBorders>
              <w:top w:val="nil"/>
              <w:left w:val="single" w:sz="4" w:space="0" w:color="000000"/>
              <w:bottom w:val="single" w:sz="4" w:space="0" w:color="000000"/>
              <w:right w:val="single" w:sz="4" w:space="0" w:color="000000"/>
            </w:tcBorders>
            <w:tcMar>
              <w:left w:w="70" w:type="dxa"/>
              <w:right w:w="70" w:type="dxa"/>
            </w:tcMar>
            <w:vAlign w:val="center"/>
          </w:tcPr>
          <w:p w14:paraId="05B9F437" w14:textId="77777777" w:rsidR="00064C79" w:rsidRPr="004B7471" w:rsidRDefault="00064C79" w:rsidP="00064C79">
            <w:pPr>
              <w:spacing w:line="276" w:lineRule="auto"/>
              <w:jc w:val="center"/>
              <w:rPr>
                <w:rFonts w:ascii="Arial" w:eastAsia="Calibri" w:hAnsi="Arial" w:cs="Arial"/>
                <w:b/>
                <w:bCs/>
                <w:sz w:val="20"/>
                <w:szCs w:val="20"/>
                <w:lang w:val="es-EC" w:eastAsia="en-US"/>
              </w:rPr>
            </w:pPr>
          </w:p>
        </w:tc>
        <w:tc>
          <w:tcPr>
            <w:tcW w:w="742" w:type="pct"/>
            <w:tcBorders>
              <w:top w:val="nil"/>
              <w:left w:val="nil"/>
              <w:bottom w:val="single" w:sz="4" w:space="0" w:color="000000"/>
              <w:right w:val="single" w:sz="4" w:space="0" w:color="000000"/>
            </w:tcBorders>
            <w:shd w:val="clear" w:color="auto" w:fill="auto"/>
            <w:tcMar>
              <w:left w:w="70" w:type="dxa"/>
              <w:right w:w="70" w:type="dxa"/>
            </w:tcMar>
          </w:tcPr>
          <w:p w14:paraId="49DA9C6D"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49,32%</w:t>
            </w:r>
          </w:p>
        </w:tc>
        <w:tc>
          <w:tcPr>
            <w:tcW w:w="608" w:type="pct"/>
            <w:tcBorders>
              <w:top w:val="nil"/>
              <w:left w:val="nil"/>
              <w:bottom w:val="single" w:sz="4" w:space="0" w:color="000000"/>
              <w:right w:val="single" w:sz="4" w:space="0" w:color="000000"/>
            </w:tcBorders>
            <w:shd w:val="clear" w:color="auto" w:fill="auto"/>
            <w:tcMar>
              <w:left w:w="70" w:type="dxa"/>
              <w:right w:w="70" w:type="dxa"/>
            </w:tcMar>
          </w:tcPr>
          <w:p w14:paraId="62AFCF26"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10,75%</w:t>
            </w:r>
          </w:p>
        </w:tc>
        <w:tc>
          <w:tcPr>
            <w:tcW w:w="702" w:type="pct"/>
            <w:tcBorders>
              <w:top w:val="nil"/>
              <w:left w:val="nil"/>
              <w:bottom w:val="single" w:sz="4" w:space="0" w:color="000000"/>
              <w:right w:val="single" w:sz="4" w:space="0" w:color="000000"/>
            </w:tcBorders>
            <w:shd w:val="clear" w:color="auto" w:fill="auto"/>
            <w:tcMar>
              <w:left w:w="70" w:type="dxa"/>
              <w:right w:w="70" w:type="dxa"/>
            </w:tcMar>
          </w:tcPr>
          <w:p w14:paraId="0DAABE92"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25,43%</w:t>
            </w:r>
          </w:p>
        </w:tc>
        <w:tc>
          <w:tcPr>
            <w:tcW w:w="610" w:type="pct"/>
            <w:tcBorders>
              <w:top w:val="nil"/>
              <w:left w:val="nil"/>
              <w:bottom w:val="single" w:sz="4" w:space="0" w:color="000000"/>
              <w:right w:val="single" w:sz="4" w:space="0" w:color="000000"/>
            </w:tcBorders>
            <w:shd w:val="clear" w:color="auto" w:fill="auto"/>
            <w:tcMar>
              <w:left w:w="70" w:type="dxa"/>
              <w:right w:w="70" w:type="dxa"/>
            </w:tcMar>
          </w:tcPr>
          <w:p w14:paraId="6A5DB1BE"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14,50%</w:t>
            </w:r>
          </w:p>
        </w:tc>
        <w:tc>
          <w:tcPr>
            <w:tcW w:w="710" w:type="pct"/>
            <w:tcBorders>
              <w:top w:val="nil"/>
              <w:left w:val="nil"/>
              <w:bottom w:val="single" w:sz="4" w:space="0" w:color="000000"/>
              <w:right w:val="single" w:sz="4" w:space="0" w:color="000000"/>
            </w:tcBorders>
            <w:shd w:val="clear" w:color="auto" w:fill="auto"/>
            <w:tcMar>
              <w:left w:w="70" w:type="dxa"/>
              <w:right w:w="70" w:type="dxa"/>
            </w:tcMar>
          </w:tcPr>
          <w:p w14:paraId="2778A389"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100,00%</w:t>
            </w:r>
          </w:p>
        </w:tc>
      </w:tr>
      <w:tr w:rsidR="00355A18" w:rsidRPr="004B7471" w14:paraId="0866C283" w14:textId="77777777" w:rsidTr="00355A18">
        <w:trPr>
          <w:trHeight w:val="674"/>
          <w:jc w:val="center"/>
        </w:trPr>
        <w:tc>
          <w:tcPr>
            <w:tcW w:w="162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3ED7F0A" w14:textId="77777777" w:rsidR="00064C79" w:rsidRPr="004B7471" w:rsidRDefault="00064C79" w:rsidP="00064C79">
            <w:pPr>
              <w:spacing w:line="276" w:lineRule="auto"/>
              <w:jc w:val="center"/>
              <w:rPr>
                <w:rFonts w:ascii="Arial" w:hAnsi="Arial" w:cs="Arial"/>
                <w:b/>
                <w:bCs/>
                <w:sz w:val="20"/>
                <w:szCs w:val="20"/>
                <w:lang w:val="es-EC" w:eastAsia="es-EC"/>
              </w:rPr>
            </w:pPr>
            <w:r w:rsidRPr="004B7471">
              <w:rPr>
                <w:rFonts w:ascii="Arial" w:hAnsi="Arial" w:cs="Arial"/>
                <w:b/>
                <w:bCs/>
                <w:sz w:val="20"/>
                <w:szCs w:val="20"/>
                <w:lang w:val="es-EC" w:eastAsia="es-EC"/>
              </w:rPr>
              <w:t>Total</w:t>
            </w:r>
          </w:p>
        </w:tc>
        <w:tc>
          <w:tcPr>
            <w:tcW w:w="742" w:type="pct"/>
            <w:tcBorders>
              <w:top w:val="nil"/>
              <w:left w:val="nil"/>
              <w:bottom w:val="single" w:sz="4" w:space="0" w:color="000000"/>
              <w:right w:val="single" w:sz="4" w:space="0" w:color="000000"/>
            </w:tcBorders>
            <w:shd w:val="clear" w:color="auto" w:fill="auto"/>
            <w:tcMar>
              <w:left w:w="70" w:type="dxa"/>
              <w:right w:w="70" w:type="dxa"/>
            </w:tcMar>
          </w:tcPr>
          <w:p w14:paraId="192F5CDB"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589.799</w:t>
            </w:r>
          </w:p>
        </w:tc>
        <w:tc>
          <w:tcPr>
            <w:tcW w:w="608" w:type="pct"/>
            <w:tcBorders>
              <w:top w:val="nil"/>
              <w:left w:val="nil"/>
              <w:bottom w:val="single" w:sz="4" w:space="0" w:color="000000"/>
              <w:right w:val="single" w:sz="4" w:space="0" w:color="000000"/>
            </w:tcBorders>
            <w:shd w:val="clear" w:color="auto" w:fill="auto"/>
            <w:tcMar>
              <w:left w:w="70" w:type="dxa"/>
              <w:right w:w="70" w:type="dxa"/>
            </w:tcMar>
          </w:tcPr>
          <w:p w14:paraId="4909F634"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256.708</w:t>
            </w:r>
          </w:p>
        </w:tc>
        <w:tc>
          <w:tcPr>
            <w:tcW w:w="702" w:type="pct"/>
            <w:tcBorders>
              <w:top w:val="nil"/>
              <w:left w:val="nil"/>
              <w:bottom w:val="single" w:sz="4" w:space="0" w:color="000000"/>
              <w:right w:val="single" w:sz="4" w:space="0" w:color="000000"/>
            </w:tcBorders>
            <w:shd w:val="clear" w:color="auto" w:fill="auto"/>
            <w:tcMar>
              <w:left w:w="70" w:type="dxa"/>
              <w:right w:w="70" w:type="dxa"/>
            </w:tcMar>
          </w:tcPr>
          <w:p w14:paraId="1E370F05"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500.441</w:t>
            </w:r>
          </w:p>
        </w:tc>
        <w:tc>
          <w:tcPr>
            <w:tcW w:w="610" w:type="pct"/>
            <w:tcBorders>
              <w:top w:val="nil"/>
              <w:left w:val="nil"/>
              <w:bottom w:val="single" w:sz="4" w:space="0" w:color="000000"/>
              <w:right w:val="single" w:sz="4" w:space="0" w:color="000000"/>
            </w:tcBorders>
            <w:shd w:val="clear" w:color="auto" w:fill="auto"/>
            <w:tcMar>
              <w:left w:w="70" w:type="dxa"/>
              <w:right w:w="70" w:type="dxa"/>
            </w:tcMar>
          </w:tcPr>
          <w:p w14:paraId="4147FC65"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241.484</w:t>
            </w:r>
          </w:p>
        </w:tc>
        <w:tc>
          <w:tcPr>
            <w:tcW w:w="710" w:type="pct"/>
            <w:tcBorders>
              <w:top w:val="nil"/>
              <w:left w:val="nil"/>
              <w:bottom w:val="single" w:sz="4" w:space="0" w:color="000000"/>
              <w:right w:val="single" w:sz="4" w:space="0" w:color="000000"/>
            </w:tcBorders>
            <w:shd w:val="clear" w:color="auto" w:fill="auto"/>
            <w:tcMar>
              <w:left w:w="70" w:type="dxa"/>
              <w:right w:w="70" w:type="dxa"/>
            </w:tcMar>
          </w:tcPr>
          <w:p w14:paraId="01AA96C5"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1.588.432</w:t>
            </w:r>
          </w:p>
        </w:tc>
      </w:tr>
      <w:tr w:rsidR="00355A18" w:rsidRPr="004B7471" w14:paraId="68D112B1" w14:textId="77777777" w:rsidTr="00355A18">
        <w:trPr>
          <w:trHeight w:val="674"/>
          <w:jc w:val="center"/>
        </w:trPr>
        <w:tc>
          <w:tcPr>
            <w:tcW w:w="1628"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940BEE2" w14:textId="77777777" w:rsidR="00064C79" w:rsidRPr="004B7471" w:rsidRDefault="00064C79" w:rsidP="00064C79">
            <w:pPr>
              <w:spacing w:line="276" w:lineRule="auto"/>
              <w:rPr>
                <w:rFonts w:ascii="Arial" w:eastAsia="Calibri" w:hAnsi="Arial" w:cs="Arial"/>
                <w:sz w:val="20"/>
                <w:szCs w:val="20"/>
                <w:lang w:val="es-EC" w:eastAsia="en-US"/>
              </w:rPr>
            </w:pPr>
          </w:p>
        </w:tc>
        <w:tc>
          <w:tcPr>
            <w:tcW w:w="742" w:type="pct"/>
            <w:tcBorders>
              <w:top w:val="nil"/>
              <w:left w:val="nil"/>
              <w:bottom w:val="single" w:sz="4" w:space="0" w:color="000000"/>
              <w:right w:val="single" w:sz="4" w:space="0" w:color="000000"/>
            </w:tcBorders>
            <w:shd w:val="clear" w:color="auto" w:fill="auto"/>
            <w:tcMar>
              <w:left w:w="70" w:type="dxa"/>
              <w:right w:w="70" w:type="dxa"/>
            </w:tcMar>
          </w:tcPr>
          <w:p w14:paraId="73E7C3C6"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37,13%</w:t>
            </w:r>
          </w:p>
        </w:tc>
        <w:tc>
          <w:tcPr>
            <w:tcW w:w="608" w:type="pct"/>
            <w:tcBorders>
              <w:top w:val="nil"/>
              <w:left w:val="nil"/>
              <w:bottom w:val="single" w:sz="4" w:space="0" w:color="000000"/>
              <w:right w:val="single" w:sz="4" w:space="0" w:color="000000"/>
            </w:tcBorders>
            <w:shd w:val="clear" w:color="auto" w:fill="auto"/>
            <w:tcMar>
              <w:left w:w="70" w:type="dxa"/>
              <w:right w:w="70" w:type="dxa"/>
            </w:tcMar>
          </w:tcPr>
          <w:p w14:paraId="1D4E7220"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16,16%</w:t>
            </w:r>
          </w:p>
        </w:tc>
        <w:tc>
          <w:tcPr>
            <w:tcW w:w="702" w:type="pct"/>
            <w:tcBorders>
              <w:top w:val="nil"/>
              <w:left w:val="nil"/>
              <w:bottom w:val="single" w:sz="4" w:space="0" w:color="000000"/>
              <w:right w:val="single" w:sz="4" w:space="0" w:color="000000"/>
            </w:tcBorders>
            <w:shd w:val="clear" w:color="auto" w:fill="auto"/>
            <w:tcMar>
              <w:left w:w="70" w:type="dxa"/>
              <w:right w:w="70" w:type="dxa"/>
            </w:tcMar>
          </w:tcPr>
          <w:p w14:paraId="657CFE61"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31,51%</w:t>
            </w:r>
          </w:p>
        </w:tc>
        <w:tc>
          <w:tcPr>
            <w:tcW w:w="610" w:type="pct"/>
            <w:tcBorders>
              <w:top w:val="nil"/>
              <w:left w:val="nil"/>
              <w:bottom w:val="single" w:sz="4" w:space="0" w:color="000000"/>
              <w:right w:val="single" w:sz="4" w:space="0" w:color="000000"/>
            </w:tcBorders>
            <w:shd w:val="clear" w:color="auto" w:fill="auto"/>
            <w:tcMar>
              <w:left w:w="70" w:type="dxa"/>
              <w:right w:w="70" w:type="dxa"/>
            </w:tcMar>
          </w:tcPr>
          <w:p w14:paraId="0737B764"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15,20%</w:t>
            </w:r>
          </w:p>
        </w:tc>
        <w:tc>
          <w:tcPr>
            <w:tcW w:w="710" w:type="pct"/>
            <w:tcBorders>
              <w:top w:val="nil"/>
              <w:left w:val="nil"/>
              <w:bottom w:val="single" w:sz="4" w:space="0" w:color="000000"/>
              <w:right w:val="single" w:sz="4" w:space="0" w:color="000000"/>
            </w:tcBorders>
            <w:shd w:val="clear" w:color="auto" w:fill="auto"/>
            <w:tcMar>
              <w:left w:w="70" w:type="dxa"/>
              <w:right w:w="70" w:type="dxa"/>
            </w:tcMar>
          </w:tcPr>
          <w:p w14:paraId="7F833D3C" w14:textId="77777777" w:rsidR="00064C79" w:rsidRPr="004B7471" w:rsidRDefault="00064C79" w:rsidP="00064C79">
            <w:pPr>
              <w:spacing w:line="276" w:lineRule="auto"/>
              <w:jc w:val="center"/>
              <w:rPr>
                <w:rFonts w:ascii="Arial" w:hAnsi="Arial" w:cs="Arial"/>
                <w:sz w:val="20"/>
                <w:szCs w:val="20"/>
                <w:lang w:val="es-EC" w:eastAsia="es-EC"/>
              </w:rPr>
            </w:pPr>
            <w:r w:rsidRPr="004B7471">
              <w:rPr>
                <w:rFonts w:ascii="Arial" w:hAnsi="Arial" w:cs="Arial"/>
                <w:sz w:val="20"/>
                <w:szCs w:val="20"/>
                <w:lang w:val="es-EC" w:eastAsia="es-EC"/>
              </w:rPr>
              <w:t>100,00%</w:t>
            </w:r>
          </w:p>
        </w:tc>
      </w:tr>
    </w:tbl>
    <w:p w14:paraId="37C6FFB8" w14:textId="77777777" w:rsidR="00064C79" w:rsidRPr="004B7471" w:rsidRDefault="00064C79" w:rsidP="00064C79">
      <w:pPr>
        <w:spacing w:line="360" w:lineRule="auto"/>
        <w:jc w:val="both"/>
        <w:rPr>
          <w:rFonts w:ascii="Arial" w:eastAsia="Calibri" w:hAnsi="Arial" w:cs="Arial"/>
          <w:spacing w:val="-1"/>
          <w:sz w:val="20"/>
          <w:szCs w:val="20"/>
          <w:lang w:val="es-EC" w:eastAsia="en-US"/>
        </w:rPr>
      </w:pPr>
      <w:r w:rsidRPr="004B7471">
        <w:rPr>
          <w:rFonts w:ascii="Arial" w:eastAsia="Calibri" w:hAnsi="Arial" w:cs="Arial"/>
          <w:iCs/>
          <w:spacing w:val="-1"/>
          <w:sz w:val="20"/>
          <w:szCs w:val="20"/>
          <w:lang w:val="es-EC" w:eastAsia="en-US"/>
        </w:rPr>
        <w:t>Nota</w:t>
      </w:r>
      <w:r w:rsidRPr="004B7471">
        <w:rPr>
          <w:rFonts w:ascii="Arial" w:eastAsia="Calibri" w:hAnsi="Arial" w:cs="Arial"/>
          <w:spacing w:val="-1"/>
          <w:sz w:val="20"/>
          <w:szCs w:val="20"/>
          <w:lang w:val="es-EC" w:eastAsia="en-US"/>
        </w:rPr>
        <w:t>. Elaboración propia con base en el INEC, 2023.</w:t>
      </w:r>
    </w:p>
    <w:p w14:paraId="6FF217A6" w14:textId="77777777" w:rsidR="00064C79" w:rsidRPr="00064C79" w:rsidRDefault="00064C79" w:rsidP="00C25605">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lastRenderedPageBreak/>
        <w:t>El 0,93% de las personas con estudios de posgrado se identifica como indígenas, mientras que en el nivel superior universitario este porcentaje es del 2,22%. Esto indica que la representación de personas indígenas es menor en el nivel de posgrado, en comparación con aquellos que tienen educación superior universitaria, lo que sugiere una brecha en el acceso a estudios de posgrado entre la población indígena (tabla de contingencia 4).</w:t>
      </w:r>
    </w:p>
    <w:p w14:paraId="4FF86D63" w14:textId="0B093974" w:rsidR="00064C79" w:rsidRPr="00047994" w:rsidRDefault="00064C79" w:rsidP="00047994">
      <w:pPr>
        <w:spacing w:after="100" w:afterAutospacing="1"/>
        <w:jc w:val="center"/>
        <w:rPr>
          <w:rFonts w:ascii="Arial" w:eastAsia="Calibri" w:hAnsi="Arial" w:cs="Arial"/>
          <w:b/>
          <w:iCs/>
          <w:sz w:val="20"/>
          <w:szCs w:val="20"/>
          <w:lang w:val="es-EC" w:eastAsia="en-US"/>
        </w:rPr>
      </w:pPr>
      <w:r w:rsidRPr="00047994">
        <w:rPr>
          <w:rFonts w:ascii="Arial" w:eastAsia="Calibri" w:hAnsi="Arial" w:cs="Arial"/>
          <w:b/>
          <w:bCs/>
          <w:sz w:val="20"/>
          <w:szCs w:val="20"/>
          <w:lang w:val="es-EC" w:eastAsia="en-US"/>
        </w:rPr>
        <w:t>Tabla de contingencia 4</w:t>
      </w:r>
      <w:r w:rsidR="00047994" w:rsidRPr="00047994">
        <w:rPr>
          <w:rFonts w:ascii="Arial" w:eastAsia="Calibri" w:hAnsi="Arial" w:cs="Arial"/>
          <w:b/>
          <w:bCs/>
          <w:sz w:val="20"/>
          <w:szCs w:val="20"/>
          <w:lang w:val="es-EC" w:eastAsia="en-US"/>
        </w:rPr>
        <w:t xml:space="preserve">. </w:t>
      </w:r>
      <w:r w:rsidRPr="00047994">
        <w:rPr>
          <w:rFonts w:ascii="Arial" w:eastAsia="Calibri" w:hAnsi="Arial" w:cs="Arial"/>
          <w:b/>
          <w:iCs/>
          <w:sz w:val="20"/>
          <w:szCs w:val="20"/>
          <w:lang w:val="es-EC" w:eastAsia="en-US"/>
        </w:rPr>
        <w:t>Nivel de instrucción - Como se considera</w:t>
      </w:r>
    </w:p>
    <w:tbl>
      <w:tblPr>
        <w:tblW w:w="9227" w:type="dxa"/>
        <w:jc w:val="center"/>
        <w:tblLook w:val="04A0" w:firstRow="1" w:lastRow="0" w:firstColumn="1" w:lastColumn="0" w:noHBand="0" w:noVBand="1"/>
      </w:tblPr>
      <w:tblGrid>
        <w:gridCol w:w="1291"/>
        <w:gridCol w:w="1449"/>
        <w:gridCol w:w="1017"/>
        <w:gridCol w:w="1410"/>
        <w:gridCol w:w="1086"/>
        <w:gridCol w:w="1087"/>
        <w:gridCol w:w="800"/>
        <w:gridCol w:w="1087"/>
      </w:tblGrid>
      <w:tr w:rsidR="00064C79" w:rsidRPr="00047994" w14:paraId="0B16112D" w14:textId="77777777" w:rsidTr="00F42A0B">
        <w:trPr>
          <w:trHeight w:val="532"/>
          <w:jc w:val="center"/>
        </w:trPr>
        <w:tc>
          <w:tcPr>
            <w:tcW w:w="27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8895240" w14:textId="77777777" w:rsidR="00064C79" w:rsidRPr="00047994" w:rsidRDefault="00064C79" w:rsidP="00064C79">
            <w:pPr>
              <w:spacing w:line="276" w:lineRule="auto"/>
              <w:jc w:val="both"/>
              <w:rPr>
                <w:rFonts w:ascii="Arial" w:hAnsi="Arial" w:cs="Arial"/>
                <w:sz w:val="20"/>
                <w:szCs w:val="20"/>
                <w:lang w:val="es-EC" w:eastAsia="es-EC"/>
              </w:rPr>
            </w:pPr>
            <w:r w:rsidRPr="00047994">
              <w:rPr>
                <w:rFonts w:ascii="Arial" w:hAnsi="Arial" w:cs="Arial"/>
                <w:sz w:val="20"/>
                <w:szCs w:val="20"/>
                <w:lang w:val="es-EC" w:eastAsia="es-EC"/>
              </w:rPr>
              <w:t> </w:t>
            </w:r>
          </w:p>
        </w:tc>
        <w:tc>
          <w:tcPr>
            <w:tcW w:w="5400" w:type="dxa"/>
            <w:gridSpan w:val="5"/>
            <w:tcBorders>
              <w:top w:val="single" w:sz="4" w:space="0" w:color="000000"/>
              <w:left w:val="nil"/>
              <w:bottom w:val="single" w:sz="4" w:space="0" w:color="000000"/>
              <w:right w:val="single" w:sz="4" w:space="0" w:color="000000"/>
            </w:tcBorders>
            <w:shd w:val="clear" w:color="auto" w:fill="auto"/>
            <w:tcMar>
              <w:left w:w="70" w:type="dxa"/>
              <w:right w:w="70" w:type="dxa"/>
            </w:tcMar>
            <w:vAlign w:val="center"/>
          </w:tcPr>
          <w:p w14:paraId="17250837" w14:textId="77777777" w:rsidR="00064C79" w:rsidRPr="00047994" w:rsidRDefault="00064C79" w:rsidP="00064C79">
            <w:pPr>
              <w:spacing w:line="276" w:lineRule="auto"/>
              <w:jc w:val="center"/>
              <w:rPr>
                <w:rFonts w:ascii="Arial" w:hAnsi="Arial" w:cs="Arial"/>
                <w:b/>
                <w:bCs/>
                <w:sz w:val="20"/>
                <w:szCs w:val="20"/>
                <w:lang w:val="es-EC" w:eastAsia="es-EC"/>
              </w:rPr>
            </w:pPr>
            <w:r w:rsidRPr="00047994">
              <w:rPr>
                <w:rFonts w:ascii="Arial" w:hAnsi="Arial" w:cs="Arial"/>
                <w:b/>
                <w:bCs/>
                <w:sz w:val="20"/>
                <w:szCs w:val="20"/>
                <w:lang w:val="es-EC" w:eastAsia="es-EC"/>
              </w:rPr>
              <w:t>Como se considera</w:t>
            </w: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D9CE831" w14:textId="77777777" w:rsidR="00443161" w:rsidRDefault="00443161" w:rsidP="00064C79">
            <w:pPr>
              <w:spacing w:line="276" w:lineRule="auto"/>
              <w:jc w:val="center"/>
              <w:rPr>
                <w:rFonts w:ascii="Arial" w:hAnsi="Arial" w:cs="Arial"/>
                <w:b/>
                <w:bCs/>
                <w:sz w:val="20"/>
                <w:szCs w:val="20"/>
                <w:lang w:val="es-EC" w:eastAsia="es-EC"/>
              </w:rPr>
            </w:pPr>
          </w:p>
          <w:p w14:paraId="40A2D598" w14:textId="77777777" w:rsidR="00443161" w:rsidRDefault="00443161" w:rsidP="00064C79">
            <w:pPr>
              <w:spacing w:line="276" w:lineRule="auto"/>
              <w:jc w:val="center"/>
              <w:rPr>
                <w:rFonts w:ascii="Arial" w:hAnsi="Arial" w:cs="Arial"/>
                <w:b/>
                <w:bCs/>
                <w:sz w:val="20"/>
                <w:szCs w:val="20"/>
                <w:lang w:val="es-EC" w:eastAsia="es-EC"/>
              </w:rPr>
            </w:pPr>
          </w:p>
          <w:p w14:paraId="02B8EAD8" w14:textId="47847C56" w:rsidR="00064C79" w:rsidRPr="00047994" w:rsidRDefault="00064C79" w:rsidP="00064C79">
            <w:pPr>
              <w:spacing w:line="276" w:lineRule="auto"/>
              <w:jc w:val="center"/>
              <w:rPr>
                <w:rFonts w:ascii="Arial" w:hAnsi="Arial" w:cs="Arial"/>
                <w:b/>
                <w:bCs/>
                <w:sz w:val="20"/>
                <w:szCs w:val="20"/>
                <w:lang w:val="es-EC" w:eastAsia="es-EC"/>
              </w:rPr>
            </w:pPr>
            <w:r w:rsidRPr="00047994">
              <w:rPr>
                <w:rFonts w:ascii="Arial" w:hAnsi="Arial" w:cs="Arial"/>
                <w:b/>
                <w:bCs/>
                <w:sz w:val="20"/>
                <w:szCs w:val="20"/>
                <w:lang w:val="es-EC" w:eastAsia="es-EC"/>
              </w:rPr>
              <w:t>Total</w:t>
            </w:r>
          </w:p>
        </w:tc>
      </w:tr>
      <w:tr w:rsidR="00355A18" w:rsidRPr="00047994" w14:paraId="719A5F8C" w14:textId="77777777" w:rsidTr="00F42A0B">
        <w:trPr>
          <w:trHeight w:val="1665"/>
          <w:jc w:val="center"/>
        </w:trPr>
        <w:tc>
          <w:tcPr>
            <w:tcW w:w="2740" w:type="dxa"/>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89DA15F" w14:textId="77777777" w:rsidR="00064C79" w:rsidRPr="00047994" w:rsidRDefault="00064C79" w:rsidP="00064C79">
            <w:pPr>
              <w:spacing w:line="276" w:lineRule="auto"/>
              <w:rPr>
                <w:rFonts w:ascii="Arial" w:eastAsia="Calibri" w:hAnsi="Arial" w:cs="Arial"/>
                <w:sz w:val="20"/>
                <w:szCs w:val="20"/>
                <w:lang w:val="es-EC" w:eastAsia="en-US"/>
              </w:rPr>
            </w:pPr>
          </w:p>
        </w:tc>
        <w:tc>
          <w:tcPr>
            <w:tcW w:w="1017" w:type="dxa"/>
            <w:tcBorders>
              <w:top w:val="nil"/>
              <w:left w:val="nil"/>
              <w:bottom w:val="single" w:sz="4" w:space="0" w:color="000000"/>
              <w:right w:val="single" w:sz="4" w:space="0" w:color="000000"/>
            </w:tcBorders>
            <w:shd w:val="clear" w:color="auto" w:fill="auto"/>
            <w:tcMar>
              <w:left w:w="70" w:type="dxa"/>
              <w:right w:w="70" w:type="dxa"/>
            </w:tcMar>
            <w:vAlign w:val="center"/>
          </w:tcPr>
          <w:p w14:paraId="0244A8ED" w14:textId="77777777" w:rsidR="00064C79" w:rsidRPr="00047994" w:rsidRDefault="00064C79" w:rsidP="00064C79">
            <w:pPr>
              <w:spacing w:line="276" w:lineRule="auto"/>
              <w:jc w:val="center"/>
              <w:rPr>
                <w:rFonts w:ascii="Arial" w:hAnsi="Arial" w:cs="Arial"/>
                <w:b/>
                <w:bCs/>
                <w:sz w:val="20"/>
                <w:szCs w:val="20"/>
                <w:lang w:val="es-EC" w:eastAsia="es-EC"/>
              </w:rPr>
            </w:pPr>
            <w:r w:rsidRPr="00047994">
              <w:rPr>
                <w:rFonts w:ascii="Arial" w:hAnsi="Arial" w:cs="Arial"/>
                <w:b/>
                <w:bCs/>
                <w:sz w:val="20"/>
                <w:szCs w:val="20"/>
                <w:lang w:val="es-EC" w:eastAsia="es-EC"/>
              </w:rPr>
              <w:t>Indígena</w:t>
            </w:r>
          </w:p>
        </w:tc>
        <w:tc>
          <w:tcPr>
            <w:tcW w:w="1410" w:type="dxa"/>
            <w:tcBorders>
              <w:top w:val="nil"/>
              <w:left w:val="nil"/>
              <w:bottom w:val="single" w:sz="4" w:space="0" w:color="000000"/>
              <w:right w:val="single" w:sz="4" w:space="0" w:color="000000"/>
            </w:tcBorders>
            <w:shd w:val="clear" w:color="auto" w:fill="auto"/>
            <w:tcMar>
              <w:left w:w="70" w:type="dxa"/>
              <w:right w:w="70" w:type="dxa"/>
            </w:tcMar>
            <w:vAlign w:val="center"/>
          </w:tcPr>
          <w:p w14:paraId="1F11341D" w14:textId="77777777" w:rsidR="00064C79" w:rsidRPr="00047994" w:rsidRDefault="00064C79" w:rsidP="00064C79">
            <w:pPr>
              <w:spacing w:line="276" w:lineRule="auto"/>
              <w:jc w:val="center"/>
              <w:rPr>
                <w:rFonts w:ascii="Arial" w:hAnsi="Arial" w:cs="Arial"/>
                <w:b/>
                <w:bCs/>
                <w:sz w:val="20"/>
                <w:szCs w:val="20"/>
                <w:lang w:val="es-EC" w:eastAsia="es-EC"/>
              </w:rPr>
            </w:pPr>
            <w:r w:rsidRPr="00047994">
              <w:rPr>
                <w:rFonts w:ascii="Arial" w:hAnsi="Arial" w:cs="Arial"/>
                <w:b/>
                <w:bCs/>
                <w:sz w:val="20"/>
                <w:szCs w:val="20"/>
                <w:lang w:val="es-EC" w:eastAsia="es-EC"/>
              </w:rPr>
              <w:t>Afro ecuatoriano, negro o mulato</w:t>
            </w:r>
          </w:p>
        </w:tc>
        <w:tc>
          <w:tcPr>
            <w:tcW w:w="1086" w:type="dxa"/>
            <w:tcBorders>
              <w:top w:val="nil"/>
              <w:left w:val="nil"/>
              <w:bottom w:val="single" w:sz="4" w:space="0" w:color="000000"/>
              <w:right w:val="single" w:sz="4" w:space="0" w:color="000000"/>
            </w:tcBorders>
            <w:shd w:val="clear" w:color="auto" w:fill="auto"/>
            <w:tcMar>
              <w:left w:w="70" w:type="dxa"/>
              <w:right w:w="70" w:type="dxa"/>
            </w:tcMar>
            <w:vAlign w:val="center"/>
          </w:tcPr>
          <w:p w14:paraId="7208EFDC" w14:textId="77777777" w:rsidR="00064C79" w:rsidRPr="00047994" w:rsidRDefault="00064C79" w:rsidP="00064C79">
            <w:pPr>
              <w:spacing w:line="276" w:lineRule="auto"/>
              <w:jc w:val="center"/>
              <w:rPr>
                <w:rFonts w:ascii="Arial" w:hAnsi="Arial" w:cs="Arial"/>
                <w:b/>
                <w:bCs/>
                <w:sz w:val="20"/>
                <w:szCs w:val="20"/>
                <w:lang w:val="es-EC" w:eastAsia="es-EC"/>
              </w:rPr>
            </w:pPr>
            <w:proofErr w:type="spellStart"/>
            <w:r w:rsidRPr="00047994">
              <w:rPr>
                <w:rFonts w:ascii="Arial" w:hAnsi="Arial" w:cs="Arial"/>
                <w:b/>
                <w:bCs/>
                <w:sz w:val="20"/>
                <w:szCs w:val="20"/>
                <w:lang w:val="es-EC" w:eastAsia="es-EC"/>
              </w:rPr>
              <w:t>Montuvio</w:t>
            </w:r>
            <w:proofErr w:type="spellEnd"/>
          </w:p>
        </w:tc>
        <w:tc>
          <w:tcPr>
            <w:tcW w:w="1087" w:type="dxa"/>
            <w:tcBorders>
              <w:top w:val="nil"/>
              <w:left w:val="nil"/>
              <w:bottom w:val="single" w:sz="4" w:space="0" w:color="000000"/>
              <w:right w:val="single" w:sz="4" w:space="0" w:color="000000"/>
            </w:tcBorders>
            <w:shd w:val="clear" w:color="auto" w:fill="auto"/>
            <w:tcMar>
              <w:left w:w="70" w:type="dxa"/>
              <w:right w:w="70" w:type="dxa"/>
            </w:tcMar>
            <w:vAlign w:val="center"/>
          </w:tcPr>
          <w:p w14:paraId="5BE6CC06" w14:textId="77777777" w:rsidR="00064C79" w:rsidRPr="00047994" w:rsidRDefault="00064C79" w:rsidP="00064C79">
            <w:pPr>
              <w:spacing w:line="276" w:lineRule="auto"/>
              <w:jc w:val="center"/>
              <w:rPr>
                <w:rFonts w:ascii="Arial" w:hAnsi="Arial" w:cs="Arial"/>
                <w:b/>
                <w:bCs/>
                <w:sz w:val="20"/>
                <w:szCs w:val="20"/>
                <w:lang w:val="es-EC" w:eastAsia="es-EC"/>
              </w:rPr>
            </w:pPr>
            <w:r w:rsidRPr="00047994">
              <w:rPr>
                <w:rFonts w:ascii="Arial" w:hAnsi="Arial" w:cs="Arial"/>
                <w:b/>
                <w:bCs/>
                <w:sz w:val="20"/>
                <w:szCs w:val="20"/>
                <w:lang w:val="es-EC" w:eastAsia="es-EC"/>
              </w:rPr>
              <w:t>Mestizo</w:t>
            </w:r>
          </w:p>
        </w:tc>
        <w:tc>
          <w:tcPr>
            <w:tcW w:w="797" w:type="dxa"/>
            <w:tcBorders>
              <w:top w:val="nil"/>
              <w:left w:val="nil"/>
              <w:bottom w:val="single" w:sz="4" w:space="0" w:color="000000"/>
              <w:right w:val="single" w:sz="4" w:space="0" w:color="000000"/>
            </w:tcBorders>
            <w:shd w:val="clear" w:color="auto" w:fill="auto"/>
            <w:tcMar>
              <w:left w:w="70" w:type="dxa"/>
              <w:right w:w="70" w:type="dxa"/>
            </w:tcMar>
            <w:vAlign w:val="center"/>
          </w:tcPr>
          <w:p w14:paraId="402DDAD2" w14:textId="77777777" w:rsidR="00064C79" w:rsidRPr="00047994" w:rsidRDefault="00064C79" w:rsidP="00064C79">
            <w:pPr>
              <w:spacing w:line="276" w:lineRule="auto"/>
              <w:jc w:val="center"/>
              <w:rPr>
                <w:rFonts w:ascii="Arial" w:hAnsi="Arial" w:cs="Arial"/>
                <w:b/>
                <w:bCs/>
                <w:sz w:val="20"/>
                <w:szCs w:val="20"/>
                <w:lang w:val="es-EC" w:eastAsia="es-EC"/>
              </w:rPr>
            </w:pPr>
            <w:r w:rsidRPr="00047994">
              <w:rPr>
                <w:rFonts w:ascii="Arial" w:hAnsi="Arial" w:cs="Arial"/>
                <w:b/>
                <w:bCs/>
                <w:sz w:val="20"/>
                <w:szCs w:val="20"/>
                <w:lang w:val="es-EC" w:eastAsia="es-EC"/>
              </w:rPr>
              <w:t>Otro</w:t>
            </w:r>
          </w:p>
        </w:tc>
        <w:tc>
          <w:tcPr>
            <w:tcW w:w="1087" w:type="dxa"/>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A307F8F" w14:textId="77777777" w:rsidR="00064C79" w:rsidRPr="00047994" w:rsidRDefault="00064C79" w:rsidP="00064C79">
            <w:pPr>
              <w:spacing w:line="276" w:lineRule="auto"/>
              <w:jc w:val="center"/>
              <w:rPr>
                <w:rFonts w:ascii="Arial" w:eastAsia="Calibri" w:hAnsi="Arial" w:cs="Arial"/>
                <w:b/>
                <w:bCs/>
                <w:sz w:val="20"/>
                <w:szCs w:val="20"/>
                <w:lang w:val="es-EC" w:eastAsia="en-US"/>
              </w:rPr>
            </w:pPr>
          </w:p>
        </w:tc>
      </w:tr>
      <w:tr w:rsidR="00994832" w:rsidRPr="00047994" w14:paraId="7B5099FE" w14:textId="77777777" w:rsidTr="00F42A0B">
        <w:trPr>
          <w:trHeight w:val="532"/>
          <w:jc w:val="center"/>
        </w:trPr>
        <w:tc>
          <w:tcPr>
            <w:tcW w:w="1291" w:type="dxa"/>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4A506C74" w14:textId="77777777" w:rsidR="00064C79" w:rsidRPr="00047994" w:rsidRDefault="00064C79" w:rsidP="00064C79">
            <w:pPr>
              <w:spacing w:line="276" w:lineRule="auto"/>
              <w:jc w:val="center"/>
              <w:rPr>
                <w:rFonts w:ascii="Arial" w:hAnsi="Arial" w:cs="Arial"/>
                <w:b/>
                <w:bCs/>
                <w:sz w:val="20"/>
                <w:szCs w:val="20"/>
                <w:lang w:val="es-EC" w:eastAsia="es-EC"/>
              </w:rPr>
            </w:pPr>
            <w:r w:rsidRPr="00047994">
              <w:rPr>
                <w:rFonts w:ascii="Arial" w:hAnsi="Arial" w:cs="Arial"/>
                <w:b/>
                <w:bCs/>
                <w:sz w:val="20"/>
                <w:szCs w:val="20"/>
                <w:lang w:val="es-EC" w:eastAsia="es-EC"/>
              </w:rPr>
              <w:t>Nivel de instrucción</w:t>
            </w:r>
          </w:p>
        </w:tc>
        <w:tc>
          <w:tcPr>
            <w:tcW w:w="1449" w:type="dxa"/>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0A5D7BE1" w14:textId="77777777" w:rsidR="00064C79" w:rsidRPr="00047994" w:rsidRDefault="00064C79" w:rsidP="00064C79">
            <w:pPr>
              <w:spacing w:line="276" w:lineRule="auto"/>
              <w:jc w:val="center"/>
              <w:rPr>
                <w:rFonts w:ascii="Arial" w:hAnsi="Arial" w:cs="Arial"/>
                <w:b/>
                <w:bCs/>
                <w:sz w:val="20"/>
                <w:szCs w:val="20"/>
                <w:lang w:val="es-EC" w:eastAsia="es-EC"/>
              </w:rPr>
            </w:pPr>
            <w:r w:rsidRPr="00047994">
              <w:rPr>
                <w:rFonts w:ascii="Arial" w:hAnsi="Arial" w:cs="Arial"/>
                <w:b/>
                <w:bCs/>
                <w:sz w:val="20"/>
                <w:szCs w:val="20"/>
                <w:lang w:val="es-EC" w:eastAsia="es-EC"/>
              </w:rPr>
              <w:t>Superior Universitario</w:t>
            </w:r>
          </w:p>
        </w:tc>
        <w:tc>
          <w:tcPr>
            <w:tcW w:w="1017" w:type="dxa"/>
            <w:tcBorders>
              <w:top w:val="nil"/>
              <w:left w:val="nil"/>
              <w:bottom w:val="single" w:sz="4" w:space="0" w:color="000000"/>
              <w:right w:val="single" w:sz="4" w:space="0" w:color="000000"/>
            </w:tcBorders>
            <w:shd w:val="clear" w:color="auto" w:fill="auto"/>
            <w:tcMar>
              <w:left w:w="70" w:type="dxa"/>
              <w:right w:w="70" w:type="dxa"/>
            </w:tcMar>
          </w:tcPr>
          <w:p w14:paraId="3F662321"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31.227</w:t>
            </w:r>
          </w:p>
        </w:tc>
        <w:tc>
          <w:tcPr>
            <w:tcW w:w="1410" w:type="dxa"/>
            <w:tcBorders>
              <w:top w:val="nil"/>
              <w:left w:val="nil"/>
              <w:bottom w:val="single" w:sz="4" w:space="0" w:color="000000"/>
              <w:right w:val="single" w:sz="4" w:space="0" w:color="000000"/>
            </w:tcBorders>
            <w:shd w:val="clear" w:color="auto" w:fill="auto"/>
            <w:tcMar>
              <w:left w:w="70" w:type="dxa"/>
              <w:right w:w="70" w:type="dxa"/>
            </w:tcMar>
          </w:tcPr>
          <w:p w14:paraId="4C5E9243"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26.571</w:t>
            </w:r>
          </w:p>
        </w:tc>
        <w:tc>
          <w:tcPr>
            <w:tcW w:w="1086" w:type="dxa"/>
            <w:tcBorders>
              <w:top w:val="nil"/>
              <w:left w:val="nil"/>
              <w:bottom w:val="single" w:sz="4" w:space="0" w:color="000000"/>
              <w:right w:val="single" w:sz="4" w:space="0" w:color="000000"/>
            </w:tcBorders>
            <w:shd w:val="clear" w:color="auto" w:fill="auto"/>
            <w:tcMar>
              <w:left w:w="70" w:type="dxa"/>
              <w:right w:w="70" w:type="dxa"/>
            </w:tcMar>
          </w:tcPr>
          <w:p w14:paraId="631DF60B"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22.448</w:t>
            </w:r>
          </w:p>
        </w:tc>
        <w:tc>
          <w:tcPr>
            <w:tcW w:w="1087" w:type="dxa"/>
            <w:tcBorders>
              <w:top w:val="nil"/>
              <w:left w:val="nil"/>
              <w:bottom w:val="single" w:sz="4" w:space="0" w:color="000000"/>
              <w:right w:val="single" w:sz="4" w:space="0" w:color="000000"/>
            </w:tcBorders>
            <w:shd w:val="clear" w:color="auto" w:fill="auto"/>
            <w:tcMar>
              <w:left w:w="70" w:type="dxa"/>
              <w:right w:w="70" w:type="dxa"/>
            </w:tcMar>
          </w:tcPr>
          <w:p w14:paraId="0F74FECF"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1.306.656</w:t>
            </w:r>
          </w:p>
        </w:tc>
        <w:tc>
          <w:tcPr>
            <w:tcW w:w="797" w:type="dxa"/>
            <w:tcBorders>
              <w:top w:val="nil"/>
              <w:left w:val="nil"/>
              <w:bottom w:val="single" w:sz="4" w:space="0" w:color="000000"/>
              <w:right w:val="single" w:sz="4" w:space="0" w:color="000000"/>
            </w:tcBorders>
            <w:shd w:val="clear" w:color="auto" w:fill="auto"/>
            <w:tcMar>
              <w:left w:w="70" w:type="dxa"/>
              <w:right w:w="70" w:type="dxa"/>
            </w:tcMar>
          </w:tcPr>
          <w:p w14:paraId="165FF383"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17.737</w:t>
            </w:r>
          </w:p>
        </w:tc>
        <w:tc>
          <w:tcPr>
            <w:tcW w:w="1087" w:type="dxa"/>
            <w:tcBorders>
              <w:top w:val="nil"/>
              <w:left w:val="nil"/>
              <w:bottom w:val="single" w:sz="4" w:space="0" w:color="000000"/>
              <w:right w:val="single" w:sz="4" w:space="0" w:color="000000"/>
            </w:tcBorders>
            <w:shd w:val="clear" w:color="auto" w:fill="auto"/>
            <w:tcMar>
              <w:left w:w="70" w:type="dxa"/>
              <w:right w:w="70" w:type="dxa"/>
            </w:tcMar>
          </w:tcPr>
          <w:p w14:paraId="7A0DB7C9"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1.404.639</w:t>
            </w:r>
          </w:p>
        </w:tc>
      </w:tr>
      <w:tr w:rsidR="00994832" w:rsidRPr="00047994" w14:paraId="225B9960" w14:textId="77777777" w:rsidTr="00F42A0B">
        <w:trPr>
          <w:trHeight w:val="532"/>
          <w:jc w:val="center"/>
        </w:trPr>
        <w:tc>
          <w:tcPr>
            <w:tcW w:w="1291" w:type="dxa"/>
            <w:vMerge/>
            <w:tcBorders>
              <w:top w:val="nil"/>
              <w:left w:val="single" w:sz="4" w:space="0" w:color="000000"/>
              <w:bottom w:val="single" w:sz="4" w:space="0" w:color="000000"/>
              <w:right w:val="single" w:sz="4" w:space="0" w:color="000000"/>
            </w:tcBorders>
            <w:tcMar>
              <w:left w:w="70" w:type="dxa"/>
              <w:right w:w="70" w:type="dxa"/>
            </w:tcMar>
            <w:vAlign w:val="center"/>
          </w:tcPr>
          <w:p w14:paraId="5E30AEC4" w14:textId="77777777" w:rsidR="00064C79" w:rsidRPr="00047994" w:rsidRDefault="00064C79" w:rsidP="00064C79">
            <w:pPr>
              <w:spacing w:line="276" w:lineRule="auto"/>
              <w:jc w:val="center"/>
              <w:rPr>
                <w:rFonts w:ascii="Arial" w:eastAsia="Calibri" w:hAnsi="Arial" w:cs="Arial"/>
                <w:b/>
                <w:bCs/>
                <w:sz w:val="20"/>
                <w:szCs w:val="20"/>
                <w:lang w:val="es-EC" w:eastAsia="en-US"/>
              </w:rPr>
            </w:pPr>
          </w:p>
        </w:tc>
        <w:tc>
          <w:tcPr>
            <w:tcW w:w="1449" w:type="dxa"/>
            <w:vMerge/>
            <w:tcBorders>
              <w:top w:val="nil"/>
              <w:left w:val="single" w:sz="4" w:space="0" w:color="000000"/>
              <w:bottom w:val="single" w:sz="4" w:space="0" w:color="000000"/>
              <w:right w:val="single" w:sz="4" w:space="0" w:color="000000"/>
            </w:tcBorders>
            <w:tcMar>
              <w:left w:w="70" w:type="dxa"/>
              <w:right w:w="70" w:type="dxa"/>
            </w:tcMar>
            <w:vAlign w:val="center"/>
          </w:tcPr>
          <w:p w14:paraId="0CAD7B09" w14:textId="77777777" w:rsidR="00064C79" w:rsidRPr="00047994" w:rsidRDefault="00064C79" w:rsidP="00064C79">
            <w:pPr>
              <w:spacing w:line="276" w:lineRule="auto"/>
              <w:jc w:val="center"/>
              <w:rPr>
                <w:rFonts w:ascii="Arial" w:eastAsia="Calibri" w:hAnsi="Arial" w:cs="Arial"/>
                <w:b/>
                <w:bCs/>
                <w:sz w:val="20"/>
                <w:szCs w:val="20"/>
                <w:lang w:val="es-EC" w:eastAsia="en-US"/>
              </w:rPr>
            </w:pPr>
          </w:p>
        </w:tc>
        <w:tc>
          <w:tcPr>
            <w:tcW w:w="1017" w:type="dxa"/>
            <w:tcBorders>
              <w:top w:val="nil"/>
              <w:left w:val="nil"/>
              <w:bottom w:val="single" w:sz="4" w:space="0" w:color="000000"/>
              <w:right w:val="single" w:sz="4" w:space="0" w:color="000000"/>
            </w:tcBorders>
            <w:shd w:val="clear" w:color="auto" w:fill="auto"/>
            <w:tcMar>
              <w:left w:w="70" w:type="dxa"/>
              <w:right w:w="70" w:type="dxa"/>
            </w:tcMar>
          </w:tcPr>
          <w:p w14:paraId="7655B5F9"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2,22%</w:t>
            </w:r>
          </w:p>
        </w:tc>
        <w:tc>
          <w:tcPr>
            <w:tcW w:w="1410" w:type="dxa"/>
            <w:tcBorders>
              <w:top w:val="nil"/>
              <w:left w:val="nil"/>
              <w:bottom w:val="single" w:sz="4" w:space="0" w:color="000000"/>
              <w:right w:val="single" w:sz="4" w:space="0" w:color="000000"/>
            </w:tcBorders>
            <w:shd w:val="clear" w:color="auto" w:fill="auto"/>
            <w:tcMar>
              <w:left w:w="70" w:type="dxa"/>
              <w:right w:w="70" w:type="dxa"/>
            </w:tcMar>
          </w:tcPr>
          <w:p w14:paraId="51330A04"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1,89%</w:t>
            </w:r>
          </w:p>
        </w:tc>
        <w:tc>
          <w:tcPr>
            <w:tcW w:w="1086" w:type="dxa"/>
            <w:tcBorders>
              <w:top w:val="nil"/>
              <w:left w:val="nil"/>
              <w:bottom w:val="single" w:sz="4" w:space="0" w:color="000000"/>
              <w:right w:val="single" w:sz="4" w:space="0" w:color="000000"/>
            </w:tcBorders>
            <w:shd w:val="clear" w:color="auto" w:fill="auto"/>
            <w:tcMar>
              <w:left w:w="70" w:type="dxa"/>
              <w:right w:w="70" w:type="dxa"/>
            </w:tcMar>
          </w:tcPr>
          <w:p w14:paraId="2E141F55"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1,60%</w:t>
            </w:r>
          </w:p>
        </w:tc>
        <w:tc>
          <w:tcPr>
            <w:tcW w:w="1087" w:type="dxa"/>
            <w:tcBorders>
              <w:top w:val="nil"/>
              <w:left w:val="nil"/>
              <w:bottom w:val="single" w:sz="4" w:space="0" w:color="000000"/>
              <w:right w:val="single" w:sz="4" w:space="0" w:color="000000"/>
            </w:tcBorders>
            <w:shd w:val="clear" w:color="auto" w:fill="auto"/>
            <w:tcMar>
              <w:left w:w="70" w:type="dxa"/>
              <w:right w:w="70" w:type="dxa"/>
            </w:tcMar>
          </w:tcPr>
          <w:p w14:paraId="5502DE96"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93,02%</w:t>
            </w:r>
          </w:p>
        </w:tc>
        <w:tc>
          <w:tcPr>
            <w:tcW w:w="797" w:type="dxa"/>
            <w:tcBorders>
              <w:top w:val="nil"/>
              <w:left w:val="nil"/>
              <w:bottom w:val="single" w:sz="4" w:space="0" w:color="000000"/>
              <w:right w:val="single" w:sz="4" w:space="0" w:color="000000"/>
            </w:tcBorders>
            <w:shd w:val="clear" w:color="auto" w:fill="auto"/>
            <w:tcMar>
              <w:left w:w="70" w:type="dxa"/>
              <w:right w:w="70" w:type="dxa"/>
            </w:tcMar>
          </w:tcPr>
          <w:p w14:paraId="6A22111B"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1,26%</w:t>
            </w:r>
          </w:p>
        </w:tc>
        <w:tc>
          <w:tcPr>
            <w:tcW w:w="1087" w:type="dxa"/>
            <w:tcBorders>
              <w:top w:val="nil"/>
              <w:left w:val="nil"/>
              <w:bottom w:val="single" w:sz="4" w:space="0" w:color="000000"/>
              <w:right w:val="single" w:sz="4" w:space="0" w:color="000000"/>
            </w:tcBorders>
            <w:shd w:val="clear" w:color="auto" w:fill="auto"/>
            <w:tcMar>
              <w:left w:w="70" w:type="dxa"/>
              <w:right w:w="70" w:type="dxa"/>
            </w:tcMar>
          </w:tcPr>
          <w:p w14:paraId="37F7393D"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100,00%</w:t>
            </w:r>
          </w:p>
        </w:tc>
      </w:tr>
      <w:tr w:rsidR="00994832" w:rsidRPr="00047994" w14:paraId="5ECFFAF9" w14:textId="77777777" w:rsidTr="00F42A0B">
        <w:trPr>
          <w:trHeight w:val="532"/>
          <w:jc w:val="center"/>
        </w:trPr>
        <w:tc>
          <w:tcPr>
            <w:tcW w:w="1291" w:type="dxa"/>
            <w:vMerge/>
            <w:tcBorders>
              <w:top w:val="nil"/>
              <w:left w:val="single" w:sz="4" w:space="0" w:color="000000"/>
              <w:bottom w:val="single" w:sz="4" w:space="0" w:color="000000"/>
              <w:right w:val="single" w:sz="4" w:space="0" w:color="000000"/>
            </w:tcBorders>
            <w:tcMar>
              <w:left w:w="70" w:type="dxa"/>
              <w:right w:w="70" w:type="dxa"/>
            </w:tcMar>
            <w:vAlign w:val="center"/>
          </w:tcPr>
          <w:p w14:paraId="2F17C4E7" w14:textId="77777777" w:rsidR="00064C79" w:rsidRPr="00047994" w:rsidRDefault="00064C79" w:rsidP="00064C79">
            <w:pPr>
              <w:spacing w:line="276" w:lineRule="auto"/>
              <w:jc w:val="center"/>
              <w:rPr>
                <w:rFonts w:ascii="Arial" w:eastAsia="Calibri" w:hAnsi="Arial" w:cs="Arial"/>
                <w:b/>
                <w:bCs/>
                <w:sz w:val="20"/>
                <w:szCs w:val="20"/>
                <w:lang w:val="es-EC" w:eastAsia="en-US"/>
              </w:rPr>
            </w:pPr>
          </w:p>
        </w:tc>
        <w:tc>
          <w:tcPr>
            <w:tcW w:w="1449" w:type="dxa"/>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3DE9A144" w14:textId="77777777" w:rsidR="00064C79" w:rsidRPr="00047994" w:rsidRDefault="00064C79" w:rsidP="00064C79">
            <w:pPr>
              <w:spacing w:line="276" w:lineRule="auto"/>
              <w:jc w:val="center"/>
              <w:rPr>
                <w:rFonts w:ascii="Arial" w:hAnsi="Arial" w:cs="Arial"/>
                <w:b/>
                <w:bCs/>
                <w:sz w:val="20"/>
                <w:szCs w:val="20"/>
                <w:lang w:val="es-EC" w:eastAsia="es-EC"/>
              </w:rPr>
            </w:pPr>
            <w:r w:rsidRPr="00047994">
              <w:rPr>
                <w:rFonts w:ascii="Arial" w:hAnsi="Arial" w:cs="Arial"/>
                <w:b/>
                <w:bCs/>
                <w:sz w:val="20"/>
                <w:szCs w:val="20"/>
                <w:lang w:val="es-EC" w:eastAsia="es-EC"/>
              </w:rPr>
              <w:t>Posgrado</w:t>
            </w:r>
          </w:p>
        </w:tc>
        <w:tc>
          <w:tcPr>
            <w:tcW w:w="1017" w:type="dxa"/>
            <w:tcBorders>
              <w:top w:val="nil"/>
              <w:left w:val="nil"/>
              <w:bottom w:val="single" w:sz="4" w:space="0" w:color="000000"/>
              <w:right w:val="single" w:sz="4" w:space="0" w:color="000000"/>
            </w:tcBorders>
            <w:shd w:val="clear" w:color="auto" w:fill="auto"/>
            <w:tcMar>
              <w:left w:w="70" w:type="dxa"/>
              <w:right w:w="70" w:type="dxa"/>
            </w:tcMar>
          </w:tcPr>
          <w:p w14:paraId="46DC9541"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1.717</w:t>
            </w:r>
          </w:p>
        </w:tc>
        <w:tc>
          <w:tcPr>
            <w:tcW w:w="1410" w:type="dxa"/>
            <w:tcBorders>
              <w:top w:val="nil"/>
              <w:left w:val="nil"/>
              <w:bottom w:val="single" w:sz="4" w:space="0" w:color="000000"/>
              <w:right w:val="single" w:sz="4" w:space="0" w:color="000000"/>
            </w:tcBorders>
            <w:shd w:val="clear" w:color="auto" w:fill="auto"/>
            <w:tcMar>
              <w:left w:w="70" w:type="dxa"/>
              <w:right w:w="70" w:type="dxa"/>
            </w:tcMar>
          </w:tcPr>
          <w:p w14:paraId="1756B981"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2.477</w:t>
            </w:r>
          </w:p>
        </w:tc>
        <w:tc>
          <w:tcPr>
            <w:tcW w:w="1086" w:type="dxa"/>
            <w:tcBorders>
              <w:top w:val="nil"/>
              <w:left w:val="nil"/>
              <w:bottom w:val="single" w:sz="4" w:space="0" w:color="000000"/>
              <w:right w:val="single" w:sz="4" w:space="0" w:color="000000"/>
            </w:tcBorders>
            <w:shd w:val="clear" w:color="auto" w:fill="auto"/>
            <w:tcMar>
              <w:left w:w="70" w:type="dxa"/>
              <w:right w:w="70" w:type="dxa"/>
            </w:tcMar>
          </w:tcPr>
          <w:p w14:paraId="75174A00"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1.871</w:t>
            </w:r>
          </w:p>
        </w:tc>
        <w:tc>
          <w:tcPr>
            <w:tcW w:w="1087" w:type="dxa"/>
            <w:tcBorders>
              <w:top w:val="nil"/>
              <w:left w:val="nil"/>
              <w:bottom w:val="single" w:sz="4" w:space="0" w:color="000000"/>
              <w:right w:val="single" w:sz="4" w:space="0" w:color="000000"/>
            </w:tcBorders>
            <w:shd w:val="clear" w:color="auto" w:fill="auto"/>
            <w:tcMar>
              <w:left w:w="70" w:type="dxa"/>
              <w:right w:w="70" w:type="dxa"/>
            </w:tcMar>
          </w:tcPr>
          <w:p w14:paraId="197ECE6D"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174.094</w:t>
            </w:r>
          </w:p>
        </w:tc>
        <w:tc>
          <w:tcPr>
            <w:tcW w:w="797" w:type="dxa"/>
            <w:tcBorders>
              <w:top w:val="nil"/>
              <w:left w:val="nil"/>
              <w:bottom w:val="single" w:sz="4" w:space="0" w:color="000000"/>
              <w:right w:val="single" w:sz="4" w:space="0" w:color="000000"/>
            </w:tcBorders>
            <w:shd w:val="clear" w:color="auto" w:fill="auto"/>
            <w:tcMar>
              <w:left w:w="70" w:type="dxa"/>
              <w:right w:w="70" w:type="dxa"/>
            </w:tcMar>
          </w:tcPr>
          <w:p w14:paraId="30C1D8C8"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3.634</w:t>
            </w:r>
          </w:p>
        </w:tc>
        <w:tc>
          <w:tcPr>
            <w:tcW w:w="1087" w:type="dxa"/>
            <w:tcBorders>
              <w:top w:val="nil"/>
              <w:left w:val="nil"/>
              <w:bottom w:val="single" w:sz="4" w:space="0" w:color="000000"/>
              <w:right w:val="single" w:sz="4" w:space="0" w:color="000000"/>
            </w:tcBorders>
            <w:shd w:val="clear" w:color="auto" w:fill="auto"/>
            <w:tcMar>
              <w:left w:w="70" w:type="dxa"/>
              <w:right w:w="70" w:type="dxa"/>
            </w:tcMar>
          </w:tcPr>
          <w:p w14:paraId="17A63871"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183.793</w:t>
            </w:r>
          </w:p>
        </w:tc>
      </w:tr>
      <w:tr w:rsidR="00994832" w:rsidRPr="00047994" w14:paraId="491A9E95" w14:textId="77777777" w:rsidTr="00F42A0B">
        <w:trPr>
          <w:trHeight w:val="532"/>
          <w:jc w:val="center"/>
        </w:trPr>
        <w:tc>
          <w:tcPr>
            <w:tcW w:w="1291" w:type="dxa"/>
            <w:vMerge/>
            <w:tcBorders>
              <w:top w:val="nil"/>
              <w:left w:val="single" w:sz="4" w:space="0" w:color="000000"/>
              <w:bottom w:val="single" w:sz="4" w:space="0" w:color="000000"/>
              <w:right w:val="single" w:sz="4" w:space="0" w:color="000000"/>
            </w:tcBorders>
            <w:tcMar>
              <w:left w:w="70" w:type="dxa"/>
              <w:right w:w="70" w:type="dxa"/>
            </w:tcMar>
            <w:vAlign w:val="center"/>
          </w:tcPr>
          <w:p w14:paraId="6BDC1DF0" w14:textId="77777777" w:rsidR="00064C79" w:rsidRPr="00047994" w:rsidRDefault="00064C79" w:rsidP="00064C79">
            <w:pPr>
              <w:spacing w:line="276" w:lineRule="auto"/>
              <w:jc w:val="center"/>
              <w:rPr>
                <w:rFonts w:ascii="Arial" w:eastAsia="Calibri" w:hAnsi="Arial" w:cs="Arial"/>
                <w:b/>
                <w:bCs/>
                <w:sz w:val="20"/>
                <w:szCs w:val="20"/>
                <w:lang w:val="es-EC" w:eastAsia="en-US"/>
              </w:rPr>
            </w:pPr>
          </w:p>
        </w:tc>
        <w:tc>
          <w:tcPr>
            <w:tcW w:w="1449" w:type="dxa"/>
            <w:vMerge/>
            <w:tcBorders>
              <w:top w:val="nil"/>
              <w:left w:val="single" w:sz="4" w:space="0" w:color="000000"/>
              <w:bottom w:val="single" w:sz="4" w:space="0" w:color="000000"/>
              <w:right w:val="single" w:sz="4" w:space="0" w:color="000000"/>
            </w:tcBorders>
            <w:tcMar>
              <w:left w:w="70" w:type="dxa"/>
              <w:right w:w="70" w:type="dxa"/>
            </w:tcMar>
            <w:vAlign w:val="center"/>
          </w:tcPr>
          <w:p w14:paraId="76756736" w14:textId="77777777" w:rsidR="00064C79" w:rsidRPr="00047994" w:rsidRDefault="00064C79" w:rsidP="00064C79">
            <w:pPr>
              <w:spacing w:line="276" w:lineRule="auto"/>
              <w:jc w:val="center"/>
              <w:rPr>
                <w:rFonts w:ascii="Arial" w:eastAsia="Calibri" w:hAnsi="Arial" w:cs="Arial"/>
                <w:b/>
                <w:bCs/>
                <w:sz w:val="20"/>
                <w:szCs w:val="20"/>
                <w:lang w:val="es-EC" w:eastAsia="en-US"/>
              </w:rPr>
            </w:pPr>
          </w:p>
        </w:tc>
        <w:tc>
          <w:tcPr>
            <w:tcW w:w="1017" w:type="dxa"/>
            <w:tcBorders>
              <w:top w:val="nil"/>
              <w:left w:val="nil"/>
              <w:bottom w:val="single" w:sz="4" w:space="0" w:color="000000"/>
              <w:right w:val="single" w:sz="4" w:space="0" w:color="000000"/>
            </w:tcBorders>
            <w:shd w:val="clear" w:color="auto" w:fill="auto"/>
            <w:tcMar>
              <w:left w:w="70" w:type="dxa"/>
              <w:right w:w="70" w:type="dxa"/>
            </w:tcMar>
          </w:tcPr>
          <w:p w14:paraId="11057988"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0,93%</w:t>
            </w:r>
          </w:p>
        </w:tc>
        <w:tc>
          <w:tcPr>
            <w:tcW w:w="1410" w:type="dxa"/>
            <w:tcBorders>
              <w:top w:val="nil"/>
              <w:left w:val="nil"/>
              <w:bottom w:val="single" w:sz="4" w:space="0" w:color="000000"/>
              <w:right w:val="single" w:sz="4" w:space="0" w:color="000000"/>
            </w:tcBorders>
            <w:shd w:val="clear" w:color="auto" w:fill="auto"/>
            <w:tcMar>
              <w:left w:w="70" w:type="dxa"/>
              <w:right w:w="70" w:type="dxa"/>
            </w:tcMar>
          </w:tcPr>
          <w:p w14:paraId="1A141413"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1,35%</w:t>
            </w:r>
          </w:p>
        </w:tc>
        <w:tc>
          <w:tcPr>
            <w:tcW w:w="1086" w:type="dxa"/>
            <w:tcBorders>
              <w:top w:val="nil"/>
              <w:left w:val="nil"/>
              <w:bottom w:val="single" w:sz="4" w:space="0" w:color="000000"/>
              <w:right w:val="single" w:sz="4" w:space="0" w:color="000000"/>
            </w:tcBorders>
            <w:shd w:val="clear" w:color="auto" w:fill="auto"/>
            <w:tcMar>
              <w:left w:w="70" w:type="dxa"/>
              <w:right w:w="70" w:type="dxa"/>
            </w:tcMar>
          </w:tcPr>
          <w:p w14:paraId="0F52E330"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1,02%</w:t>
            </w:r>
          </w:p>
        </w:tc>
        <w:tc>
          <w:tcPr>
            <w:tcW w:w="1087" w:type="dxa"/>
            <w:tcBorders>
              <w:top w:val="nil"/>
              <w:left w:val="nil"/>
              <w:bottom w:val="single" w:sz="4" w:space="0" w:color="000000"/>
              <w:right w:val="single" w:sz="4" w:space="0" w:color="000000"/>
            </w:tcBorders>
            <w:shd w:val="clear" w:color="auto" w:fill="auto"/>
            <w:tcMar>
              <w:left w:w="70" w:type="dxa"/>
              <w:right w:w="70" w:type="dxa"/>
            </w:tcMar>
          </w:tcPr>
          <w:p w14:paraId="79E26A72"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94,72%</w:t>
            </w:r>
          </w:p>
        </w:tc>
        <w:tc>
          <w:tcPr>
            <w:tcW w:w="797" w:type="dxa"/>
            <w:tcBorders>
              <w:top w:val="nil"/>
              <w:left w:val="nil"/>
              <w:bottom w:val="single" w:sz="4" w:space="0" w:color="000000"/>
              <w:right w:val="single" w:sz="4" w:space="0" w:color="000000"/>
            </w:tcBorders>
            <w:shd w:val="clear" w:color="auto" w:fill="auto"/>
            <w:tcMar>
              <w:left w:w="70" w:type="dxa"/>
              <w:right w:w="70" w:type="dxa"/>
            </w:tcMar>
          </w:tcPr>
          <w:p w14:paraId="7E1A9896"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1,98%</w:t>
            </w:r>
          </w:p>
        </w:tc>
        <w:tc>
          <w:tcPr>
            <w:tcW w:w="1087" w:type="dxa"/>
            <w:tcBorders>
              <w:top w:val="nil"/>
              <w:left w:val="nil"/>
              <w:bottom w:val="single" w:sz="4" w:space="0" w:color="000000"/>
              <w:right w:val="single" w:sz="4" w:space="0" w:color="000000"/>
            </w:tcBorders>
            <w:shd w:val="clear" w:color="auto" w:fill="auto"/>
            <w:tcMar>
              <w:left w:w="70" w:type="dxa"/>
              <w:right w:w="70" w:type="dxa"/>
            </w:tcMar>
          </w:tcPr>
          <w:p w14:paraId="5D5CB863"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100,00%</w:t>
            </w:r>
          </w:p>
        </w:tc>
      </w:tr>
      <w:tr w:rsidR="00355A18" w:rsidRPr="00047994" w14:paraId="648B2FB8" w14:textId="77777777" w:rsidTr="00F42A0B">
        <w:trPr>
          <w:trHeight w:val="532"/>
          <w:jc w:val="center"/>
        </w:trPr>
        <w:tc>
          <w:tcPr>
            <w:tcW w:w="27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D429432" w14:textId="77777777" w:rsidR="00064C79" w:rsidRPr="00047994" w:rsidRDefault="00064C79" w:rsidP="00064C79">
            <w:pPr>
              <w:spacing w:line="276" w:lineRule="auto"/>
              <w:jc w:val="center"/>
              <w:rPr>
                <w:rFonts w:ascii="Arial" w:hAnsi="Arial" w:cs="Arial"/>
                <w:b/>
                <w:bCs/>
                <w:sz w:val="20"/>
                <w:szCs w:val="20"/>
                <w:lang w:val="es-EC" w:eastAsia="es-EC"/>
              </w:rPr>
            </w:pPr>
            <w:r w:rsidRPr="00047994">
              <w:rPr>
                <w:rFonts w:ascii="Arial" w:hAnsi="Arial" w:cs="Arial"/>
                <w:b/>
                <w:bCs/>
                <w:sz w:val="20"/>
                <w:szCs w:val="20"/>
                <w:lang w:val="es-EC" w:eastAsia="es-EC"/>
              </w:rPr>
              <w:t>Total</w:t>
            </w:r>
          </w:p>
        </w:tc>
        <w:tc>
          <w:tcPr>
            <w:tcW w:w="1017" w:type="dxa"/>
            <w:tcBorders>
              <w:top w:val="nil"/>
              <w:left w:val="nil"/>
              <w:bottom w:val="single" w:sz="4" w:space="0" w:color="000000"/>
              <w:right w:val="single" w:sz="4" w:space="0" w:color="000000"/>
            </w:tcBorders>
            <w:shd w:val="clear" w:color="auto" w:fill="auto"/>
            <w:tcMar>
              <w:left w:w="70" w:type="dxa"/>
              <w:right w:w="70" w:type="dxa"/>
            </w:tcMar>
          </w:tcPr>
          <w:p w14:paraId="1E3C0261"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32.944</w:t>
            </w:r>
          </w:p>
        </w:tc>
        <w:tc>
          <w:tcPr>
            <w:tcW w:w="1410" w:type="dxa"/>
            <w:tcBorders>
              <w:top w:val="nil"/>
              <w:left w:val="nil"/>
              <w:bottom w:val="single" w:sz="4" w:space="0" w:color="000000"/>
              <w:right w:val="single" w:sz="4" w:space="0" w:color="000000"/>
            </w:tcBorders>
            <w:shd w:val="clear" w:color="auto" w:fill="auto"/>
            <w:tcMar>
              <w:left w:w="70" w:type="dxa"/>
              <w:right w:w="70" w:type="dxa"/>
            </w:tcMar>
          </w:tcPr>
          <w:p w14:paraId="7F341043"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29.048</w:t>
            </w:r>
          </w:p>
        </w:tc>
        <w:tc>
          <w:tcPr>
            <w:tcW w:w="1086" w:type="dxa"/>
            <w:tcBorders>
              <w:top w:val="nil"/>
              <w:left w:val="nil"/>
              <w:bottom w:val="single" w:sz="4" w:space="0" w:color="000000"/>
              <w:right w:val="single" w:sz="4" w:space="0" w:color="000000"/>
            </w:tcBorders>
            <w:shd w:val="clear" w:color="auto" w:fill="auto"/>
            <w:tcMar>
              <w:left w:w="70" w:type="dxa"/>
              <w:right w:w="70" w:type="dxa"/>
            </w:tcMar>
          </w:tcPr>
          <w:p w14:paraId="0B60D00E"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24.319</w:t>
            </w:r>
          </w:p>
        </w:tc>
        <w:tc>
          <w:tcPr>
            <w:tcW w:w="1087" w:type="dxa"/>
            <w:tcBorders>
              <w:top w:val="nil"/>
              <w:left w:val="nil"/>
              <w:bottom w:val="single" w:sz="4" w:space="0" w:color="000000"/>
              <w:right w:val="single" w:sz="4" w:space="0" w:color="000000"/>
            </w:tcBorders>
            <w:shd w:val="clear" w:color="auto" w:fill="auto"/>
            <w:tcMar>
              <w:left w:w="70" w:type="dxa"/>
              <w:right w:w="70" w:type="dxa"/>
            </w:tcMar>
          </w:tcPr>
          <w:p w14:paraId="1C1A6A5A"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1.480.750</w:t>
            </w:r>
          </w:p>
        </w:tc>
        <w:tc>
          <w:tcPr>
            <w:tcW w:w="797" w:type="dxa"/>
            <w:tcBorders>
              <w:top w:val="nil"/>
              <w:left w:val="nil"/>
              <w:bottom w:val="single" w:sz="4" w:space="0" w:color="000000"/>
              <w:right w:val="single" w:sz="4" w:space="0" w:color="000000"/>
            </w:tcBorders>
            <w:shd w:val="clear" w:color="auto" w:fill="auto"/>
            <w:tcMar>
              <w:left w:w="70" w:type="dxa"/>
              <w:right w:w="70" w:type="dxa"/>
            </w:tcMar>
          </w:tcPr>
          <w:p w14:paraId="3C6EBA30"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21.371</w:t>
            </w:r>
          </w:p>
        </w:tc>
        <w:tc>
          <w:tcPr>
            <w:tcW w:w="1087" w:type="dxa"/>
            <w:tcBorders>
              <w:top w:val="nil"/>
              <w:left w:val="nil"/>
              <w:bottom w:val="single" w:sz="4" w:space="0" w:color="000000"/>
              <w:right w:val="single" w:sz="4" w:space="0" w:color="000000"/>
            </w:tcBorders>
            <w:shd w:val="clear" w:color="auto" w:fill="auto"/>
            <w:tcMar>
              <w:left w:w="70" w:type="dxa"/>
              <w:right w:w="70" w:type="dxa"/>
            </w:tcMar>
          </w:tcPr>
          <w:p w14:paraId="7EE9A5D1"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1.588.432</w:t>
            </w:r>
          </w:p>
        </w:tc>
      </w:tr>
      <w:tr w:rsidR="00355A18" w:rsidRPr="00047994" w14:paraId="59C61648" w14:textId="77777777" w:rsidTr="00F42A0B">
        <w:trPr>
          <w:trHeight w:val="604"/>
          <w:jc w:val="center"/>
        </w:trPr>
        <w:tc>
          <w:tcPr>
            <w:tcW w:w="2740" w:type="dxa"/>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AB29C28" w14:textId="77777777" w:rsidR="00064C79" w:rsidRPr="00047994" w:rsidRDefault="00064C79" w:rsidP="00064C79">
            <w:pPr>
              <w:spacing w:line="276" w:lineRule="auto"/>
              <w:rPr>
                <w:rFonts w:ascii="Arial" w:eastAsia="Calibri" w:hAnsi="Arial" w:cs="Arial"/>
                <w:sz w:val="20"/>
                <w:szCs w:val="20"/>
                <w:lang w:val="es-EC" w:eastAsia="en-US"/>
              </w:rPr>
            </w:pPr>
          </w:p>
        </w:tc>
        <w:tc>
          <w:tcPr>
            <w:tcW w:w="1017" w:type="dxa"/>
            <w:tcBorders>
              <w:top w:val="nil"/>
              <w:left w:val="nil"/>
              <w:bottom w:val="single" w:sz="4" w:space="0" w:color="000000"/>
              <w:right w:val="single" w:sz="4" w:space="0" w:color="000000"/>
            </w:tcBorders>
            <w:shd w:val="clear" w:color="auto" w:fill="auto"/>
            <w:tcMar>
              <w:left w:w="70" w:type="dxa"/>
              <w:right w:w="70" w:type="dxa"/>
            </w:tcMar>
          </w:tcPr>
          <w:p w14:paraId="411D7D1A"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2,07%</w:t>
            </w:r>
          </w:p>
        </w:tc>
        <w:tc>
          <w:tcPr>
            <w:tcW w:w="1410" w:type="dxa"/>
            <w:tcBorders>
              <w:top w:val="nil"/>
              <w:left w:val="nil"/>
              <w:bottom w:val="single" w:sz="4" w:space="0" w:color="000000"/>
              <w:right w:val="single" w:sz="4" w:space="0" w:color="000000"/>
            </w:tcBorders>
            <w:shd w:val="clear" w:color="auto" w:fill="auto"/>
            <w:tcMar>
              <w:left w:w="70" w:type="dxa"/>
              <w:right w:w="70" w:type="dxa"/>
            </w:tcMar>
          </w:tcPr>
          <w:p w14:paraId="23552EBB"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1,83%</w:t>
            </w:r>
          </w:p>
        </w:tc>
        <w:tc>
          <w:tcPr>
            <w:tcW w:w="1086" w:type="dxa"/>
            <w:tcBorders>
              <w:top w:val="nil"/>
              <w:left w:val="nil"/>
              <w:bottom w:val="single" w:sz="4" w:space="0" w:color="000000"/>
              <w:right w:val="single" w:sz="4" w:space="0" w:color="000000"/>
            </w:tcBorders>
            <w:shd w:val="clear" w:color="auto" w:fill="auto"/>
            <w:tcMar>
              <w:left w:w="70" w:type="dxa"/>
              <w:right w:w="70" w:type="dxa"/>
            </w:tcMar>
          </w:tcPr>
          <w:p w14:paraId="15EE7F12"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1,53%</w:t>
            </w:r>
          </w:p>
        </w:tc>
        <w:tc>
          <w:tcPr>
            <w:tcW w:w="1087" w:type="dxa"/>
            <w:tcBorders>
              <w:top w:val="nil"/>
              <w:left w:val="nil"/>
              <w:bottom w:val="single" w:sz="4" w:space="0" w:color="000000"/>
              <w:right w:val="single" w:sz="4" w:space="0" w:color="000000"/>
            </w:tcBorders>
            <w:shd w:val="clear" w:color="auto" w:fill="auto"/>
            <w:tcMar>
              <w:left w:w="70" w:type="dxa"/>
              <w:right w:w="70" w:type="dxa"/>
            </w:tcMar>
          </w:tcPr>
          <w:p w14:paraId="798DA5C9"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93,22%</w:t>
            </w:r>
          </w:p>
        </w:tc>
        <w:tc>
          <w:tcPr>
            <w:tcW w:w="797" w:type="dxa"/>
            <w:tcBorders>
              <w:top w:val="nil"/>
              <w:left w:val="nil"/>
              <w:bottom w:val="single" w:sz="4" w:space="0" w:color="000000"/>
              <w:right w:val="single" w:sz="4" w:space="0" w:color="000000"/>
            </w:tcBorders>
            <w:shd w:val="clear" w:color="auto" w:fill="auto"/>
            <w:tcMar>
              <w:left w:w="70" w:type="dxa"/>
              <w:right w:w="70" w:type="dxa"/>
            </w:tcMar>
          </w:tcPr>
          <w:p w14:paraId="4A1DFE77"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1,35%</w:t>
            </w:r>
          </w:p>
        </w:tc>
        <w:tc>
          <w:tcPr>
            <w:tcW w:w="1087" w:type="dxa"/>
            <w:tcBorders>
              <w:top w:val="nil"/>
              <w:left w:val="nil"/>
              <w:bottom w:val="single" w:sz="4" w:space="0" w:color="000000"/>
              <w:right w:val="single" w:sz="4" w:space="0" w:color="000000"/>
            </w:tcBorders>
            <w:shd w:val="clear" w:color="auto" w:fill="auto"/>
            <w:tcMar>
              <w:left w:w="70" w:type="dxa"/>
              <w:right w:w="70" w:type="dxa"/>
            </w:tcMar>
          </w:tcPr>
          <w:p w14:paraId="7BB7EB2D" w14:textId="77777777" w:rsidR="00064C79" w:rsidRPr="00047994" w:rsidRDefault="00064C79" w:rsidP="00064C79">
            <w:pPr>
              <w:spacing w:line="276" w:lineRule="auto"/>
              <w:jc w:val="center"/>
              <w:rPr>
                <w:rFonts w:ascii="Arial" w:hAnsi="Arial" w:cs="Arial"/>
                <w:sz w:val="20"/>
                <w:szCs w:val="20"/>
                <w:lang w:val="es-EC" w:eastAsia="es-EC"/>
              </w:rPr>
            </w:pPr>
            <w:r w:rsidRPr="00047994">
              <w:rPr>
                <w:rFonts w:ascii="Arial" w:hAnsi="Arial" w:cs="Arial"/>
                <w:sz w:val="20"/>
                <w:szCs w:val="20"/>
                <w:lang w:val="es-EC" w:eastAsia="es-EC"/>
              </w:rPr>
              <w:t>100,00%</w:t>
            </w:r>
          </w:p>
        </w:tc>
      </w:tr>
    </w:tbl>
    <w:p w14:paraId="1F51A897" w14:textId="77777777" w:rsidR="00064C79" w:rsidRPr="000E10A4" w:rsidRDefault="00064C79" w:rsidP="00064C79">
      <w:pPr>
        <w:spacing w:line="360" w:lineRule="auto"/>
        <w:jc w:val="both"/>
        <w:rPr>
          <w:rFonts w:ascii="Arial" w:eastAsia="Calibri" w:hAnsi="Arial" w:cs="Arial"/>
          <w:spacing w:val="-1"/>
          <w:sz w:val="20"/>
          <w:szCs w:val="20"/>
          <w:lang w:val="es-EC" w:eastAsia="en-US"/>
        </w:rPr>
      </w:pPr>
      <w:r w:rsidRPr="000E10A4">
        <w:rPr>
          <w:rFonts w:ascii="Arial" w:eastAsia="Calibri" w:hAnsi="Arial" w:cs="Arial"/>
          <w:iCs/>
          <w:spacing w:val="-1"/>
          <w:sz w:val="20"/>
          <w:szCs w:val="20"/>
          <w:lang w:val="es-EC" w:eastAsia="en-US"/>
        </w:rPr>
        <w:t>Nota</w:t>
      </w:r>
      <w:r w:rsidRPr="000E10A4">
        <w:rPr>
          <w:rFonts w:ascii="Arial" w:eastAsia="Calibri" w:hAnsi="Arial" w:cs="Arial"/>
          <w:spacing w:val="-1"/>
          <w:sz w:val="20"/>
          <w:szCs w:val="20"/>
          <w:lang w:val="es-EC" w:eastAsia="en-US"/>
        </w:rPr>
        <w:t>. Elaboración propia con base en el INEC, 2023.</w:t>
      </w:r>
    </w:p>
    <w:p w14:paraId="71FB6777" w14:textId="77777777" w:rsidR="00064C79" w:rsidRPr="00064C79" w:rsidRDefault="00064C79" w:rsidP="00121272">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lastRenderedPageBreak/>
        <w:t>El 89,13% de las personas con estudios de posgrado estaba trabajando la semana pasada; en el nivel superior universitario, el porcentaje es del 76,25%. Esto refleja que una mayor proporción de personas con posgrado está empleada en comparación con aquellas que tienen únicamente estudios universitarios, lo que sugiere mejores oportunidades laborales para quienes poseen un posgrado (tabla de contingencia 5).</w:t>
      </w:r>
    </w:p>
    <w:p w14:paraId="0C5F31D9" w14:textId="0D5FA711" w:rsidR="00064C79" w:rsidRPr="005B7D57" w:rsidRDefault="00064C79" w:rsidP="005B7D57">
      <w:pPr>
        <w:spacing w:after="100" w:afterAutospacing="1"/>
        <w:jc w:val="center"/>
        <w:rPr>
          <w:rFonts w:ascii="Arial" w:eastAsia="Calibri" w:hAnsi="Arial" w:cs="Arial"/>
          <w:b/>
          <w:iCs/>
          <w:sz w:val="20"/>
          <w:szCs w:val="20"/>
          <w:lang w:val="es-EC" w:eastAsia="en-US"/>
        </w:rPr>
      </w:pPr>
      <w:r w:rsidRPr="005B7D57">
        <w:rPr>
          <w:rFonts w:ascii="Arial" w:eastAsia="Calibri" w:hAnsi="Arial" w:cs="Arial"/>
          <w:b/>
          <w:bCs/>
          <w:sz w:val="20"/>
          <w:szCs w:val="20"/>
          <w:lang w:val="es-EC" w:eastAsia="en-US"/>
        </w:rPr>
        <w:t>Tabla de contingencia 5</w:t>
      </w:r>
      <w:r w:rsidR="005B7D57" w:rsidRPr="005B7D57">
        <w:rPr>
          <w:rFonts w:ascii="Arial" w:eastAsia="Calibri" w:hAnsi="Arial" w:cs="Arial"/>
          <w:b/>
          <w:bCs/>
          <w:sz w:val="20"/>
          <w:szCs w:val="20"/>
          <w:lang w:val="es-EC" w:eastAsia="en-US"/>
        </w:rPr>
        <w:t xml:space="preserve">. </w:t>
      </w:r>
      <w:r w:rsidRPr="005B7D57">
        <w:rPr>
          <w:rFonts w:ascii="Arial" w:eastAsia="Calibri" w:hAnsi="Arial" w:cs="Arial"/>
          <w:b/>
          <w:iCs/>
          <w:sz w:val="20"/>
          <w:szCs w:val="20"/>
          <w:lang w:val="es-EC" w:eastAsia="en-US"/>
        </w:rPr>
        <w:t>Nivel de instrucción - Trabajó la semana pasada</w:t>
      </w:r>
    </w:p>
    <w:tbl>
      <w:tblPr>
        <w:tblW w:w="5055" w:type="pct"/>
        <w:jc w:val="center"/>
        <w:tblLook w:val="04A0" w:firstRow="1" w:lastRow="0" w:firstColumn="1" w:lastColumn="0" w:noHBand="0" w:noVBand="1"/>
      </w:tblPr>
      <w:tblGrid>
        <w:gridCol w:w="1849"/>
        <w:gridCol w:w="2114"/>
        <w:gridCol w:w="1733"/>
        <w:gridCol w:w="1449"/>
        <w:gridCol w:w="1731"/>
      </w:tblGrid>
      <w:tr w:rsidR="00064C79" w:rsidRPr="005B7D57" w14:paraId="0785C06F" w14:textId="77777777" w:rsidTr="00F42A0B">
        <w:trPr>
          <w:trHeight w:val="668"/>
          <w:jc w:val="center"/>
        </w:trPr>
        <w:tc>
          <w:tcPr>
            <w:tcW w:w="223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B0817E4" w14:textId="77777777" w:rsidR="00064C79" w:rsidRPr="005B7D57" w:rsidRDefault="00064C79" w:rsidP="00064C79">
            <w:pPr>
              <w:spacing w:line="276" w:lineRule="auto"/>
              <w:jc w:val="center"/>
              <w:rPr>
                <w:rFonts w:ascii="Arial" w:hAnsi="Arial" w:cs="Arial"/>
                <w:b/>
                <w:bCs/>
                <w:sz w:val="20"/>
                <w:szCs w:val="20"/>
                <w:lang w:val="es-EC" w:eastAsia="es-EC"/>
              </w:rPr>
            </w:pPr>
          </w:p>
        </w:tc>
        <w:tc>
          <w:tcPr>
            <w:tcW w:w="1792" w:type="pct"/>
            <w:gridSpan w:val="2"/>
            <w:tcBorders>
              <w:top w:val="single" w:sz="4" w:space="0" w:color="000000"/>
              <w:left w:val="nil"/>
              <w:bottom w:val="single" w:sz="4" w:space="0" w:color="000000"/>
              <w:right w:val="single" w:sz="4" w:space="0" w:color="000000"/>
            </w:tcBorders>
            <w:shd w:val="clear" w:color="auto" w:fill="auto"/>
            <w:tcMar>
              <w:left w:w="70" w:type="dxa"/>
              <w:right w:w="70" w:type="dxa"/>
            </w:tcMar>
            <w:vAlign w:val="center"/>
          </w:tcPr>
          <w:p w14:paraId="4089594C" w14:textId="77777777" w:rsidR="00064C79" w:rsidRPr="005B7D57" w:rsidRDefault="00064C79" w:rsidP="00064C79">
            <w:pPr>
              <w:spacing w:line="276" w:lineRule="auto"/>
              <w:jc w:val="center"/>
              <w:rPr>
                <w:rFonts w:ascii="Arial" w:hAnsi="Arial" w:cs="Arial"/>
                <w:b/>
                <w:bCs/>
                <w:sz w:val="20"/>
                <w:szCs w:val="20"/>
                <w:lang w:val="es-EC" w:eastAsia="es-EC"/>
              </w:rPr>
            </w:pPr>
            <w:r w:rsidRPr="005B7D57">
              <w:rPr>
                <w:rFonts w:ascii="Arial" w:hAnsi="Arial" w:cs="Arial"/>
                <w:b/>
                <w:bCs/>
                <w:sz w:val="20"/>
                <w:szCs w:val="20"/>
                <w:lang w:val="es-EC" w:eastAsia="es-EC"/>
              </w:rPr>
              <w:t>Trabajó la semana pasada</w:t>
            </w:r>
          </w:p>
        </w:tc>
        <w:tc>
          <w:tcPr>
            <w:tcW w:w="976" w:type="pct"/>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0339FC8" w14:textId="77777777" w:rsidR="00064C79" w:rsidRPr="005B7D57" w:rsidRDefault="00064C79" w:rsidP="00064C79">
            <w:pPr>
              <w:spacing w:line="276" w:lineRule="auto"/>
              <w:jc w:val="center"/>
              <w:rPr>
                <w:rFonts w:ascii="Arial" w:hAnsi="Arial" w:cs="Arial"/>
                <w:b/>
                <w:bCs/>
                <w:sz w:val="20"/>
                <w:szCs w:val="20"/>
                <w:lang w:val="es-EC" w:eastAsia="es-EC"/>
              </w:rPr>
            </w:pPr>
            <w:r w:rsidRPr="005B7D57">
              <w:rPr>
                <w:rFonts w:ascii="Arial" w:hAnsi="Arial" w:cs="Arial"/>
                <w:b/>
                <w:bCs/>
                <w:sz w:val="20"/>
                <w:szCs w:val="20"/>
                <w:lang w:val="es-EC" w:eastAsia="es-EC"/>
              </w:rPr>
              <w:t>Total</w:t>
            </w:r>
          </w:p>
        </w:tc>
      </w:tr>
      <w:tr w:rsidR="00064C79" w:rsidRPr="005B7D57" w14:paraId="560660F8" w14:textId="77777777" w:rsidTr="00F42A0B">
        <w:trPr>
          <w:trHeight w:val="668"/>
          <w:jc w:val="center"/>
        </w:trPr>
        <w:tc>
          <w:tcPr>
            <w:tcW w:w="2233"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13410B5" w14:textId="77777777" w:rsidR="00064C79" w:rsidRPr="005B7D57" w:rsidRDefault="00064C79" w:rsidP="00064C79">
            <w:pPr>
              <w:spacing w:line="276" w:lineRule="auto"/>
              <w:rPr>
                <w:rFonts w:ascii="Arial" w:eastAsia="Calibri" w:hAnsi="Arial" w:cs="Arial"/>
                <w:sz w:val="20"/>
                <w:szCs w:val="20"/>
                <w:lang w:val="es-EC" w:eastAsia="en-US"/>
              </w:rPr>
            </w:pPr>
          </w:p>
        </w:tc>
        <w:tc>
          <w:tcPr>
            <w:tcW w:w="976" w:type="pct"/>
            <w:tcBorders>
              <w:top w:val="nil"/>
              <w:left w:val="nil"/>
              <w:bottom w:val="single" w:sz="4" w:space="0" w:color="000000"/>
              <w:right w:val="single" w:sz="4" w:space="0" w:color="000000"/>
            </w:tcBorders>
            <w:shd w:val="clear" w:color="auto" w:fill="auto"/>
            <w:tcMar>
              <w:left w:w="70" w:type="dxa"/>
              <w:right w:w="70" w:type="dxa"/>
            </w:tcMar>
            <w:vAlign w:val="center"/>
          </w:tcPr>
          <w:p w14:paraId="3571B3F1" w14:textId="77777777" w:rsidR="00064C79" w:rsidRPr="005B7D57" w:rsidRDefault="00064C79" w:rsidP="00064C79">
            <w:pPr>
              <w:spacing w:line="276" w:lineRule="auto"/>
              <w:jc w:val="center"/>
              <w:rPr>
                <w:rFonts w:ascii="Arial" w:hAnsi="Arial" w:cs="Arial"/>
                <w:b/>
                <w:bCs/>
                <w:sz w:val="20"/>
                <w:szCs w:val="20"/>
                <w:lang w:val="es-EC" w:eastAsia="es-EC"/>
              </w:rPr>
            </w:pPr>
            <w:r w:rsidRPr="005B7D57">
              <w:rPr>
                <w:rFonts w:ascii="Arial" w:hAnsi="Arial" w:cs="Arial"/>
                <w:b/>
                <w:bCs/>
                <w:sz w:val="20"/>
                <w:szCs w:val="20"/>
                <w:lang w:val="es-EC" w:eastAsia="es-EC"/>
              </w:rPr>
              <w:t>Sí</w:t>
            </w:r>
          </w:p>
        </w:tc>
        <w:tc>
          <w:tcPr>
            <w:tcW w:w="815" w:type="pct"/>
            <w:tcBorders>
              <w:top w:val="nil"/>
              <w:left w:val="nil"/>
              <w:bottom w:val="single" w:sz="4" w:space="0" w:color="000000"/>
              <w:right w:val="single" w:sz="4" w:space="0" w:color="000000"/>
            </w:tcBorders>
            <w:shd w:val="clear" w:color="auto" w:fill="auto"/>
            <w:tcMar>
              <w:left w:w="70" w:type="dxa"/>
              <w:right w:w="70" w:type="dxa"/>
            </w:tcMar>
            <w:vAlign w:val="center"/>
          </w:tcPr>
          <w:p w14:paraId="6610E344" w14:textId="77777777" w:rsidR="00064C79" w:rsidRPr="005B7D57" w:rsidRDefault="00064C79" w:rsidP="00064C79">
            <w:pPr>
              <w:spacing w:line="276" w:lineRule="auto"/>
              <w:jc w:val="center"/>
              <w:rPr>
                <w:rFonts w:ascii="Arial" w:hAnsi="Arial" w:cs="Arial"/>
                <w:b/>
                <w:bCs/>
                <w:sz w:val="20"/>
                <w:szCs w:val="20"/>
                <w:lang w:val="es-EC" w:eastAsia="es-EC"/>
              </w:rPr>
            </w:pPr>
            <w:r w:rsidRPr="005B7D57">
              <w:rPr>
                <w:rFonts w:ascii="Arial" w:hAnsi="Arial" w:cs="Arial"/>
                <w:b/>
                <w:bCs/>
                <w:sz w:val="20"/>
                <w:szCs w:val="20"/>
                <w:lang w:val="es-EC" w:eastAsia="es-EC"/>
              </w:rPr>
              <w:t>No</w:t>
            </w:r>
          </w:p>
        </w:tc>
        <w:tc>
          <w:tcPr>
            <w:tcW w:w="976" w:type="pct"/>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0EB82D1" w14:textId="77777777" w:rsidR="00064C79" w:rsidRPr="005B7D57" w:rsidRDefault="00064C79" w:rsidP="00064C79">
            <w:pPr>
              <w:spacing w:line="276" w:lineRule="auto"/>
              <w:rPr>
                <w:rFonts w:ascii="Arial" w:eastAsia="Calibri" w:hAnsi="Arial" w:cs="Arial"/>
                <w:sz w:val="20"/>
                <w:szCs w:val="20"/>
                <w:lang w:val="es-EC" w:eastAsia="en-US"/>
              </w:rPr>
            </w:pPr>
          </w:p>
        </w:tc>
      </w:tr>
      <w:tr w:rsidR="00064C79" w:rsidRPr="005B7D57" w14:paraId="0EC62E81" w14:textId="77777777" w:rsidTr="00F42A0B">
        <w:trPr>
          <w:trHeight w:val="668"/>
          <w:jc w:val="center"/>
        </w:trPr>
        <w:tc>
          <w:tcPr>
            <w:tcW w:w="1042"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4DC2EA27" w14:textId="77777777" w:rsidR="00064C79" w:rsidRPr="005B7D57" w:rsidRDefault="00064C79" w:rsidP="00064C79">
            <w:pPr>
              <w:spacing w:line="276" w:lineRule="auto"/>
              <w:jc w:val="center"/>
              <w:rPr>
                <w:rFonts w:ascii="Arial" w:hAnsi="Arial" w:cs="Arial"/>
                <w:b/>
                <w:bCs/>
                <w:sz w:val="20"/>
                <w:szCs w:val="20"/>
                <w:lang w:val="es-EC" w:eastAsia="es-EC"/>
              </w:rPr>
            </w:pPr>
            <w:r w:rsidRPr="005B7D57">
              <w:rPr>
                <w:rFonts w:ascii="Arial" w:hAnsi="Arial" w:cs="Arial"/>
                <w:b/>
                <w:bCs/>
                <w:sz w:val="20"/>
                <w:szCs w:val="20"/>
                <w:lang w:val="es-EC" w:eastAsia="es-EC"/>
              </w:rPr>
              <w:t>Nivel de instrucción</w:t>
            </w:r>
          </w:p>
        </w:tc>
        <w:tc>
          <w:tcPr>
            <w:tcW w:w="1191"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499DAEC3" w14:textId="77777777" w:rsidR="00064C79" w:rsidRPr="005B7D57" w:rsidRDefault="00064C79" w:rsidP="00064C79">
            <w:pPr>
              <w:spacing w:line="276" w:lineRule="auto"/>
              <w:jc w:val="center"/>
              <w:rPr>
                <w:rFonts w:ascii="Arial" w:hAnsi="Arial" w:cs="Arial"/>
                <w:b/>
                <w:bCs/>
                <w:sz w:val="20"/>
                <w:szCs w:val="20"/>
                <w:lang w:val="es-EC" w:eastAsia="es-EC"/>
              </w:rPr>
            </w:pPr>
            <w:r w:rsidRPr="005B7D57">
              <w:rPr>
                <w:rFonts w:ascii="Arial" w:hAnsi="Arial" w:cs="Arial"/>
                <w:b/>
                <w:bCs/>
                <w:sz w:val="20"/>
                <w:szCs w:val="20"/>
                <w:lang w:val="es-EC" w:eastAsia="es-EC"/>
              </w:rPr>
              <w:t>Superior Universitario</w:t>
            </w:r>
          </w:p>
        </w:tc>
        <w:tc>
          <w:tcPr>
            <w:tcW w:w="976" w:type="pct"/>
            <w:tcBorders>
              <w:top w:val="nil"/>
              <w:left w:val="nil"/>
              <w:bottom w:val="single" w:sz="4" w:space="0" w:color="000000"/>
              <w:right w:val="single" w:sz="4" w:space="0" w:color="000000"/>
            </w:tcBorders>
            <w:shd w:val="clear" w:color="auto" w:fill="auto"/>
            <w:tcMar>
              <w:left w:w="70" w:type="dxa"/>
              <w:right w:w="70" w:type="dxa"/>
            </w:tcMar>
          </w:tcPr>
          <w:p w14:paraId="41464B74"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1.071.097</w:t>
            </w:r>
          </w:p>
        </w:tc>
        <w:tc>
          <w:tcPr>
            <w:tcW w:w="815" w:type="pct"/>
            <w:tcBorders>
              <w:top w:val="nil"/>
              <w:left w:val="nil"/>
              <w:bottom w:val="single" w:sz="4" w:space="0" w:color="000000"/>
              <w:right w:val="single" w:sz="4" w:space="0" w:color="000000"/>
            </w:tcBorders>
            <w:shd w:val="clear" w:color="auto" w:fill="auto"/>
            <w:tcMar>
              <w:left w:w="70" w:type="dxa"/>
              <w:right w:w="70" w:type="dxa"/>
            </w:tcMar>
          </w:tcPr>
          <w:p w14:paraId="40C96819"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333.542</w:t>
            </w:r>
          </w:p>
        </w:tc>
        <w:tc>
          <w:tcPr>
            <w:tcW w:w="976" w:type="pct"/>
            <w:tcBorders>
              <w:top w:val="nil"/>
              <w:left w:val="nil"/>
              <w:bottom w:val="single" w:sz="4" w:space="0" w:color="000000"/>
              <w:right w:val="single" w:sz="4" w:space="0" w:color="000000"/>
            </w:tcBorders>
            <w:shd w:val="clear" w:color="auto" w:fill="auto"/>
            <w:tcMar>
              <w:left w:w="70" w:type="dxa"/>
              <w:right w:w="70" w:type="dxa"/>
            </w:tcMar>
          </w:tcPr>
          <w:p w14:paraId="09AB6173"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1.404.639</w:t>
            </w:r>
          </w:p>
        </w:tc>
      </w:tr>
      <w:tr w:rsidR="00064C79" w:rsidRPr="005B7D57" w14:paraId="33E28329" w14:textId="77777777" w:rsidTr="00F42A0B">
        <w:trPr>
          <w:trHeight w:val="668"/>
          <w:jc w:val="center"/>
        </w:trPr>
        <w:tc>
          <w:tcPr>
            <w:tcW w:w="1042" w:type="pct"/>
            <w:vMerge/>
            <w:tcBorders>
              <w:top w:val="nil"/>
              <w:left w:val="single" w:sz="4" w:space="0" w:color="000000"/>
              <w:bottom w:val="single" w:sz="4" w:space="0" w:color="000000"/>
              <w:right w:val="single" w:sz="4" w:space="0" w:color="000000"/>
            </w:tcBorders>
            <w:tcMar>
              <w:left w:w="70" w:type="dxa"/>
              <w:right w:w="70" w:type="dxa"/>
            </w:tcMar>
            <w:vAlign w:val="center"/>
          </w:tcPr>
          <w:p w14:paraId="63F2C767" w14:textId="77777777" w:rsidR="00064C79" w:rsidRPr="005B7D57" w:rsidRDefault="00064C79" w:rsidP="00064C79">
            <w:pPr>
              <w:spacing w:line="276" w:lineRule="auto"/>
              <w:jc w:val="center"/>
              <w:rPr>
                <w:rFonts w:ascii="Arial" w:eastAsia="Calibri" w:hAnsi="Arial" w:cs="Arial"/>
                <w:b/>
                <w:bCs/>
                <w:sz w:val="20"/>
                <w:szCs w:val="20"/>
                <w:lang w:val="es-EC" w:eastAsia="en-US"/>
              </w:rPr>
            </w:pPr>
          </w:p>
        </w:tc>
        <w:tc>
          <w:tcPr>
            <w:tcW w:w="1191" w:type="pct"/>
            <w:vMerge/>
            <w:tcBorders>
              <w:top w:val="nil"/>
              <w:left w:val="single" w:sz="4" w:space="0" w:color="000000"/>
              <w:bottom w:val="single" w:sz="4" w:space="0" w:color="000000"/>
              <w:right w:val="single" w:sz="4" w:space="0" w:color="000000"/>
            </w:tcBorders>
            <w:tcMar>
              <w:left w:w="70" w:type="dxa"/>
              <w:right w:w="70" w:type="dxa"/>
            </w:tcMar>
            <w:vAlign w:val="center"/>
          </w:tcPr>
          <w:p w14:paraId="73D8B1A0" w14:textId="77777777" w:rsidR="00064C79" w:rsidRPr="005B7D57" w:rsidRDefault="00064C79" w:rsidP="00064C79">
            <w:pPr>
              <w:spacing w:line="276" w:lineRule="auto"/>
              <w:jc w:val="center"/>
              <w:rPr>
                <w:rFonts w:ascii="Arial" w:eastAsia="Calibri" w:hAnsi="Arial" w:cs="Arial"/>
                <w:b/>
                <w:bCs/>
                <w:sz w:val="20"/>
                <w:szCs w:val="20"/>
                <w:lang w:val="es-EC" w:eastAsia="en-US"/>
              </w:rPr>
            </w:pPr>
          </w:p>
        </w:tc>
        <w:tc>
          <w:tcPr>
            <w:tcW w:w="976" w:type="pct"/>
            <w:tcBorders>
              <w:top w:val="nil"/>
              <w:left w:val="nil"/>
              <w:bottom w:val="single" w:sz="4" w:space="0" w:color="000000"/>
              <w:right w:val="single" w:sz="4" w:space="0" w:color="000000"/>
            </w:tcBorders>
            <w:shd w:val="clear" w:color="auto" w:fill="auto"/>
            <w:tcMar>
              <w:left w:w="70" w:type="dxa"/>
              <w:right w:w="70" w:type="dxa"/>
            </w:tcMar>
          </w:tcPr>
          <w:p w14:paraId="5B2346F4"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76,25%</w:t>
            </w:r>
          </w:p>
        </w:tc>
        <w:tc>
          <w:tcPr>
            <w:tcW w:w="815" w:type="pct"/>
            <w:tcBorders>
              <w:top w:val="nil"/>
              <w:left w:val="nil"/>
              <w:bottom w:val="single" w:sz="4" w:space="0" w:color="000000"/>
              <w:right w:val="single" w:sz="4" w:space="0" w:color="000000"/>
            </w:tcBorders>
            <w:shd w:val="clear" w:color="auto" w:fill="auto"/>
            <w:tcMar>
              <w:left w:w="70" w:type="dxa"/>
              <w:right w:w="70" w:type="dxa"/>
            </w:tcMar>
          </w:tcPr>
          <w:p w14:paraId="7365D3FB"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23,75%</w:t>
            </w:r>
          </w:p>
        </w:tc>
        <w:tc>
          <w:tcPr>
            <w:tcW w:w="976" w:type="pct"/>
            <w:tcBorders>
              <w:top w:val="nil"/>
              <w:left w:val="nil"/>
              <w:bottom w:val="single" w:sz="4" w:space="0" w:color="000000"/>
              <w:right w:val="single" w:sz="4" w:space="0" w:color="000000"/>
            </w:tcBorders>
            <w:shd w:val="clear" w:color="auto" w:fill="auto"/>
            <w:tcMar>
              <w:left w:w="70" w:type="dxa"/>
              <w:right w:w="70" w:type="dxa"/>
            </w:tcMar>
          </w:tcPr>
          <w:p w14:paraId="2482401E"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100,00%</w:t>
            </w:r>
          </w:p>
        </w:tc>
      </w:tr>
      <w:tr w:rsidR="00064C79" w:rsidRPr="005B7D57" w14:paraId="57E93617" w14:textId="77777777" w:rsidTr="00F42A0B">
        <w:trPr>
          <w:trHeight w:val="668"/>
          <w:jc w:val="center"/>
        </w:trPr>
        <w:tc>
          <w:tcPr>
            <w:tcW w:w="1042" w:type="pct"/>
            <w:vMerge/>
            <w:tcBorders>
              <w:top w:val="nil"/>
              <w:left w:val="single" w:sz="4" w:space="0" w:color="000000"/>
              <w:bottom w:val="single" w:sz="4" w:space="0" w:color="000000"/>
              <w:right w:val="single" w:sz="4" w:space="0" w:color="000000"/>
            </w:tcBorders>
            <w:tcMar>
              <w:left w:w="70" w:type="dxa"/>
              <w:right w:w="70" w:type="dxa"/>
            </w:tcMar>
            <w:vAlign w:val="center"/>
          </w:tcPr>
          <w:p w14:paraId="13CE8195" w14:textId="77777777" w:rsidR="00064C79" w:rsidRPr="005B7D57" w:rsidRDefault="00064C79" w:rsidP="00064C79">
            <w:pPr>
              <w:spacing w:line="276" w:lineRule="auto"/>
              <w:jc w:val="center"/>
              <w:rPr>
                <w:rFonts w:ascii="Arial" w:eastAsia="Calibri" w:hAnsi="Arial" w:cs="Arial"/>
                <w:b/>
                <w:bCs/>
                <w:sz w:val="20"/>
                <w:szCs w:val="20"/>
                <w:lang w:val="es-EC" w:eastAsia="en-US"/>
              </w:rPr>
            </w:pPr>
          </w:p>
        </w:tc>
        <w:tc>
          <w:tcPr>
            <w:tcW w:w="1191"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744DE1C1" w14:textId="77777777" w:rsidR="00064C79" w:rsidRPr="005B7D57" w:rsidRDefault="00064C79" w:rsidP="00064C79">
            <w:pPr>
              <w:spacing w:line="276" w:lineRule="auto"/>
              <w:jc w:val="center"/>
              <w:rPr>
                <w:rFonts w:ascii="Arial" w:hAnsi="Arial" w:cs="Arial"/>
                <w:b/>
                <w:bCs/>
                <w:sz w:val="20"/>
                <w:szCs w:val="20"/>
                <w:lang w:val="es-EC" w:eastAsia="es-EC"/>
              </w:rPr>
            </w:pPr>
            <w:r w:rsidRPr="005B7D57">
              <w:rPr>
                <w:rFonts w:ascii="Arial" w:hAnsi="Arial" w:cs="Arial"/>
                <w:b/>
                <w:bCs/>
                <w:sz w:val="20"/>
                <w:szCs w:val="20"/>
                <w:lang w:val="es-EC" w:eastAsia="es-EC"/>
              </w:rPr>
              <w:t>Posgrado</w:t>
            </w:r>
          </w:p>
        </w:tc>
        <w:tc>
          <w:tcPr>
            <w:tcW w:w="976" w:type="pct"/>
            <w:tcBorders>
              <w:top w:val="nil"/>
              <w:left w:val="nil"/>
              <w:bottom w:val="single" w:sz="4" w:space="0" w:color="000000"/>
              <w:right w:val="single" w:sz="4" w:space="0" w:color="000000"/>
            </w:tcBorders>
            <w:shd w:val="clear" w:color="auto" w:fill="auto"/>
            <w:tcMar>
              <w:left w:w="70" w:type="dxa"/>
              <w:right w:w="70" w:type="dxa"/>
            </w:tcMar>
          </w:tcPr>
          <w:p w14:paraId="6ADAA4E4"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163.820</w:t>
            </w:r>
          </w:p>
        </w:tc>
        <w:tc>
          <w:tcPr>
            <w:tcW w:w="815" w:type="pct"/>
            <w:tcBorders>
              <w:top w:val="nil"/>
              <w:left w:val="nil"/>
              <w:bottom w:val="single" w:sz="4" w:space="0" w:color="000000"/>
              <w:right w:val="single" w:sz="4" w:space="0" w:color="000000"/>
            </w:tcBorders>
            <w:shd w:val="clear" w:color="auto" w:fill="auto"/>
            <w:tcMar>
              <w:left w:w="70" w:type="dxa"/>
              <w:right w:w="70" w:type="dxa"/>
            </w:tcMar>
          </w:tcPr>
          <w:p w14:paraId="60F4C1BA"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19.973</w:t>
            </w:r>
          </w:p>
        </w:tc>
        <w:tc>
          <w:tcPr>
            <w:tcW w:w="976" w:type="pct"/>
            <w:tcBorders>
              <w:top w:val="nil"/>
              <w:left w:val="nil"/>
              <w:bottom w:val="single" w:sz="4" w:space="0" w:color="000000"/>
              <w:right w:val="single" w:sz="4" w:space="0" w:color="000000"/>
            </w:tcBorders>
            <w:shd w:val="clear" w:color="auto" w:fill="auto"/>
            <w:tcMar>
              <w:left w:w="70" w:type="dxa"/>
              <w:right w:w="70" w:type="dxa"/>
            </w:tcMar>
          </w:tcPr>
          <w:p w14:paraId="28B8E300"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183.793</w:t>
            </w:r>
          </w:p>
        </w:tc>
      </w:tr>
      <w:tr w:rsidR="00064C79" w:rsidRPr="005B7D57" w14:paraId="031365D9" w14:textId="77777777" w:rsidTr="00F42A0B">
        <w:trPr>
          <w:trHeight w:val="668"/>
          <w:jc w:val="center"/>
        </w:trPr>
        <w:tc>
          <w:tcPr>
            <w:tcW w:w="1042" w:type="pct"/>
            <w:vMerge/>
            <w:tcBorders>
              <w:top w:val="nil"/>
              <w:left w:val="single" w:sz="4" w:space="0" w:color="000000"/>
              <w:bottom w:val="single" w:sz="4" w:space="0" w:color="000000"/>
              <w:right w:val="single" w:sz="4" w:space="0" w:color="000000"/>
            </w:tcBorders>
            <w:tcMar>
              <w:left w:w="70" w:type="dxa"/>
              <w:right w:w="70" w:type="dxa"/>
            </w:tcMar>
            <w:vAlign w:val="center"/>
          </w:tcPr>
          <w:p w14:paraId="28CCE7F3" w14:textId="77777777" w:rsidR="00064C79" w:rsidRPr="005B7D57" w:rsidRDefault="00064C79" w:rsidP="00064C79">
            <w:pPr>
              <w:spacing w:line="276" w:lineRule="auto"/>
              <w:jc w:val="center"/>
              <w:rPr>
                <w:rFonts w:ascii="Arial" w:eastAsia="Calibri" w:hAnsi="Arial" w:cs="Arial"/>
                <w:b/>
                <w:bCs/>
                <w:sz w:val="20"/>
                <w:szCs w:val="20"/>
                <w:lang w:val="es-EC" w:eastAsia="en-US"/>
              </w:rPr>
            </w:pPr>
          </w:p>
        </w:tc>
        <w:tc>
          <w:tcPr>
            <w:tcW w:w="1191" w:type="pct"/>
            <w:vMerge/>
            <w:tcBorders>
              <w:top w:val="nil"/>
              <w:left w:val="single" w:sz="4" w:space="0" w:color="000000"/>
              <w:bottom w:val="single" w:sz="4" w:space="0" w:color="000000"/>
              <w:right w:val="single" w:sz="4" w:space="0" w:color="000000"/>
            </w:tcBorders>
            <w:tcMar>
              <w:left w:w="70" w:type="dxa"/>
              <w:right w:w="70" w:type="dxa"/>
            </w:tcMar>
            <w:vAlign w:val="center"/>
          </w:tcPr>
          <w:p w14:paraId="57EB15B7" w14:textId="77777777" w:rsidR="00064C79" w:rsidRPr="005B7D57" w:rsidRDefault="00064C79" w:rsidP="00064C79">
            <w:pPr>
              <w:spacing w:line="276" w:lineRule="auto"/>
              <w:jc w:val="center"/>
              <w:rPr>
                <w:rFonts w:ascii="Arial" w:eastAsia="Calibri" w:hAnsi="Arial" w:cs="Arial"/>
                <w:b/>
                <w:bCs/>
                <w:sz w:val="20"/>
                <w:szCs w:val="20"/>
                <w:lang w:val="es-EC" w:eastAsia="en-US"/>
              </w:rPr>
            </w:pPr>
          </w:p>
        </w:tc>
        <w:tc>
          <w:tcPr>
            <w:tcW w:w="976" w:type="pct"/>
            <w:tcBorders>
              <w:top w:val="nil"/>
              <w:left w:val="nil"/>
              <w:bottom w:val="single" w:sz="4" w:space="0" w:color="000000"/>
              <w:right w:val="single" w:sz="4" w:space="0" w:color="000000"/>
            </w:tcBorders>
            <w:shd w:val="clear" w:color="auto" w:fill="auto"/>
            <w:tcMar>
              <w:left w:w="70" w:type="dxa"/>
              <w:right w:w="70" w:type="dxa"/>
            </w:tcMar>
          </w:tcPr>
          <w:p w14:paraId="70ACEF69"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89,13%</w:t>
            </w:r>
          </w:p>
        </w:tc>
        <w:tc>
          <w:tcPr>
            <w:tcW w:w="815" w:type="pct"/>
            <w:tcBorders>
              <w:top w:val="nil"/>
              <w:left w:val="nil"/>
              <w:bottom w:val="single" w:sz="4" w:space="0" w:color="000000"/>
              <w:right w:val="single" w:sz="4" w:space="0" w:color="000000"/>
            </w:tcBorders>
            <w:shd w:val="clear" w:color="auto" w:fill="auto"/>
            <w:tcMar>
              <w:left w:w="70" w:type="dxa"/>
              <w:right w:w="70" w:type="dxa"/>
            </w:tcMar>
          </w:tcPr>
          <w:p w14:paraId="3569787F"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10,87%</w:t>
            </w:r>
          </w:p>
        </w:tc>
        <w:tc>
          <w:tcPr>
            <w:tcW w:w="976" w:type="pct"/>
            <w:tcBorders>
              <w:top w:val="nil"/>
              <w:left w:val="nil"/>
              <w:bottom w:val="single" w:sz="4" w:space="0" w:color="000000"/>
              <w:right w:val="single" w:sz="4" w:space="0" w:color="000000"/>
            </w:tcBorders>
            <w:shd w:val="clear" w:color="auto" w:fill="auto"/>
            <w:tcMar>
              <w:left w:w="70" w:type="dxa"/>
              <w:right w:w="70" w:type="dxa"/>
            </w:tcMar>
          </w:tcPr>
          <w:p w14:paraId="2A40629A"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100,00%</w:t>
            </w:r>
          </w:p>
        </w:tc>
      </w:tr>
      <w:tr w:rsidR="00064C79" w:rsidRPr="005B7D57" w14:paraId="0342DDE8" w14:textId="77777777" w:rsidTr="00F42A0B">
        <w:trPr>
          <w:trHeight w:val="668"/>
          <w:jc w:val="center"/>
        </w:trPr>
        <w:tc>
          <w:tcPr>
            <w:tcW w:w="223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A36D647" w14:textId="77777777" w:rsidR="00064C79" w:rsidRPr="005B7D57" w:rsidRDefault="00064C79" w:rsidP="00064C79">
            <w:pPr>
              <w:spacing w:line="276" w:lineRule="auto"/>
              <w:jc w:val="center"/>
              <w:rPr>
                <w:rFonts w:ascii="Arial" w:hAnsi="Arial" w:cs="Arial"/>
                <w:b/>
                <w:bCs/>
                <w:sz w:val="20"/>
                <w:szCs w:val="20"/>
                <w:lang w:val="es-EC" w:eastAsia="es-EC"/>
              </w:rPr>
            </w:pPr>
            <w:r w:rsidRPr="005B7D57">
              <w:rPr>
                <w:rFonts w:ascii="Arial" w:hAnsi="Arial" w:cs="Arial"/>
                <w:b/>
                <w:bCs/>
                <w:sz w:val="20"/>
                <w:szCs w:val="20"/>
                <w:lang w:val="es-EC" w:eastAsia="es-EC"/>
              </w:rPr>
              <w:t>Total</w:t>
            </w:r>
          </w:p>
        </w:tc>
        <w:tc>
          <w:tcPr>
            <w:tcW w:w="976" w:type="pct"/>
            <w:tcBorders>
              <w:top w:val="nil"/>
              <w:left w:val="nil"/>
              <w:bottom w:val="single" w:sz="4" w:space="0" w:color="000000"/>
              <w:right w:val="single" w:sz="4" w:space="0" w:color="000000"/>
            </w:tcBorders>
            <w:shd w:val="clear" w:color="auto" w:fill="auto"/>
            <w:tcMar>
              <w:left w:w="70" w:type="dxa"/>
              <w:right w:w="70" w:type="dxa"/>
            </w:tcMar>
          </w:tcPr>
          <w:p w14:paraId="44C72E39"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1.234.917</w:t>
            </w:r>
          </w:p>
        </w:tc>
        <w:tc>
          <w:tcPr>
            <w:tcW w:w="815" w:type="pct"/>
            <w:tcBorders>
              <w:top w:val="nil"/>
              <w:left w:val="nil"/>
              <w:bottom w:val="single" w:sz="4" w:space="0" w:color="000000"/>
              <w:right w:val="single" w:sz="4" w:space="0" w:color="000000"/>
            </w:tcBorders>
            <w:shd w:val="clear" w:color="auto" w:fill="auto"/>
            <w:tcMar>
              <w:left w:w="70" w:type="dxa"/>
              <w:right w:w="70" w:type="dxa"/>
            </w:tcMar>
          </w:tcPr>
          <w:p w14:paraId="284515AD"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353.515</w:t>
            </w:r>
          </w:p>
        </w:tc>
        <w:tc>
          <w:tcPr>
            <w:tcW w:w="976" w:type="pct"/>
            <w:tcBorders>
              <w:top w:val="nil"/>
              <w:left w:val="nil"/>
              <w:bottom w:val="single" w:sz="4" w:space="0" w:color="000000"/>
              <w:right w:val="single" w:sz="4" w:space="0" w:color="000000"/>
            </w:tcBorders>
            <w:shd w:val="clear" w:color="auto" w:fill="auto"/>
            <w:tcMar>
              <w:left w:w="70" w:type="dxa"/>
              <w:right w:w="70" w:type="dxa"/>
            </w:tcMar>
          </w:tcPr>
          <w:p w14:paraId="7D5D66EF"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1.588.432</w:t>
            </w:r>
          </w:p>
        </w:tc>
      </w:tr>
      <w:tr w:rsidR="00064C79" w:rsidRPr="005B7D57" w14:paraId="5C42A352" w14:textId="77777777" w:rsidTr="00F42A0B">
        <w:trPr>
          <w:trHeight w:val="668"/>
          <w:jc w:val="center"/>
        </w:trPr>
        <w:tc>
          <w:tcPr>
            <w:tcW w:w="2233"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747C328" w14:textId="77777777" w:rsidR="00064C79" w:rsidRPr="005B7D57" w:rsidRDefault="00064C79" w:rsidP="00064C79">
            <w:pPr>
              <w:spacing w:line="276" w:lineRule="auto"/>
              <w:rPr>
                <w:rFonts w:ascii="Arial" w:eastAsia="Calibri" w:hAnsi="Arial" w:cs="Arial"/>
                <w:sz w:val="20"/>
                <w:szCs w:val="20"/>
                <w:lang w:val="es-EC" w:eastAsia="en-US"/>
              </w:rPr>
            </w:pPr>
          </w:p>
        </w:tc>
        <w:tc>
          <w:tcPr>
            <w:tcW w:w="976" w:type="pct"/>
            <w:tcBorders>
              <w:top w:val="nil"/>
              <w:left w:val="nil"/>
              <w:bottom w:val="single" w:sz="4" w:space="0" w:color="000000"/>
              <w:right w:val="single" w:sz="4" w:space="0" w:color="000000"/>
            </w:tcBorders>
            <w:shd w:val="clear" w:color="auto" w:fill="auto"/>
            <w:tcMar>
              <w:left w:w="70" w:type="dxa"/>
              <w:right w:w="70" w:type="dxa"/>
            </w:tcMar>
          </w:tcPr>
          <w:p w14:paraId="5716A003"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77,74%</w:t>
            </w:r>
          </w:p>
        </w:tc>
        <w:tc>
          <w:tcPr>
            <w:tcW w:w="815" w:type="pct"/>
            <w:tcBorders>
              <w:top w:val="nil"/>
              <w:left w:val="nil"/>
              <w:bottom w:val="single" w:sz="4" w:space="0" w:color="000000"/>
              <w:right w:val="single" w:sz="4" w:space="0" w:color="000000"/>
            </w:tcBorders>
            <w:shd w:val="clear" w:color="auto" w:fill="auto"/>
            <w:tcMar>
              <w:left w:w="70" w:type="dxa"/>
              <w:right w:w="70" w:type="dxa"/>
            </w:tcMar>
          </w:tcPr>
          <w:p w14:paraId="1A0572B3"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22,26%</w:t>
            </w:r>
          </w:p>
        </w:tc>
        <w:tc>
          <w:tcPr>
            <w:tcW w:w="976" w:type="pct"/>
            <w:tcBorders>
              <w:top w:val="nil"/>
              <w:left w:val="nil"/>
              <w:bottom w:val="single" w:sz="4" w:space="0" w:color="000000"/>
              <w:right w:val="single" w:sz="4" w:space="0" w:color="000000"/>
            </w:tcBorders>
            <w:shd w:val="clear" w:color="auto" w:fill="auto"/>
            <w:tcMar>
              <w:left w:w="70" w:type="dxa"/>
              <w:right w:w="70" w:type="dxa"/>
            </w:tcMar>
          </w:tcPr>
          <w:p w14:paraId="5E0E0E2C" w14:textId="77777777" w:rsidR="00064C79" w:rsidRPr="005B7D57" w:rsidRDefault="00064C79" w:rsidP="00064C79">
            <w:pPr>
              <w:spacing w:line="276" w:lineRule="auto"/>
              <w:jc w:val="center"/>
              <w:rPr>
                <w:rFonts w:ascii="Arial" w:hAnsi="Arial" w:cs="Arial"/>
                <w:sz w:val="20"/>
                <w:szCs w:val="20"/>
                <w:lang w:val="es-EC" w:eastAsia="es-EC"/>
              </w:rPr>
            </w:pPr>
            <w:r w:rsidRPr="005B7D57">
              <w:rPr>
                <w:rFonts w:ascii="Arial" w:hAnsi="Arial" w:cs="Arial"/>
                <w:sz w:val="20"/>
                <w:szCs w:val="20"/>
                <w:lang w:val="es-EC" w:eastAsia="es-EC"/>
              </w:rPr>
              <w:t>100,00%</w:t>
            </w:r>
          </w:p>
        </w:tc>
      </w:tr>
    </w:tbl>
    <w:p w14:paraId="03806BDE" w14:textId="77777777" w:rsidR="00064C79" w:rsidRPr="005F32C4" w:rsidRDefault="00064C79" w:rsidP="00064C79">
      <w:pPr>
        <w:spacing w:line="360" w:lineRule="auto"/>
        <w:jc w:val="both"/>
        <w:rPr>
          <w:rFonts w:ascii="Arial" w:eastAsia="Calibri" w:hAnsi="Arial" w:cs="Arial"/>
          <w:spacing w:val="-1"/>
          <w:sz w:val="20"/>
          <w:szCs w:val="20"/>
          <w:lang w:val="es-EC" w:eastAsia="en-US"/>
        </w:rPr>
      </w:pPr>
      <w:r w:rsidRPr="005F32C4">
        <w:rPr>
          <w:rFonts w:ascii="Arial" w:eastAsia="Calibri" w:hAnsi="Arial" w:cs="Arial"/>
          <w:spacing w:val="-1"/>
          <w:sz w:val="20"/>
          <w:szCs w:val="20"/>
          <w:lang w:val="es-EC" w:eastAsia="en-US"/>
        </w:rPr>
        <w:t>Fuente: Elaboración propia con base en el INEC, 2023.</w:t>
      </w:r>
    </w:p>
    <w:p w14:paraId="69EF366C" w14:textId="4CDB28EE" w:rsidR="005F32C4" w:rsidRPr="00064C79" w:rsidRDefault="00064C79" w:rsidP="005F32C4">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lastRenderedPageBreak/>
        <w:t>El 24,00% de las personas con estudios de posgrado que están en situación de inactividad se identifica como amas de casa; en el nivel superior universitario, este porcentaje es del 50,71% entre las personas inactivas. Esto muestra que, dentro de la población inactiva, una mayor proporción de graduados universitarios se dedica a las labores del hogar en comparación con graduados de posgrado (tabla de contingencia 6).</w:t>
      </w:r>
    </w:p>
    <w:p w14:paraId="51B971E1" w14:textId="7F6C533B" w:rsidR="00064C79" w:rsidRPr="00121272" w:rsidRDefault="00064C79" w:rsidP="00121272">
      <w:pPr>
        <w:spacing w:after="100" w:afterAutospacing="1" w:line="360" w:lineRule="auto"/>
        <w:jc w:val="center"/>
        <w:rPr>
          <w:rFonts w:ascii="Arial" w:eastAsia="Calibri" w:hAnsi="Arial" w:cs="Arial"/>
          <w:b/>
          <w:iCs/>
          <w:sz w:val="20"/>
          <w:szCs w:val="20"/>
          <w:lang w:val="es-EC" w:eastAsia="en-US"/>
        </w:rPr>
      </w:pPr>
      <w:r w:rsidRPr="00121272">
        <w:rPr>
          <w:rFonts w:ascii="Arial" w:eastAsia="Calibri" w:hAnsi="Arial" w:cs="Arial"/>
          <w:b/>
          <w:bCs/>
          <w:sz w:val="20"/>
          <w:szCs w:val="20"/>
          <w:lang w:val="es-EC" w:eastAsia="en-US"/>
        </w:rPr>
        <w:t>Tabla de contingencia 6</w:t>
      </w:r>
      <w:r w:rsidR="005B7D57" w:rsidRPr="00121272">
        <w:rPr>
          <w:rFonts w:ascii="Arial" w:eastAsia="Calibri" w:hAnsi="Arial" w:cs="Arial"/>
          <w:b/>
          <w:bCs/>
          <w:sz w:val="20"/>
          <w:szCs w:val="20"/>
          <w:lang w:val="es-EC" w:eastAsia="en-US"/>
        </w:rPr>
        <w:t xml:space="preserve">. </w:t>
      </w:r>
      <w:r w:rsidRPr="00121272">
        <w:rPr>
          <w:rFonts w:ascii="Arial" w:eastAsia="Calibri" w:hAnsi="Arial" w:cs="Arial"/>
          <w:b/>
          <w:iCs/>
          <w:sz w:val="20"/>
          <w:szCs w:val="20"/>
          <w:lang w:val="es-EC" w:eastAsia="en-US"/>
        </w:rPr>
        <w:t>Nivel de instrucción - Condición de inactividad</w:t>
      </w:r>
    </w:p>
    <w:tbl>
      <w:tblPr>
        <w:tblW w:w="5161" w:type="pct"/>
        <w:jc w:val="center"/>
        <w:tblLook w:val="04A0" w:firstRow="1" w:lastRow="0" w:firstColumn="1" w:lastColumn="0" w:noHBand="0" w:noVBand="1"/>
      </w:tblPr>
      <w:tblGrid>
        <w:gridCol w:w="1376"/>
        <w:gridCol w:w="1573"/>
        <w:gridCol w:w="1203"/>
        <w:gridCol w:w="1359"/>
        <w:gridCol w:w="1193"/>
        <w:gridCol w:w="1136"/>
        <w:gridCol w:w="1222"/>
      </w:tblGrid>
      <w:tr w:rsidR="00064C79" w:rsidRPr="00121272" w14:paraId="1B115416" w14:textId="77777777" w:rsidTr="00F42A0B">
        <w:trPr>
          <w:trHeight w:val="598"/>
          <w:jc w:val="center"/>
        </w:trPr>
        <w:tc>
          <w:tcPr>
            <w:tcW w:w="162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2529E6D" w14:textId="77777777" w:rsidR="00064C79" w:rsidRPr="00121272" w:rsidRDefault="00064C79" w:rsidP="00064C79">
            <w:pPr>
              <w:spacing w:line="276" w:lineRule="auto"/>
              <w:jc w:val="both"/>
              <w:rPr>
                <w:rFonts w:ascii="Arial" w:hAnsi="Arial" w:cs="Arial"/>
                <w:sz w:val="20"/>
                <w:szCs w:val="20"/>
                <w:lang w:val="es-EC" w:eastAsia="es-EC"/>
              </w:rPr>
            </w:pPr>
            <w:r w:rsidRPr="00121272">
              <w:rPr>
                <w:rFonts w:ascii="Arial" w:hAnsi="Arial" w:cs="Arial"/>
                <w:sz w:val="20"/>
                <w:szCs w:val="20"/>
                <w:lang w:val="es-EC" w:eastAsia="es-EC"/>
              </w:rPr>
              <w:t> </w:t>
            </w:r>
          </w:p>
        </w:tc>
        <w:tc>
          <w:tcPr>
            <w:tcW w:w="2699" w:type="pct"/>
            <w:gridSpan w:val="4"/>
            <w:tcBorders>
              <w:top w:val="single" w:sz="4" w:space="0" w:color="000000"/>
              <w:left w:val="nil"/>
              <w:bottom w:val="single" w:sz="4" w:space="0" w:color="000000"/>
              <w:right w:val="single" w:sz="4" w:space="0" w:color="000000"/>
            </w:tcBorders>
            <w:shd w:val="clear" w:color="auto" w:fill="auto"/>
            <w:tcMar>
              <w:left w:w="70" w:type="dxa"/>
              <w:right w:w="70" w:type="dxa"/>
            </w:tcMar>
            <w:vAlign w:val="center"/>
          </w:tcPr>
          <w:p w14:paraId="4694A5B2" w14:textId="77777777" w:rsidR="00064C79" w:rsidRPr="00121272" w:rsidRDefault="00064C79" w:rsidP="00064C79">
            <w:pPr>
              <w:spacing w:line="276" w:lineRule="auto"/>
              <w:jc w:val="center"/>
              <w:rPr>
                <w:rFonts w:ascii="Arial" w:hAnsi="Arial" w:cs="Arial"/>
                <w:b/>
                <w:bCs/>
                <w:sz w:val="20"/>
                <w:szCs w:val="20"/>
                <w:lang w:val="es-EC" w:eastAsia="es-EC"/>
              </w:rPr>
            </w:pPr>
            <w:r w:rsidRPr="00121272">
              <w:rPr>
                <w:rFonts w:ascii="Arial" w:hAnsi="Arial" w:cs="Arial"/>
                <w:b/>
                <w:bCs/>
                <w:sz w:val="20"/>
                <w:szCs w:val="20"/>
                <w:lang w:val="es-EC" w:eastAsia="es-EC"/>
              </w:rPr>
              <w:t>Condición de inactividad</w:t>
            </w:r>
          </w:p>
        </w:tc>
        <w:tc>
          <w:tcPr>
            <w:tcW w:w="674" w:type="pct"/>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FA57F4C" w14:textId="77777777" w:rsidR="00064C79" w:rsidRPr="00121272" w:rsidRDefault="00064C79" w:rsidP="00064C79">
            <w:pPr>
              <w:spacing w:line="276" w:lineRule="auto"/>
              <w:jc w:val="center"/>
              <w:rPr>
                <w:rFonts w:ascii="Arial" w:hAnsi="Arial" w:cs="Arial"/>
                <w:b/>
                <w:bCs/>
                <w:sz w:val="20"/>
                <w:szCs w:val="20"/>
                <w:lang w:val="es-EC" w:eastAsia="es-EC"/>
              </w:rPr>
            </w:pPr>
            <w:r w:rsidRPr="00121272">
              <w:rPr>
                <w:rFonts w:ascii="Arial" w:hAnsi="Arial" w:cs="Arial"/>
                <w:b/>
                <w:bCs/>
                <w:sz w:val="20"/>
                <w:szCs w:val="20"/>
                <w:lang w:val="es-EC" w:eastAsia="es-EC"/>
              </w:rPr>
              <w:t>Total</w:t>
            </w:r>
          </w:p>
        </w:tc>
      </w:tr>
      <w:tr w:rsidR="00064C79" w:rsidRPr="00121272" w14:paraId="64699C7D" w14:textId="77777777" w:rsidTr="00F42A0B">
        <w:trPr>
          <w:trHeight w:val="1127"/>
          <w:jc w:val="center"/>
        </w:trPr>
        <w:tc>
          <w:tcPr>
            <w:tcW w:w="1627"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2D3A2CB" w14:textId="77777777" w:rsidR="00064C79" w:rsidRPr="00121272" w:rsidRDefault="00064C79" w:rsidP="00064C79">
            <w:pPr>
              <w:spacing w:line="276" w:lineRule="auto"/>
              <w:rPr>
                <w:rFonts w:ascii="Arial" w:eastAsia="Calibri" w:hAnsi="Arial" w:cs="Arial"/>
                <w:sz w:val="20"/>
                <w:szCs w:val="20"/>
                <w:lang w:val="es-EC" w:eastAsia="en-US"/>
              </w:rPr>
            </w:pPr>
          </w:p>
        </w:tc>
        <w:tc>
          <w:tcPr>
            <w:tcW w:w="664" w:type="pct"/>
            <w:tcBorders>
              <w:top w:val="nil"/>
              <w:left w:val="nil"/>
              <w:bottom w:val="single" w:sz="4" w:space="0" w:color="000000"/>
              <w:right w:val="single" w:sz="4" w:space="0" w:color="000000"/>
            </w:tcBorders>
            <w:shd w:val="clear" w:color="auto" w:fill="auto"/>
            <w:tcMar>
              <w:left w:w="70" w:type="dxa"/>
              <w:right w:w="70" w:type="dxa"/>
            </w:tcMar>
            <w:vAlign w:val="center"/>
          </w:tcPr>
          <w:p w14:paraId="0C18EE36" w14:textId="77777777" w:rsidR="00064C79" w:rsidRPr="00121272" w:rsidRDefault="00064C79" w:rsidP="00064C79">
            <w:pPr>
              <w:spacing w:line="276" w:lineRule="auto"/>
              <w:jc w:val="center"/>
              <w:rPr>
                <w:rFonts w:ascii="Arial" w:hAnsi="Arial" w:cs="Arial"/>
                <w:b/>
                <w:bCs/>
                <w:sz w:val="20"/>
                <w:szCs w:val="20"/>
                <w:lang w:val="es-EC" w:eastAsia="es-EC"/>
              </w:rPr>
            </w:pPr>
            <w:r w:rsidRPr="00121272">
              <w:rPr>
                <w:rFonts w:ascii="Arial" w:hAnsi="Arial" w:cs="Arial"/>
                <w:b/>
                <w:bCs/>
                <w:sz w:val="20"/>
                <w:szCs w:val="20"/>
                <w:lang w:val="es-EC" w:eastAsia="es-EC"/>
              </w:rPr>
              <w:t>Jubilado pensión</w:t>
            </w:r>
          </w:p>
        </w:tc>
        <w:tc>
          <w:tcPr>
            <w:tcW w:w="750" w:type="pct"/>
            <w:tcBorders>
              <w:top w:val="nil"/>
              <w:left w:val="nil"/>
              <w:bottom w:val="single" w:sz="4" w:space="0" w:color="000000"/>
              <w:right w:val="single" w:sz="4" w:space="0" w:color="000000"/>
            </w:tcBorders>
            <w:shd w:val="clear" w:color="auto" w:fill="auto"/>
            <w:tcMar>
              <w:left w:w="70" w:type="dxa"/>
              <w:right w:w="70" w:type="dxa"/>
            </w:tcMar>
            <w:vAlign w:val="center"/>
          </w:tcPr>
          <w:p w14:paraId="33774465" w14:textId="77777777" w:rsidR="00064C79" w:rsidRPr="00121272" w:rsidRDefault="00064C79" w:rsidP="00064C79">
            <w:pPr>
              <w:spacing w:line="276" w:lineRule="auto"/>
              <w:jc w:val="center"/>
              <w:rPr>
                <w:rFonts w:ascii="Arial" w:hAnsi="Arial" w:cs="Arial"/>
                <w:b/>
                <w:bCs/>
                <w:sz w:val="20"/>
                <w:szCs w:val="20"/>
                <w:lang w:val="es-EC" w:eastAsia="es-EC"/>
              </w:rPr>
            </w:pPr>
            <w:r w:rsidRPr="00121272">
              <w:rPr>
                <w:rFonts w:ascii="Arial" w:hAnsi="Arial" w:cs="Arial"/>
                <w:b/>
                <w:bCs/>
                <w:sz w:val="20"/>
                <w:szCs w:val="20"/>
                <w:lang w:val="es-EC" w:eastAsia="es-EC"/>
              </w:rPr>
              <w:t>Estudiante</w:t>
            </w:r>
          </w:p>
        </w:tc>
        <w:tc>
          <w:tcPr>
            <w:tcW w:w="658" w:type="pct"/>
            <w:tcBorders>
              <w:top w:val="nil"/>
              <w:left w:val="nil"/>
              <w:bottom w:val="single" w:sz="4" w:space="0" w:color="000000"/>
              <w:right w:val="single" w:sz="4" w:space="0" w:color="000000"/>
            </w:tcBorders>
            <w:shd w:val="clear" w:color="auto" w:fill="auto"/>
            <w:tcMar>
              <w:left w:w="70" w:type="dxa"/>
              <w:right w:w="70" w:type="dxa"/>
            </w:tcMar>
            <w:vAlign w:val="center"/>
          </w:tcPr>
          <w:p w14:paraId="018798B3" w14:textId="77777777" w:rsidR="00064C79" w:rsidRPr="00121272" w:rsidRDefault="00064C79" w:rsidP="00064C79">
            <w:pPr>
              <w:spacing w:line="276" w:lineRule="auto"/>
              <w:jc w:val="center"/>
              <w:rPr>
                <w:rFonts w:ascii="Arial" w:hAnsi="Arial" w:cs="Arial"/>
                <w:b/>
                <w:bCs/>
                <w:sz w:val="20"/>
                <w:szCs w:val="20"/>
                <w:lang w:val="es-EC" w:eastAsia="es-EC"/>
              </w:rPr>
            </w:pPr>
            <w:r w:rsidRPr="00121272">
              <w:rPr>
                <w:rFonts w:ascii="Arial" w:hAnsi="Arial" w:cs="Arial"/>
                <w:b/>
                <w:bCs/>
                <w:sz w:val="20"/>
                <w:szCs w:val="20"/>
                <w:lang w:val="es-EC" w:eastAsia="es-EC"/>
              </w:rPr>
              <w:t>Ama de casa</w:t>
            </w:r>
          </w:p>
        </w:tc>
        <w:tc>
          <w:tcPr>
            <w:tcW w:w="627" w:type="pct"/>
            <w:tcBorders>
              <w:top w:val="nil"/>
              <w:left w:val="nil"/>
              <w:bottom w:val="single" w:sz="4" w:space="0" w:color="000000"/>
              <w:right w:val="single" w:sz="4" w:space="0" w:color="000000"/>
            </w:tcBorders>
            <w:shd w:val="clear" w:color="auto" w:fill="auto"/>
            <w:tcMar>
              <w:left w:w="70" w:type="dxa"/>
              <w:right w:w="70" w:type="dxa"/>
            </w:tcMar>
            <w:vAlign w:val="center"/>
          </w:tcPr>
          <w:p w14:paraId="49F9B03B" w14:textId="77777777" w:rsidR="00064C79" w:rsidRPr="00121272" w:rsidRDefault="00064C79" w:rsidP="00064C79">
            <w:pPr>
              <w:spacing w:line="276" w:lineRule="auto"/>
              <w:jc w:val="center"/>
              <w:rPr>
                <w:rFonts w:ascii="Arial" w:hAnsi="Arial" w:cs="Arial"/>
                <w:b/>
                <w:bCs/>
                <w:sz w:val="20"/>
                <w:szCs w:val="20"/>
                <w:lang w:val="es-EC" w:eastAsia="es-EC"/>
              </w:rPr>
            </w:pPr>
            <w:r w:rsidRPr="00121272">
              <w:rPr>
                <w:rFonts w:ascii="Arial" w:hAnsi="Arial" w:cs="Arial"/>
                <w:b/>
                <w:bCs/>
                <w:sz w:val="20"/>
                <w:szCs w:val="20"/>
                <w:lang w:val="es-EC" w:eastAsia="es-EC"/>
              </w:rPr>
              <w:t>Otro</w:t>
            </w:r>
          </w:p>
        </w:tc>
        <w:tc>
          <w:tcPr>
            <w:tcW w:w="674" w:type="pct"/>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AEA952D" w14:textId="77777777" w:rsidR="00064C79" w:rsidRPr="00121272" w:rsidRDefault="00064C79" w:rsidP="00064C79">
            <w:pPr>
              <w:spacing w:line="276" w:lineRule="auto"/>
              <w:rPr>
                <w:rFonts w:ascii="Arial" w:eastAsia="Calibri" w:hAnsi="Arial" w:cs="Arial"/>
                <w:sz w:val="20"/>
                <w:szCs w:val="20"/>
                <w:lang w:val="es-EC" w:eastAsia="en-US"/>
              </w:rPr>
            </w:pPr>
          </w:p>
        </w:tc>
      </w:tr>
      <w:tr w:rsidR="00355A18" w:rsidRPr="00121272" w14:paraId="75C358EE" w14:textId="77777777" w:rsidTr="00F42A0B">
        <w:trPr>
          <w:trHeight w:val="598"/>
          <w:jc w:val="center"/>
        </w:trPr>
        <w:tc>
          <w:tcPr>
            <w:tcW w:w="759"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42A549A4" w14:textId="77777777" w:rsidR="00064C79" w:rsidRPr="00121272" w:rsidRDefault="00064C79" w:rsidP="00064C79">
            <w:pPr>
              <w:spacing w:line="276" w:lineRule="auto"/>
              <w:jc w:val="center"/>
              <w:rPr>
                <w:rFonts w:ascii="Arial" w:hAnsi="Arial" w:cs="Arial"/>
                <w:b/>
                <w:bCs/>
                <w:sz w:val="20"/>
                <w:szCs w:val="20"/>
                <w:lang w:val="es-EC" w:eastAsia="es-EC"/>
              </w:rPr>
            </w:pPr>
            <w:r w:rsidRPr="00121272">
              <w:rPr>
                <w:rFonts w:ascii="Arial" w:hAnsi="Arial" w:cs="Arial"/>
                <w:b/>
                <w:bCs/>
                <w:sz w:val="20"/>
                <w:szCs w:val="20"/>
                <w:lang w:val="es-EC" w:eastAsia="es-EC"/>
              </w:rPr>
              <w:t>Nivel de instrucción</w:t>
            </w:r>
          </w:p>
        </w:tc>
        <w:tc>
          <w:tcPr>
            <w:tcW w:w="868"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5A06F770" w14:textId="77777777" w:rsidR="00064C79" w:rsidRPr="00121272" w:rsidRDefault="00064C79" w:rsidP="00064C79">
            <w:pPr>
              <w:spacing w:line="276" w:lineRule="auto"/>
              <w:jc w:val="center"/>
              <w:rPr>
                <w:rFonts w:ascii="Arial" w:hAnsi="Arial" w:cs="Arial"/>
                <w:b/>
                <w:bCs/>
                <w:sz w:val="20"/>
                <w:szCs w:val="20"/>
                <w:lang w:val="es-EC" w:eastAsia="es-EC"/>
              </w:rPr>
            </w:pPr>
            <w:r w:rsidRPr="00121272">
              <w:rPr>
                <w:rFonts w:ascii="Arial" w:hAnsi="Arial" w:cs="Arial"/>
                <w:b/>
                <w:bCs/>
                <w:sz w:val="20"/>
                <w:szCs w:val="20"/>
                <w:lang w:val="es-EC" w:eastAsia="es-EC"/>
              </w:rPr>
              <w:t>Superior Universitario</w:t>
            </w:r>
          </w:p>
        </w:tc>
        <w:tc>
          <w:tcPr>
            <w:tcW w:w="664" w:type="pct"/>
            <w:tcBorders>
              <w:top w:val="nil"/>
              <w:left w:val="nil"/>
              <w:bottom w:val="single" w:sz="4" w:space="0" w:color="000000"/>
              <w:right w:val="single" w:sz="4" w:space="0" w:color="000000"/>
            </w:tcBorders>
            <w:shd w:val="clear" w:color="auto" w:fill="auto"/>
            <w:tcMar>
              <w:left w:w="70" w:type="dxa"/>
              <w:right w:w="70" w:type="dxa"/>
            </w:tcMar>
          </w:tcPr>
          <w:p w14:paraId="584F5BE0"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31.467</w:t>
            </w:r>
          </w:p>
        </w:tc>
        <w:tc>
          <w:tcPr>
            <w:tcW w:w="750" w:type="pct"/>
            <w:tcBorders>
              <w:top w:val="nil"/>
              <w:left w:val="nil"/>
              <w:bottom w:val="single" w:sz="4" w:space="0" w:color="000000"/>
              <w:right w:val="single" w:sz="4" w:space="0" w:color="000000"/>
            </w:tcBorders>
            <w:shd w:val="clear" w:color="auto" w:fill="auto"/>
            <w:tcMar>
              <w:left w:w="70" w:type="dxa"/>
              <w:right w:w="70" w:type="dxa"/>
            </w:tcMar>
          </w:tcPr>
          <w:p w14:paraId="7784988F"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64.086</w:t>
            </w:r>
          </w:p>
        </w:tc>
        <w:tc>
          <w:tcPr>
            <w:tcW w:w="658" w:type="pct"/>
            <w:tcBorders>
              <w:top w:val="nil"/>
              <w:left w:val="nil"/>
              <w:bottom w:val="single" w:sz="4" w:space="0" w:color="000000"/>
              <w:right w:val="single" w:sz="4" w:space="0" w:color="000000"/>
            </w:tcBorders>
            <w:shd w:val="clear" w:color="auto" w:fill="auto"/>
            <w:tcMar>
              <w:left w:w="70" w:type="dxa"/>
              <w:right w:w="70" w:type="dxa"/>
            </w:tcMar>
          </w:tcPr>
          <w:p w14:paraId="34DD8D47"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118.463</w:t>
            </w:r>
          </w:p>
        </w:tc>
        <w:tc>
          <w:tcPr>
            <w:tcW w:w="627" w:type="pct"/>
            <w:tcBorders>
              <w:top w:val="nil"/>
              <w:left w:val="nil"/>
              <w:bottom w:val="single" w:sz="4" w:space="0" w:color="000000"/>
              <w:right w:val="single" w:sz="4" w:space="0" w:color="000000"/>
            </w:tcBorders>
            <w:shd w:val="clear" w:color="auto" w:fill="auto"/>
            <w:tcMar>
              <w:left w:w="70" w:type="dxa"/>
              <w:right w:w="70" w:type="dxa"/>
            </w:tcMar>
          </w:tcPr>
          <w:p w14:paraId="3281A2DA"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19.611</w:t>
            </w:r>
          </w:p>
        </w:tc>
        <w:tc>
          <w:tcPr>
            <w:tcW w:w="674" w:type="pct"/>
            <w:tcBorders>
              <w:top w:val="nil"/>
              <w:left w:val="nil"/>
              <w:bottom w:val="single" w:sz="4" w:space="0" w:color="000000"/>
              <w:right w:val="single" w:sz="4" w:space="0" w:color="000000"/>
            </w:tcBorders>
            <w:shd w:val="clear" w:color="auto" w:fill="auto"/>
            <w:tcMar>
              <w:left w:w="70" w:type="dxa"/>
              <w:right w:w="70" w:type="dxa"/>
            </w:tcMar>
          </w:tcPr>
          <w:p w14:paraId="325158AB"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233.627</w:t>
            </w:r>
          </w:p>
        </w:tc>
      </w:tr>
      <w:tr w:rsidR="00355A18" w:rsidRPr="00121272" w14:paraId="08BB7FDE" w14:textId="77777777" w:rsidTr="00F42A0B">
        <w:trPr>
          <w:trHeight w:val="598"/>
          <w:jc w:val="center"/>
        </w:trPr>
        <w:tc>
          <w:tcPr>
            <w:tcW w:w="759" w:type="pct"/>
            <w:vMerge/>
            <w:tcBorders>
              <w:top w:val="nil"/>
              <w:left w:val="single" w:sz="4" w:space="0" w:color="000000"/>
              <w:bottom w:val="single" w:sz="4" w:space="0" w:color="000000"/>
              <w:right w:val="single" w:sz="4" w:space="0" w:color="000000"/>
            </w:tcBorders>
            <w:tcMar>
              <w:left w:w="70" w:type="dxa"/>
              <w:right w:w="70" w:type="dxa"/>
            </w:tcMar>
            <w:vAlign w:val="center"/>
          </w:tcPr>
          <w:p w14:paraId="6237A73B" w14:textId="77777777" w:rsidR="00064C79" w:rsidRPr="00121272" w:rsidRDefault="00064C79" w:rsidP="00064C79">
            <w:pPr>
              <w:spacing w:line="276" w:lineRule="auto"/>
              <w:jc w:val="center"/>
              <w:rPr>
                <w:rFonts w:ascii="Arial" w:eastAsia="Calibri" w:hAnsi="Arial" w:cs="Arial"/>
                <w:b/>
                <w:bCs/>
                <w:sz w:val="20"/>
                <w:szCs w:val="20"/>
                <w:lang w:val="es-EC" w:eastAsia="en-US"/>
              </w:rPr>
            </w:pPr>
          </w:p>
        </w:tc>
        <w:tc>
          <w:tcPr>
            <w:tcW w:w="868" w:type="pct"/>
            <w:vMerge/>
            <w:tcBorders>
              <w:top w:val="nil"/>
              <w:left w:val="single" w:sz="4" w:space="0" w:color="000000"/>
              <w:bottom w:val="single" w:sz="4" w:space="0" w:color="000000"/>
              <w:right w:val="single" w:sz="4" w:space="0" w:color="000000"/>
            </w:tcBorders>
            <w:tcMar>
              <w:left w:w="70" w:type="dxa"/>
              <w:right w:w="70" w:type="dxa"/>
            </w:tcMar>
            <w:vAlign w:val="center"/>
          </w:tcPr>
          <w:p w14:paraId="0C177D8B" w14:textId="77777777" w:rsidR="00064C79" w:rsidRPr="00121272" w:rsidRDefault="00064C79" w:rsidP="00064C79">
            <w:pPr>
              <w:spacing w:line="276" w:lineRule="auto"/>
              <w:jc w:val="center"/>
              <w:rPr>
                <w:rFonts w:ascii="Arial" w:eastAsia="Calibri" w:hAnsi="Arial" w:cs="Arial"/>
                <w:b/>
                <w:bCs/>
                <w:sz w:val="20"/>
                <w:szCs w:val="20"/>
                <w:lang w:val="es-EC" w:eastAsia="en-US"/>
              </w:rPr>
            </w:pPr>
          </w:p>
        </w:tc>
        <w:tc>
          <w:tcPr>
            <w:tcW w:w="664" w:type="pct"/>
            <w:tcBorders>
              <w:top w:val="nil"/>
              <w:left w:val="nil"/>
              <w:bottom w:val="single" w:sz="4" w:space="0" w:color="000000"/>
              <w:right w:val="single" w:sz="4" w:space="0" w:color="000000"/>
            </w:tcBorders>
            <w:shd w:val="clear" w:color="auto" w:fill="auto"/>
            <w:tcMar>
              <w:left w:w="70" w:type="dxa"/>
              <w:right w:w="70" w:type="dxa"/>
            </w:tcMar>
          </w:tcPr>
          <w:p w14:paraId="7C3801AD"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13,47%</w:t>
            </w:r>
          </w:p>
        </w:tc>
        <w:tc>
          <w:tcPr>
            <w:tcW w:w="750" w:type="pct"/>
            <w:tcBorders>
              <w:top w:val="nil"/>
              <w:left w:val="nil"/>
              <w:bottom w:val="single" w:sz="4" w:space="0" w:color="000000"/>
              <w:right w:val="single" w:sz="4" w:space="0" w:color="000000"/>
            </w:tcBorders>
            <w:shd w:val="clear" w:color="auto" w:fill="auto"/>
            <w:tcMar>
              <w:left w:w="70" w:type="dxa"/>
              <w:right w:w="70" w:type="dxa"/>
            </w:tcMar>
          </w:tcPr>
          <w:p w14:paraId="0BA5554B"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27,43%</w:t>
            </w:r>
          </w:p>
        </w:tc>
        <w:tc>
          <w:tcPr>
            <w:tcW w:w="658" w:type="pct"/>
            <w:tcBorders>
              <w:top w:val="nil"/>
              <w:left w:val="nil"/>
              <w:bottom w:val="single" w:sz="4" w:space="0" w:color="000000"/>
              <w:right w:val="single" w:sz="4" w:space="0" w:color="000000"/>
            </w:tcBorders>
            <w:shd w:val="clear" w:color="auto" w:fill="auto"/>
            <w:tcMar>
              <w:left w:w="70" w:type="dxa"/>
              <w:right w:w="70" w:type="dxa"/>
            </w:tcMar>
          </w:tcPr>
          <w:p w14:paraId="60C5D312"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50,71%</w:t>
            </w:r>
          </w:p>
        </w:tc>
        <w:tc>
          <w:tcPr>
            <w:tcW w:w="627" w:type="pct"/>
            <w:tcBorders>
              <w:top w:val="nil"/>
              <w:left w:val="nil"/>
              <w:bottom w:val="single" w:sz="4" w:space="0" w:color="000000"/>
              <w:right w:val="single" w:sz="4" w:space="0" w:color="000000"/>
            </w:tcBorders>
            <w:shd w:val="clear" w:color="auto" w:fill="auto"/>
            <w:tcMar>
              <w:left w:w="70" w:type="dxa"/>
              <w:right w:w="70" w:type="dxa"/>
            </w:tcMar>
          </w:tcPr>
          <w:p w14:paraId="203F358E"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8,39%</w:t>
            </w:r>
          </w:p>
        </w:tc>
        <w:tc>
          <w:tcPr>
            <w:tcW w:w="674" w:type="pct"/>
            <w:tcBorders>
              <w:top w:val="nil"/>
              <w:left w:val="nil"/>
              <w:bottom w:val="single" w:sz="4" w:space="0" w:color="000000"/>
              <w:right w:val="single" w:sz="4" w:space="0" w:color="000000"/>
            </w:tcBorders>
            <w:shd w:val="clear" w:color="auto" w:fill="auto"/>
            <w:tcMar>
              <w:left w:w="70" w:type="dxa"/>
              <w:right w:w="70" w:type="dxa"/>
            </w:tcMar>
          </w:tcPr>
          <w:p w14:paraId="33F63E29"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100,00%</w:t>
            </w:r>
          </w:p>
        </w:tc>
      </w:tr>
      <w:tr w:rsidR="00355A18" w:rsidRPr="00121272" w14:paraId="5DBD85CC" w14:textId="77777777" w:rsidTr="00F42A0B">
        <w:trPr>
          <w:trHeight w:val="598"/>
          <w:jc w:val="center"/>
        </w:trPr>
        <w:tc>
          <w:tcPr>
            <w:tcW w:w="759" w:type="pct"/>
            <w:vMerge/>
            <w:tcBorders>
              <w:top w:val="nil"/>
              <w:left w:val="single" w:sz="4" w:space="0" w:color="000000"/>
              <w:bottom w:val="single" w:sz="4" w:space="0" w:color="000000"/>
              <w:right w:val="single" w:sz="4" w:space="0" w:color="000000"/>
            </w:tcBorders>
            <w:tcMar>
              <w:left w:w="70" w:type="dxa"/>
              <w:right w:w="70" w:type="dxa"/>
            </w:tcMar>
            <w:vAlign w:val="center"/>
          </w:tcPr>
          <w:p w14:paraId="1C251A61" w14:textId="77777777" w:rsidR="00064C79" w:rsidRPr="00121272" w:rsidRDefault="00064C79" w:rsidP="00064C79">
            <w:pPr>
              <w:spacing w:line="276" w:lineRule="auto"/>
              <w:jc w:val="center"/>
              <w:rPr>
                <w:rFonts w:ascii="Arial" w:eastAsia="Calibri" w:hAnsi="Arial" w:cs="Arial"/>
                <w:b/>
                <w:bCs/>
                <w:sz w:val="20"/>
                <w:szCs w:val="20"/>
                <w:lang w:val="es-EC" w:eastAsia="en-US"/>
              </w:rPr>
            </w:pPr>
          </w:p>
        </w:tc>
        <w:tc>
          <w:tcPr>
            <w:tcW w:w="868"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5671AD97" w14:textId="77777777" w:rsidR="00064C79" w:rsidRPr="00121272" w:rsidRDefault="00064C79" w:rsidP="00064C79">
            <w:pPr>
              <w:spacing w:line="276" w:lineRule="auto"/>
              <w:jc w:val="center"/>
              <w:rPr>
                <w:rFonts w:ascii="Arial" w:hAnsi="Arial" w:cs="Arial"/>
                <w:b/>
                <w:bCs/>
                <w:sz w:val="20"/>
                <w:szCs w:val="20"/>
                <w:lang w:val="es-EC" w:eastAsia="es-EC"/>
              </w:rPr>
            </w:pPr>
            <w:r w:rsidRPr="00121272">
              <w:rPr>
                <w:rFonts w:ascii="Arial" w:hAnsi="Arial" w:cs="Arial"/>
                <w:b/>
                <w:bCs/>
                <w:sz w:val="20"/>
                <w:szCs w:val="20"/>
                <w:lang w:val="es-EC" w:eastAsia="es-EC"/>
              </w:rPr>
              <w:t>Posgrado</w:t>
            </w:r>
          </w:p>
        </w:tc>
        <w:tc>
          <w:tcPr>
            <w:tcW w:w="664" w:type="pct"/>
            <w:tcBorders>
              <w:top w:val="nil"/>
              <w:left w:val="nil"/>
              <w:bottom w:val="single" w:sz="4" w:space="0" w:color="000000"/>
              <w:right w:val="single" w:sz="4" w:space="0" w:color="000000"/>
            </w:tcBorders>
            <w:shd w:val="clear" w:color="auto" w:fill="auto"/>
            <w:tcMar>
              <w:left w:w="70" w:type="dxa"/>
              <w:right w:w="70" w:type="dxa"/>
            </w:tcMar>
          </w:tcPr>
          <w:p w14:paraId="621D5617"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4.757</w:t>
            </w:r>
          </w:p>
        </w:tc>
        <w:tc>
          <w:tcPr>
            <w:tcW w:w="750" w:type="pct"/>
            <w:tcBorders>
              <w:top w:val="nil"/>
              <w:left w:val="nil"/>
              <w:bottom w:val="single" w:sz="4" w:space="0" w:color="000000"/>
              <w:right w:val="single" w:sz="4" w:space="0" w:color="000000"/>
            </w:tcBorders>
            <w:shd w:val="clear" w:color="auto" w:fill="auto"/>
            <w:tcMar>
              <w:left w:w="70" w:type="dxa"/>
              <w:right w:w="70" w:type="dxa"/>
            </w:tcMar>
          </w:tcPr>
          <w:p w14:paraId="1A7CA133"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1.859</w:t>
            </w:r>
          </w:p>
        </w:tc>
        <w:tc>
          <w:tcPr>
            <w:tcW w:w="658" w:type="pct"/>
            <w:tcBorders>
              <w:top w:val="nil"/>
              <w:left w:val="nil"/>
              <w:bottom w:val="single" w:sz="4" w:space="0" w:color="000000"/>
              <w:right w:val="single" w:sz="4" w:space="0" w:color="000000"/>
            </w:tcBorders>
            <w:shd w:val="clear" w:color="auto" w:fill="auto"/>
            <w:tcMar>
              <w:left w:w="70" w:type="dxa"/>
              <w:right w:w="70" w:type="dxa"/>
            </w:tcMar>
          </w:tcPr>
          <w:p w14:paraId="3A40EA22"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2.363</w:t>
            </w:r>
          </w:p>
        </w:tc>
        <w:tc>
          <w:tcPr>
            <w:tcW w:w="627" w:type="pct"/>
            <w:tcBorders>
              <w:top w:val="nil"/>
              <w:left w:val="nil"/>
              <w:bottom w:val="single" w:sz="4" w:space="0" w:color="000000"/>
              <w:right w:val="single" w:sz="4" w:space="0" w:color="000000"/>
            </w:tcBorders>
            <w:shd w:val="clear" w:color="auto" w:fill="auto"/>
            <w:tcMar>
              <w:left w:w="70" w:type="dxa"/>
              <w:right w:w="70" w:type="dxa"/>
            </w:tcMar>
          </w:tcPr>
          <w:p w14:paraId="6762F490"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866</w:t>
            </w:r>
          </w:p>
        </w:tc>
        <w:tc>
          <w:tcPr>
            <w:tcW w:w="674" w:type="pct"/>
            <w:tcBorders>
              <w:top w:val="nil"/>
              <w:left w:val="nil"/>
              <w:bottom w:val="single" w:sz="4" w:space="0" w:color="000000"/>
              <w:right w:val="single" w:sz="4" w:space="0" w:color="000000"/>
            </w:tcBorders>
            <w:shd w:val="clear" w:color="auto" w:fill="auto"/>
            <w:tcMar>
              <w:left w:w="70" w:type="dxa"/>
              <w:right w:w="70" w:type="dxa"/>
            </w:tcMar>
          </w:tcPr>
          <w:p w14:paraId="5A4D2CD3"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9.845</w:t>
            </w:r>
          </w:p>
        </w:tc>
      </w:tr>
      <w:tr w:rsidR="00355A18" w:rsidRPr="00121272" w14:paraId="68631CDA" w14:textId="77777777" w:rsidTr="00F42A0B">
        <w:trPr>
          <w:trHeight w:val="598"/>
          <w:jc w:val="center"/>
        </w:trPr>
        <w:tc>
          <w:tcPr>
            <w:tcW w:w="759" w:type="pct"/>
            <w:vMerge/>
            <w:tcBorders>
              <w:top w:val="nil"/>
              <w:left w:val="single" w:sz="4" w:space="0" w:color="000000"/>
              <w:bottom w:val="single" w:sz="4" w:space="0" w:color="000000"/>
              <w:right w:val="single" w:sz="4" w:space="0" w:color="000000"/>
            </w:tcBorders>
            <w:tcMar>
              <w:left w:w="70" w:type="dxa"/>
              <w:right w:w="70" w:type="dxa"/>
            </w:tcMar>
            <w:vAlign w:val="center"/>
          </w:tcPr>
          <w:p w14:paraId="4AC2D992" w14:textId="77777777" w:rsidR="00064C79" w:rsidRPr="00121272" w:rsidRDefault="00064C79" w:rsidP="00064C79">
            <w:pPr>
              <w:spacing w:line="276" w:lineRule="auto"/>
              <w:jc w:val="center"/>
              <w:rPr>
                <w:rFonts w:ascii="Arial" w:eastAsia="Calibri" w:hAnsi="Arial" w:cs="Arial"/>
                <w:b/>
                <w:bCs/>
                <w:sz w:val="20"/>
                <w:szCs w:val="20"/>
                <w:lang w:val="es-EC" w:eastAsia="en-US"/>
              </w:rPr>
            </w:pPr>
          </w:p>
        </w:tc>
        <w:tc>
          <w:tcPr>
            <w:tcW w:w="868" w:type="pct"/>
            <w:vMerge/>
            <w:tcBorders>
              <w:top w:val="nil"/>
              <w:left w:val="single" w:sz="4" w:space="0" w:color="000000"/>
              <w:bottom w:val="single" w:sz="4" w:space="0" w:color="000000"/>
              <w:right w:val="single" w:sz="4" w:space="0" w:color="000000"/>
            </w:tcBorders>
            <w:tcMar>
              <w:left w:w="70" w:type="dxa"/>
              <w:right w:w="70" w:type="dxa"/>
            </w:tcMar>
            <w:vAlign w:val="center"/>
          </w:tcPr>
          <w:p w14:paraId="3021968C" w14:textId="77777777" w:rsidR="00064C79" w:rsidRPr="00121272" w:rsidRDefault="00064C79" w:rsidP="00064C79">
            <w:pPr>
              <w:spacing w:line="276" w:lineRule="auto"/>
              <w:jc w:val="center"/>
              <w:rPr>
                <w:rFonts w:ascii="Arial" w:eastAsia="Calibri" w:hAnsi="Arial" w:cs="Arial"/>
                <w:b/>
                <w:bCs/>
                <w:sz w:val="20"/>
                <w:szCs w:val="20"/>
                <w:lang w:val="es-EC" w:eastAsia="en-US"/>
              </w:rPr>
            </w:pPr>
          </w:p>
        </w:tc>
        <w:tc>
          <w:tcPr>
            <w:tcW w:w="664" w:type="pct"/>
            <w:tcBorders>
              <w:top w:val="nil"/>
              <w:left w:val="nil"/>
              <w:bottom w:val="single" w:sz="4" w:space="0" w:color="000000"/>
              <w:right w:val="single" w:sz="4" w:space="0" w:color="000000"/>
            </w:tcBorders>
            <w:shd w:val="clear" w:color="auto" w:fill="auto"/>
            <w:tcMar>
              <w:left w:w="70" w:type="dxa"/>
              <w:right w:w="70" w:type="dxa"/>
            </w:tcMar>
          </w:tcPr>
          <w:p w14:paraId="139950E7"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48,32%</w:t>
            </w:r>
          </w:p>
        </w:tc>
        <w:tc>
          <w:tcPr>
            <w:tcW w:w="750" w:type="pct"/>
            <w:tcBorders>
              <w:top w:val="nil"/>
              <w:left w:val="nil"/>
              <w:bottom w:val="single" w:sz="4" w:space="0" w:color="000000"/>
              <w:right w:val="single" w:sz="4" w:space="0" w:color="000000"/>
            </w:tcBorders>
            <w:shd w:val="clear" w:color="auto" w:fill="auto"/>
            <w:tcMar>
              <w:left w:w="70" w:type="dxa"/>
              <w:right w:w="70" w:type="dxa"/>
            </w:tcMar>
          </w:tcPr>
          <w:p w14:paraId="7BC171CD"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18,88%</w:t>
            </w:r>
          </w:p>
        </w:tc>
        <w:tc>
          <w:tcPr>
            <w:tcW w:w="658" w:type="pct"/>
            <w:tcBorders>
              <w:top w:val="nil"/>
              <w:left w:val="nil"/>
              <w:bottom w:val="single" w:sz="4" w:space="0" w:color="000000"/>
              <w:right w:val="single" w:sz="4" w:space="0" w:color="000000"/>
            </w:tcBorders>
            <w:shd w:val="clear" w:color="auto" w:fill="auto"/>
            <w:tcMar>
              <w:left w:w="70" w:type="dxa"/>
              <w:right w:w="70" w:type="dxa"/>
            </w:tcMar>
          </w:tcPr>
          <w:p w14:paraId="4737B50A"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24,00%</w:t>
            </w:r>
          </w:p>
        </w:tc>
        <w:tc>
          <w:tcPr>
            <w:tcW w:w="627" w:type="pct"/>
            <w:tcBorders>
              <w:top w:val="nil"/>
              <w:left w:val="nil"/>
              <w:bottom w:val="single" w:sz="4" w:space="0" w:color="000000"/>
              <w:right w:val="single" w:sz="4" w:space="0" w:color="000000"/>
            </w:tcBorders>
            <w:shd w:val="clear" w:color="auto" w:fill="auto"/>
            <w:tcMar>
              <w:left w:w="70" w:type="dxa"/>
              <w:right w:w="70" w:type="dxa"/>
            </w:tcMar>
          </w:tcPr>
          <w:p w14:paraId="3F292C4E"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8,80%</w:t>
            </w:r>
          </w:p>
        </w:tc>
        <w:tc>
          <w:tcPr>
            <w:tcW w:w="674" w:type="pct"/>
            <w:tcBorders>
              <w:top w:val="nil"/>
              <w:left w:val="nil"/>
              <w:bottom w:val="single" w:sz="4" w:space="0" w:color="000000"/>
              <w:right w:val="single" w:sz="4" w:space="0" w:color="000000"/>
            </w:tcBorders>
            <w:shd w:val="clear" w:color="auto" w:fill="auto"/>
            <w:tcMar>
              <w:left w:w="70" w:type="dxa"/>
              <w:right w:w="70" w:type="dxa"/>
            </w:tcMar>
          </w:tcPr>
          <w:p w14:paraId="299586DA"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100,00%</w:t>
            </w:r>
          </w:p>
        </w:tc>
      </w:tr>
      <w:tr w:rsidR="00064C79" w:rsidRPr="00121272" w14:paraId="323332E8" w14:textId="77777777" w:rsidTr="00F42A0B">
        <w:trPr>
          <w:trHeight w:val="598"/>
          <w:jc w:val="center"/>
        </w:trPr>
        <w:tc>
          <w:tcPr>
            <w:tcW w:w="162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D56D839" w14:textId="77777777" w:rsidR="00064C79" w:rsidRPr="00121272" w:rsidRDefault="00064C79" w:rsidP="00064C79">
            <w:pPr>
              <w:spacing w:line="276" w:lineRule="auto"/>
              <w:jc w:val="center"/>
              <w:rPr>
                <w:rFonts w:ascii="Arial" w:hAnsi="Arial" w:cs="Arial"/>
                <w:b/>
                <w:bCs/>
                <w:sz w:val="20"/>
                <w:szCs w:val="20"/>
                <w:lang w:val="es-EC" w:eastAsia="es-EC"/>
              </w:rPr>
            </w:pPr>
            <w:r w:rsidRPr="00121272">
              <w:rPr>
                <w:rFonts w:ascii="Arial" w:hAnsi="Arial" w:cs="Arial"/>
                <w:b/>
                <w:bCs/>
                <w:sz w:val="20"/>
                <w:szCs w:val="20"/>
                <w:lang w:val="es-EC" w:eastAsia="es-EC"/>
              </w:rPr>
              <w:t>Total</w:t>
            </w:r>
          </w:p>
        </w:tc>
        <w:tc>
          <w:tcPr>
            <w:tcW w:w="664" w:type="pct"/>
            <w:tcBorders>
              <w:top w:val="nil"/>
              <w:left w:val="nil"/>
              <w:bottom w:val="single" w:sz="4" w:space="0" w:color="000000"/>
              <w:right w:val="single" w:sz="4" w:space="0" w:color="000000"/>
            </w:tcBorders>
            <w:shd w:val="clear" w:color="auto" w:fill="auto"/>
            <w:tcMar>
              <w:left w:w="70" w:type="dxa"/>
              <w:right w:w="70" w:type="dxa"/>
            </w:tcMar>
          </w:tcPr>
          <w:p w14:paraId="47B1D44E"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36.224</w:t>
            </w:r>
          </w:p>
        </w:tc>
        <w:tc>
          <w:tcPr>
            <w:tcW w:w="750" w:type="pct"/>
            <w:tcBorders>
              <w:top w:val="nil"/>
              <w:left w:val="nil"/>
              <w:bottom w:val="single" w:sz="4" w:space="0" w:color="000000"/>
              <w:right w:val="single" w:sz="4" w:space="0" w:color="000000"/>
            </w:tcBorders>
            <w:shd w:val="clear" w:color="auto" w:fill="auto"/>
            <w:tcMar>
              <w:left w:w="70" w:type="dxa"/>
              <w:right w:w="70" w:type="dxa"/>
            </w:tcMar>
          </w:tcPr>
          <w:p w14:paraId="0C2A86C3"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65.945</w:t>
            </w:r>
          </w:p>
        </w:tc>
        <w:tc>
          <w:tcPr>
            <w:tcW w:w="658" w:type="pct"/>
            <w:tcBorders>
              <w:top w:val="nil"/>
              <w:left w:val="nil"/>
              <w:bottom w:val="single" w:sz="4" w:space="0" w:color="000000"/>
              <w:right w:val="single" w:sz="4" w:space="0" w:color="000000"/>
            </w:tcBorders>
            <w:shd w:val="clear" w:color="auto" w:fill="auto"/>
            <w:tcMar>
              <w:left w:w="70" w:type="dxa"/>
              <w:right w:w="70" w:type="dxa"/>
            </w:tcMar>
          </w:tcPr>
          <w:p w14:paraId="568092D2"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120.826</w:t>
            </w:r>
          </w:p>
        </w:tc>
        <w:tc>
          <w:tcPr>
            <w:tcW w:w="627" w:type="pct"/>
            <w:tcBorders>
              <w:top w:val="nil"/>
              <w:left w:val="nil"/>
              <w:bottom w:val="single" w:sz="4" w:space="0" w:color="000000"/>
              <w:right w:val="single" w:sz="4" w:space="0" w:color="000000"/>
            </w:tcBorders>
            <w:shd w:val="clear" w:color="auto" w:fill="auto"/>
            <w:tcMar>
              <w:left w:w="70" w:type="dxa"/>
              <w:right w:w="70" w:type="dxa"/>
            </w:tcMar>
          </w:tcPr>
          <w:p w14:paraId="1D8D7408"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20.477</w:t>
            </w:r>
          </w:p>
        </w:tc>
        <w:tc>
          <w:tcPr>
            <w:tcW w:w="674" w:type="pct"/>
            <w:tcBorders>
              <w:top w:val="nil"/>
              <w:left w:val="nil"/>
              <w:bottom w:val="single" w:sz="4" w:space="0" w:color="000000"/>
              <w:right w:val="single" w:sz="4" w:space="0" w:color="000000"/>
            </w:tcBorders>
            <w:shd w:val="clear" w:color="auto" w:fill="auto"/>
            <w:tcMar>
              <w:left w:w="70" w:type="dxa"/>
              <w:right w:w="70" w:type="dxa"/>
            </w:tcMar>
          </w:tcPr>
          <w:p w14:paraId="56A92667"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243.472</w:t>
            </w:r>
          </w:p>
        </w:tc>
      </w:tr>
      <w:tr w:rsidR="00064C79" w:rsidRPr="00121272" w14:paraId="2E2B430E" w14:textId="77777777" w:rsidTr="00F42A0B">
        <w:trPr>
          <w:trHeight w:val="598"/>
          <w:jc w:val="center"/>
        </w:trPr>
        <w:tc>
          <w:tcPr>
            <w:tcW w:w="1627"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134C0ED" w14:textId="77777777" w:rsidR="00064C79" w:rsidRPr="00121272" w:rsidRDefault="00064C79" w:rsidP="00064C79">
            <w:pPr>
              <w:spacing w:line="276" w:lineRule="auto"/>
              <w:rPr>
                <w:rFonts w:ascii="Arial" w:eastAsia="Calibri" w:hAnsi="Arial" w:cs="Arial"/>
                <w:sz w:val="20"/>
                <w:szCs w:val="20"/>
                <w:lang w:val="es-EC" w:eastAsia="en-US"/>
              </w:rPr>
            </w:pPr>
          </w:p>
        </w:tc>
        <w:tc>
          <w:tcPr>
            <w:tcW w:w="664" w:type="pct"/>
            <w:tcBorders>
              <w:top w:val="nil"/>
              <w:left w:val="nil"/>
              <w:bottom w:val="single" w:sz="4" w:space="0" w:color="000000"/>
              <w:right w:val="single" w:sz="4" w:space="0" w:color="000000"/>
            </w:tcBorders>
            <w:shd w:val="clear" w:color="auto" w:fill="auto"/>
            <w:tcMar>
              <w:left w:w="70" w:type="dxa"/>
              <w:right w:w="70" w:type="dxa"/>
            </w:tcMar>
          </w:tcPr>
          <w:p w14:paraId="0FDA2B5A"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14,88%</w:t>
            </w:r>
          </w:p>
        </w:tc>
        <w:tc>
          <w:tcPr>
            <w:tcW w:w="750" w:type="pct"/>
            <w:tcBorders>
              <w:top w:val="nil"/>
              <w:left w:val="nil"/>
              <w:bottom w:val="single" w:sz="4" w:space="0" w:color="000000"/>
              <w:right w:val="single" w:sz="4" w:space="0" w:color="000000"/>
            </w:tcBorders>
            <w:shd w:val="clear" w:color="auto" w:fill="auto"/>
            <w:tcMar>
              <w:left w:w="70" w:type="dxa"/>
              <w:right w:w="70" w:type="dxa"/>
            </w:tcMar>
          </w:tcPr>
          <w:p w14:paraId="3FBDDADC"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27,09%</w:t>
            </w:r>
          </w:p>
        </w:tc>
        <w:tc>
          <w:tcPr>
            <w:tcW w:w="658" w:type="pct"/>
            <w:tcBorders>
              <w:top w:val="nil"/>
              <w:left w:val="nil"/>
              <w:bottom w:val="single" w:sz="4" w:space="0" w:color="000000"/>
              <w:right w:val="single" w:sz="4" w:space="0" w:color="000000"/>
            </w:tcBorders>
            <w:shd w:val="clear" w:color="auto" w:fill="auto"/>
            <w:tcMar>
              <w:left w:w="70" w:type="dxa"/>
              <w:right w:w="70" w:type="dxa"/>
            </w:tcMar>
          </w:tcPr>
          <w:p w14:paraId="7182087B"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49,63%</w:t>
            </w:r>
          </w:p>
        </w:tc>
        <w:tc>
          <w:tcPr>
            <w:tcW w:w="627" w:type="pct"/>
            <w:tcBorders>
              <w:top w:val="nil"/>
              <w:left w:val="nil"/>
              <w:bottom w:val="single" w:sz="4" w:space="0" w:color="000000"/>
              <w:right w:val="single" w:sz="4" w:space="0" w:color="000000"/>
            </w:tcBorders>
            <w:shd w:val="clear" w:color="auto" w:fill="auto"/>
            <w:tcMar>
              <w:left w:w="70" w:type="dxa"/>
              <w:right w:w="70" w:type="dxa"/>
            </w:tcMar>
          </w:tcPr>
          <w:p w14:paraId="248C395E"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8,41%</w:t>
            </w:r>
          </w:p>
        </w:tc>
        <w:tc>
          <w:tcPr>
            <w:tcW w:w="674" w:type="pct"/>
            <w:tcBorders>
              <w:top w:val="nil"/>
              <w:left w:val="nil"/>
              <w:bottom w:val="single" w:sz="4" w:space="0" w:color="000000"/>
              <w:right w:val="single" w:sz="4" w:space="0" w:color="000000"/>
            </w:tcBorders>
            <w:shd w:val="clear" w:color="auto" w:fill="auto"/>
            <w:tcMar>
              <w:left w:w="70" w:type="dxa"/>
              <w:right w:w="70" w:type="dxa"/>
            </w:tcMar>
          </w:tcPr>
          <w:p w14:paraId="3281872B" w14:textId="77777777" w:rsidR="00064C79" w:rsidRPr="00121272" w:rsidRDefault="00064C79" w:rsidP="00064C79">
            <w:pPr>
              <w:spacing w:line="276" w:lineRule="auto"/>
              <w:jc w:val="center"/>
              <w:rPr>
                <w:rFonts w:ascii="Arial" w:hAnsi="Arial" w:cs="Arial"/>
                <w:sz w:val="20"/>
                <w:szCs w:val="20"/>
                <w:lang w:val="es-EC" w:eastAsia="es-EC"/>
              </w:rPr>
            </w:pPr>
            <w:r w:rsidRPr="00121272">
              <w:rPr>
                <w:rFonts w:ascii="Arial" w:hAnsi="Arial" w:cs="Arial"/>
                <w:sz w:val="20"/>
                <w:szCs w:val="20"/>
                <w:lang w:val="es-EC" w:eastAsia="es-EC"/>
              </w:rPr>
              <w:t>100,00%</w:t>
            </w:r>
          </w:p>
        </w:tc>
      </w:tr>
    </w:tbl>
    <w:p w14:paraId="4CB84009" w14:textId="77777777" w:rsidR="00064C79" w:rsidRPr="00121272" w:rsidRDefault="00064C79" w:rsidP="00064C79">
      <w:pPr>
        <w:spacing w:line="360" w:lineRule="auto"/>
        <w:jc w:val="both"/>
        <w:rPr>
          <w:rFonts w:ascii="Arial" w:eastAsia="Calibri" w:hAnsi="Arial" w:cs="Arial"/>
          <w:spacing w:val="-1"/>
          <w:sz w:val="20"/>
          <w:szCs w:val="20"/>
          <w:lang w:val="es-EC" w:eastAsia="en-US"/>
        </w:rPr>
      </w:pPr>
      <w:r w:rsidRPr="00121272">
        <w:rPr>
          <w:rFonts w:ascii="Arial" w:eastAsia="Calibri" w:hAnsi="Arial" w:cs="Arial"/>
          <w:iCs/>
          <w:spacing w:val="-1"/>
          <w:sz w:val="20"/>
          <w:szCs w:val="20"/>
          <w:lang w:val="es-EC" w:eastAsia="en-US"/>
        </w:rPr>
        <w:t>Nota</w:t>
      </w:r>
      <w:r w:rsidRPr="00121272">
        <w:rPr>
          <w:rFonts w:ascii="Arial" w:eastAsia="Calibri" w:hAnsi="Arial" w:cs="Arial"/>
          <w:spacing w:val="-1"/>
          <w:sz w:val="20"/>
          <w:szCs w:val="20"/>
          <w:lang w:val="es-EC" w:eastAsia="en-US"/>
        </w:rPr>
        <w:t>. Elaboración propia con base en el INEC, 2023.</w:t>
      </w:r>
    </w:p>
    <w:p w14:paraId="537D6BD7" w14:textId="77777777" w:rsidR="00064C79" w:rsidRPr="00064C79" w:rsidRDefault="00064C79" w:rsidP="00064C79">
      <w:pPr>
        <w:spacing w:line="360" w:lineRule="auto"/>
        <w:jc w:val="both"/>
        <w:rPr>
          <w:rFonts w:ascii="Arial" w:eastAsia="Calibri" w:hAnsi="Arial" w:cs="Arial"/>
          <w:lang w:val="es-EC" w:eastAsia="en-US"/>
        </w:rPr>
      </w:pPr>
    </w:p>
    <w:p w14:paraId="26857A77" w14:textId="19C07193" w:rsidR="00064C79" w:rsidRPr="004F1249" w:rsidRDefault="00064C79" w:rsidP="003147D4">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lastRenderedPageBreak/>
        <w:t>El 53,64% de las personas con estudios de posgrado trabaja en el sector público mientras que, en el nivel superior universitario, este porcentaje es del 21,66%. Por tanto, una mayor proporción de personas graduadas de posgrado está empleada en el sector público, en comparación con quienes tienen solo educación superior universitaria, lo que sugiere que el posgrado está más relacionado con el acceso a empleos en instituciones gubernamentales o de administración pública (tabla de contingencia 7).</w:t>
      </w:r>
    </w:p>
    <w:p w14:paraId="519DF1C4" w14:textId="6763664A" w:rsidR="00064C79" w:rsidRPr="004F1249" w:rsidRDefault="00064C79" w:rsidP="004F1249">
      <w:pPr>
        <w:spacing w:after="100" w:afterAutospacing="1"/>
        <w:jc w:val="center"/>
        <w:rPr>
          <w:rFonts w:ascii="Arial" w:eastAsia="Calibri" w:hAnsi="Arial" w:cs="Arial"/>
          <w:b/>
          <w:iCs/>
          <w:sz w:val="20"/>
          <w:szCs w:val="20"/>
          <w:lang w:val="es-EC" w:eastAsia="en-US"/>
        </w:rPr>
      </w:pPr>
      <w:r w:rsidRPr="004F1249">
        <w:rPr>
          <w:rFonts w:ascii="Arial" w:eastAsia="Calibri" w:hAnsi="Arial" w:cs="Arial"/>
          <w:b/>
          <w:bCs/>
          <w:sz w:val="20"/>
          <w:szCs w:val="20"/>
          <w:lang w:val="es-EC" w:eastAsia="en-US"/>
        </w:rPr>
        <w:t>Tabla de contingencia 7</w:t>
      </w:r>
      <w:r w:rsidR="004F1249" w:rsidRPr="004F1249">
        <w:rPr>
          <w:rFonts w:ascii="Arial" w:eastAsia="Calibri" w:hAnsi="Arial" w:cs="Arial"/>
          <w:b/>
          <w:bCs/>
          <w:sz w:val="20"/>
          <w:szCs w:val="20"/>
          <w:lang w:val="es-EC" w:eastAsia="en-US"/>
        </w:rPr>
        <w:t xml:space="preserve">. </w:t>
      </w:r>
      <w:r w:rsidRPr="004F1249">
        <w:rPr>
          <w:rFonts w:ascii="Arial" w:eastAsia="Calibri" w:hAnsi="Arial" w:cs="Arial"/>
          <w:b/>
          <w:iCs/>
          <w:sz w:val="20"/>
          <w:szCs w:val="20"/>
          <w:lang w:val="es-EC" w:eastAsia="en-US"/>
        </w:rPr>
        <w:t>Nivel de instrucción - Categoría de ocupación</w:t>
      </w: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534"/>
        <w:gridCol w:w="1269"/>
        <w:gridCol w:w="1269"/>
        <w:gridCol w:w="1084"/>
        <w:gridCol w:w="1085"/>
        <w:gridCol w:w="1255"/>
      </w:tblGrid>
      <w:tr w:rsidR="00064C79" w:rsidRPr="004F1249" w14:paraId="7698B6A4" w14:textId="77777777" w:rsidTr="003147D4">
        <w:trPr>
          <w:trHeight w:val="564"/>
          <w:jc w:val="center"/>
        </w:trPr>
        <w:tc>
          <w:tcPr>
            <w:tcW w:w="1627" w:type="pct"/>
            <w:gridSpan w:val="2"/>
            <w:vMerge w:val="restart"/>
            <w:shd w:val="clear" w:color="auto" w:fill="auto"/>
            <w:tcMar>
              <w:left w:w="70" w:type="dxa"/>
              <w:right w:w="70" w:type="dxa"/>
            </w:tcMar>
            <w:vAlign w:val="bottom"/>
          </w:tcPr>
          <w:p w14:paraId="3350BC01" w14:textId="77777777" w:rsidR="00064C79" w:rsidRPr="004F1249" w:rsidRDefault="00064C79" w:rsidP="00064C79">
            <w:pPr>
              <w:spacing w:line="276" w:lineRule="auto"/>
              <w:jc w:val="both"/>
              <w:rPr>
                <w:rFonts w:ascii="Arial" w:hAnsi="Arial" w:cs="Arial"/>
                <w:sz w:val="20"/>
                <w:szCs w:val="20"/>
                <w:lang w:val="es-EC" w:eastAsia="es-EC"/>
              </w:rPr>
            </w:pPr>
            <w:r w:rsidRPr="004F1249">
              <w:rPr>
                <w:rFonts w:ascii="Arial" w:hAnsi="Arial" w:cs="Arial"/>
                <w:sz w:val="20"/>
                <w:szCs w:val="20"/>
                <w:lang w:val="es-EC" w:eastAsia="es-EC"/>
              </w:rPr>
              <w:t> </w:t>
            </w:r>
          </w:p>
        </w:tc>
        <w:tc>
          <w:tcPr>
            <w:tcW w:w="2663" w:type="pct"/>
            <w:gridSpan w:val="4"/>
            <w:shd w:val="clear" w:color="auto" w:fill="auto"/>
            <w:tcMar>
              <w:left w:w="70" w:type="dxa"/>
              <w:right w:w="70" w:type="dxa"/>
            </w:tcMar>
            <w:vAlign w:val="center"/>
          </w:tcPr>
          <w:p w14:paraId="3B493700" w14:textId="77777777" w:rsidR="00064C79" w:rsidRPr="004F1249" w:rsidRDefault="00064C79" w:rsidP="00064C79">
            <w:pPr>
              <w:spacing w:line="276" w:lineRule="auto"/>
              <w:jc w:val="center"/>
              <w:rPr>
                <w:rFonts w:ascii="Arial" w:hAnsi="Arial" w:cs="Arial"/>
                <w:b/>
                <w:bCs/>
                <w:sz w:val="20"/>
                <w:szCs w:val="20"/>
                <w:lang w:val="es-EC" w:eastAsia="es-EC"/>
              </w:rPr>
            </w:pPr>
            <w:r w:rsidRPr="004F1249">
              <w:rPr>
                <w:rFonts w:ascii="Arial" w:hAnsi="Arial" w:cs="Arial"/>
                <w:b/>
                <w:bCs/>
                <w:sz w:val="20"/>
                <w:szCs w:val="20"/>
                <w:lang w:val="es-EC" w:eastAsia="es-EC"/>
              </w:rPr>
              <w:t>Categoría de ocupación</w:t>
            </w:r>
          </w:p>
        </w:tc>
        <w:tc>
          <w:tcPr>
            <w:tcW w:w="710" w:type="pct"/>
            <w:vMerge w:val="restart"/>
            <w:shd w:val="clear" w:color="auto" w:fill="auto"/>
            <w:tcMar>
              <w:left w:w="70" w:type="dxa"/>
              <w:right w:w="70" w:type="dxa"/>
            </w:tcMar>
            <w:vAlign w:val="center"/>
          </w:tcPr>
          <w:p w14:paraId="02CFBD2A" w14:textId="77777777" w:rsidR="00064C79" w:rsidRPr="004F1249" w:rsidRDefault="00064C79" w:rsidP="00064C79">
            <w:pPr>
              <w:spacing w:line="276" w:lineRule="auto"/>
              <w:jc w:val="center"/>
              <w:rPr>
                <w:rFonts w:ascii="Arial" w:hAnsi="Arial" w:cs="Arial"/>
                <w:b/>
                <w:bCs/>
                <w:sz w:val="20"/>
                <w:szCs w:val="20"/>
                <w:lang w:val="es-EC" w:eastAsia="es-EC"/>
              </w:rPr>
            </w:pPr>
            <w:r w:rsidRPr="004F1249">
              <w:rPr>
                <w:rFonts w:ascii="Arial" w:hAnsi="Arial" w:cs="Arial"/>
                <w:b/>
                <w:bCs/>
                <w:sz w:val="20"/>
                <w:szCs w:val="20"/>
                <w:lang w:val="es-EC" w:eastAsia="es-EC"/>
              </w:rPr>
              <w:t>Total</w:t>
            </w:r>
          </w:p>
        </w:tc>
      </w:tr>
      <w:tr w:rsidR="00064C79" w:rsidRPr="004F1249" w14:paraId="560A9BCD" w14:textId="77777777" w:rsidTr="003147D4">
        <w:trPr>
          <w:trHeight w:val="1063"/>
          <w:jc w:val="center"/>
        </w:trPr>
        <w:tc>
          <w:tcPr>
            <w:tcW w:w="1627" w:type="pct"/>
            <w:gridSpan w:val="2"/>
            <w:vMerge/>
            <w:tcMar>
              <w:left w:w="70" w:type="dxa"/>
              <w:right w:w="70" w:type="dxa"/>
            </w:tcMar>
            <w:vAlign w:val="center"/>
          </w:tcPr>
          <w:p w14:paraId="5BA3AF3C" w14:textId="77777777" w:rsidR="00064C79" w:rsidRPr="004F1249" w:rsidRDefault="00064C79" w:rsidP="00064C79">
            <w:pPr>
              <w:spacing w:line="276" w:lineRule="auto"/>
              <w:rPr>
                <w:rFonts w:ascii="Arial" w:eastAsia="Calibri" w:hAnsi="Arial" w:cs="Arial"/>
                <w:sz w:val="20"/>
                <w:szCs w:val="20"/>
                <w:lang w:val="es-EC" w:eastAsia="en-US"/>
              </w:rPr>
            </w:pPr>
          </w:p>
        </w:tc>
        <w:tc>
          <w:tcPr>
            <w:tcW w:w="718" w:type="pct"/>
            <w:shd w:val="clear" w:color="auto" w:fill="auto"/>
            <w:tcMar>
              <w:left w:w="70" w:type="dxa"/>
              <w:right w:w="70" w:type="dxa"/>
            </w:tcMar>
            <w:vAlign w:val="center"/>
          </w:tcPr>
          <w:p w14:paraId="318672BB" w14:textId="77777777" w:rsidR="00064C79" w:rsidRPr="004F1249" w:rsidRDefault="00064C79" w:rsidP="00064C79">
            <w:pPr>
              <w:spacing w:line="276" w:lineRule="auto"/>
              <w:jc w:val="center"/>
              <w:rPr>
                <w:rFonts w:ascii="Arial" w:hAnsi="Arial" w:cs="Arial"/>
                <w:b/>
                <w:bCs/>
                <w:sz w:val="20"/>
                <w:szCs w:val="20"/>
                <w:lang w:val="es-EC" w:eastAsia="es-EC"/>
              </w:rPr>
            </w:pPr>
            <w:r w:rsidRPr="004F1249">
              <w:rPr>
                <w:rFonts w:ascii="Arial" w:hAnsi="Arial" w:cs="Arial"/>
                <w:b/>
                <w:bCs/>
                <w:sz w:val="20"/>
                <w:szCs w:val="20"/>
                <w:lang w:val="es-EC" w:eastAsia="es-EC"/>
              </w:rPr>
              <w:t>Empleado de gobierno</w:t>
            </w:r>
          </w:p>
        </w:tc>
        <w:tc>
          <w:tcPr>
            <w:tcW w:w="718" w:type="pct"/>
            <w:shd w:val="clear" w:color="auto" w:fill="auto"/>
            <w:tcMar>
              <w:left w:w="70" w:type="dxa"/>
              <w:right w:w="70" w:type="dxa"/>
            </w:tcMar>
            <w:vAlign w:val="center"/>
          </w:tcPr>
          <w:p w14:paraId="0DEC32EC" w14:textId="77777777" w:rsidR="00064C79" w:rsidRPr="004F1249" w:rsidRDefault="00064C79" w:rsidP="00064C79">
            <w:pPr>
              <w:spacing w:line="276" w:lineRule="auto"/>
              <w:jc w:val="center"/>
              <w:rPr>
                <w:rFonts w:ascii="Arial" w:hAnsi="Arial" w:cs="Arial"/>
                <w:b/>
                <w:bCs/>
                <w:sz w:val="20"/>
                <w:szCs w:val="20"/>
                <w:lang w:val="es-EC" w:eastAsia="es-EC"/>
              </w:rPr>
            </w:pPr>
            <w:r w:rsidRPr="004F1249">
              <w:rPr>
                <w:rFonts w:ascii="Arial" w:hAnsi="Arial" w:cs="Arial"/>
                <w:b/>
                <w:bCs/>
                <w:sz w:val="20"/>
                <w:szCs w:val="20"/>
                <w:lang w:val="es-EC" w:eastAsia="es-EC"/>
              </w:rPr>
              <w:t>Empleado privado</w:t>
            </w:r>
          </w:p>
        </w:tc>
        <w:tc>
          <w:tcPr>
            <w:tcW w:w="613" w:type="pct"/>
            <w:shd w:val="clear" w:color="auto" w:fill="auto"/>
            <w:tcMar>
              <w:left w:w="70" w:type="dxa"/>
              <w:right w:w="70" w:type="dxa"/>
            </w:tcMar>
            <w:vAlign w:val="center"/>
          </w:tcPr>
          <w:p w14:paraId="396A4A0C" w14:textId="77777777" w:rsidR="00064C79" w:rsidRPr="004F1249" w:rsidRDefault="00064C79" w:rsidP="00064C79">
            <w:pPr>
              <w:spacing w:line="276" w:lineRule="auto"/>
              <w:jc w:val="center"/>
              <w:rPr>
                <w:rFonts w:ascii="Arial" w:hAnsi="Arial" w:cs="Arial"/>
                <w:b/>
                <w:bCs/>
                <w:sz w:val="20"/>
                <w:szCs w:val="20"/>
                <w:lang w:val="es-EC" w:eastAsia="es-EC"/>
              </w:rPr>
            </w:pPr>
            <w:r w:rsidRPr="004F1249">
              <w:rPr>
                <w:rFonts w:ascii="Arial" w:hAnsi="Arial" w:cs="Arial"/>
                <w:b/>
                <w:bCs/>
                <w:sz w:val="20"/>
                <w:szCs w:val="20"/>
                <w:lang w:val="es-EC" w:eastAsia="es-EC"/>
              </w:rPr>
              <w:t>Cuenta propia</w:t>
            </w:r>
          </w:p>
        </w:tc>
        <w:tc>
          <w:tcPr>
            <w:tcW w:w="613" w:type="pct"/>
            <w:shd w:val="clear" w:color="auto" w:fill="auto"/>
            <w:tcMar>
              <w:left w:w="70" w:type="dxa"/>
              <w:right w:w="70" w:type="dxa"/>
            </w:tcMar>
            <w:vAlign w:val="center"/>
          </w:tcPr>
          <w:p w14:paraId="3DA77EAF" w14:textId="77777777" w:rsidR="00064C79" w:rsidRPr="004F1249" w:rsidRDefault="00064C79" w:rsidP="00064C79">
            <w:pPr>
              <w:spacing w:line="276" w:lineRule="auto"/>
              <w:jc w:val="center"/>
              <w:rPr>
                <w:rFonts w:ascii="Arial" w:hAnsi="Arial" w:cs="Arial"/>
                <w:b/>
                <w:bCs/>
                <w:sz w:val="20"/>
                <w:szCs w:val="20"/>
                <w:lang w:val="es-EC" w:eastAsia="es-EC"/>
              </w:rPr>
            </w:pPr>
            <w:r w:rsidRPr="004F1249">
              <w:rPr>
                <w:rFonts w:ascii="Arial" w:hAnsi="Arial" w:cs="Arial"/>
                <w:b/>
                <w:bCs/>
                <w:sz w:val="20"/>
                <w:szCs w:val="20"/>
                <w:lang w:val="es-EC" w:eastAsia="es-EC"/>
              </w:rPr>
              <w:t>Otro</w:t>
            </w:r>
          </w:p>
        </w:tc>
        <w:tc>
          <w:tcPr>
            <w:tcW w:w="710" w:type="pct"/>
            <w:vMerge/>
            <w:tcMar>
              <w:left w:w="70" w:type="dxa"/>
              <w:right w:w="70" w:type="dxa"/>
            </w:tcMar>
            <w:vAlign w:val="center"/>
          </w:tcPr>
          <w:p w14:paraId="5DB3CE9F" w14:textId="77777777" w:rsidR="00064C79" w:rsidRPr="004F1249" w:rsidRDefault="00064C79" w:rsidP="00064C79">
            <w:pPr>
              <w:spacing w:line="276" w:lineRule="auto"/>
              <w:rPr>
                <w:rFonts w:ascii="Arial" w:eastAsia="Calibri" w:hAnsi="Arial" w:cs="Arial"/>
                <w:sz w:val="20"/>
                <w:szCs w:val="20"/>
                <w:lang w:val="es-EC" w:eastAsia="en-US"/>
              </w:rPr>
            </w:pPr>
          </w:p>
        </w:tc>
      </w:tr>
      <w:tr w:rsidR="00064C79" w:rsidRPr="004F1249" w14:paraId="14124059" w14:textId="77777777" w:rsidTr="003147D4">
        <w:trPr>
          <w:trHeight w:val="564"/>
          <w:jc w:val="center"/>
        </w:trPr>
        <w:tc>
          <w:tcPr>
            <w:tcW w:w="759" w:type="pct"/>
            <w:vMerge w:val="restart"/>
            <w:shd w:val="clear" w:color="auto" w:fill="auto"/>
            <w:tcMar>
              <w:left w:w="70" w:type="dxa"/>
              <w:right w:w="70" w:type="dxa"/>
            </w:tcMar>
            <w:vAlign w:val="center"/>
          </w:tcPr>
          <w:p w14:paraId="7007F2D8"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Nivel de instrucción</w:t>
            </w:r>
          </w:p>
        </w:tc>
        <w:tc>
          <w:tcPr>
            <w:tcW w:w="868" w:type="pct"/>
            <w:vMerge w:val="restart"/>
            <w:shd w:val="clear" w:color="auto" w:fill="auto"/>
            <w:tcMar>
              <w:left w:w="70" w:type="dxa"/>
              <w:right w:w="70" w:type="dxa"/>
            </w:tcMar>
            <w:vAlign w:val="center"/>
          </w:tcPr>
          <w:p w14:paraId="7BFC2D78"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Superior Universitario</w:t>
            </w:r>
          </w:p>
        </w:tc>
        <w:tc>
          <w:tcPr>
            <w:tcW w:w="718" w:type="pct"/>
            <w:shd w:val="clear" w:color="auto" w:fill="auto"/>
            <w:tcMar>
              <w:left w:w="70" w:type="dxa"/>
              <w:right w:w="70" w:type="dxa"/>
            </w:tcMar>
          </w:tcPr>
          <w:p w14:paraId="14694F1B"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249.762</w:t>
            </w:r>
          </w:p>
        </w:tc>
        <w:tc>
          <w:tcPr>
            <w:tcW w:w="718" w:type="pct"/>
            <w:shd w:val="clear" w:color="auto" w:fill="auto"/>
            <w:tcMar>
              <w:left w:w="70" w:type="dxa"/>
              <w:right w:w="70" w:type="dxa"/>
            </w:tcMar>
          </w:tcPr>
          <w:p w14:paraId="270C71B0"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461.952</w:t>
            </w:r>
          </w:p>
        </w:tc>
        <w:tc>
          <w:tcPr>
            <w:tcW w:w="613" w:type="pct"/>
            <w:shd w:val="clear" w:color="auto" w:fill="auto"/>
            <w:tcMar>
              <w:left w:w="70" w:type="dxa"/>
              <w:right w:w="70" w:type="dxa"/>
            </w:tcMar>
          </w:tcPr>
          <w:p w14:paraId="23722D3A"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325.164</w:t>
            </w:r>
          </w:p>
        </w:tc>
        <w:tc>
          <w:tcPr>
            <w:tcW w:w="613" w:type="pct"/>
            <w:shd w:val="clear" w:color="auto" w:fill="auto"/>
            <w:tcMar>
              <w:left w:w="70" w:type="dxa"/>
              <w:right w:w="70" w:type="dxa"/>
            </w:tcMar>
          </w:tcPr>
          <w:p w14:paraId="6E3DDE10"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116.280</w:t>
            </w:r>
          </w:p>
        </w:tc>
        <w:tc>
          <w:tcPr>
            <w:tcW w:w="710" w:type="pct"/>
            <w:shd w:val="clear" w:color="auto" w:fill="auto"/>
            <w:tcMar>
              <w:left w:w="70" w:type="dxa"/>
              <w:right w:w="70" w:type="dxa"/>
            </w:tcMar>
          </w:tcPr>
          <w:p w14:paraId="567CFD67"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1.153.158</w:t>
            </w:r>
          </w:p>
        </w:tc>
      </w:tr>
      <w:tr w:rsidR="00064C79" w:rsidRPr="004F1249" w14:paraId="430ED1ED" w14:textId="77777777" w:rsidTr="003147D4">
        <w:trPr>
          <w:trHeight w:val="564"/>
          <w:jc w:val="center"/>
        </w:trPr>
        <w:tc>
          <w:tcPr>
            <w:tcW w:w="759" w:type="pct"/>
            <w:vMerge/>
            <w:tcMar>
              <w:left w:w="70" w:type="dxa"/>
              <w:right w:w="70" w:type="dxa"/>
            </w:tcMar>
            <w:vAlign w:val="center"/>
          </w:tcPr>
          <w:p w14:paraId="1B3B4756" w14:textId="77777777" w:rsidR="00064C79" w:rsidRPr="004F1249" w:rsidRDefault="00064C79" w:rsidP="00064C79">
            <w:pPr>
              <w:spacing w:line="276" w:lineRule="auto"/>
              <w:jc w:val="center"/>
              <w:rPr>
                <w:rFonts w:ascii="Arial" w:eastAsia="Calibri" w:hAnsi="Arial" w:cs="Arial"/>
                <w:sz w:val="20"/>
                <w:szCs w:val="20"/>
                <w:lang w:val="es-EC" w:eastAsia="en-US"/>
              </w:rPr>
            </w:pPr>
          </w:p>
        </w:tc>
        <w:tc>
          <w:tcPr>
            <w:tcW w:w="868" w:type="pct"/>
            <w:vMerge/>
            <w:tcMar>
              <w:left w:w="70" w:type="dxa"/>
              <w:right w:w="70" w:type="dxa"/>
            </w:tcMar>
            <w:vAlign w:val="center"/>
          </w:tcPr>
          <w:p w14:paraId="4C2C8023" w14:textId="77777777" w:rsidR="00064C79" w:rsidRPr="004F1249" w:rsidRDefault="00064C79" w:rsidP="00064C79">
            <w:pPr>
              <w:spacing w:line="276" w:lineRule="auto"/>
              <w:jc w:val="center"/>
              <w:rPr>
                <w:rFonts w:ascii="Arial" w:eastAsia="Calibri" w:hAnsi="Arial" w:cs="Arial"/>
                <w:sz w:val="20"/>
                <w:szCs w:val="20"/>
                <w:lang w:val="es-EC" w:eastAsia="en-US"/>
              </w:rPr>
            </w:pPr>
          </w:p>
        </w:tc>
        <w:tc>
          <w:tcPr>
            <w:tcW w:w="718" w:type="pct"/>
            <w:shd w:val="clear" w:color="auto" w:fill="auto"/>
            <w:tcMar>
              <w:left w:w="70" w:type="dxa"/>
              <w:right w:w="70" w:type="dxa"/>
            </w:tcMar>
          </w:tcPr>
          <w:p w14:paraId="623CAD02"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21,66%</w:t>
            </w:r>
          </w:p>
        </w:tc>
        <w:tc>
          <w:tcPr>
            <w:tcW w:w="718" w:type="pct"/>
            <w:shd w:val="clear" w:color="auto" w:fill="auto"/>
            <w:tcMar>
              <w:left w:w="70" w:type="dxa"/>
              <w:right w:w="70" w:type="dxa"/>
            </w:tcMar>
          </w:tcPr>
          <w:p w14:paraId="4CC60DF4"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40,06%</w:t>
            </w:r>
          </w:p>
        </w:tc>
        <w:tc>
          <w:tcPr>
            <w:tcW w:w="613" w:type="pct"/>
            <w:shd w:val="clear" w:color="auto" w:fill="auto"/>
            <w:tcMar>
              <w:left w:w="70" w:type="dxa"/>
              <w:right w:w="70" w:type="dxa"/>
            </w:tcMar>
          </w:tcPr>
          <w:p w14:paraId="65121684"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28,20%</w:t>
            </w:r>
          </w:p>
        </w:tc>
        <w:tc>
          <w:tcPr>
            <w:tcW w:w="613" w:type="pct"/>
            <w:shd w:val="clear" w:color="auto" w:fill="auto"/>
            <w:tcMar>
              <w:left w:w="70" w:type="dxa"/>
              <w:right w:w="70" w:type="dxa"/>
            </w:tcMar>
          </w:tcPr>
          <w:p w14:paraId="01F6ADBC"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10,08%</w:t>
            </w:r>
          </w:p>
        </w:tc>
        <w:tc>
          <w:tcPr>
            <w:tcW w:w="710" w:type="pct"/>
            <w:shd w:val="clear" w:color="auto" w:fill="auto"/>
            <w:tcMar>
              <w:left w:w="70" w:type="dxa"/>
              <w:right w:w="70" w:type="dxa"/>
            </w:tcMar>
          </w:tcPr>
          <w:p w14:paraId="6F73A85C"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100,00%</w:t>
            </w:r>
          </w:p>
        </w:tc>
      </w:tr>
      <w:tr w:rsidR="00064C79" w:rsidRPr="004F1249" w14:paraId="411BA7A3" w14:textId="77777777" w:rsidTr="003147D4">
        <w:trPr>
          <w:trHeight w:val="564"/>
          <w:jc w:val="center"/>
        </w:trPr>
        <w:tc>
          <w:tcPr>
            <w:tcW w:w="759" w:type="pct"/>
            <w:vMerge/>
            <w:tcMar>
              <w:left w:w="70" w:type="dxa"/>
              <w:right w:w="70" w:type="dxa"/>
            </w:tcMar>
            <w:vAlign w:val="center"/>
          </w:tcPr>
          <w:p w14:paraId="2A984F49" w14:textId="77777777" w:rsidR="00064C79" w:rsidRPr="004F1249" w:rsidRDefault="00064C79" w:rsidP="00064C79">
            <w:pPr>
              <w:spacing w:line="276" w:lineRule="auto"/>
              <w:jc w:val="center"/>
              <w:rPr>
                <w:rFonts w:ascii="Arial" w:eastAsia="Calibri" w:hAnsi="Arial" w:cs="Arial"/>
                <w:sz w:val="20"/>
                <w:szCs w:val="20"/>
                <w:lang w:val="es-EC" w:eastAsia="en-US"/>
              </w:rPr>
            </w:pPr>
          </w:p>
        </w:tc>
        <w:tc>
          <w:tcPr>
            <w:tcW w:w="868" w:type="pct"/>
            <w:vMerge w:val="restart"/>
            <w:shd w:val="clear" w:color="auto" w:fill="auto"/>
            <w:tcMar>
              <w:left w:w="70" w:type="dxa"/>
              <w:right w:w="70" w:type="dxa"/>
            </w:tcMar>
            <w:vAlign w:val="center"/>
          </w:tcPr>
          <w:p w14:paraId="3026635C"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Posgrado</w:t>
            </w:r>
          </w:p>
        </w:tc>
        <w:tc>
          <w:tcPr>
            <w:tcW w:w="718" w:type="pct"/>
            <w:shd w:val="clear" w:color="auto" w:fill="auto"/>
            <w:tcMar>
              <w:left w:w="70" w:type="dxa"/>
              <w:right w:w="70" w:type="dxa"/>
            </w:tcMar>
          </w:tcPr>
          <w:p w14:paraId="4BBE90F8"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93.022</w:t>
            </w:r>
          </w:p>
        </w:tc>
        <w:tc>
          <w:tcPr>
            <w:tcW w:w="718" w:type="pct"/>
            <w:shd w:val="clear" w:color="auto" w:fill="auto"/>
            <w:tcMar>
              <w:left w:w="70" w:type="dxa"/>
              <w:right w:w="70" w:type="dxa"/>
            </w:tcMar>
          </w:tcPr>
          <w:p w14:paraId="68CC5E0C"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46.922</w:t>
            </w:r>
          </w:p>
        </w:tc>
        <w:tc>
          <w:tcPr>
            <w:tcW w:w="613" w:type="pct"/>
            <w:shd w:val="clear" w:color="auto" w:fill="auto"/>
            <w:tcMar>
              <w:left w:w="70" w:type="dxa"/>
              <w:right w:w="70" w:type="dxa"/>
            </w:tcMar>
          </w:tcPr>
          <w:p w14:paraId="0340D80B"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26.301</w:t>
            </w:r>
          </w:p>
        </w:tc>
        <w:tc>
          <w:tcPr>
            <w:tcW w:w="613" w:type="pct"/>
            <w:shd w:val="clear" w:color="auto" w:fill="auto"/>
            <w:tcMar>
              <w:left w:w="70" w:type="dxa"/>
              <w:right w:w="70" w:type="dxa"/>
            </w:tcMar>
          </w:tcPr>
          <w:p w14:paraId="69ACBDC3"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7.186</w:t>
            </w:r>
          </w:p>
        </w:tc>
        <w:tc>
          <w:tcPr>
            <w:tcW w:w="710" w:type="pct"/>
            <w:shd w:val="clear" w:color="auto" w:fill="auto"/>
            <w:tcMar>
              <w:left w:w="70" w:type="dxa"/>
              <w:right w:w="70" w:type="dxa"/>
            </w:tcMar>
          </w:tcPr>
          <w:p w14:paraId="22F8E2A5"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173.431</w:t>
            </w:r>
          </w:p>
        </w:tc>
      </w:tr>
      <w:tr w:rsidR="00064C79" w:rsidRPr="004F1249" w14:paraId="0FDA33C9" w14:textId="77777777" w:rsidTr="003147D4">
        <w:trPr>
          <w:trHeight w:val="564"/>
          <w:jc w:val="center"/>
        </w:trPr>
        <w:tc>
          <w:tcPr>
            <w:tcW w:w="759" w:type="pct"/>
            <w:vMerge/>
            <w:tcMar>
              <w:left w:w="70" w:type="dxa"/>
              <w:right w:w="70" w:type="dxa"/>
            </w:tcMar>
            <w:vAlign w:val="center"/>
          </w:tcPr>
          <w:p w14:paraId="5CFAEDEE" w14:textId="77777777" w:rsidR="00064C79" w:rsidRPr="004F1249" w:rsidRDefault="00064C79" w:rsidP="00064C79">
            <w:pPr>
              <w:spacing w:line="276" w:lineRule="auto"/>
              <w:jc w:val="center"/>
              <w:rPr>
                <w:rFonts w:ascii="Arial" w:eastAsia="Calibri" w:hAnsi="Arial" w:cs="Arial"/>
                <w:sz w:val="20"/>
                <w:szCs w:val="20"/>
                <w:lang w:val="es-EC" w:eastAsia="en-US"/>
              </w:rPr>
            </w:pPr>
          </w:p>
        </w:tc>
        <w:tc>
          <w:tcPr>
            <w:tcW w:w="868" w:type="pct"/>
            <w:vMerge/>
            <w:tcMar>
              <w:left w:w="70" w:type="dxa"/>
              <w:right w:w="70" w:type="dxa"/>
            </w:tcMar>
            <w:vAlign w:val="center"/>
          </w:tcPr>
          <w:p w14:paraId="2186BBDF" w14:textId="77777777" w:rsidR="00064C79" w:rsidRPr="004F1249" w:rsidRDefault="00064C79" w:rsidP="00064C79">
            <w:pPr>
              <w:spacing w:line="276" w:lineRule="auto"/>
              <w:jc w:val="center"/>
              <w:rPr>
                <w:rFonts w:ascii="Arial" w:eastAsia="Calibri" w:hAnsi="Arial" w:cs="Arial"/>
                <w:sz w:val="20"/>
                <w:szCs w:val="20"/>
                <w:lang w:val="es-EC" w:eastAsia="en-US"/>
              </w:rPr>
            </w:pPr>
          </w:p>
        </w:tc>
        <w:tc>
          <w:tcPr>
            <w:tcW w:w="718" w:type="pct"/>
            <w:shd w:val="clear" w:color="auto" w:fill="auto"/>
            <w:tcMar>
              <w:left w:w="70" w:type="dxa"/>
              <w:right w:w="70" w:type="dxa"/>
            </w:tcMar>
          </w:tcPr>
          <w:p w14:paraId="48E22FE1"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53,64%</w:t>
            </w:r>
          </w:p>
        </w:tc>
        <w:tc>
          <w:tcPr>
            <w:tcW w:w="718" w:type="pct"/>
            <w:shd w:val="clear" w:color="auto" w:fill="auto"/>
            <w:tcMar>
              <w:left w:w="70" w:type="dxa"/>
              <w:right w:w="70" w:type="dxa"/>
            </w:tcMar>
          </w:tcPr>
          <w:p w14:paraId="2853AAB9"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27,06%</w:t>
            </w:r>
          </w:p>
        </w:tc>
        <w:tc>
          <w:tcPr>
            <w:tcW w:w="613" w:type="pct"/>
            <w:shd w:val="clear" w:color="auto" w:fill="auto"/>
            <w:tcMar>
              <w:left w:w="70" w:type="dxa"/>
              <w:right w:w="70" w:type="dxa"/>
            </w:tcMar>
          </w:tcPr>
          <w:p w14:paraId="2CC948D6"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15,17%</w:t>
            </w:r>
          </w:p>
        </w:tc>
        <w:tc>
          <w:tcPr>
            <w:tcW w:w="613" w:type="pct"/>
            <w:shd w:val="clear" w:color="auto" w:fill="auto"/>
            <w:tcMar>
              <w:left w:w="70" w:type="dxa"/>
              <w:right w:w="70" w:type="dxa"/>
            </w:tcMar>
          </w:tcPr>
          <w:p w14:paraId="40FBF41D"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4,14%</w:t>
            </w:r>
          </w:p>
        </w:tc>
        <w:tc>
          <w:tcPr>
            <w:tcW w:w="710" w:type="pct"/>
            <w:shd w:val="clear" w:color="auto" w:fill="auto"/>
            <w:tcMar>
              <w:left w:w="70" w:type="dxa"/>
              <w:right w:w="70" w:type="dxa"/>
            </w:tcMar>
          </w:tcPr>
          <w:p w14:paraId="1CD0C31F"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100,00%</w:t>
            </w:r>
          </w:p>
        </w:tc>
      </w:tr>
      <w:tr w:rsidR="00064C79" w:rsidRPr="004F1249" w14:paraId="7CB05186" w14:textId="77777777" w:rsidTr="003147D4">
        <w:trPr>
          <w:trHeight w:val="564"/>
          <w:jc w:val="center"/>
        </w:trPr>
        <w:tc>
          <w:tcPr>
            <w:tcW w:w="1627" w:type="pct"/>
            <w:gridSpan w:val="2"/>
            <w:vMerge w:val="restart"/>
            <w:shd w:val="clear" w:color="auto" w:fill="auto"/>
            <w:tcMar>
              <w:left w:w="70" w:type="dxa"/>
              <w:right w:w="70" w:type="dxa"/>
            </w:tcMar>
            <w:vAlign w:val="center"/>
          </w:tcPr>
          <w:p w14:paraId="41017059"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Total</w:t>
            </w:r>
          </w:p>
        </w:tc>
        <w:tc>
          <w:tcPr>
            <w:tcW w:w="718" w:type="pct"/>
            <w:shd w:val="clear" w:color="auto" w:fill="auto"/>
            <w:tcMar>
              <w:left w:w="70" w:type="dxa"/>
              <w:right w:w="70" w:type="dxa"/>
            </w:tcMar>
          </w:tcPr>
          <w:p w14:paraId="6F3FE75D"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342.784</w:t>
            </w:r>
          </w:p>
        </w:tc>
        <w:tc>
          <w:tcPr>
            <w:tcW w:w="718" w:type="pct"/>
            <w:shd w:val="clear" w:color="auto" w:fill="auto"/>
            <w:tcMar>
              <w:left w:w="70" w:type="dxa"/>
              <w:right w:w="70" w:type="dxa"/>
            </w:tcMar>
          </w:tcPr>
          <w:p w14:paraId="019BBD3F"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508.874</w:t>
            </w:r>
          </w:p>
        </w:tc>
        <w:tc>
          <w:tcPr>
            <w:tcW w:w="613" w:type="pct"/>
            <w:shd w:val="clear" w:color="auto" w:fill="auto"/>
            <w:tcMar>
              <w:left w:w="70" w:type="dxa"/>
              <w:right w:w="70" w:type="dxa"/>
            </w:tcMar>
          </w:tcPr>
          <w:p w14:paraId="4EB7C113"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351.465</w:t>
            </w:r>
          </w:p>
        </w:tc>
        <w:tc>
          <w:tcPr>
            <w:tcW w:w="613" w:type="pct"/>
            <w:shd w:val="clear" w:color="auto" w:fill="auto"/>
            <w:tcMar>
              <w:left w:w="70" w:type="dxa"/>
              <w:right w:w="70" w:type="dxa"/>
            </w:tcMar>
          </w:tcPr>
          <w:p w14:paraId="7A76CFAA"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123.466</w:t>
            </w:r>
          </w:p>
        </w:tc>
        <w:tc>
          <w:tcPr>
            <w:tcW w:w="710" w:type="pct"/>
            <w:shd w:val="clear" w:color="auto" w:fill="auto"/>
            <w:tcMar>
              <w:left w:w="70" w:type="dxa"/>
              <w:right w:w="70" w:type="dxa"/>
            </w:tcMar>
          </w:tcPr>
          <w:p w14:paraId="3B09A94A"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1.326.589</w:t>
            </w:r>
          </w:p>
        </w:tc>
      </w:tr>
      <w:tr w:rsidR="00064C79" w:rsidRPr="004F1249" w14:paraId="21B9FEB4" w14:textId="77777777" w:rsidTr="003147D4">
        <w:trPr>
          <w:trHeight w:val="564"/>
          <w:jc w:val="center"/>
        </w:trPr>
        <w:tc>
          <w:tcPr>
            <w:tcW w:w="1627" w:type="pct"/>
            <w:gridSpan w:val="2"/>
            <w:vMerge/>
            <w:tcMar>
              <w:left w:w="70" w:type="dxa"/>
              <w:right w:w="70" w:type="dxa"/>
            </w:tcMar>
            <w:vAlign w:val="center"/>
          </w:tcPr>
          <w:p w14:paraId="13347320" w14:textId="77777777" w:rsidR="00064C79" w:rsidRPr="004F1249" w:rsidRDefault="00064C79" w:rsidP="00064C79">
            <w:pPr>
              <w:spacing w:line="276" w:lineRule="auto"/>
              <w:rPr>
                <w:rFonts w:ascii="Arial" w:eastAsia="Calibri" w:hAnsi="Arial" w:cs="Arial"/>
                <w:sz w:val="20"/>
                <w:szCs w:val="20"/>
                <w:lang w:val="es-EC" w:eastAsia="en-US"/>
              </w:rPr>
            </w:pPr>
          </w:p>
        </w:tc>
        <w:tc>
          <w:tcPr>
            <w:tcW w:w="718" w:type="pct"/>
            <w:shd w:val="clear" w:color="auto" w:fill="auto"/>
            <w:tcMar>
              <w:left w:w="70" w:type="dxa"/>
              <w:right w:w="70" w:type="dxa"/>
            </w:tcMar>
          </w:tcPr>
          <w:p w14:paraId="5E314666"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25,84%</w:t>
            </w:r>
          </w:p>
        </w:tc>
        <w:tc>
          <w:tcPr>
            <w:tcW w:w="718" w:type="pct"/>
            <w:shd w:val="clear" w:color="auto" w:fill="auto"/>
            <w:tcMar>
              <w:left w:w="70" w:type="dxa"/>
              <w:right w:w="70" w:type="dxa"/>
            </w:tcMar>
          </w:tcPr>
          <w:p w14:paraId="2366A49A"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38,36%</w:t>
            </w:r>
          </w:p>
        </w:tc>
        <w:tc>
          <w:tcPr>
            <w:tcW w:w="613" w:type="pct"/>
            <w:shd w:val="clear" w:color="auto" w:fill="auto"/>
            <w:tcMar>
              <w:left w:w="70" w:type="dxa"/>
              <w:right w:w="70" w:type="dxa"/>
            </w:tcMar>
          </w:tcPr>
          <w:p w14:paraId="33C570DA"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26,49%</w:t>
            </w:r>
          </w:p>
        </w:tc>
        <w:tc>
          <w:tcPr>
            <w:tcW w:w="613" w:type="pct"/>
            <w:shd w:val="clear" w:color="auto" w:fill="auto"/>
            <w:tcMar>
              <w:left w:w="70" w:type="dxa"/>
              <w:right w:w="70" w:type="dxa"/>
            </w:tcMar>
          </w:tcPr>
          <w:p w14:paraId="38872AEB"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9,31%</w:t>
            </w:r>
          </w:p>
        </w:tc>
        <w:tc>
          <w:tcPr>
            <w:tcW w:w="710" w:type="pct"/>
            <w:shd w:val="clear" w:color="auto" w:fill="auto"/>
            <w:tcMar>
              <w:left w:w="70" w:type="dxa"/>
              <w:right w:w="70" w:type="dxa"/>
            </w:tcMar>
          </w:tcPr>
          <w:p w14:paraId="34865D67" w14:textId="77777777" w:rsidR="00064C79" w:rsidRPr="004F1249" w:rsidRDefault="00064C79" w:rsidP="00064C79">
            <w:pPr>
              <w:spacing w:line="276" w:lineRule="auto"/>
              <w:jc w:val="center"/>
              <w:rPr>
                <w:rFonts w:ascii="Arial" w:hAnsi="Arial" w:cs="Arial"/>
                <w:sz w:val="20"/>
                <w:szCs w:val="20"/>
                <w:lang w:val="es-EC" w:eastAsia="es-EC"/>
              </w:rPr>
            </w:pPr>
            <w:r w:rsidRPr="004F1249">
              <w:rPr>
                <w:rFonts w:ascii="Arial" w:hAnsi="Arial" w:cs="Arial"/>
                <w:sz w:val="20"/>
                <w:szCs w:val="20"/>
                <w:lang w:val="es-EC" w:eastAsia="es-EC"/>
              </w:rPr>
              <w:t>100,00%</w:t>
            </w:r>
          </w:p>
        </w:tc>
      </w:tr>
    </w:tbl>
    <w:p w14:paraId="776D0166" w14:textId="77777777" w:rsidR="00064C79" w:rsidRPr="004F1249" w:rsidRDefault="00064C79" w:rsidP="00064C79">
      <w:pPr>
        <w:spacing w:line="360" w:lineRule="auto"/>
        <w:jc w:val="both"/>
        <w:rPr>
          <w:rFonts w:ascii="Arial" w:eastAsia="Calibri" w:hAnsi="Arial" w:cs="Arial"/>
          <w:spacing w:val="-1"/>
          <w:sz w:val="20"/>
          <w:szCs w:val="20"/>
          <w:lang w:val="es-EC" w:eastAsia="en-US"/>
        </w:rPr>
      </w:pPr>
      <w:r w:rsidRPr="004F1249">
        <w:rPr>
          <w:rFonts w:ascii="Arial" w:eastAsia="Calibri" w:hAnsi="Arial" w:cs="Arial"/>
          <w:iCs/>
          <w:spacing w:val="-1"/>
          <w:sz w:val="20"/>
          <w:szCs w:val="20"/>
          <w:lang w:val="es-EC" w:eastAsia="en-US"/>
        </w:rPr>
        <w:t>Nota</w:t>
      </w:r>
      <w:r w:rsidRPr="004F1249">
        <w:rPr>
          <w:rFonts w:ascii="Arial" w:eastAsia="Calibri" w:hAnsi="Arial" w:cs="Arial"/>
          <w:spacing w:val="-1"/>
          <w:sz w:val="20"/>
          <w:szCs w:val="20"/>
          <w:lang w:val="es-EC" w:eastAsia="en-US"/>
        </w:rPr>
        <w:t>. Elaboración propia con base en el INEC, 2023.</w:t>
      </w:r>
    </w:p>
    <w:p w14:paraId="2BDBA73C" w14:textId="77777777" w:rsidR="00064C79" w:rsidRPr="00064C79" w:rsidRDefault="00064C79" w:rsidP="00064C79">
      <w:pPr>
        <w:spacing w:line="360" w:lineRule="auto"/>
        <w:jc w:val="both"/>
        <w:rPr>
          <w:rFonts w:ascii="Arial" w:eastAsia="Calibri" w:hAnsi="Arial" w:cs="Arial"/>
          <w:lang w:val="es-EC" w:eastAsia="en-US"/>
        </w:rPr>
      </w:pPr>
    </w:p>
    <w:p w14:paraId="24AB61F8" w14:textId="77777777" w:rsidR="00064C79" w:rsidRPr="00064C79" w:rsidRDefault="00064C79" w:rsidP="00D03A44">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lastRenderedPageBreak/>
        <w:t>El 48,23% de las personas con estudios de posgrado tiene un nombramiento; en el nivel superior universitario este porcentaje es del 22,32%. Esto indica que una mayor proporción de personas con posgrado posee un empleo con nombramiento, se deduce mayor estabilidad laboral en comparación con aquellos que solo tienen estudios universitarios (tabla de contingencia 8).</w:t>
      </w:r>
    </w:p>
    <w:p w14:paraId="16A11D87" w14:textId="24DFCB29" w:rsidR="00064C79" w:rsidRPr="00001A2D" w:rsidRDefault="00064C79" w:rsidP="00001A2D">
      <w:pPr>
        <w:spacing w:after="100" w:afterAutospacing="1"/>
        <w:jc w:val="center"/>
        <w:rPr>
          <w:rFonts w:ascii="Arial" w:eastAsia="Calibri" w:hAnsi="Arial" w:cs="Arial"/>
          <w:b/>
          <w:iCs/>
          <w:sz w:val="20"/>
          <w:szCs w:val="20"/>
          <w:lang w:val="es-EC" w:eastAsia="en-US"/>
        </w:rPr>
      </w:pPr>
      <w:r w:rsidRPr="00001A2D">
        <w:rPr>
          <w:rFonts w:ascii="Arial" w:eastAsia="Calibri" w:hAnsi="Arial" w:cs="Arial"/>
          <w:b/>
          <w:bCs/>
          <w:sz w:val="20"/>
          <w:szCs w:val="20"/>
          <w:lang w:val="es-EC" w:eastAsia="en-US"/>
        </w:rPr>
        <w:t>Tabla de contingencia 8</w:t>
      </w:r>
      <w:r w:rsidR="00001A2D" w:rsidRPr="00001A2D">
        <w:rPr>
          <w:rFonts w:ascii="Arial" w:eastAsia="Calibri" w:hAnsi="Arial" w:cs="Arial"/>
          <w:b/>
          <w:bCs/>
          <w:sz w:val="20"/>
          <w:szCs w:val="20"/>
          <w:lang w:val="es-EC" w:eastAsia="en-US"/>
        </w:rPr>
        <w:t xml:space="preserve">. </w:t>
      </w:r>
      <w:r w:rsidRPr="00001A2D">
        <w:rPr>
          <w:rFonts w:ascii="Arial" w:eastAsia="Calibri" w:hAnsi="Arial" w:cs="Arial"/>
          <w:b/>
          <w:iCs/>
          <w:sz w:val="20"/>
          <w:szCs w:val="20"/>
          <w:lang w:val="es-EC" w:eastAsia="en-US"/>
        </w:rPr>
        <w:t>Nivel de instrucción - El trabajo que tiene es</w:t>
      </w:r>
    </w:p>
    <w:tbl>
      <w:tblPr>
        <w:tblW w:w="5048" w:type="pct"/>
        <w:tblLook w:val="04A0" w:firstRow="1" w:lastRow="0" w:firstColumn="1" w:lastColumn="0" w:noHBand="0" w:noVBand="1"/>
      </w:tblPr>
      <w:tblGrid>
        <w:gridCol w:w="1277"/>
        <w:gridCol w:w="1448"/>
        <w:gridCol w:w="1645"/>
        <w:gridCol w:w="1395"/>
        <w:gridCol w:w="1136"/>
        <w:gridCol w:w="886"/>
        <w:gridCol w:w="1076"/>
      </w:tblGrid>
      <w:tr w:rsidR="00064C79" w:rsidRPr="00681AC8" w14:paraId="3E0EF6D2" w14:textId="77777777" w:rsidTr="004A7BD5">
        <w:trPr>
          <w:trHeight w:val="508"/>
        </w:trPr>
        <w:tc>
          <w:tcPr>
            <w:tcW w:w="153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DF68861" w14:textId="77777777" w:rsidR="00064C79" w:rsidRPr="00681AC8" w:rsidRDefault="00064C79" w:rsidP="00064C79">
            <w:pPr>
              <w:spacing w:line="276" w:lineRule="auto"/>
              <w:jc w:val="both"/>
              <w:rPr>
                <w:rFonts w:ascii="Arial" w:hAnsi="Arial" w:cs="Arial"/>
                <w:sz w:val="20"/>
                <w:szCs w:val="20"/>
                <w:lang w:val="es-EC" w:eastAsia="es-EC"/>
              </w:rPr>
            </w:pPr>
            <w:r w:rsidRPr="00681AC8">
              <w:rPr>
                <w:rFonts w:ascii="Arial" w:hAnsi="Arial" w:cs="Arial"/>
                <w:sz w:val="20"/>
                <w:szCs w:val="20"/>
                <w:lang w:val="es-EC" w:eastAsia="es-EC"/>
              </w:rPr>
              <w:t> </w:t>
            </w:r>
          </w:p>
        </w:tc>
        <w:tc>
          <w:tcPr>
            <w:tcW w:w="2856" w:type="pct"/>
            <w:gridSpan w:val="4"/>
            <w:tcBorders>
              <w:top w:val="single" w:sz="4" w:space="0" w:color="000000"/>
              <w:left w:val="nil"/>
              <w:bottom w:val="single" w:sz="4" w:space="0" w:color="000000"/>
              <w:right w:val="single" w:sz="4" w:space="0" w:color="000000"/>
            </w:tcBorders>
            <w:shd w:val="clear" w:color="auto" w:fill="auto"/>
            <w:tcMar>
              <w:left w:w="70" w:type="dxa"/>
              <w:right w:w="70" w:type="dxa"/>
            </w:tcMar>
            <w:vAlign w:val="center"/>
          </w:tcPr>
          <w:p w14:paraId="35DABDE4" w14:textId="77777777" w:rsidR="00064C79" w:rsidRPr="00681AC8" w:rsidRDefault="00064C79" w:rsidP="00064C79">
            <w:pPr>
              <w:spacing w:line="276" w:lineRule="auto"/>
              <w:jc w:val="center"/>
              <w:rPr>
                <w:rFonts w:ascii="Arial" w:hAnsi="Arial" w:cs="Arial"/>
                <w:b/>
                <w:bCs/>
                <w:sz w:val="20"/>
                <w:szCs w:val="20"/>
                <w:lang w:val="es-EC" w:eastAsia="es-EC"/>
              </w:rPr>
            </w:pPr>
            <w:r w:rsidRPr="00681AC8">
              <w:rPr>
                <w:rFonts w:ascii="Arial" w:hAnsi="Arial" w:cs="Arial"/>
                <w:b/>
                <w:bCs/>
                <w:sz w:val="20"/>
                <w:szCs w:val="20"/>
                <w:lang w:val="es-EC" w:eastAsia="es-EC"/>
              </w:rPr>
              <w:t>El trabajo que tiene es</w:t>
            </w:r>
          </w:p>
        </w:tc>
        <w:tc>
          <w:tcPr>
            <w:tcW w:w="607" w:type="pct"/>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3B3A6B3" w14:textId="77777777" w:rsidR="00064C79" w:rsidRPr="00681AC8" w:rsidRDefault="00064C79" w:rsidP="00064C79">
            <w:pPr>
              <w:spacing w:line="276" w:lineRule="auto"/>
              <w:jc w:val="center"/>
              <w:rPr>
                <w:rFonts w:ascii="Arial" w:hAnsi="Arial" w:cs="Arial"/>
                <w:b/>
                <w:bCs/>
                <w:sz w:val="20"/>
                <w:szCs w:val="20"/>
                <w:lang w:val="es-EC" w:eastAsia="es-EC"/>
              </w:rPr>
            </w:pPr>
            <w:r w:rsidRPr="00681AC8">
              <w:rPr>
                <w:rFonts w:ascii="Arial" w:hAnsi="Arial" w:cs="Arial"/>
                <w:b/>
                <w:bCs/>
                <w:sz w:val="20"/>
                <w:szCs w:val="20"/>
                <w:lang w:val="es-EC" w:eastAsia="es-EC"/>
              </w:rPr>
              <w:t>Total</w:t>
            </w:r>
          </w:p>
        </w:tc>
      </w:tr>
      <w:tr w:rsidR="00064C79" w:rsidRPr="00681AC8" w14:paraId="3846C9D8" w14:textId="77777777" w:rsidTr="004A7BD5">
        <w:trPr>
          <w:trHeight w:val="2391"/>
        </w:trPr>
        <w:tc>
          <w:tcPr>
            <w:tcW w:w="1537"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F1FAF4D" w14:textId="77777777" w:rsidR="00064C79" w:rsidRPr="00681AC8" w:rsidRDefault="00064C79" w:rsidP="00064C79">
            <w:pPr>
              <w:spacing w:line="276" w:lineRule="auto"/>
              <w:rPr>
                <w:rFonts w:ascii="Arial" w:eastAsia="Calibri" w:hAnsi="Arial" w:cs="Arial"/>
                <w:sz w:val="20"/>
                <w:szCs w:val="20"/>
                <w:lang w:val="es-EC" w:eastAsia="en-US"/>
              </w:rPr>
            </w:pPr>
          </w:p>
        </w:tc>
        <w:tc>
          <w:tcPr>
            <w:tcW w:w="928" w:type="pct"/>
            <w:tcBorders>
              <w:top w:val="nil"/>
              <w:left w:val="nil"/>
              <w:bottom w:val="single" w:sz="4" w:space="0" w:color="000000"/>
              <w:right w:val="single" w:sz="4" w:space="0" w:color="000000"/>
            </w:tcBorders>
            <w:shd w:val="clear" w:color="auto" w:fill="auto"/>
            <w:tcMar>
              <w:left w:w="70" w:type="dxa"/>
              <w:right w:w="70" w:type="dxa"/>
            </w:tcMar>
            <w:vAlign w:val="center"/>
          </w:tcPr>
          <w:p w14:paraId="5D951515" w14:textId="77777777" w:rsidR="00064C79" w:rsidRPr="00681AC8" w:rsidRDefault="00064C79" w:rsidP="00064C79">
            <w:pPr>
              <w:spacing w:line="276" w:lineRule="auto"/>
              <w:jc w:val="center"/>
              <w:rPr>
                <w:rFonts w:ascii="Arial" w:hAnsi="Arial" w:cs="Arial"/>
                <w:b/>
                <w:bCs/>
                <w:sz w:val="20"/>
                <w:szCs w:val="20"/>
                <w:lang w:val="es-EC" w:eastAsia="es-EC"/>
              </w:rPr>
            </w:pPr>
            <w:r w:rsidRPr="00681AC8">
              <w:rPr>
                <w:rFonts w:ascii="Arial" w:hAnsi="Arial" w:cs="Arial"/>
                <w:b/>
                <w:bCs/>
                <w:sz w:val="20"/>
                <w:szCs w:val="20"/>
                <w:lang w:val="es-EC" w:eastAsia="es-EC"/>
              </w:rPr>
              <w:t>Con nombramiento</w:t>
            </w:r>
          </w:p>
        </w:tc>
        <w:tc>
          <w:tcPr>
            <w:tcW w:w="787" w:type="pct"/>
            <w:tcBorders>
              <w:top w:val="nil"/>
              <w:left w:val="nil"/>
              <w:bottom w:val="single" w:sz="4" w:space="0" w:color="000000"/>
              <w:right w:val="single" w:sz="4" w:space="0" w:color="000000"/>
            </w:tcBorders>
            <w:shd w:val="clear" w:color="auto" w:fill="auto"/>
            <w:tcMar>
              <w:left w:w="70" w:type="dxa"/>
              <w:right w:w="70" w:type="dxa"/>
            </w:tcMar>
            <w:vAlign w:val="center"/>
          </w:tcPr>
          <w:p w14:paraId="3B56A6FD" w14:textId="77777777" w:rsidR="00064C79" w:rsidRPr="00681AC8" w:rsidRDefault="00064C79" w:rsidP="00064C79">
            <w:pPr>
              <w:spacing w:line="276" w:lineRule="auto"/>
              <w:jc w:val="center"/>
              <w:rPr>
                <w:rFonts w:ascii="Arial" w:hAnsi="Arial" w:cs="Arial"/>
                <w:b/>
                <w:bCs/>
                <w:sz w:val="20"/>
                <w:szCs w:val="20"/>
                <w:lang w:val="es-EC" w:eastAsia="es-EC"/>
              </w:rPr>
            </w:pPr>
            <w:r w:rsidRPr="00681AC8">
              <w:rPr>
                <w:rFonts w:ascii="Arial" w:hAnsi="Arial" w:cs="Arial"/>
                <w:b/>
                <w:bCs/>
                <w:sz w:val="20"/>
                <w:szCs w:val="20"/>
                <w:lang w:val="es-EC" w:eastAsia="es-EC"/>
              </w:rPr>
              <w:t>Con contrato permanente / indefinido / estable o de planta</w:t>
            </w:r>
          </w:p>
        </w:tc>
        <w:tc>
          <w:tcPr>
            <w:tcW w:w="641" w:type="pct"/>
            <w:tcBorders>
              <w:top w:val="nil"/>
              <w:left w:val="nil"/>
              <w:bottom w:val="single" w:sz="4" w:space="0" w:color="000000"/>
              <w:right w:val="single" w:sz="4" w:space="0" w:color="000000"/>
            </w:tcBorders>
            <w:shd w:val="clear" w:color="auto" w:fill="auto"/>
            <w:tcMar>
              <w:left w:w="70" w:type="dxa"/>
              <w:right w:w="70" w:type="dxa"/>
            </w:tcMar>
            <w:vAlign w:val="center"/>
          </w:tcPr>
          <w:p w14:paraId="06510205" w14:textId="77777777" w:rsidR="00064C79" w:rsidRPr="00681AC8" w:rsidRDefault="00064C79" w:rsidP="00064C79">
            <w:pPr>
              <w:spacing w:line="276" w:lineRule="auto"/>
              <w:jc w:val="center"/>
              <w:rPr>
                <w:rFonts w:ascii="Arial" w:hAnsi="Arial" w:cs="Arial"/>
                <w:b/>
                <w:bCs/>
                <w:sz w:val="20"/>
                <w:szCs w:val="20"/>
                <w:lang w:val="es-EC" w:eastAsia="es-EC"/>
              </w:rPr>
            </w:pPr>
            <w:r w:rsidRPr="00681AC8">
              <w:rPr>
                <w:rFonts w:ascii="Arial" w:hAnsi="Arial" w:cs="Arial"/>
                <w:b/>
                <w:bCs/>
                <w:sz w:val="20"/>
                <w:szCs w:val="20"/>
                <w:lang w:val="es-EC" w:eastAsia="es-EC"/>
              </w:rPr>
              <w:t>Con contrato temporal, ocasional o eventual</w:t>
            </w:r>
          </w:p>
        </w:tc>
        <w:tc>
          <w:tcPr>
            <w:tcW w:w="500" w:type="pct"/>
            <w:tcBorders>
              <w:top w:val="nil"/>
              <w:left w:val="nil"/>
              <w:bottom w:val="single" w:sz="4" w:space="0" w:color="000000"/>
              <w:right w:val="single" w:sz="4" w:space="0" w:color="000000"/>
            </w:tcBorders>
            <w:shd w:val="clear" w:color="auto" w:fill="auto"/>
            <w:tcMar>
              <w:left w:w="70" w:type="dxa"/>
              <w:right w:w="70" w:type="dxa"/>
            </w:tcMar>
            <w:vAlign w:val="center"/>
          </w:tcPr>
          <w:p w14:paraId="6CC71F94" w14:textId="77777777" w:rsidR="00064C79" w:rsidRPr="00681AC8" w:rsidRDefault="00064C79" w:rsidP="00064C79">
            <w:pPr>
              <w:spacing w:line="276" w:lineRule="auto"/>
              <w:jc w:val="center"/>
              <w:rPr>
                <w:rFonts w:ascii="Arial" w:hAnsi="Arial" w:cs="Arial"/>
                <w:b/>
                <w:bCs/>
                <w:sz w:val="20"/>
                <w:szCs w:val="20"/>
                <w:lang w:val="es-EC" w:eastAsia="es-EC"/>
              </w:rPr>
            </w:pPr>
            <w:r w:rsidRPr="00681AC8">
              <w:rPr>
                <w:rFonts w:ascii="Arial" w:hAnsi="Arial" w:cs="Arial"/>
                <w:b/>
                <w:bCs/>
                <w:sz w:val="20"/>
                <w:szCs w:val="20"/>
                <w:lang w:val="es-EC" w:eastAsia="es-EC"/>
              </w:rPr>
              <w:t>Otro</w:t>
            </w:r>
          </w:p>
        </w:tc>
        <w:tc>
          <w:tcPr>
            <w:tcW w:w="607" w:type="pct"/>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E135F96" w14:textId="77777777" w:rsidR="00064C79" w:rsidRPr="00681AC8" w:rsidRDefault="00064C79" w:rsidP="00064C79">
            <w:pPr>
              <w:spacing w:line="276" w:lineRule="auto"/>
              <w:rPr>
                <w:rFonts w:ascii="Arial" w:eastAsia="Calibri" w:hAnsi="Arial" w:cs="Arial"/>
                <w:sz w:val="20"/>
                <w:szCs w:val="20"/>
                <w:lang w:val="es-EC" w:eastAsia="en-US"/>
              </w:rPr>
            </w:pPr>
          </w:p>
        </w:tc>
      </w:tr>
      <w:tr w:rsidR="00064C79" w:rsidRPr="00681AC8" w14:paraId="10160F5E" w14:textId="77777777" w:rsidTr="004A7BD5">
        <w:trPr>
          <w:trHeight w:val="508"/>
        </w:trPr>
        <w:tc>
          <w:tcPr>
            <w:tcW w:w="720"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0EBA40D5" w14:textId="77777777" w:rsidR="00064C79" w:rsidRPr="00681AC8" w:rsidRDefault="00064C79" w:rsidP="00064C79">
            <w:pPr>
              <w:spacing w:line="276" w:lineRule="auto"/>
              <w:jc w:val="center"/>
              <w:rPr>
                <w:rFonts w:ascii="Arial" w:hAnsi="Arial" w:cs="Arial"/>
                <w:b/>
                <w:bCs/>
                <w:sz w:val="20"/>
                <w:szCs w:val="20"/>
                <w:lang w:val="es-EC" w:eastAsia="es-EC"/>
              </w:rPr>
            </w:pPr>
            <w:r w:rsidRPr="00681AC8">
              <w:rPr>
                <w:rFonts w:ascii="Arial" w:hAnsi="Arial" w:cs="Arial"/>
                <w:b/>
                <w:bCs/>
                <w:sz w:val="20"/>
                <w:szCs w:val="20"/>
                <w:lang w:val="es-EC" w:eastAsia="es-EC"/>
              </w:rPr>
              <w:t>Nivel de instrucción</w:t>
            </w:r>
          </w:p>
        </w:tc>
        <w:tc>
          <w:tcPr>
            <w:tcW w:w="817"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1A55EB4C" w14:textId="77777777" w:rsidR="00064C79" w:rsidRPr="00681AC8" w:rsidRDefault="00064C79" w:rsidP="00064C79">
            <w:pPr>
              <w:spacing w:line="276" w:lineRule="auto"/>
              <w:jc w:val="center"/>
              <w:rPr>
                <w:rFonts w:ascii="Arial" w:hAnsi="Arial" w:cs="Arial"/>
                <w:b/>
                <w:bCs/>
                <w:sz w:val="20"/>
                <w:szCs w:val="20"/>
                <w:lang w:val="es-EC" w:eastAsia="es-EC"/>
              </w:rPr>
            </w:pPr>
            <w:r w:rsidRPr="00681AC8">
              <w:rPr>
                <w:rFonts w:ascii="Arial" w:hAnsi="Arial" w:cs="Arial"/>
                <w:b/>
                <w:bCs/>
                <w:sz w:val="20"/>
                <w:szCs w:val="20"/>
                <w:lang w:val="es-EC" w:eastAsia="es-EC"/>
              </w:rPr>
              <w:t>Superior Universitario</w:t>
            </w:r>
          </w:p>
        </w:tc>
        <w:tc>
          <w:tcPr>
            <w:tcW w:w="928" w:type="pct"/>
            <w:tcBorders>
              <w:top w:val="nil"/>
              <w:left w:val="nil"/>
              <w:bottom w:val="single" w:sz="4" w:space="0" w:color="000000"/>
              <w:right w:val="single" w:sz="4" w:space="0" w:color="000000"/>
            </w:tcBorders>
            <w:shd w:val="clear" w:color="auto" w:fill="auto"/>
            <w:tcMar>
              <w:left w:w="70" w:type="dxa"/>
              <w:right w:w="70" w:type="dxa"/>
            </w:tcMar>
          </w:tcPr>
          <w:p w14:paraId="6D3073C3"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155.055</w:t>
            </w:r>
          </w:p>
        </w:tc>
        <w:tc>
          <w:tcPr>
            <w:tcW w:w="787" w:type="pct"/>
            <w:tcBorders>
              <w:top w:val="nil"/>
              <w:left w:val="nil"/>
              <w:bottom w:val="single" w:sz="4" w:space="0" w:color="000000"/>
              <w:right w:val="single" w:sz="4" w:space="0" w:color="000000"/>
            </w:tcBorders>
            <w:shd w:val="clear" w:color="auto" w:fill="auto"/>
            <w:tcMar>
              <w:left w:w="70" w:type="dxa"/>
              <w:right w:w="70" w:type="dxa"/>
            </w:tcMar>
          </w:tcPr>
          <w:p w14:paraId="76D5DFAC"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318.755</w:t>
            </w:r>
          </w:p>
        </w:tc>
        <w:tc>
          <w:tcPr>
            <w:tcW w:w="641" w:type="pct"/>
            <w:tcBorders>
              <w:top w:val="nil"/>
              <w:left w:val="nil"/>
              <w:bottom w:val="single" w:sz="4" w:space="0" w:color="000000"/>
              <w:right w:val="single" w:sz="4" w:space="0" w:color="000000"/>
            </w:tcBorders>
            <w:shd w:val="clear" w:color="auto" w:fill="auto"/>
            <w:tcMar>
              <w:left w:w="70" w:type="dxa"/>
              <w:right w:w="70" w:type="dxa"/>
            </w:tcMar>
          </w:tcPr>
          <w:p w14:paraId="05F2AF9E"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208.397</w:t>
            </w:r>
          </w:p>
        </w:tc>
        <w:tc>
          <w:tcPr>
            <w:tcW w:w="500" w:type="pct"/>
            <w:tcBorders>
              <w:top w:val="nil"/>
              <w:left w:val="nil"/>
              <w:bottom w:val="single" w:sz="4" w:space="0" w:color="000000"/>
              <w:right w:val="single" w:sz="4" w:space="0" w:color="000000"/>
            </w:tcBorders>
            <w:shd w:val="clear" w:color="auto" w:fill="auto"/>
            <w:tcMar>
              <w:left w:w="70" w:type="dxa"/>
              <w:right w:w="70" w:type="dxa"/>
            </w:tcMar>
          </w:tcPr>
          <w:p w14:paraId="4A47E3B0"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12.343</w:t>
            </w:r>
          </w:p>
        </w:tc>
        <w:tc>
          <w:tcPr>
            <w:tcW w:w="607" w:type="pct"/>
            <w:tcBorders>
              <w:top w:val="nil"/>
              <w:left w:val="nil"/>
              <w:bottom w:val="single" w:sz="4" w:space="0" w:color="000000"/>
              <w:right w:val="single" w:sz="4" w:space="0" w:color="000000"/>
            </w:tcBorders>
            <w:shd w:val="clear" w:color="auto" w:fill="auto"/>
            <w:tcMar>
              <w:left w:w="70" w:type="dxa"/>
              <w:right w:w="70" w:type="dxa"/>
            </w:tcMar>
          </w:tcPr>
          <w:p w14:paraId="42F6C5FB"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694.550</w:t>
            </w:r>
          </w:p>
        </w:tc>
      </w:tr>
      <w:tr w:rsidR="00064C79" w:rsidRPr="00681AC8" w14:paraId="7A50D862" w14:textId="77777777" w:rsidTr="004A7BD5">
        <w:trPr>
          <w:trHeight w:val="508"/>
        </w:trPr>
        <w:tc>
          <w:tcPr>
            <w:tcW w:w="720" w:type="pct"/>
            <w:vMerge/>
            <w:tcBorders>
              <w:top w:val="nil"/>
              <w:left w:val="single" w:sz="4" w:space="0" w:color="000000"/>
              <w:bottom w:val="single" w:sz="4" w:space="0" w:color="000000"/>
              <w:right w:val="single" w:sz="4" w:space="0" w:color="000000"/>
            </w:tcBorders>
            <w:tcMar>
              <w:left w:w="70" w:type="dxa"/>
              <w:right w:w="70" w:type="dxa"/>
            </w:tcMar>
            <w:vAlign w:val="center"/>
          </w:tcPr>
          <w:p w14:paraId="3958532E" w14:textId="77777777" w:rsidR="00064C79" w:rsidRPr="00681AC8" w:rsidRDefault="00064C79" w:rsidP="00064C79">
            <w:pPr>
              <w:spacing w:line="276" w:lineRule="auto"/>
              <w:jc w:val="center"/>
              <w:rPr>
                <w:rFonts w:ascii="Arial" w:eastAsia="Calibri" w:hAnsi="Arial" w:cs="Arial"/>
                <w:b/>
                <w:bCs/>
                <w:sz w:val="20"/>
                <w:szCs w:val="20"/>
                <w:lang w:val="es-EC" w:eastAsia="en-US"/>
              </w:rPr>
            </w:pPr>
          </w:p>
        </w:tc>
        <w:tc>
          <w:tcPr>
            <w:tcW w:w="817" w:type="pct"/>
            <w:vMerge/>
            <w:tcBorders>
              <w:top w:val="nil"/>
              <w:left w:val="single" w:sz="4" w:space="0" w:color="000000"/>
              <w:bottom w:val="single" w:sz="4" w:space="0" w:color="000000"/>
              <w:right w:val="single" w:sz="4" w:space="0" w:color="000000"/>
            </w:tcBorders>
            <w:tcMar>
              <w:left w:w="70" w:type="dxa"/>
              <w:right w:w="70" w:type="dxa"/>
            </w:tcMar>
            <w:vAlign w:val="center"/>
          </w:tcPr>
          <w:p w14:paraId="0C7BD0E0" w14:textId="77777777" w:rsidR="00064C79" w:rsidRPr="00681AC8" w:rsidRDefault="00064C79" w:rsidP="00064C79">
            <w:pPr>
              <w:spacing w:line="276" w:lineRule="auto"/>
              <w:jc w:val="center"/>
              <w:rPr>
                <w:rFonts w:ascii="Arial" w:eastAsia="Calibri" w:hAnsi="Arial" w:cs="Arial"/>
                <w:b/>
                <w:bCs/>
                <w:sz w:val="20"/>
                <w:szCs w:val="20"/>
                <w:lang w:val="es-EC" w:eastAsia="en-US"/>
              </w:rPr>
            </w:pPr>
          </w:p>
        </w:tc>
        <w:tc>
          <w:tcPr>
            <w:tcW w:w="928" w:type="pct"/>
            <w:tcBorders>
              <w:top w:val="nil"/>
              <w:left w:val="nil"/>
              <w:bottom w:val="single" w:sz="4" w:space="0" w:color="000000"/>
              <w:right w:val="single" w:sz="4" w:space="0" w:color="000000"/>
            </w:tcBorders>
            <w:shd w:val="clear" w:color="auto" w:fill="auto"/>
            <w:tcMar>
              <w:left w:w="70" w:type="dxa"/>
              <w:right w:w="70" w:type="dxa"/>
            </w:tcMar>
          </w:tcPr>
          <w:p w14:paraId="0508C798"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22,32%</w:t>
            </w:r>
          </w:p>
        </w:tc>
        <w:tc>
          <w:tcPr>
            <w:tcW w:w="787" w:type="pct"/>
            <w:tcBorders>
              <w:top w:val="nil"/>
              <w:left w:val="nil"/>
              <w:bottom w:val="single" w:sz="4" w:space="0" w:color="000000"/>
              <w:right w:val="single" w:sz="4" w:space="0" w:color="000000"/>
            </w:tcBorders>
            <w:shd w:val="clear" w:color="auto" w:fill="auto"/>
            <w:tcMar>
              <w:left w:w="70" w:type="dxa"/>
              <w:right w:w="70" w:type="dxa"/>
            </w:tcMar>
          </w:tcPr>
          <w:p w14:paraId="3CDDB7C2"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45,89%</w:t>
            </w:r>
          </w:p>
        </w:tc>
        <w:tc>
          <w:tcPr>
            <w:tcW w:w="641" w:type="pct"/>
            <w:tcBorders>
              <w:top w:val="nil"/>
              <w:left w:val="nil"/>
              <w:bottom w:val="single" w:sz="4" w:space="0" w:color="000000"/>
              <w:right w:val="single" w:sz="4" w:space="0" w:color="000000"/>
            </w:tcBorders>
            <w:shd w:val="clear" w:color="auto" w:fill="auto"/>
            <w:tcMar>
              <w:left w:w="70" w:type="dxa"/>
              <w:right w:w="70" w:type="dxa"/>
            </w:tcMar>
          </w:tcPr>
          <w:p w14:paraId="20DF6765"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30,00%</w:t>
            </w:r>
          </w:p>
        </w:tc>
        <w:tc>
          <w:tcPr>
            <w:tcW w:w="500" w:type="pct"/>
            <w:tcBorders>
              <w:top w:val="nil"/>
              <w:left w:val="nil"/>
              <w:bottom w:val="single" w:sz="4" w:space="0" w:color="000000"/>
              <w:right w:val="single" w:sz="4" w:space="0" w:color="000000"/>
            </w:tcBorders>
            <w:shd w:val="clear" w:color="auto" w:fill="auto"/>
            <w:tcMar>
              <w:left w:w="70" w:type="dxa"/>
              <w:right w:w="70" w:type="dxa"/>
            </w:tcMar>
          </w:tcPr>
          <w:p w14:paraId="358E3FF8"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1,78%</w:t>
            </w:r>
          </w:p>
        </w:tc>
        <w:tc>
          <w:tcPr>
            <w:tcW w:w="607" w:type="pct"/>
            <w:tcBorders>
              <w:top w:val="nil"/>
              <w:left w:val="nil"/>
              <w:bottom w:val="single" w:sz="4" w:space="0" w:color="000000"/>
              <w:right w:val="single" w:sz="4" w:space="0" w:color="000000"/>
            </w:tcBorders>
            <w:shd w:val="clear" w:color="auto" w:fill="auto"/>
            <w:tcMar>
              <w:left w:w="70" w:type="dxa"/>
              <w:right w:w="70" w:type="dxa"/>
            </w:tcMar>
          </w:tcPr>
          <w:p w14:paraId="2D38E25D"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100,00%</w:t>
            </w:r>
          </w:p>
        </w:tc>
      </w:tr>
      <w:tr w:rsidR="00064C79" w:rsidRPr="00681AC8" w14:paraId="646ED4FB" w14:textId="77777777" w:rsidTr="004A7BD5">
        <w:trPr>
          <w:trHeight w:val="508"/>
        </w:trPr>
        <w:tc>
          <w:tcPr>
            <w:tcW w:w="720" w:type="pct"/>
            <w:vMerge/>
            <w:tcBorders>
              <w:top w:val="nil"/>
              <w:left w:val="single" w:sz="4" w:space="0" w:color="000000"/>
              <w:bottom w:val="single" w:sz="4" w:space="0" w:color="000000"/>
              <w:right w:val="single" w:sz="4" w:space="0" w:color="000000"/>
            </w:tcBorders>
            <w:tcMar>
              <w:left w:w="70" w:type="dxa"/>
              <w:right w:w="70" w:type="dxa"/>
            </w:tcMar>
            <w:vAlign w:val="center"/>
          </w:tcPr>
          <w:p w14:paraId="0A8A1633" w14:textId="77777777" w:rsidR="00064C79" w:rsidRPr="00681AC8" w:rsidRDefault="00064C79" w:rsidP="00064C79">
            <w:pPr>
              <w:spacing w:line="276" w:lineRule="auto"/>
              <w:jc w:val="center"/>
              <w:rPr>
                <w:rFonts w:ascii="Arial" w:eastAsia="Calibri" w:hAnsi="Arial" w:cs="Arial"/>
                <w:b/>
                <w:bCs/>
                <w:sz w:val="20"/>
                <w:szCs w:val="20"/>
                <w:lang w:val="es-EC" w:eastAsia="en-US"/>
              </w:rPr>
            </w:pPr>
          </w:p>
        </w:tc>
        <w:tc>
          <w:tcPr>
            <w:tcW w:w="817"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6E8259E6" w14:textId="77777777" w:rsidR="00064C79" w:rsidRPr="00681AC8" w:rsidRDefault="00064C79" w:rsidP="00064C79">
            <w:pPr>
              <w:spacing w:line="276" w:lineRule="auto"/>
              <w:jc w:val="center"/>
              <w:rPr>
                <w:rFonts w:ascii="Arial" w:hAnsi="Arial" w:cs="Arial"/>
                <w:b/>
                <w:bCs/>
                <w:sz w:val="20"/>
                <w:szCs w:val="20"/>
                <w:lang w:val="es-EC" w:eastAsia="es-EC"/>
              </w:rPr>
            </w:pPr>
            <w:r w:rsidRPr="00681AC8">
              <w:rPr>
                <w:rFonts w:ascii="Arial" w:hAnsi="Arial" w:cs="Arial"/>
                <w:b/>
                <w:bCs/>
                <w:sz w:val="20"/>
                <w:szCs w:val="20"/>
                <w:lang w:val="es-EC" w:eastAsia="es-EC"/>
              </w:rPr>
              <w:t>Posgrado</w:t>
            </w:r>
          </w:p>
        </w:tc>
        <w:tc>
          <w:tcPr>
            <w:tcW w:w="928" w:type="pct"/>
            <w:tcBorders>
              <w:top w:val="nil"/>
              <w:left w:val="nil"/>
              <w:bottom w:val="single" w:sz="4" w:space="0" w:color="000000"/>
              <w:right w:val="single" w:sz="4" w:space="0" w:color="000000"/>
            </w:tcBorders>
            <w:shd w:val="clear" w:color="auto" w:fill="auto"/>
            <w:tcMar>
              <w:left w:w="70" w:type="dxa"/>
              <w:right w:w="70" w:type="dxa"/>
            </w:tcMar>
          </w:tcPr>
          <w:p w14:paraId="19BFAF50"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66.096</w:t>
            </w:r>
          </w:p>
        </w:tc>
        <w:tc>
          <w:tcPr>
            <w:tcW w:w="787" w:type="pct"/>
            <w:tcBorders>
              <w:top w:val="nil"/>
              <w:left w:val="nil"/>
              <w:bottom w:val="single" w:sz="4" w:space="0" w:color="000000"/>
              <w:right w:val="single" w:sz="4" w:space="0" w:color="000000"/>
            </w:tcBorders>
            <w:shd w:val="clear" w:color="auto" w:fill="auto"/>
            <w:tcMar>
              <w:left w:w="70" w:type="dxa"/>
              <w:right w:w="70" w:type="dxa"/>
            </w:tcMar>
          </w:tcPr>
          <w:p w14:paraId="69B5531F"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38.036</w:t>
            </w:r>
          </w:p>
        </w:tc>
        <w:tc>
          <w:tcPr>
            <w:tcW w:w="641" w:type="pct"/>
            <w:tcBorders>
              <w:top w:val="nil"/>
              <w:left w:val="nil"/>
              <w:bottom w:val="single" w:sz="4" w:space="0" w:color="000000"/>
              <w:right w:val="single" w:sz="4" w:space="0" w:color="000000"/>
            </w:tcBorders>
            <w:shd w:val="clear" w:color="auto" w:fill="auto"/>
            <w:tcMar>
              <w:left w:w="70" w:type="dxa"/>
              <w:right w:w="70" w:type="dxa"/>
            </w:tcMar>
          </w:tcPr>
          <w:p w14:paraId="6C42BBE7"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32.901</w:t>
            </w:r>
          </w:p>
        </w:tc>
        <w:tc>
          <w:tcPr>
            <w:tcW w:w="500" w:type="pct"/>
            <w:tcBorders>
              <w:top w:val="nil"/>
              <w:left w:val="nil"/>
              <w:bottom w:val="single" w:sz="4" w:space="0" w:color="000000"/>
              <w:right w:val="single" w:sz="4" w:space="0" w:color="000000"/>
            </w:tcBorders>
            <w:shd w:val="clear" w:color="auto" w:fill="auto"/>
            <w:tcMar>
              <w:left w:w="70" w:type="dxa"/>
              <w:right w:w="70" w:type="dxa"/>
            </w:tcMar>
          </w:tcPr>
          <w:p w14:paraId="572F7F7B"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23</w:t>
            </w:r>
          </w:p>
        </w:tc>
        <w:tc>
          <w:tcPr>
            <w:tcW w:w="607" w:type="pct"/>
            <w:tcBorders>
              <w:top w:val="nil"/>
              <w:left w:val="nil"/>
              <w:bottom w:val="single" w:sz="4" w:space="0" w:color="000000"/>
              <w:right w:val="single" w:sz="4" w:space="0" w:color="000000"/>
            </w:tcBorders>
            <w:shd w:val="clear" w:color="auto" w:fill="auto"/>
            <w:tcMar>
              <w:left w:w="70" w:type="dxa"/>
              <w:right w:w="70" w:type="dxa"/>
            </w:tcMar>
          </w:tcPr>
          <w:p w14:paraId="543A878B"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137.056</w:t>
            </w:r>
          </w:p>
        </w:tc>
      </w:tr>
      <w:tr w:rsidR="00064C79" w:rsidRPr="00681AC8" w14:paraId="7ADB1EE8" w14:textId="77777777" w:rsidTr="004A7BD5">
        <w:trPr>
          <w:trHeight w:val="508"/>
        </w:trPr>
        <w:tc>
          <w:tcPr>
            <w:tcW w:w="720" w:type="pct"/>
            <w:vMerge/>
            <w:tcBorders>
              <w:top w:val="nil"/>
              <w:left w:val="single" w:sz="4" w:space="0" w:color="000000"/>
              <w:bottom w:val="single" w:sz="4" w:space="0" w:color="000000"/>
              <w:right w:val="single" w:sz="4" w:space="0" w:color="000000"/>
            </w:tcBorders>
            <w:tcMar>
              <w:left w:w="70" w:type="dxa"/>
              <w:right w:w="70" w:type="dxa"/>
            </w:tcMar>
            <w:vAlign w:val="center"/>
          </w:tcPr>
          <w:p w14:paraId="0AED9A32" w14:textId="77777777" w:rsidR="00064C79" w:rsidRPr="00681AC8" w:rsidRDefault="00064C79" w:rsidP="00064C79">
            <w:pPr>
              <w:spacing w:line="276" w:lineRule="auto"/>
              <w:jc w:val="center"/>
              <w:rPr>
                <w:rFonts w:ascii="Arial" w:eastAsia="Calibri" w:hAnsi="Arial" w:cs="Arial"/>
                <w:b/>
                <w:bCs/>
                <w:sz w:val="20"/>
                <w:szCs w:val="20"/>
                <w:lang w:val="es-EC" w:eastAsia="en-US"/>
              </w:rPr>
            </w:pPr>
          </w:p>
        </w:tc>
        <w:tc>
          <w:tcPr>
            <w:tcW w:w="817" w:type="pct"/>
            <w:vMerge/>
            <w:tcBorders>
              <w:top w:val="nil"/>
              <w:left w:val="single" w:sz="4" w:space="0" w:color="000000"/>
              <w:bottom w:val="single" w:sz="4" w:space="0" w:color="000000"/>
              <w:right w:val="single" w:sz="4" w:space="0" w:color="000000"/>
            </w:tcBorders>
            <w:tcMar>
              <w:left w:w="70" w:type="dxa"/>
              <w:right w:w="70" w:type="dxa"/>
            </w:tcMar>
            <w:vAlign w:val="center"/>
          </w:tcPr>
          <w:p w14:paraId="5841310D" w14:textId="77777777" w:rsidR="00064C79" w:rsidRPr="00681AC8" w:rsidRDefault="00064C79" w:rsidP="00064C79">
            <w:pPr>
              <w:spacing w:line="276" w:lineRule="auto"/>
              <w:jc w:val="center"/>
              <w:rPr>
                <w:rFonts w:ascii="Arial" w:eastAsia="Calibri" w:hAnsi="Arial" w:cs="Arial"/>
                <w:b/>
                <w:bCs/>
                <w:sz w:val="20"/>
                <w:szCs w:val="20"/>
                <w:lang w:val="es-EC" w:eastAsia="en-US"/>
              </w:rPr>
            </w:pPr>
          </w:p>
        </w:tc>
        <w:tc>
          <w:tcPr>
            <w:tcW w:w="928" w:type="pct"/>
            <w:tcBorders>
              <w:top w:val="nil"/>
              <w:left w:val="nil"/>
              <w:bottom w:val="single" w:sz="4" w:space="0" w:color="000000"/>
              <w:right w:val="single" w:sz="4" w:space="0" w:color="000000"/>
            </w:tcBorders>
            <w:shd w:val="clear" w:color="auto" w:fill="auto"/>
            <w:tcMar>
              <w:left w:w="70" w:type="dxa"/>
              <w:right w:w="70" w:type="dxa"/>
            </w:tcMar>
          </w:tcPr>
          <w:p w14:paraId="5803A519"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48,23%</w:t>
            </w:r>
          </w:p>
        </w:tc>
        <w:tc>
          <w:tcPr>
            <w:tcW w:w="787" w:type="pct"/>
            <w:tcBorders>
              <w:top w:val="nil"/>
              <w:left w:val="nil"/>
              <w:bottom w:val="single" w:sz="4" w:space="0" w:color="000000"/>
              <w:right w:val="single" w:sz="4" w:space="0" w:color="000000"/>
            </w:tcBorders>
            <w:shd w:val="clear" w:color="auto" w:fill="auto"/>
            <w:tcMar>
              <w:left w:w="70" w:type="dxa"/>
              <w:right w:w="70" w:type="dxa"/>
            </w:tcMar>
          </w:tcPr>
          <w:p w14:paraId="1EE1A712"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27,75%</w:t>
            </w:r>
          </w:p>
        </w:tc>
        <w:tc>
          <w:tcPr>
            <w:tcW w:w="641" w:type="pct"/>
            <w:tcBorders>
              <w:top w:val="nil"/>
              <w:left w:val="nil"/>
              <w:bottom w:val="single" w:sz="4" w:space="0" w:color="000000"/>
              <w:right w:val="single" w:sz="4" w:space="0" w:color="000000"/>
            </w:tcBorders>
            <w:shd w:val="clear" w:color="auto" w:fill="auto"/>
            <w:tcMar>
              <w:left w:w="70" w:type="dxa"/>
              <w:right w:w="70" w:type="dxa"/>
            </w:tcMar>
          </w:tcPr>
          <w:p w14:paraId="51D32219"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24,01%</w:t>
            </w:r>
          </w:p>
        </w:tc>
        <w:tc>
          <w:tcPr>
            <w:tcW w:w="500" w:type="pct"/>
            <w:tcBorders>
              <w:top w:val="nil"/>
              <w:left w:val="nil"/>
              <w:bottom w:val="single" w:sz="4" w:space="0" w:color="000000"/>
              <w:right w:val="single" w:sz="4" w:space="0" w:color="000000"/>
            </w:tcBorders>
            <w:shd w:val="clear" w:color="auto" w:fill="auto"/>
            <w:tcMar>
              <w:left w:w="70" w:type="dxa"/>
              <w:right w:w="70" w:type="dxa"/>
            </w:tcMar>
          </w:tcPr>
          <w:p w14:paraId="2BCFFAA4"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0,02%</w:t>
            </w:r>
          </w:p>
        </w:tc>
        <w:tc>
          <w:tcPr>
            <w:tcW w:w="607" w:type="pct"/>
            <w:tcBorders>
              <w:top w:val="nil"/>
              <w:left w:val="nil"/>
              <w:bottom w:val="single" w:sz="4" w:space="0" w:color="000000"/>
              <w:right w:val="single" w:sz="4" w:space="0" w:color="000000"/>
            </w:tcBorders>
            <w:shd w:val="clear" w:color="auto" w:fill="auto"/>
            <w:tcMar>
              <w:left w:w="70" w:type="dxa"/>
              <w:right w:w="70" w:type="dxa"/>
            </w:tcMar>
          </w:tcPr>
          <w:p w14:paraId="64CF2C15"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100,00%</w:t>
            </w:r>
          </w:p>
        </w:tc>
      </w:tr>
      <w:tr w:rsidR="00064C79" w:rsidRPr="00681AC8" w14:paraId="6DDD99C8" w14:textId="77777777" w:rsidTr="004A7BD5">
        <w:trPr>
          <w:trHeight w:val="508"/>
        </w:trPr>
        <w:tc>
          <w:tcPr>
            <w:tcW w:w="153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33D9F18" w14:textId="77777777" w:rsidR="00064C79" w:rsidRPr="00681AC8" w:rsidRDefault="00064C79" w:rsidP="00064C79">
            <w:pPr>
              <w:spacing w:line="276" w:lineRule="auto"/>
              <w:jc w:val="center"/>
              <w:rPr>
                <w:rFonts w:ascii="Arial" w:hAnsi="Arial" w:cs="Arial"/>
                <w:b/>
                <w:bCs/>
                <w:sz w:val="20"/>
                <w:szCs w:val="20"/>
                <w:lang w:val="es-EC" w:eastAsia="es-EC"/>
              </w:rPr>
            </w:pPr>
            <w:r w:rsidRPr="00681AC8">
              <w:rPr>
                <w:rFonts w:ascii="Arial" w:hAnsi="Arial" w:cs="Arial"/>
                <w:b/>
                <w:bCs/>
                <w:sz w:val="20"/>
                <w:szCs w:val="20"/>
                <w:lang w:val="es-EC" w:eastAsia="es-EC"/>
              </w:rPr>
              <w:t>Total</w:t>
            </w:r>
          </w:p>
        </w:tc>
        <w:tc>
          <w:tcPr>
            <w:tcW w:w="928" w:type="pct"/>
            <w:tcBorders>
              <w:top w:val="nil"/>
              <w:left w:val="nil"/>
              <w:bottom w:val="single" w:sz="4" w:space="0" w:color="000000"/>
              <w:right w:val="single" w:sz="4" w:space="0" w:color="000000"/>
            </w:tcBorders>
            <w:shd w:val="clear" w:color="auto" w:fill="auto"/>
            <w:tcMar>
              <w:left w:w="70" w:type="dxa"/>
              <w:right w:w="70" w:type="dxa"/>
            </w:tcMar>
          </w:tcPr>
          <w:p w14:paraId="2E0D3C74"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221.151</w:t>
            </w:r>
          </w:p>
        </w:tc>
        <w:tc>
          <w:tcPr>
            <w:tcW w:w="787" w:type="pct"/>
            <w:tcBorders>
              <w:top w:val="nil"/>
              <w:left w:val="nil"/>
              <w:bottom w:val="single" w:sz="4" w:space="0" w:color="000000"/>
              <w:right w:val="single" w:sz="4" w:space="0" w:color="000000"/>
            </w:tcBorders>
            <w:shd w:val="clear" w:color="auto" w:fill="auto"/>
            <w:tcMar>
              <w:left w:w="70" w:type="dxa"/>
              <w:right w:w="70" w:type="dxa"/>
            </w:tcMar>
          </w:tcPr>
          <w:p w14:paraId="4CD4F4B9"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356.791</w:t>
            </w:r>
          </w:p>
        </w:tc>
        <w:tc>
          <w:tcPr>
            <w:tcW w:w="641" w:type="pct"/>
            <w:tcBorders>
              <w:top w:val="nil"/>
              <w:left w:val="nil"/>
              <w:bottom w:val="single" w:sz="4" w:space="0" w:color="000000"/>
              <w:right w:val="single" w:sz="4" w:space="0" w:color="000000"/>
            </w:tcBorders>
            <w:shd w:val="clear" w:color="auto" w:fill="auto"/>
            <w:tcMar>
              <w:left w:w="70" w:type="dxa"/>
              <w:right w:w="70" w:type="dxa"/>
            </w:tcMar>
          </w:tcPr>
          <w:p w14:paraId="20BD3B18"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241.298</w:t>
            </w:r>
          </w:p>
        </w:tc>
        <w:tc>
          <w:tcPr>
            <w:tcW w:w="500" w:type="pct"/>
            <w:tcBorders>
              <w:top w:val="nil"/>
              <w:left w:val="nil"/>
              <w:bottom w:val="single" w:sz="4" w:space="0" w:color="000000"/>
              <w:right w:val="single" w:sz="4" w:space="0" w:color="000000"/>
            </w:tcBorders>
            <w:shd w:val="clear" w:color="auto" w:fill="auto"/>
            <w:tcMar>
              <w:left w:w="70" w:type="dxa"/>
              <w:right w:w="70" w:type="dxa"/>
            </w:tcMar>
          </w:tcPr>
          <w:p w14:paraId="1690D20D"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12.366</w:t>
            </w:r>
          </w:p>
        </w:tc>
        <w:tc>
          <w:tcPr>
            <w:tcW w:w="607" w:type="pct"/>
            <w:tcBorders>
              <w:top w:val="nil"/>
              <w:left w:val="nil"/>
              <w:bottom w:val="single" w:sz="4" w:space="0" w:color="000000"/>
              <w:right w:val="single" w:sz="4" w:space="0" w:color="000000"/>
            </w:tcBorders>
            <w:shd w:val="clear" w:color="auto" w:fill="auto"/>
            <w:tcMar>
              <w:left w:w="70" w:type="dxa"/>
              <w:right w:w="70" w:type="dxa"/>
            </w:tcMar>
          </w:tcPr>
          <w:p w14:paraId="4CD6F764"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831.606</w:t>
            </w:r>
          </w:p>
        </w:tc>
      </w:tr>
      <w:tr w:rsidR="00064C79" w:rsidRPr="00681AC8" w14:paraId="35DA4BFF" w14:textId="77777777" w:rsidTr="004A7BD5">
        <w:trPr>
          <w:trHeight w:val="508"/>
        </w:trPr>
        <w:tc>
          <w:tcPr>
            <w:tcW w:w="1537"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961816B" w14:textId="77777777" w:rsidR="00064C79" w:rsidRPr="00681AC8" w:rsidRDefault="00064C79" w:rsidP="00064C79">
            <w:pPr>
              <w:spacing w:line="276" w:lineRule="auto"/>
              <w:rPr>
                <w:rFonts w:ascii="Arial" w:eastAsia="Calibri" w:hAnsi="Arial" w:cs="Arial"/>
                <w:sz w:val="20"/>
                <w:szCs w:val="20"/>
                <w:lang w:val="es-EC" w:eastAsia="en-US"/>
              </w:rPr>
            </w:pPr>
          </w:p>
        </w:tc>
        <w:tc>
          <w:tcPr>
            <w:tcW w:w="928" w:type="pct"/>
            <w:tcBorders>
              <w:top w:val="nil"/>
              <w:left w:val="nil"/>
              <w:bottom w:val="single" w:sz="4" w:space="0" w:color="000000"/>
              <w:right w:val="single" w:sz="4" w:space="0" w:color="000000"/>
            </w:tcBorders>
            <w:shd w:val="clear" w:color="auto" w:fill="auto"/>
            <w:tcMar>
              <w:left w:w="70" w:type="dxa"/>
              <w:right w:w="70" w:type="dxa"/>
            </w:tcMar>
          </w:tcPr>
          <w:p w14:paraId="5CAED823"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26,59%</w:t>
            </w:r>
          </w:p>
        </w:tc>
        <w:tc>
          <w:tcPr>
            <w:tcW w:w="787" w:type="pct"/>
            <w:tcBorders>
              <w:top w:val="nil"/>
              <w:left w:val="nil"/>
              <w:bottom w:val="single" w:sz="4" w:space="0" w:color="000000"/>
              <w:right w:val="single" w:sz="4" w:space="0" w:color="000000"/>
            </w:tcBorders>
            <w:shd w:val="clear" w:color="auto" w:fill="auto"/>
            <w:tcMar>
              <w:left w:w="70" w:type="dxa"/>
              <w:right w:w="70" w:type="dxa"/>
            </w:tcMar>
          </w:tcPr>
          <w:p w14:paraId="3AA690A1"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42,90%</w:t>
            </w:r>
          </w:p>
        </w:tc>
        <w:tc>
          <w:tcPr>
            <w:tcW w:w="641" w:type="pct"/>
            <w:tcBorders>
              <w:top w:val="nil"/>
              <w:left w:val="nil"/>
              <w:bottom w:val="single" w:sz="4" w:space="0" w:color="000000"/>
              <w:right w:val="single" w:sz="4" w:space="0" w:color="000000"/>
            </w:tcBorders>
            <w:shd w:val="clear" w:color="auto" w:fill="auto"/>
            <w:tcMar>
              <w:left w:w="70" w:type="dxa"/>
              <w:right w:w="70" w:type="dxa"/>
            </w:tcMar>
          </w:tcPr>
          <w:p w14:paraId="23074921"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29,02%</w:t>
            </w:r>
          </w:p>
        </w:tc>
        <w:tc>
          <w:tcPr>
            <w:tcW w:w="500" w:type="pct"/>
            <w:tcBorders>
              <w:top w:val="nil"/>
              <w:left w:val="nil"/>
              <w:bottom w:val="single" w:sz="4" w:space="0" w:color="000000"/>
              <w:right w:val="single" w:sz="4" w:space="0" w:color="000000"/>
            </w:tcBorders>
            <w:shd w:val="clear" w:color="auto" w:fill="auto"/>
            <w:tcMar>
              <w:left w:w="70" w:type="dxa"/>
              <w:right w:w="70" w:type="dxa"/>
            </w:tcMar>
          </w:tcPr>
          <w:p w14:paraId="698D4C41"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1,49%</w:t>
            </w:r>
          </w:p>
        </w:tc>
        <w:tc>
          <w:tcPr>
            <w:tcW w:w="607" w:type="pct"/>
            <w:tcBorders>
              <w:top w:val="nil"/>
              <w:left w:val="nil"/>
              <w:bottom w:val="single" w:sz="4" w:space="0" w:color="000000"/>
              <w:right w:val="single" w:sz="4" w:space="0" w:color="000000"/>
            </w:tcBorders>
            <w:shd w:val="clear" w:color="auto" w:fill="auto"/>
            <w:tcMar>
              <w:left w:w="70" w:type="dxa"/>
              <w:right w:w="70" w:type="dxa"/>
            </w:tcMar>
          </w:tcPr>
          <w:p w14:paraId="6CB34E93" w14:textId="77777777" w:rsidR="00064C79" w:rsidRPr="00681AC8" w:rsidRDefault="00064C79" w:rsidP="00064C79">
            <w:pPr>
              <w:spacing w:line="276" w:lineRule="auto"/>
              <w:jc w:val="center"/>
              <w:rPr>
                <w:rFonts w:ascii="Arial" w:hAnsi="Arial" w:cs="Arial"/>
                <w:sz w:val="20"/>
                <w:szCs w:val="20"/>
                <w:lang w:val="es-EC" w:eastAsia="es-EC"/>
              </w:rPr>
            </w:pPr>
            <w:r w:rsidRPr="00681AC8">
              <w:rPr>
                <w:rFonts w:ascii="Arial" w:hAnsi="Arial" w:cs="Arial"/>
                <w:sz w:val="20"/>
                <w:szCs w:val="20"/>
                <w:lang w:val="es-EC" w:eastAsia="es-EC"/>
              </w:rPr>
              <w:t>100,00%</w:t>
            </w:r>
          </w:p>
        </w:tc>
      </w:tr>
    </w:tbl>
    <w:p w14:paraId="12A25360" w14:textId="77777777" w:rsidR="00064C79" w:rsidRPr="00681AC8" w:rsidRDefault="00064C79" w:rsidP="00064C79">
      <w:pPr>
        <w:spacing w:line="360" w:lineRule="auto"/>
        <w:jc w:val="both"/>
        <w:rPr>
          <w:rFonts w:ascii="Arial" w:eastAsia="Calibri" w:hAnsi="Arial" w:cs="Arial"/>
          <w:spacing w:val="-1"/>
          <w:sz w:val="20"/>
          <w:szCs w:val="20"/>
          <w:lang w:val="es-EC" w:eastAsia="en-US"/>
        </w:rPr>
      </w:pPr>
      <w:r w:rsidRPr="00681AC8">
        <w:rPr>
          <w:rFonts w:ascii="Arial" w:eastAsia="Calibri" w:hAnsi="Arial" w:cs="Arial"/>
          <w:iCs/>
          <w:spacing w:val="-1"/>
          <w:sz w:val="20"/>
          <w:szCs w:val="20"/>
          <w:lang w:val="es-EC" w:eastAsia="en-US"/>
        </w:rPr>
        <w:t>Nota</w:t>
      </w:r>
      <w:r w:rsidRPr="00681AC8">
        <w:rPr>
          <w:rFonts w:ascii="Arial" w:eastAsia="Calibri" w:hAnsi="Arial" w:cs="Arial"/>
          <w:spacing w:val="-1"/>
          <w:sz w:val="20"/>
          <w:szCs w:val="20"/>
          <w:lang w:val="es-EC" w:eastAsia="en-US"/>
        </w:rPr>
        <w:t>. Elaboración propia con base en el INEC, 2023.</w:t>
      </w:r>
    </w:p>
    <w:p w14:paraId="604587FA" w14:textId="77777777" w:rsidR="00064C79" w:rsidRPr="00064C79" w:rsidRDefault="00064C79" w:rsidP="00F576A6">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lastRenderedPageBreak/>
        <w:t>El 80,50% de las personas con estudios de posgrado trabaja en local patrono, en tanto, este porcentaje es del 59,85% en el nivel superior universitario. Es decir, una mayor proporción de personas con posgrado está empleada en lugares proporcionados directamente por su empleador, refleja una mayor inserción en trabajos formales o estructurados en comparación con quienes tienen solo estudios universitarios (tabla de contingencia 9).</w:t>
      </w:r>
    </w:p>
    <w:p w14:paraId="71F521F9" w14:textId="5726E44D" w:rsidR="00064C79" w:rsidRPr="003011BC" w:rsidRDefault="00064C79" w:rsidP="003011BC">
      <w:pPr>
        <w:spacing w:after="100" w:afterAutospacing="1"/>
        <w:jc w:val="center"/>
        <w:rPr>
          <w:rFonts w:ascii="Arial" w:eastAsia="Calibri" w:hAnsi="Arial" w:cs="Arial"/>
          <w:b/>
          <w:iCs/>
          <w:sz w:val="20"/>
          <w:szCs w:val="20"/>
          <w:lang w:val="es-EC" w:eastAsia="en-US"/>
        </w:rPr>
      </w:pPr>
      <w:r w:rsidRPr="003011BC">
        <w:rPr>
          <w:rFonts w:ascii="Arial" w:eastAsia="Calibri" w:hAnsi="Arial" w:cs="Arial"/>
          <w:b/>
          <w:bCs/>
          <w:sz w:val="20"/>
          <w:szCs w:val="20"/>
          <w:lang w:val="es-EC" w:eastAsia="en-US"/>
        </w:rPr>
        <w:t>Tabla de contingencia 9</w:t>
      </w:r>
      <w:r w:rsidR="003011BC" w:rsidRPr="003011BC">
        <w:rPr>
          <w:rFonts w:ascii="Arial" w:eastAsia="Calibri" w:hAnsi="Arial" w:cs="Arial"/>
          <w:b/>
          <w:bCs/>
          <w:sz w:val="20"/>
          <w:szCs w:val="20"/>
          <w:lang w:val="es-EC" w:eastAsia="en-US"/>
        </w:rPr>
        <w:t xml:space="preserve">. </w:t>
      </w:r>
      <w:r w:rsidRPr="003011BC">
        <w:rPr>
          <w:rFonts w:ascii="Arial" w:eastAsia="Calibri" w:hAnsi="Arial" w:cs="Arial"/>
          <w:b/>
          <w:iCs/>
          <w:sz w:val="20"/>
          <w:szCs w:val="20"/>
          <w:lang w:val="es-EC" w:eastAsia="en-US"/>
        </w:rPr>
        <w:t>Nivel de instrucción - Sitio de trabajo</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547"/>
        <w:gridCol w:w="1148"/>
        <w:gridCol w:w="1296"/>
        <w:gridCol w:w="1153"/>
        <w:gridCol w:w="1151"/>
        <w:gridCol w:w="1264"/>
      </w:tblGrid>
      <w:tr w:rsidR="00064C79" w:rsidRPr="003011BC" w14:paraId="7694AFE6" w14:textId="77777777" w:rsidTr="003011BC">
        <w:trPr>
          <w:trHeight w:val="515"/>
          <w:jc w:val="center"/>
        </w:trPr>
        <w:tc>
          <w:tcPr>
            <w:tcW w:w="1626" w:type="pct"/>
            <w:gridSpan w:val="2"/>
            <w:vMerge w:val="restart"/>
            <w:shd w:val="clear" w:color="auto" w:fill="auto"/>
            <w:tcMar>
              <w:left w:w="70" w:type="dxa"/>
              <w:right w:w="70" w:type="dxa"/>
            </w:tcMar>
            <w:vAlign w:val="bottom"/>
          </w:tcPr>
          <w:p w14:paraId="64254364" w14:textId="77777777" w:rsidR="00064C79" w:rsidRPr="003011BC" w:rsidRDefault="00064C79" w:rsidP="00064C79">
            <w:pPr>
              <w:spacing w:line="276" w:lineRule="auto"/>
              <w:jc w:val="both"/>
              <w:rPr>
                <w:rFonts w:ascii="Arial" w:hAnsi="Arial" w:cs="Arial"/>
                <w:sz w:val="20"/>
                <w:szCs w:val="20"/>
                <w:lang w:val="es-EC" w:eastAsia="es-EC"/>
              </w:rPr>
            </w:pPr>
            <w:r w:rsidRPr="003011BC">
              <w:rPr>
                <w:rFonts w:ascii="Arial" w:hAnsi="Arial" w:cs="Arial"/>
                <w:sz w:val="20"/>
                <w:szCs w:val="20"/>
                <w:lang w:val="es-EC" w:eastAsia="es-EC"/>
              </w:rPr>
              <w:t> </w:t>
            </w:r>
          </w:p>
        </w:tc>
        <w:tc>
          <w:tcPr>
            <w:tcW w:w="2664" w:type="pct"/>
            <w:gridSpan w:val="4"/>
            <w:shd w:val="clear" w:color="auto" w:fill="auto"/>
            <w:tcMar>
              <w:left w:w="70" w:type="dxa"/>
              <w:right w:w="70" w:type="dxa"/>
            </w:tcMar>
            <w:vAlign w:val="center"/>
          </w:tcPr>
          <w:p w14:paraId="04974FF0" w14:textId="77777777" w:rsidR="00064C79" w:rsidRPr="003011BC" w:rsidRDefault="00064C79" w:rsidP="00064C79">
            <w:pPr>
              <w:spacing w:line="276" w:lineRule="auto"/>
              <w:jc w:val="center"/>
              <w:rPr>
                <w:rFonts w:ascii="Arial" w:hAnsi="Arial" w:cs="Arial"/>
                <w:b/>
                <w:bCs/>
                <w:sz w:val="20"/>
                <w:szCs w:val="20"/>
                <w:lang w:val="es-EC" w:eastAsia="es-EC"/>
              </w:rPr>
            </w:pPr>
            <w:r w:rsidRPr="003011BC">
              <w:rPr>
                <w:rFonts w:ascii="Arial" w:hAnsi="Arial" w:cs="Arial"/>
                <w:b/>
                <w:bCs/>
                <w:sz w:val="20"/>
                <w:szCs w:val="20"/>
                <w:lang w:val="es-EC" w:eastAsia="es-EC"/>
              </w:rPr>
              <w:t>Sitio de trabajo</w:t>
            </w:r>
          </w:p>
        </w:tc>
        <w:tc>
          <w:tcPr>
            <w:tcW w:w="710" w:type="pct"/>
            <w:vMerge w:val="restart"/>
            <w:shd w:val="clear" w:color="auto" w:fill="auto"/>
            <w:tcMar>
              <w:left w:w="70" w:type="dxa"/>
              <w:right w:w="70" w:type="dxa"/>
            </w:tcMar>
            <w:vAlign w:val="center"/>
          </w:tcPr>
          <w:p w14:paraId="3BE26049" w14:textId="77777777" w:rsidR="00064C79" w:rsidRPr="003011BC" w:rsidRDefault="00064C79" w:rsidP="00064C79">
            <w:pPr>
              <w:spacing w:line="276" w:lineRule="auto"/>
              <w:jc w:val="center"/>
              <w:rPr>
                <w:rFonts w:ascii="Arial" w:hAnsi="Arial" w:cs="Arial"/>
                <w:b/>
                <w:bCs/>
                <w:sz w:val="20"/>
                <w:szCs w:val="20"/>
                <w:lang w:val="es-EC" w:eastAsia="es-EC"/>
              </w:rPr>
            </w:pPr>
            <w:r w:rsidRPr="003011BC">
              <w:rPr>
                <w:rFonts w:ascii="Arial" w:hAnsi="Arial" w:cs="Arial"/>
                <w:b/>
                <w:bCs/>
                <w:sz w:val="20"/>
                <w:szCs w:val="20"/>
                <w:lang w:val="es-EC" w:eastAsia="es-EC"/>
              </w:rPr>
              <w:t>Total</w:t>
            </w:r>
          </w:p>
        </w:tc>
      </w:tr>
      <w:tr w:rsidR="00064C79" w:rsidRPr="003011BC" w14:paraId="061B9190" w14:textId="77777777" w:rsidTr="003011BC">
        <w:trPr>
          <w:trHeight w:val="1940"/>
          <w:jc w:val="center"/>
        </w:trPr>
        <w:tc>
          <w:tcPr>
            <w:tcW w:w="1626" w:type="pct"/>
            <w:gridSpan w:val="2"/>
            <w:vMerge/>
            <w:tcMar>
              <w:left w:w="70" w:type="dxa"/>
              <w:right w:w="70" w:type="dxa"/>
            </w:tcMar>
            <w:vAlign w:val="center"/>
          </w:tcPr>
          <w:p w14:paraId="412D1386" w14:textId="77777777" w:rsidR="00064C79" w:rsidRPr="003011BC" w:rsidRDefault="00064C79" w:rsidP="00064C79">
            <w:pPr>
              <w:spacing w:line="276" w:lineRule="auto"/>
              <w:rPr>
                <w:rFonts w:ascii="Arial" w:eastAsia="Calibri" w:hAnsi="Arial" w:cs="Arial"/>
                <w:sz w:val="20"/>
                <w:szCs w:val="20"/>
                <w:lang w:val="es-EC" w:eastAsia="en-US"/>
              </w:rPr>
            </w:pPr>
          </w:p>
        </w:tc>
        <w:tc>
          <w:tcPr>
            <w:tcW w:w="644" w:type="pct"/>
            <w:shd w:val="clear" w:color="auto" w:fill="auto"/>
            <w:tcMar>
              <w:left w:w="70" w:type="dxa"/>
              <w:right w:w="70" w:type="dxa"/>
            </w:tcMar>
            <w:vAlign w:val="center"/>
          </w:tcPr>
          <w:p w14:paraId="7952D704" w14:textId="77777777" w:rsidR="00064C79" w:rsidRPr="003011BC" w:rsidRDefault="00064C79" w:rsidP="00064C79">
            <w:pPr>
              <w:spacing w:line="276" w:lineRule="auto"/>
              <w:jc w:val="center"/>
              <w:rPr>
                <w:rFonts w:ascii="Arial" w:hAnsi="Arial" w:cs="Arial"/>
                <w:b/>
                <w:bCs/>
                <w:sz w:val="20"/>
                <w:szCs w:val="20"/>
                <w:lang w:val="es-EC" w:eastAsia="es-EC"/>
              </w:rPr>
            </w:pPr>
            <w:r w:rsidRPr="003011BC">
              <w:rPr>
                <w:rFonts w:ascii="Arial" w:hAnsi="Arial" w:cs="Arial"/>
                <w:b/>
                <w:bCs/>
                <w:sz w:val="20"/>
                <w:szCs w:val="20"/>
                <w:lang w:val="es-EC" w:eastAsia="es-EC"/>
              </w:rPr>
              <w:t>Local patrono</w:t>
            </w:r>
          </w:p>
        </w:tc>
        <w:tc>
          <w:tcPr>
            <w:tcW w:w="727" w:type="pct"/>
            <w:shd w:val="clear" w:color="auto" w:fill="auto"/>
            <w:tcMar>
              <w:left w:w="70" w:type="dxa"/>
              <w:right w:w="70" w:type="dxa"/>
            </w:tcMar>
            <w:vAlign w:val="center"/>
          </w:tcPr>
          <w:p w14:paraId="7A0F9E66" w14:textId="77777777" w:rsidR="00064C79" w:rsidRPr="003011BC" w:rsidRDefault="00064C79" w:rsidP="00064C79">
            <w:pPr>
              <w:spacing w:line="276" w:lineRule="auto"/>
              <w:jc w:val="center"/>
              <w:rPr>
                <w:rFonts w:ascii="Arial" w:hAnsi="Arial" w:cs="Arial"/>
                <w:b/>
                <w:bCs/>
                <w:sz w:val="20"/>
                <w:szCs w:val="20"/>
                <w:lang w:val="es-EC" w:eastAsia="es-EC"/>
              </w:rPr>
            </w:pPr>
            <w:r w:rsidRPr="003011BC">
              <w:rPr>
                <w:rFonts w:ascii="Arial" w:hAnsi="Arial" w:cs="Arial"/>
                <w:b/>
                <w:bCs/>
                <w:sz w:val="20"/>
                <w:szCs w:val="20"/>
                <w:lang w:val="es-EC" w:eastAsia="es-EC"/>
              </w:rPr>
              <w:t>Local propio o arrendado</w:t>
            </w:r>
          </w:p>
        </w:tc>
        <w:tc>
          <w:tcPr>
            <w:tcW w:w="647" w:type="pct"/>
            <w:shd w:val="clear" w:color="auto" w:fill="auto"/>
            <w:tcMar>
              <w:left w:w="70" w:type="dxa"/>
              <w:right w:w="70" w:type="dxa"/>
            </w:tcMar>
            <w:vAlign w:val="center"/>
          </w:tcPr>
          <w:p w14:paraId="443CA943" w14:textId="77777777" w:rsidR="00064C79" w:rsidRPr="003011BC" w:rsidRDefault="00064C79" w:rsidP="00064C79">
            <w:pPr>
              <w:spacing w:line="276" w:lineRule="auto"/>
              <w:jc w:val="center"/>
              <w:rPr>
                <w:rFonts w:ascii="Arial" w:hAnsi="Arial" w:cs="Arial"/>
                <w:b/>
                <w:bCs/>
                <w:sz w:val="20"/>
                <w:szCs w:val="20"/>
                <w:lang w:val="es-EC" w:eastAsia="es-EC"/>
              </w:rPr>
            </w:pPr>
            <w:r w:rsidRPr="003011BC">
              <w:rPr>
                <w:rFonts w:ascii="Arial" w:hAnsi="Arial" w:cs="Arial"/>
                <w:b/>
                <w:bCs/>
                <w:sz w:val="20"/>
                <w:szCs w:val="20"/>
                <w:lang w:val="es-EC" w:eastAsia="es-EC"/>
              </w:rPr>
              <w:t>Su vivienda o vivienda distinta a la suya</w:t>
            </w:r>
          </w:p>
        </w:tc>
        <w:tc>
          <w:tcPr>
            <w:tcW w:w="645" w:type="pct"/>
            <w:shd w:val="clear" w:color="auto" w:fill="auto"/>
            <w:tcMar>
              <w:left w:w="70" w:type="dxa"/>
              <w:right w:w="70" w:type="dxa"/>
            </w:tcMar>
            <w:vAlign w:val="center"/>
          </w:tcPr>
          <w:p w14:paraId="66365311" w14:textId="77777777" w:rsidR="00064C79" w:rsidRPr="003011BC" w:rsidRDefault="00064C79" w:rsidP="00064C79">
            <w:pPr>
              <w:spacing w:line="276" w:lineRule="auto"/>
              <w:jc w:val="center"/>
              <w:rPr>
                <w:rFonts w:ascii="Arial" w:hAnsi="Arial" w:cs="Arial"/>
                <w:b/>
                <w:bCs/>
                <w:sz w:val="20"/>
                <w:szCs w:val="20"/>
                <w:lang w:val="es-EC" w:eastAsia="es-EC"/>
              </w:rPr>
            </w:pPr>
            <w:r w:rsidRPr="003011BC">
              <w:rPr>
                <w:rFonts w:ascii="Arial" w:hAnsi="Arial" w:cs="Arial"/>
                <w:b/>
                <w:bCs/>
                <w:sz w:val="20"/>
                <w:szCs w:val="20"/>
                <w:lang w:val="es-EC" w:eastAsia="es-EC"/>
              </w:rPr>
              <w:t>Otro</w:t>
            </w:r>
          </w:p>
        </w:tc>
        <w:tc>
          <w:tcPr>
            <w:tcW w:w="710" w:type="pct"/>
            <w:vMerge/>
            <w:tcMar>
              <w:left w:w="70" w:type="dxa"/>
              <w:right w:w="70" w:type="dxa"/>
            </w:tcMar>
            <w:vAlign w:val="center"/>
          </w:tcPr>
          <w:p w14:paraId="4D1DAA50" w14:textId="77777777" w:rsidR="00064C79" w:rsidRPr="003011BC" w:rsidRDefault="00064C79" w:rsidP="00064C79">
            <w:pPr>
              <w:spacing w:line="276" w:lineRule="auto"/>
              <w:rPr>
                <w:rFonts w:ascii="Arial" w:eastAsia="Calibri" w:hAnsi="Arial" w:cs="Arial"/>
                <w:sz w:val="20"/>
                <w:szCs w:val="20"/>
                <w:lang w:val="es-EC" w:eastAsia="en-US"/>
              </w:rPr>
            </w:pPr>
          </w:p>
        </w:tc>
      </w:tr>
      <w:tr w:rsidR="00064C79" w:rsidRPr="003011BC" w14:paraId="5C27DD83" w14:textId="77777777" w:rsidTr="003011BC">
        <w:trPr>
          <w:trHeight w:val="515"/>
          <w:jc w:val="center"/>
        </w:trPr>
        <w:tc>
          <w:tcPr>
            <w:tcW w:w="759" w:type="pct"/>
            <w:vMerge w:val="restart"/>
            <w:shd w:val="clear" w:color="auto" w:fill="auto"/>
            <w:tcMar>
              <w:left w:w="70" w:type="dxa"/>
              <w:right w:w="70" w:type="dxa"/>
            </w:tcMar>
            <w:vAlign w:val="center"/>
          </w:tcPr>
          <w:p w14:paraId="6AABF443" w14:textId="77777777" w:rsidR="00064C79" w:rsidRPr="003011BC" w:rsidRDefault="00064C79" w:rsidP="00064C79">
            <w:pPr>
              <w:spacing w:line="276" w:lineRule="auto"/>
              <w:jc w:val="center"/>
              <w:rPr>
                <w:rFonts w:ascii="Arial" w:hAnsi="Arial" w:cs="Arial"/>
                <w:b/>
                <w:bCs/>
                <w:sz w:val="20"/>
                <w:szCs w:val="20"/>
                <w:lang w:val="es-EC" w:eastAsia="es-EC"/>
              </w:rPr>
            </w:pPr>
            <w:r w:rsidRPr="003011BC">
              <w:rPr>
                <w:rFonts w:ascii="Arial" w:hAnsi="Arial" w:cs="Arial"/>
                <w:b/>
                <w:bCs/>
                <w:sz w:val="20"/>
                <w:szCs w:val="20"/>
                <w:lang w:val="es-EC" w:eastAsia="es-EC"/>
              </w:rPr>
              <w:t>Nivel de instrucción</w:t>
            </w:r>
          </w:p>
        </w:tc>
        <w:tc>
          <w:tcPr>
            <w:tcW w:w="868" w:type="pct"/>
            <w:vMerge w:val="restart"/>
            <w:shd w:val="clear" w:color="auto" w:fill="auto"/>
            <w:tcMar>
              <w:left w:w="70" w:type="dxa"/>
              <w:right w:w="70" w:type="dxa"/>
            </w:tcMar>
            <w:vAlign w:val="center"/>
          </w:tcPr>
          <w:p w14:paraId="61C69BF5" w14:textId="77777777" w:rsidR="00064C79" w:rsidRPr="003011BC" w:rsidRDefault="00064C79" w:rsidP="00064C79">
            <w:pPr>
              <w:spacing w:line="276" w:lineRule="auto"/>
              <w:jc w:val="center"/>
              <w:rPr>
                <w:rFonts w:ascii="Arial" w:hAnsi="Arial" w:cs="Arial"/>
                <w:b/>
                <w:bCs/>
                <w:sz w:val="20"/>
                <w:szCs w:val="20"/>
                <w:lang w:val="es-EC" w:eastAsia="es-EC"/>
              </w:rPr>
            </w:pPr>
            <w:r w:rsidRPr="003011BC">
              <w:rPr>
                <w:rFonts w:ascii="Arial" w:hAnsi="Arial" w:cs="Arial"/>
                <w:b/>
                <w:bCs/>
                <w:sz w:val="20"/>
                <w:szCs w:val="20"/>
                <w:lang w:val="es-EC" w:eastAsia="es-EC"/>
              </w:rPr>
              <w:t>Superior Universitario</w:t>
            </w:r>
          </w:p>
        </w:tc>
        <w:tc>
          <w:tcPr>
            <w:tcW w:w="644" w:type="pct"/>
            <w:shd w:val="clear" w:color="auto" w:fill="auto"/>
            <w:tcMar>
              <w:left w:w="70" w:type="dxa"/>
              <w:right w:w="70" w:type="dxa"/>
            </w:tcMar>
          </w:tcPr>
          <w:p w14:paraId="1B59FC3E"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660.988</w:t>
            </w:r>
          </w:p>
        </w:tc>
        <w:tc>
          <w:tcPr>
            <w:tcW w:w="727" w:type="pct"/>
            <w:shd w:val="clear" w:color="auto" w:fill="auto"/>
            <w:tcMar>
              <w:left w:w="70" w:type="dxa"/>
              <w:right w:w="70" w:type="dxa"/>
            </w:tcMar>
          </w:tcPr>
          <w:p w14:paraId="662EA220"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138.916</w:t>
            </w:r>
          </w:p>
        </w:tc>
        <w:tc>
          <w:tcPr>
            <w:tcW w:w="647" w:type="pct"/>
            <w:shd w:val="clear" w:color="auto" w:fill="auto"/>
            <w:tcMar>
              <w:left w:w="70" w:type="dxa"/>
              <w:right w:w="70" w:type="dxa"/>
            </w:tcMar>
          </w:tcPr>
          <w:p w14:paraId="260E8A08"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197.245</w:t>
            </w:r>
          </w:p>
        </w:tc>
        <w:tc>
          <w:tcPr>
            <w:tcW w:w="645" w:type="pct"/>
            <w:shd w:val="clear" w:color="auto" w:fill="auto"/>
            <w:tcMar>
              <w:left w:w="70" w:type="dxa"/>
              <w:right w:w="70" w:type="dxa"/>
            </w:tcMar>
          </w:tcPr>
          <w:p w14:paraId="16D217AC"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107.266</w:t>
            </w:r>
          </w:p>
        </w:tc>
        <w:tc>
          <w:tcPr>
            <w:tcW w:w="710" w:type="pct"/>
            <w:shd w:val="clear" w:color="auto" w:fill="auto"/>
            <w:tcMar>
              <w:left w:w="70" w:type="dxa"/>
              <w:right w:w="70" w:type="dxa"/>
            </w:tcMar>
          </w:tcPr>
          <w:p w14:paraId="14E2CEE5"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1.104.415</w:t>
            </w:r>
          </w:p>
        </w:tc>
      </w:tr>
      <w:tr w:rsidR="00064C79" w:rsidRPr="003011BC" w14:paraId="12EB3192" w14:textId="77777777" w:rsidTr="003011BC">
        <w:trPr>
          <w:trHeight w:val="515"/>
          <w:jc w:val="center"/>
        </w:trPr>
        <w:tc>
          <w:tcPr>
            <w:tcW w:w="759" w:type="pct"/>
            <w:vMerge/>
            <w:tcMar>
              <w:left w:w="70" w:type="dxa"/>
              <w:right w:w="70" w:type="dxa"/>
            </w:tcMar>
            <w:vAlign w:val="center"/>
          </w:tcPr>
          <w:p w14:paraId="0069DEE2" w14:textId="77777777" w:rsidR="00064C79" w:rsidRPr="003011BC" w:rsidRDefault="00064C79" w:rsidP="00064C79">
            <w:pPr>
              <w:spacing w:line="276" w:lineRule="auto"/>
              <w:jc w:val="center"/>
              <w:rPr>
                <w:rFonts w:ascii="Arial" w:eastAsia="Calibri" w:hAnsi="Arial" w:cs="Arial"/>
                <w:b/>
                <w:bCs/>
                <w:sz w:val="20"/>
                <w:szCs w:val="20"/>
                <w:lang w:val="es-EC" w:eastAsia="en-US"/>
              </w:rPr>
            </w:pPr>
          </w:p>
        </w:tc>
        <w:tc>
          <w:tcPr>
            <w:tcW w:w="868" w:type="pct"/>
            <w:vMerge/>
            <w:tcMar>
              <w:left w:w="70" w:type="dxa"/>
              <w:right w:w="70" w:type="dxa"/>
            </w:tcMar>
            <w:vAlign w:val="center"/>
          </w:tcPr>
          <w:p w14:paraId="789833FA" w14:textId="77777777" w:rsidR="00064C79" w:rsidRPr="003011BC" w:rsidRDefault="00064C79" w:rsidP="00064C79">
            <w:pPr>
              <w:spacing w:line="276" w:lineRule="auto"/>
              <w:jc w:val="center"/>
              <w:rPr>
                <w:rFonts w:ascii="Arial" w:eastAsia="Calibri" w:hAnsi="Arial" w:cs="Arial"/>
                <w:b/>
                <w:bCs/>
                <w:sz w:val="20"/>
                <w:szCs w:val="20"/>
                <w:lang w:val="es-EC" w:eastAsia="en-US"/>
              </w:rPr>
            </w:pPr>
          </w:p>
        </w:tc>
        <w:tc>
          <w:tcPr>
            <w:tcW w:w="644" w:type="pct"/>
            <w:shd w:val="clear" w:color="auto" w:fill="auto"/>
            <w:tcMar>
              <w:left w:w="70" w:type="dxa"/>
              <w:right w:w="70" w:type="dxa"/>
            </w:tcMar>
          </w:tcPr>
          <w:p w14:paraId="020F00A7"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59,85%</w:t>
            </w:r>
          </w:p>
        </w:tc>
        <w:tc>
          <w:tcPr>
            <w:tcW w:w="727" w:type="pct"/>
            <w:shd w:val="clear" w:color="auto" w:fill="auto"/>
            <w:tcMar>
              <w:left w:w="70" w:type="dxa"/>
              <w:right w:w="70" w:type="dxa"/>
            </w:tcMar>
          </w:tcPr>
          <w:p w14:paraId="1498A7B7"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12,58%</w:t>
            </w:r>
          </w:p>
        </w:tc>
        <w:tc>
          <w:tcPr>
            <w:tcW w:w="647" w:type="pct"/>
            <w:shd w:val="clear" w:color="auto" w:fill="auto"/>
            <w:tcMar>
              <w:left w:w="70" w:type="dxa"/>
              <w:right w:w="70" w:type="dxa"/>
            </w:tcMar>
          </w:tcPr>
          <w:p w14:paraId="3F66CEEE"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17,86%</w:t>
            </w:r>
          </w:p>
        </w:tc>
        <w:tc>
          <w:tcPr>
            <w:tcW w:w="645" w:type="pct"/>
            <w:shd w:val="clear" w:color="auto" w:fill="auto"/>
            <w:tcMar>
              <w:left w:w="70" w:type="dxa"/>
              <w:right w:w="70" w:type="dxa"/>
            </w:tcMar>
          </w:tcPr>
          <w:p w14:paraId="661D5AD3"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9,71%</w:t>
            </w:r>
          </w:p>
        </w:tc>
        <w:tc>
          <w:tcPr>
            <w:tcW w:w="710" w:type="pct"/>
            <w:shd w:val="clear" w:color="auto" w:fill="auto"/>
            <w:tcMar>
              <w:left w:w="70" w:type="dxa"/>
              <w:right w:w="70" w:type="dxa"/>
            </w:tcMar>
          </w:tcPr>
          <w:p w14:paraId="0F322CBE"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100,00%</w:t>
            </w:r>
          </w:p>
        </w:tc>
      </w:tr>
      <w:tr w:rsidR="00064C79" w:rsidRPr="003011BC" w14:paraId="5683DA76" w14:textId="77777777" w:rsidTr="003011BC">
        <w:trPr>
          <w:trHeight w:val="515"/>
          <w:jc w:val="center"/>
        </w:trPr>
        <w:tc>
          <w:tcPr>
            <w:tcW w:w="759" w:type="pct"/>
            <w:vMerge/>
            <w:tcMar>
              <w:left w:w="70" w:type="dxa"/>
              <w:right w:w="70" w:type="dxa"/>
            </w:tcMar>
            <w:vAlign w:val="center"/>
          </w:tcPr>
          <w:p w14:paraId="63D95886" w14:textId="77777777" w:rsidR="00064C79" w:rsidRPr="003011BC" w:rsidRDefault="00064C79" w:rsidP="00064C79">
            <w:pPr>
              <w:spacing w:line="276" w:lineRule="auto"/>
              <w:jc w:val="center"/>
              <w:rPr>
                <w:rFonts w:ascii="Arial" w:eastAsia="Calibri" w:hAnsi="Arial" w:cs="Arial"/>
                <w:b/>
                <w:bCs/>
                <w:sz w:val="20"/>
                <w:szCs w:val="20"/>
                <w:lang w:val="es-EC" w:eastAsia="en-US"/>
              </w:rPr>
            </w:pPr>
          </w:p>
        </w:tc>
        <w:tc>
          <w:tcPr>
            <w:tcW w:w="868" w:type="pct"/>
            <w:vMerge w:val="restart"/>
            <w:shd w:val="clear" w:color="auto" w:fill="auto"/>
            <w:tcMar>
              <w:left w:w="70" w:type="dxa"/>
              <w:right w:w="70" w:type="dxa"/>
            </w:tcMar>
            <w:vAlign w:val="center"/>
          </w:tcPr>
          <w:p w14:paraId="2425E625" w14:textId="77777777" w:rsidR="00064C79" w:rsidRPr="003011BC" w:rsidRDefault="00064C79" w:rsidP="00064C79">
            <w:pPr>
              <w:spacing w:line="276" w:lineRule="auto"/>
              <w:jc w:val="center"/>
              <w:rPr>
                <w:rFonts w:ascii="Arial" w:hAnsi="Arial" w:cs="Arial"/>
                <w:b/>
                <w:bCs/>
                <w:sz w:val="20"/>
                <w:szCs w:val="20"/>
                <w:lang w:val="es-EC" w:eastAsia="es-EC"/>
              </w:rPr>
            </w:pPr>
            <w:r w:rsidRPr="003011BC">
              <w:rPr>
                <w:rFonts w:ascii="Arial" w:hAnsi="Arial" w:cs="Arial"/>
                <w:b/>
                <w:bCs/>
                <w:sz w:val="20"/>
                <w:szCs w:val="20"/>
                <w:lang w:val="es-EC" w:eastAsia="es-EC"/>
              </w:rPr>
              <w:t>Posgrado</w:t>
            </w:r>
          </w:p>
        </w:tc>
        <w:tc>
          <w:tcPr>
            <w:tcW w:w="644" w:type="pct"/>
            <w:shd w:val="clear" w:color="auto" w:fill="auto"/>
            <w:tcMar>
              <w:left w:w="70" w:type="dxa"/>
              <w:right w:w="70" w:type="dxa"/>
            </w:tcMar>
          </w:tcPr>
          <w:p w14:paraId="5CFAEEA2"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136.623</w:t>
            </w:r>
          </w:p>
        </w:tc>
        <w:tc>
          <w:tcPr>
            <w:tcW w:w="727" w:type="pct"/>
            <w:shd w:val="clear" w:color="auto" w:fill="auto"/>
            <w:tcMar>
              <w:left w:w="70" w:type="dxa"/>
              <w:right w:w="70" w:type="dxa"/>
            </w:tcMar>
          </w:tcPr>
          <w:p w14:paraId="21A1AAD9"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15.977</w:t>
            </w:r>
          </w:p>
        </w:tc>
        <w:tc>
          <w:tcPr>
            <w:tcW w:w="647" w:type="pct"/>
            <w:shd w:val="clear" w:color="auto" w:fill="auto"/>
            <w:tcMar>
              <w:left w:w="70" w:type="dxa"/>
              <w:right w:w="70" w:type="dxa"/>
            </w:tcMar>
          </w:tcPr>
          <w:p w14:paraId="5224132F"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15.034</w:t>
            </w:r>
          </w:p>
        </w:tc>
        <w:tc>
          <w:tcPr>
            <w:tcW w:w="645" w:type="pct"/>
            <w:shd w:val="clear" w:color="auto" w:fill="auto"/>
            <w:tcMar>
              <w:left w:w="70" w:type="dxa"/>
              <w:right w:w="70" w:type="dxa"/>
            </w:tcMar>
          </w:tcPr>
          <w:p w14:paraId="4D00CF6F"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2.090</w:t>
            </w:r>
          </w:p>
        </w:tc>
        <w:tc>
          <w:tcPr>
            <w:tcW w:w="710" w:type="pct"/>
            <w:shd w:val="clear" w:color="auto" w:fill="auto"/>
            <w:tcMar>
              <w:left w:w="70" w:type="dxa"/>
              <w:right w:w="70" w:type="dxa"/>
            </w:tcMar>
          </w:tcPr>
          <w:p w14:paraId="3322BB9A"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169.724</w:t>
            </w:r>
          </w:p>
        </w:tc>
      </w:tr>
      <w:tr w:rsidR="00064C79" w:rsidRPr="003011BC" w14:paraId="3EE3631A" w14:textId="77777777" w:rsidTr="003011BC">
        <w:trPr>
          <w:trHeight w:val="515"/>
          <w:jc w:val="center"/>
        </w:trPr>
        <w:tc>
          <w:tcPr>
            <w:tcW w:w="759" w:type="pct"/>
            <w:vMerge/>
            <w:tcMar>
              <w:left w:w="70" w:type="dxa"/>
              <w:right w:w="70" w:type="dxa"/>
            </w:tcMar>
            <w:vAlign w:val="center"/>
          </w:tcPr>
          <w:p w14:paraId="1B60C0B4" w14:textId="77777777" w:rsidR="00064C79" w:rsidRPr="003011BC" w:rsidRDefault="00064C79" w:rsidP="00064C79">
            <w:pPr>
              <w:spacing w:line="276" w:lineRule="auto"/>
              <w:jc w:val="center"/>
              <w:rPr>
                <w:rFonts w:ascii="Arial" w:eastAsia="Calibri" w:hAnsi="Arial" w:cs="Arial"/>
                <w:b/>
                <w:bCs/>
                <w:sz w:val="20"/>
                <w:szCs w:val="20"/>
                <w:lang w:val="es-EC" w:eastAsia="en-US"/>
              </w:rPr>
            </w:pPr>
          </w:p>
        </w:tc>
        <w:tc>
          <w:tcPr>
            <w:tcW w:w="868" w:type="pct"/>
            <w:vMerge/>
            <w:tcMar>
              <w:left w:w="70" w:type="dxa"/>
              <w:right w:w="70" w:type="dxa"/>
            </w:tcMar>
            <w:vAlign w:val="center"/>
          </w:tcPr>
          <w:p w14:paraId="69CD7914" w14:textId="77777777" w:rsidR="00064C79" w:rsidRPr="003011BC" w:rsidRDefault="00064C79" w:rsidP="00064C79">
            <w:pPr>
              <w:spacing w:line="276" w:lineRule="auto"/>
              <w:jc w:val="center"/>
              <w:rPr>
                <w:rFonts w:ascii="Arial" w:eastAsia="Calibri" w:hAnsi="Arial" w:cs="Arial"/>
                <w:b/>
                <w:bCs/>
                <w:sz w:val="20"/>
                <w:szCs w:val="20"/>
                <w:lang w:val="es-EC" w:eastAsia="en-US"/>
              </w:rPr>
            </w:pPr>
          </w:p>
        </w:tc>
        <w:tc>
          <w:tcPr>
            <w:tcW w:w="644" w:type="pct"/>
            <w:shd w:val="clear" w:color="auto" w:fill="auto"/>
            <w:tcMar>
              <w:left w:w="70" w:type="dxa"/>
              <w:right w:w="70" w:type="dxa"/>
            </w:tcMar>
          </w:tcPr>
          <w:p w14:paraId="0AAADD3E"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80,50%</w:t>
            </w:r>
          </w:p>
        </w:tc>
        <w:tc>
          <w:tcPr>
            <w:tcW w:w="727" w:type="pct"/>
            <w:shd w:val="clear" w:color="auto" w:fill="auto"/>
            <w:tcMar>
              <w:left w:w="70" w:type="dxa"/>
              <w:right w:w="70" w:type="dxa"/>
            </w:tcMar>
          </w:tcPr>
          <w:p w14:paraId="57F6595B"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9,41%</w:t>
            </w:r>
          </w:p>
        </w:tc>
        <w:tc>
          <w:tcPr>
            <w:tcW w:w="647" w:type="pct"/>
            <w:shd w:val="clear" w:color="auto" w:fill="auto"/>
            <w:tcMar>
              <w:left w:w="70" w:type="dxa"/>
              <w:right w:w="70" w:type="dxa"/>
            </w:tcMar>
          </w:tcPr>
          <w:p w14:paraId="20CEDCFD"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8,86%</w:t>
            </w:r>
          </w:p>
        </w:tc>
        <w:tc>
          <w:tcPr>
            <w:tcW w:w="645" w:type="pct"/>
            <w:shd w:val="clear" w:color="auto" w:fill="auto"/>
            <w:tcMar>
              <w:left w:w="70" w:type="dxa"/>
              <w:right w:w="70" w:type="dxa"/>
            </w:tcMar>
          </w:tcPr>
          <w:p w14:paraId="3B00A316"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1,23%</w:t>
            </w:r>
          </w:p>
        </w:tc>
        <w:tc>
          <w:tcPr>
            <w:tcW w:w="710" w:type="pct"/>
            <w:shd w:val="clear" w:color="auto" w:fill="auto"/>
            <w:tcMar>
              <w:left w:w="70" w:type="dxa"/>
              <w:right w:w="70" w:type="dxa"/>
            </w:tcMar>
          </w:tcPr>
          <w:p w14:paraId="227D6048"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100,00%</w:t>
            </w:r>
          </w:p>
        </w:tc>
      </w:tr>
      <w:tr w:rsidR="00064C79" w:rsidRPr="003011BC" w14:paraId="56F4293B" w14:textId="77777777" w:rsidTr="003011BC">
        <w:trPr>
          <w:trHeight w:val="515"/>
          <w:jc w:val="center"/>
        </w:trPr>
        <w:tc>
          <w:tcPr>
            <w:tcW w:w="1626" w:type="pct"/>
            <w:gridSpan w:val="2"/>
            <w:vMerge w:val="restart"/>
            <w:shd w:val="clear" w:color="auto" w:fill="auto"/>
            <w:tcMar>
              <w:left w:w="70" w:type="dxa"/>
              <w:right w:w="70" w:type="dxa"/>
            </w:tcMar>
            <w:vAlign w:val="center"/>
          </w:tcPr>
          <w:p w14:paraId="345DB815" w14:textId="77777777" w:rsidR="00064C79" w:rsidRPr="003011BC" w:rsidRDefault="00064C79" w:rsidP="00064C79">
            <w:pPr>
              <w:spacing w:line="276" w:lineRule="auto"/>
              <w:jc w:val="center"/>
              <w:rPr>
                <w:rFonts w:ascii="Arial" w:hAnsi="Arial" w:cs="Arial"/>
                <w:b/>
                <w:bCs/>
                <w:sz w:val="20"/>
                <w:szCs w:val="20"/>
                <w:lang w:val="es-EC" w:eastAsia="es-EC"/>
              </w:rPr>
            </w:pPr>
            <w:r w:rsidRPr="003011BC">
              <w:rPr>
                <w:rFonts w:ascii="Arial" w:hAnsi="Arial" w:cs="Arial"/>
                <w:b/>
                <w:bCs/>
                <w:sz w:val="20"/>
                <w:szCs w:val="20"/>
                <w:lang w:val="es-EC" w:eastAsia="es-EC"/>
              </w:rPr>
              <w:t>Total</w:t>
            </w:r>
          </w:p>
        </w:tc>
        <w:tc>
          <w:tcPr>
            <w:tcW w:w="644" w:type="pct"/>
            <w:shd w:val="clear" w:color="auto" w:fill="auto"/>
            <w:tcMar>
              <w:left w:w="70" w:type="dxa"/>
              <w:right w:w="70" w:type="dxa"/>
            </w:tcMar>
          </w:tcPr>
          <w:p w14:paraId="0A6BDD17"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797.611</w:t>
            </w:r>
          </w:p>
        </w:tc>
        <w:tc>
          <w:tcPr>
            <w:tcW w:w="727" w:type="pct"/>
            <w:shd w:val="clear" w:color="auto" w:fill="auto"/>
            <w:tcMar>
              <w:left w:w="70" w:type="dxa"/>
              <w:right w:w="70" w:type="dxa"/>
            </w:tcMar>
          </w:tcPr>
          <w:p w14:paraId="670D7E90"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154.893</w:t>
            </w:r>
          </w:p>
        </w:tc>
        <w:tc>
          <w:tcPr>
            <w:tcW w:w="647" w:type="pct"/>
            <w:shd w:val="clear" w:color="auto" w:fill="auto"/>
            <w:tcMar>
              <w:left w:w="70" w:type="dxa"/>
              <w:right w:w="70" w:type="dxa"/>
            </w:tcMar>
          </w:tcPr>
          <w:p w14:paraId="0BBD57E5"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212.279</w:t>
            </w:r>
          </w:p>
        </w:tc>
        <w:tc>
          <w:tcPr>
            <w:tcW w:w="645" w:type="pct"/>
            <w:shd w:val="clear" w:color="auto" w:fill="auto"/>
            <w:tcMar>
              <w:left w:w="70" w:type="dxa"/>
              <w:right w:w="70" w:type="dxa"/>
            </w:tcMar>
          </w:tcPr>
          <w:p w14:paraId="79E1B026"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109.356</w:t>
            </w:r>
          </w:p>
        </w:tc>
        <w:tc>
          <w:tcPr>
            <w:tcW w:w="710" w:type="pct"/>
            <w:shd w:val="clear" w:color="auto" w:fill="auto"/>
            <w:tcMar>
              <w:left w:w="70" w:type="dxa"/>
              <w:right w:w="70" w:type="dxa"/>
            </w:tcMar>
          </w:tcPr>
          <w:p w14:paraId="622F9857"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1.274.139</w:t>
            </w:r>
          </w:p>
        </w:tc>
      </w:tr>
      <w:tr w:rsidR="00064C79" w:rsidRPr="003011BC" w14:paraId="45569CD9" w14:textId="77777777" w:rsidTr="003011BC">
        <w:trPr>
          <w:trHeight w:val="515"/>
          <w:jc w:val="center"/>
        </w:trPr>
        <w:tc>
          <w:tcPr>
            <w:tcW w:w="1626" w:type="pct"/>
            <w:gridSpan w:val="2"/>
            <w:vMerge/>
            <w:tcMar>
              <w:left w:w="70" w:type="dxa"/>
              <w:right w:w="70" w:type="dxa"/>
            </w:tcMar>
            <w:vAlign w:val="center"/>
          </w:tcPr>
          <w:p w14:paraId="6FDE9E4A" w14:textId="77777777" w:rsidR="00064C79" w:rsidRPr="003011BC" w:rsidRDefault="00064C79" w:rsidP="00064C79">
            <w:pPr>
              <w:spacing w:line="276" w:lineRule="auto"/>
              <w:rPr>
                <w:rFonts w:ascii="Arial" w:eastAsia="Calibri" w:hAnsi="Arial" w:cs="Arial"/>
                <w:sz w:val="20"/>
                <w:szCs w:val="20"/>
                <w:lang w:val="es-EC" w:eastAsia="en-US"/>
              </w:rPr>
            </w:pPr>
          </w:p>
        </w:tc>
        <w:tc>
          <w:tcPr>
            <w:tcW w:w="644" w:type="pct"/>
            <w:shd w:val="clear" w:color="auto" w:fill="auto"/>
            <w:tcMar>
              <w:left w:w="70" w:type="dxa"/>
              <w:right w:w="70" w:type="dxa"/>
            </w:tcMar>
          </w:tcPr>
          <w:p w14:paraId="4A6B5F43"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62,60%</w:t>
            </w:r>
          </w:p>
        </w:tc>
        <w:tc>
          <w:tcPr>
            <w:tcW w:w="727" w:type="pct"/>
            <w:shd w:val="clear" w:color="auto" w:fill="auto"/>
            <w:tcMar>
              <w:left w:w="70" w:type="dxa"/>
              <w:right w:w="70" w:type="dxa"/>
            </w:tcMar>
          </w:tcPr>
          <w:p w14:paraId="14327A37"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12,16%</w:t>
            </w:r>
          </w:p>
        </w:tc>
        <w:tc>
          <w:tcPr>
            <w:tcW w:w="647" w:type="pct"/>
            <w:shd w:val="clear" w:color="auto" w:fill="auto"/>
            <w:tcMar>
              <w:left w:w="70" w:type="dxa"/>
              <w:right w:w="70" w:type="dxa"/>
            </w:tcMar>
          </w:tcPr>
          <w:p w14:paraId="6F874088"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16,66%</w:t>
            </w:r>
          </w:p>
        </w:tc>
        <w:tc>
          <w:tcPr>
            <w:tcW w:w="645" w:type="pct"/>
            <w:shd w:val="clear" w:color="auto" w:fill="auto"/>
            <w:tcMar>
              <w:left w:w="70" w:type="dxa"/>
              <w:right w:w="70" w:type="dxa"/>
            </w:tcMar>
          </w:tcPr>
          <w:p w14:paraId="32C39638"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8,58%</w:t>
            </w:r>
          </w:p>
        </w:tc>
        <w:tc>
          <w:tcPr>
            <w:tcW w:w="710" w:type="pct"/>
            <w:shd w:val="clear" w:color="auto" w:fill="auto"/>
            <w:tcMar>
              <w:left w:w="70" w:type="dxa"/>
              <w:right w:w="70" w:type="dxa"/>
            </w:tcMar>
          </w:tcPr>
          <w:p w14:paraId="1466C314" w14:textId="77777777" w:rsidR="00064C79" w:rsidRPr="003011BC" w:rsidRDefault="00064C79" w:rsidP="00064C79">
            <w:pPr>
              <w:spacing w:line="276" w:lineRule="auto"/>
              <w:jc w:val="center"/>
              <w:rPr>
                <w:rFonts w:ascii="Arial" w:hAnsi="Arial" w:cs="Arial"/>
                <w:sz w:val="20"/>
                <w:szCs w:val="20"/>
                <w:lang w:val="es-EC" w:eastAsia="es-EC"/>
              </w:rPr>
            </w:pPr>
            <w:r w:rsidRPr="003011BC">
              <w:rPr>
                <w:rFonts w:ascii="Arial" w:hAnsi="Arial" w:cs="Arial"/>
                <w:sz w:val="20"/>
                <w:szCs w:val="20"/>
                <w:lang w:val="es-EC" w:eastAsia="es-EC"/>
              </w:rPr>
              <w:t>100,00%</w:t>
            </w:r>
          </w:p>
        </w:tc>
      </w:tr>
    </w:tbl>
    <w:p w14:paraId="26CC0EB8" w14:textId="77777777" w:rsidR="00064C79" w:rsidRPr="003011BC" w:rsidRDefault="00064C79" w:rsidP="00064C79">
      <w:pPr>
        <w:spacing w:line="360" w:lineRule="auto"/>
        <w:jc w:val="both"/>
        <w:rPr>
          <w:rFonts w:ascii="Arial" w:eastAsia="Calibri" w:hAnsi="Arial" w:cs="Arial"/>
          <w:spacing w:val="-1"/>
          <w:sz w:val="20"/>
          <w:szCs w:val="20"/>
          <w:lang w:val="es-EC" w:eastAsia="en-US"/>
        </w:rPr>
      </w:pPr>
      <w:r w:rsidRPr="003011BC">
        <w:rPr>
          <w:rFonts w:ascii="Arial" w:eastAsia="Calibri" w:hAnsi="Arial" w:cs="Arial"/>
          <w:iCs/>
          <w:spacing w:val="-1"/>
          <w:sz w:val="20"/>
          <w:szCs w:val="20"/>
          <w:lang w:val="es-EC" w:eastAsia="en-US"/>
        </w:rPr>
        <w:t>Nota</w:t>
      </w:r>
      <w:r w:rsidRPr="003011BC">
        <w:rPr>
          <w:rFonts w:ascii="Arial" w:eastAsia="Calibri" w:hAnsi="Arial" w:cs="Arial"/>
          <w:spacing w:val="-1"/>
          <w:sz w:val="20"/>
          <w:szCs w:val="20"/>
          <w:lang w:val="es-EC" w:eastAsia="en-US"/>
        </w:rPr>
        <w:t>. Elaboración propia con base en el INEC, 2023.</w:t>
      </w:r>
    </w:p>
    <w:p w14:paraId="05184005" w14:textId="77777777" w:rsidR="00064C79" w:rsidRPr="00064C79" w:rsidRDefault="00064C79" w:rsidP="005D0C2E">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lastRenderedPageBreak/>
        <w:t>El 87,15% de las personas con estudios de posgrado tiene empleo adecuado o pleno; en el nivel superior universitario, este porcentaje es del 64,88%. Indica que una mayor proporción de personas graduadas de posgrado logra acceder a empleos plenos en comparación con quienes tienen solo educación superior universitaria (tabla de contingencia 10).</w:t>
      </w:r>
    </w:p>
    <w:p w14:paraId="40D8AD14" w14:textId="1D6F8058" w:rsidR="00064C79" w:rsidRPr="00D75BA5" w:rsidRDefault="00064C79" w:rsidP="00D75BA5">
      <w:pPr>
        <w:spacing w:after="100" w:afterAutospacing="1"/>
        <w:jc w:val="center"/>
        <w:rPr>
          <w:rFonts w:ascii="Arial" w:eastAsia="Calibri" w:hAnsi="Arial" w:cs="Arial"/>
          <w:b/>
          <w:iCs/>
          <w:sz w:val="20"/>
          <w:szCs w:val="20"/>
          <w:lang w:val="es-EC" w:eastAsia="en-US"/>
        </w:rPr>
      </w:pPr>
      <w:r w:rsidRPr="00D75BA5">
        <w:rPr>
          <w:rFonts w:ascii="Arial" w:eastAsia="Calibri" w:hAnsi="Arial" w:cs="Arial"/>
          <w:b/>
          <w:bCs/>
          <w:sz w:val="20"/>
          <w:szCs w:val="20"/>
          <w:lang w:val="es-EC" w:eastAsia="en-US"/>
        </w:rPr>
        <w:t>Tabla de contingencia 10</w:t>
      </w:r>
      <w:r w:rsidR="005D0C2E" w:rsidRPr="00D75BA5">
        <w:rPr>
          <w:rFonts w:ascii="Arial" w:eastAsia="Calibri" w:hAnsi="Arial" w:cs="Arial"/>
          <w:b/>
          <w:bCs/>
          <w:sz w:val="20"/>
          <w:szCs w:val="20"/>
          <w:lang w:val="es-EC" w:eastAsia="en-US"/>
        </w:rPr>
        <w:t xml:space="preserve">. </w:t>
      </w:r>
      <w:r w:rsidRPr="00D75BA5">
        <w:rPr>
          <w:rFonts w:ascii="Arial" w:eastAsia="Calibri" w:hAnsi="Arial" w:cs="Arial"/>
          <w:b/>
          <w:iCs/>
          <w:sz w:val="20"/>
          <w:szCs w:val="20"/>
          <w:lang w:val="es-EC" w:eastAsia="en-US"/>
        </w:rPr>
        <w:t>Nivel de instrucción - Condición de actividad</w:t>
      </w:r>
    </w:p>
    <w:tbl>
      <w:tblPr>
        <w:tblW w:w="4949" w:type="pct"/>
        <w:jc w:val="center"/>
        <w:tblLook w:val="04A0" w:firstRow="1" w:lastRow="0" w:firstColumn="1" w:lastColumn="0" w:noHBand="0" w:noVBand="1"/>
      </w:tblPr>
      <w:tblGrid>
        <w:gridCol w:w="1256"/>
        <w:gridCol w:w="1444"/>
        <w:gridCol w:w="1170"/>
        <w:gridCol w:w="1326"/>
        <w:gridCol w:w="1324"/>
        <w:gridCol w:w="989"/>
        <w:gridCol w:w="1180"/>
      </w:tblGrid>
      <w:tr w:rsidR="00064C79" w:rsidRPr="00D75BA5" w14:paraId="13EB8C7D" w14:textId="77777777" w:rsidTr="00D75BA5">
        <w:trPr>
          <w:trHeight w:val="604"/>
          <w:jc w:val="center"/>
        </w:trPr>
        <w:tc>
          <w:tcPr>
            <w:tcW w:w="15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374AB96" w14:textId="77777777" w:rsidR="00064C79" w:rsidRPr="00D75BA5" w:rsidRDefault="00064C79" w:rsidP="00064C79">
            <w:pPr>
              <w:spacing w:line="276" w:lineRule="auto"/>
              <w:jc w:val="both"/>
              <w:rPr>
                <w:rFonts w:ascii="Arial" w:hAnsi="Arial" w:cs="Arial"/>
                <w:sz w:val="20"/>
                <w:szCs w:val="20"/>
                <w:lang w:val="es-EC" w:eastAsia="es-EC"/>
              </w:rPr>
            </w:pPr>
            <w:r w:rsidRPr="00D75BA5">
              <w:rPr>
                <w:rFonts w:ascii="Arial" w:hAnsi="Arial" w:cs="Arial"/>
                <w:sz w:val="20"/>
                <w:szCs w:val="20"/>
                <w:lang w:val="es-EC" w:eastAsia="es-EC"/>
              </w:rPr>
              <w:t> </w:t>
            </w:r>
          </w:p>
        </w:tc>
        <w:tc>
          <w:tcPr>
            <w:tcW w:w="2767" w:type="pct"/>
            <w:gridSpan w:val="4"/>
            <w:tcBorders>
              <w:top w:val="single" w:sz="4" w:space="0" w:color="000000"/>
              <w:left w:val="nil"/>
              <w:bottom w:val="single" w:sz="4" w:space="0" w:color="000000"/>
              <w:right w:val="single" w:sz="4" w:space="0" w:color="000000"/>
            </w:tcBorders>
            <w:shd w:val="clear" w:color="auto" w:fill="auto"/>
            <w:tcMar>
              <w:left w:w="70" w:type="dxa"/>
              <w:right w:w="70" w:type="dxa"/>
            </w:tcMar>
            <w:vAlign w:val="center"/>
          </w:tcPr>
          <w:p w14:paraId="3DE772BB" w14:textId="77777777" w:rsidR="00064C79" w:rsidRPr="00D75BA5" w:rsidRDefault="00064C79" w:rsidP="00064C79">
            <w:pPr>
              <w:spacing w:line="276" w:lineRule="auto"/>
              <w:jc w:val="center"/>
              <w:rPr>
                <w:rFonts w:ascii="Arial" w:hAnsi="Arial" w:cs="Arial"/>
                <w:b/>
                <w:bCs/>
                <w:sz w:val="20"/>
                <w:szCs w:val="20"/>
                <w:lang w:val="es-EC" w:eastAsia="es-EC"/>
              </w:rPr>
            </w:pPr>
            <w:r w:rsidRPr="00D75BA5">
              <w:rPr>
                <w:rFonts w:ascii="Arial" w:hAnsi="Arial" w:cs="Arial"/>
                <w:b/>
                <w:bCs/>
                <w:sz w:val="20"/>
                <w:szCs w:val="20"/>
                <w:lang w:val="es-EC" w:eastAsia="es-EC"/>
              </w:rPr>
              <w:t>Condición de actividad</w:t>
            </w:r>
          </w:p>
        </w:tc>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3295695" w14:textId="77777777" w:rsidR="00064C79" w:rsidRPr="00D75BA5" w:rsidRDefault="00064C79" w:rsidP="00064C79">
            <w:pPr>
              <w:spacing w:line="276" w:lineRule="auto"/>
              <w:jc w:val="center"/>
              <w:rPr>
                <w:rFonts w:ascii="Arial" w:hAnsi="Arial" w:cs="Arial"/>
                <w:b/>
                <w:bCs/>
                <w:sz w:val="20"/>
                <w:szCs w:val="20"/>
                <w:lang w:val="es-EC" w:eastAsia="es-EC"/>
              </w:rPr>
            </w:pPr>
            <w:r w:rsidRPr="00D75BA5">
              <w:rPr>
                <w:rFonts w:ascii="Arial" w:hAnsi="Arial" w:cs="Arial"/>
                <w:b/>
                <w:bCs/>
                <w:sz w:val="20"/>
                <w:szCs w:val="20"/>
                <w:lang w:val="es-EC" w:eastAsia="es-EC"/>
              </w:rPr>
              <w:t>Total</w:t>
            </w:r>
          </w:p>
        </w:tc>
      </w:tr>
      <w:tr w:rsidR="00064C79" w:rsidRPr="00D75BA5" w14:paraId="12397989" w14:textId="77777777" w:rsidTr="00D75BA5">
        <w:trPr>
          <w:trHeight w:val="1707"/>
          <w:jc w:val="center"/>
        </w:trPr>
        <w:tc>
          <w:tcPr>
            <w:tcW w:w="1554"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E7962B6" w14:textId="77777777" w:rsidR="00064C79" w:rsidRPr="00D75BA5" w:rsidRDefault="00064C79" w:rsidP="00064C79">
            <w:pPr>
              <w:spacing w:line="276" w:lineRule="auto"/>
              <w:rPr>
                <w:rFonts w:ascii="Arial" w:eastAsia="Calibri" w:hAnsi="Arial" w:cs="Arial"/>
                <w:sz w:val="20"/>
                <w:szCs w:val="20"/>
                <w:lang w:val="es-EC" w:eastAsia="en-US"/>
              </w:rPr>
            </w:pPr>
          </w:p>
        </w:tc>
        <w:tc>
          <w:tcPr>
            <w:tcW w:w="673" w:type="pct"/>
            <w:tcBorders>
              <w:top w:val="nil"/>
              <w:left w:val="nil"/>
              <w:bottom w:val="single" w:sz="4" w:space="0" w:color="000000"/>
              <w:right w:val="single" w:sz="4" w:space="0" w:color="000000"/>
            </w:tcBorders>
            <w:shd w:val="clear" w:color="auto" w:fill="auto"/>
            <w:tcMar>
              <w:left w:w="70" w:type="dxa"/>
              <w:right w:w="70" w:type="dxa"/>
            </w:tcMar>
            <w:vAlign w:val="center"/>
          </w:tcPr>
          <w:p w14:paraId="21CCCF03" w14:textId="77777777" w:rsidR="00064C79" w:rsidRPr="00D75BA5" w:rsidRDefault="00064C79" w:rsidP="00064C79">
            <w:pPr>
              <w:spacing w:line="276" w:lineRule="auto"/>
              <w:jc w:val="center"/>
              <w:rPr>
                <w:rFonts w:ascii="Arial" w:hAnsi="Arial" w:cs="Arial"/>
                <w:b/>
                <w:bCs/>
                <w:sz w:val="20"/>
                <w:szCs w:val="20"/>
                <w:lang w:val="es-EC" w:eastAsia="es-EC"/>
              </w:rPr>
            </w:pPr>
            <w:r w:rsidRPr="00D75BA5">
              <w:rPr>
                <w:rFonts w:ascii="Arial" w:hAnsi="Arial" w:cs="Arial"/>
                <w:b/>
                <w:bCs/>
                <w:sz w:val="20"/>
                <w:szCs w:val="20"/>
                <w:lang w:val="es-EC" w:eastAsia="es-EC"/>
              </w:rPr>
              <w:t>Empleo adecuado / pleno</w:t>
            </w:r>
          </w:p>
        </w:tc>
        <w:tc>
          <w:tcPr>
            <w:tcW w:w="763" w:type="pct"/>
            <w:tcBorders>
              <w:top w:val="nil"/>
              <w:left w:val="nil"/>
              <w:bottom w:val="single" w:sz="4" w:space="0" w:color="000000"/>
              <w:right w:val="single" w:sz="4" w:space="0" w:color="000000"/>
            </w:tcBorders>
            <w:shd w:val="clear" w:color="auto" w:fill="auto"/>
            <w:tcMar>
              <w:left w:w="70" w:type="dxa"/>
              <w:right w:w="70" w:type="dxa"/>
            </w:tcMar>
            <w:vAlign w:val="center"/>
          </w:tcPr>
          <w:p w14:paraId="492E7956" w14:textId="77777777" w:rsidR="00064C79" w:rsidRPr="00D75BA5" w:rsidRDefault="00064C79" w:rsidP="00064C79">
            <w:pPr>
              <w:spacing w:line="276" w:lineRule="auto"/>
              <w:jc w:val="center"/>
              <w:rPr>
                <w:rFonts w:ascii="Arial" w:hAnsi="Arial" w:cs="Arial"/>
                <w:b/>
                <w:bCs/>
                <w:sz w:val="20"/>
                <w:szCs w:val="20"/>
                <w:lang w:val="es-EC" w:eastAsia="es-EC"/>
              </w:rPr>
            </w:pPr>
            <w:r w:rsidRPr="00D75BA5">
              <w:rPr>
                <w:rFonts w:ascii="Arial" w:hAnsi="Arial" w:cs="Arial"/>
                <w:b/>
                <w:bCs/>
                <w:sz w:val="20"/>
                <w:szCs w:val="20"/>
                <w:lang w:val="es-EC" w:eastAsia="es-EC"/>
              </w:rPr>
              <w:t>Subempleo</w:t>
            </w:r>
          </w:p>
        </w:tc>
        <w:tc>
          <w:tcPr>
            <w:tcW w:w="762" w:type="pct"/>
            <w:tcBorders>
              <w:top w:val="nil"/>
              <w:left w:val="nil"/>
              <w:bottom w:val="single" w:sz="4" w:space="0" w:color="000000"/>
              <w:right w:val="single" w:sz="4" w:space="0" w:color="000000"/>
            </w:tcBorders>
            <w:shd w:val="clear" w:color="auto" w:fill="auto"/>
            <w:tcMar>
              <w:left w:w="70" w:type="dxa"/>
              <w:right w:w="70" w:type="dxa"/>
            </w:tcMar>
            <w:vAlign w:val="center"/>
          </w:tcPr>
          <w:p w14:paraId="16F1AA84" w14:textId="77777777" w:rsidR="00064C79" w:rsidRPr="00D75BA5" w:rsidRDefault="00064C79" w:rsidP="00064C79">
            <w:pPr>
              <w:spacing w:line="276" w:lineRule="auto"/>
              <w:jc w:val="center"/>
              <w:rPr>
                <w:rFonts w:ascii="Arial" w:hAnsi="Arial" w:cs="Arial"/>
                <w:b/>
                <w:bCs/>
                <w:sz w:val="20"/>
                <w:szCs w:val="20"/>
                <w:lang w:val="es-EC" w:eastAsia="es-EC"/>
              </w:rPr>
            </w:pPr>
            <w:r w:rsidRPr="00D75BA5">
              <w:rPr>
                <w:rFonts w:ascii="Arial" w:hAnsi="Arial" w:cs="Arial"/>
                <w:b/>
                <w:bCs/>
                <w:sz w:val="20"/>
                <w:szCs w:val="20"/>
                <w:lang w:val="es-EC" w:eastAsia="es-EC"/>
              </w:rPr>
              <w:t>Desempleo</w:t>
            </w:r>
          </w:p>
        </w:tc>
        <w:tc>
          <w:tcPr>
            <w:tcW w:w="568" w:type="pct"/>
            <w:tcBorders>
              <w:top w:val="nil"/>
              <w:left w:val="nil"/>
              <w:bottom w:val="single" w:sz="4" w:space="0" w:color="000000"/>
              <w:right w:val="single" w:sz="4" w:space="0" w:color="000000"/>
            </w:tcBorders>
            <w:shd w:val="clear" w:color="auto" w:fill="auto"/>
            <w:tcMar>
              <w:left w:w="70" w:type="dxa"/>
              <w:right w:w="70" w:type="dxa"/>
            </w:tcMar>
            <w:vAlign w:val="center"/>
          </w:tcPr>
          <w:p w14:paraId="50274E5D" w14:textId="77777777" w:rsidR="00064C79" w:rsidRPr="00D75BA5" w:rsidRDefault="00064C79" w:rsidP="00064C79">
            <w:pPr>
              <w:spacing w:line="276" w:lineRule="auto"/>
              <w:jc w:val="center"/>
              <w:rPr>
                <w:rFonts w:ascii="Arial" w:hAnsi="Arial" w:cs="Arial"/>
                <w:b/>
                <w:bCs/>
                <w:sz w:val="20"/>
                <w:szCs w:val="20"/>
                <w:lang w:val="es-EC" w:eastAsia="es-EC"/>
              </w:rPr>
            </w:pPr>
            <w:r w:rsidRPr="00D75BA5">
              <w:rPr>
                <w:rFonts w:ascii="Arial" w:hAnsi="Arial" w:cs="Arial"/>
                <w:b/>
                <w:bCs/>
                <w:sz w:val="20"/>
                <w:szCs w:val="20"/>
                <w:lang w:val="es-EC" w:eastAsia="es-EC"/>
              </w:rPr>
              <w:t>Otro</w:t>
            </w:r>
          </w:p>
        </w:tc>
        <w:tc>
          <w:tcPr>
            <w:tcW w:w="680" w:type="pct"/>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EF61969" w14:textId="77777777" w:rsidR="00064C79" w:rsidRPr="00D75BA5" w:rsidRDefault="00064C79" w:rsidP="00064C79">
            <w:pPr>
              <w:spacing w:line="276" w:lineRule="auto"/>
              <w:rPr>
                <w:rFonts w:ascii="Arial" w:eastAsia="Calibri" w:hAnsi="Arial" w:cs="Arial"/>
                <w:sz w:val="20"/>
                <w:szCs w:val="20"/>
                <w:lang w:val="es-EC" w:eastAsia="en-US"/>
              </w:rPr>
            </w:pPr>
          </w:p>
        </w:tc>
      </w:tr>
      <w:tr w:rsidR="00064C79" w:rsidRPr="00D75BA5" w14:paraId="35FBCA8C" w14:textId="77777777" w:rsidTr="00D75BA5">
        <w:trPr>
          <w:trHeight w:val="604"/>
          <w:jc w:val="center"/>
        </w:trPr>
        <w:tc>
          <w:tcPr>
            <w:tcW w:w="723"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41F82C93" w14:textId="77777777" w:rsidR="00064C79" w:rsidRPr="00D75BA5" w:rsidRDefault="00064C79" w:rsidP="00064C79">
            <w:pPr>
              <w:spacing w:line="276" w:lineRule="auto"/>
              <w:jc w:val="center"/>
              <w:rPr>
                <w:rFonts w:ascii="Arial" w:hAnsi="Arial" w:cs="Arial"/>
                <w:b/>
                <w:bCs/>
                <w:sz w:val="20"/>
                <w:szCs w:val="20"/>
                <w:lang w:val="es-EC" w:eastAsia="es-EC"/>
              </w:rPr>
            </w:pPr>
            <w:r w:rsidRPr="00D75BA5">
              <w:rPr>
                <w:rFonts w:ascii="Arial" w:hAnsi="Arial" w:cs="Arial"/>
                <w:b/>
                <w:bCs/>
                <w:sz w:val="20"/>
                <w:szCs w:val="20"/>
                <w:lang w:val="es-EC" w:eastAsia="es-EC"/>
              </w:rPr>
              <w:t>Nivel de instrucción</w:t>
            </w:r>
          </w:p>
        </w:tc>
        <w:tc>
          <w:tcPr>
            <w:tcW w:w="830"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68D2D8E5" w14:textId="77777777" w:rsidR="00064C79" w:rsidRPr="00D75BA5" w:rsidRDefault="00064C79" w:rsidP="00064C79">
            <w:pPr>
              <w:spacing w:line="276" w:lineRule="auto"/>
              <w:jc w:val="center"/>
              <w:rPr>
                <w:rFonts w:ascii="Arial" w:hAnsi="Arial" w:cs="Arial"/>
                <w:b/>
                <w:bCs/>
                <w:sz w:val="20"/>
                <w:szCs w:val="20"/>
                <w:lang w:val="es-EC" w:eastAsia="es-EC"/>
              </w:rPr>
            </w:pPr>
            <w:r w:rsidRPr="00D75BA5">
              <w:rPr>
                <w:rFonts w:ascii="Arial" w:hAnsi="Arial" w:cs="Arial"/>
                <w:b/>
                <w:bCs/>
                <w:sz w:val="20"/>
                <w:szCs w:val="20"/>
                <w:lang w:val="es-EC" w:eastAsia="es-EC"/>
              </w:rPr>
              <w:t>Superior Universitario</w:t>
            </w:r>
          </w:p>
        </w:tc>
        <w:tc>
          <w:tcPr>
            <w:tcW w:w="673" w:type="pct"/>
            <w:tcBorders>
              <w:top w:val="nil"/>
              <w:left w:val="nil"/>
              <w:bottom w:val="single" w:sz="4" w:space="0" w:color="000000"/>
              <w:right w:val="single" w:sz="4" w:space="0" w:color="000000"/>
            </w:tcBorders>
            <w:shd w:val="clear" w:color="auto" w:fill="auto"/>
            <w:tcMar>
              <w:left w:w="70" w:type="dxa"/>
              <w:right w:w="70" w:type="dxa"/>
            </w:tcMar>
          </w:tcPr>
          <w:p w14:paraId="7BD7ACB1"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759.799</w:t>
            </w:r>
          </w:p>
        </w:tc>
        <w:tc>
          <w:tcPr>
            <w:tcW w:w="763" w:type="pct"/>
            <w:tcBorders>
              <w:top w:val="nil"/>
              <w:left w:val="nil"/>
              <w:bottom w:val="single" w:sz="4" w:space="0" w:color="000000"/>
              <w:right w:val="single" w:sz="4" w:space="0" w:color="000000"/>
            </w:tcBorders>
            <w:shd w:val="clear" w:color="auto" w:fill="auto"/>
            <w:tcMar>
              <w:left w:w="70" w:type="dxa"/>
              <w:right w:w="70" w:type="dxa"/>
            </w:tcMar>
          </w:tcPr>
          <w:p w14:paraId="1C090AE6"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149.060</w:t>
            </w:r>
          </w:p>
        </w:tc>
        <w:tc>
          <w:tcPr>
            <w:tcW w:w="762" w:type="pct"/>
            <w:tcBorders>
              <w:top w:val="nil"/>
              <w:left w:val="nil"/>
              <w:bottom w:val="single" w:sz="4" w:space="0" w:color="000000"/>
              <w:right w:val="single" w:sz="4" w:space="0" w:color="000000"/>
            </w:tcBorders>
            <w:shd w:val="clear" w:color="auto" w:fill="auto"/>
            <w:tcMar>
              <w:left w:w="70" w:type="dxa"/>
              <w:right w:w="70" w:type="dxa"/>
            </w:tcMar>
          </w:tcPr>
          <w:p w14:paraId="21F3D221"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66.597</w:t>
            </w:r>
          </w:p>
        </w:tc>
        <w:tc>
          <w:tcPr>
            <w:tcW w:w="568" w:type="pct"/>
            <w:tcBorders>
              <w:top w:val="nil"/>
              <w:left w:val="nil"/>
              <w:bottom w:val="single" w:sz="4" w:space="0" w:color="000000"/>
              <w:right w:val="single" w:sz="4" w:space="0" w:color="000000"/>
            </w:tcBorders>
            <w:shd w:val="clear" w:color="auto" w:fill="auto"/>
            <w:tcMar>
              <w:left w:w="70" w:type="dxa"/>
              <w:right w:w="70" w:type="dxa"/>
            </w:tcMar>
          </w:tcPr>
          <w:p w14:paraId="21D0F4C9"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195.555</w:t>
            </w:r>
          </w:p>
        </w:tc>
        <w:tc>
          <w:tcPr>
            <w:tcW w:w="680" w:type="pct"/>
            <w:tcBorders>
              <w:top w:val="nil"/>
              <w:left w:val="nil"/>
              <w:bottom w:val="single" w:sz="4" w:space="0" w:color="000000"/>
              <w:right w:val="single" w:sz="4" w:space="0" w:color="000000"/>
            </w:tcBorders>
            <w:shd w:val="clear" w:color="auto" w:fill="auto"/>
            <w:tcMar>
              <w:left w:w="70" w:type="dxa"/>
              <w:right w:w="70" w:type="dxa"/>
            </w:tcMar>
          </w:tcPr>
          <w:p w14:paraId="684B90B8"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1.171.011</w:t>
            </w:r>
          </w:p>
        </w:tc>
      </w:tr>
      <w:tr w:rsidR="00064C79" w:rsidRPr="00D75BA5" w14:paraId="3429FE74" w14:textId="77777777" w:rsidTr="00D75BA5">
        <w:trPr>
          <w:trHeight w:val="604"/>
          <w:jc w:val="center"/>
        </w:trPr>
        <w:tc>
          <w:tcPr>
            <w:tcW w:w="723" w:type="pct"/>
            <w:vMerge/>
            <w:tcBorders>
              <w:top w:val="nil"/>
              <w:left w:val="single" w:sz="4" w:space="0" w:color="000000"/>
              <w:bottom w:val="single" w:sz="4" w:space="0" w:color="000000"/>
              <w:right w:val="single" w:sz="4" w:space="0" w:color="000000"/>
            </w:tcBorders>
            <w:tcMar>
              <w:left w:w="70" w:type="dxa"/>
              <w:right w:w="70" w:type="dxa"/>
            </w:tcMar>
            <w:vAlign w:val="center"/>
          </w:tcPr>
          <w:p w14:paraId="17961F53" w14:textId="77777777" w:rsidR="00064C79" w:rsidRPr="00D75BA5" w:rsidRDefault="00064C79" w:rsidP="00064C79">
            <w:pPr>
              <w:spacing w:line="276" w:lineRule="auto"/>
              <w:jc w:val="center"/>
              <w:rPr>
                <w:rFonts w:ascii="Arial" w:eastAsia="Calibri" w:hAnsi="Arial" w:cs="Arial"/>
                <w:b/>
                <w:bCs/>
                <w:sz w:val="20"/>
                <w:szCs w:val="20"/>
                <w:lang w:val="es-EC" w:eastAsia="en-US"/>
              </w:rPr>
            </w:pPr>
          </w:p>
        </w:tc>
        <w:tc>
          <w:tcPr>
            <w:tcW w:w="830" w:type="pct"/>
            <w:vMerge/>
            <w:tcBorders>
              <w:top w:val="nil"/>
              <w:left w:val="single" w:sz="4" w:space="0" w:color="000000"/>
              <w:bottom w:val="single" w:sz="4" w:space="0" w:color="000000"/>
              <w:right w:val="single" w:sz="4" w:space="0" w:color="000000"/>
            </w:tcBorders>
            <w:tcMar>
              <w:left w:w="70" w:type="dxa"/>
              <w:right w:w="70" w:type="dxa"/>
            </w:tcMar>
            <w:vAlign w:val="center"/>
          </w:tcPr>
          <w:p w14:paraId="753C6B0C" w14:textId="77777777" w:rsidR="00064C79" w:rsidRPr="00D75BA5" w:rsidRDefault="00064C79" w:rsidP="00064C79">
            <w:pPr>
              <w:spacing w:line="276" w:lineRule="auto"/>
              <w:jc w:val="center"/>
              <w:rPr>
                <w:rFonts w:ascii="Arial" w:eastAsia="Calibri" w:hAnsi="Arial" w:cs="Arial"/>
                <w:b/>
                <w:bCs/>
                <w:sz w:val="20"/>
                <w:szCs w:val="20"/>
                <w:lang w:val="es-EC" w:eastAsia="en-US"/>
              </w:rPr>
            </w:pPr>
          </w:p>
        </w:tc>
        <w:tc>
          <w:tcPr>
            <w:tcW w:w="673" w:type="pct"/>
            <w:tcBorders>
              <w:top w:val="nil"/>
              <w:left w:val="nil"/>
              <w:bottom w:val="single" w:sz="4" w:space="0" w:color="000000"/>
              <w:right w:val="single" w:sz="4" w:space="0" w:color="000000"/>
            </w:tcBorders>
            <w:shd w:val="clear" w:color="auto" w:fill="auto"/>
            <w:tcMar>
              <w:left w:w="70" w:type="dxa"/>
              <w:right w:w="70" w:type="dxa"/>
            </w:tcMar>
          </w:tcPr>
          <w:p w14:paraId="29E39888"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64,88%</w:t>
            </w:r>
          </w:p>
        </w:tc>
        <w:tc>
          <w:tcPr>
            <w:tcW w:w="763" w:type="pct"/>
            <w:tcBorders>
              <w:top w:val="nil"/>
              <w:left w:val="nil"/>
              <w:bottom w:val="single" w:sz="4" w:space="0" w:color="000000"/>
              <w:right w:val="single" w:sz="4" w:space="0" w:color="000000"/>
            </w:tcBorders>
            <w:shd w:val="clear" w:color="auto" w:fill="auto"/>
            <w:tcMar>
              <w:left w:w="70" w:type="dxa"/>
              <w:right w:w="70" w:type="dxa"/>
            </w:tcMar>
          </w:tcPr>
          <w:p w14:paraId="1B5F65E9"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12,73%</w:t>
            </w:r>
          </w:p>
        </w:tc>
        <w:tc>
          <w:tcPr>
            <w:tcW w:w="762" w:type="pct"/>
            <w:tcBorders>
              <w:top w:val="nil"/>
              <w:left w:val="nil"/>
              <w:bottom w:val="single" w:sz="4" w:space="0" w:color="000000"/>
              <w:right w:val="single" w:sz="4" w:space="0" w:color="000000"/>
            </w:tcBorders>
            <w:shd w:val="clear" w:color="auto" w:fill="auto"/>
            <w:tcMar>
              <w:left w:w="70" w:type="dxa"/>
              <w:right w:w="70" w:type="dxa"/>
            </w:tcMar>
          </w:tcPr>
          <w:p w14:paraId="35D56094"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5,69%</w:t>
            </w:r>
          </w:p>
        </w:tc>
        <w:tc>
          <w:tcPr>
            <w:tcW w:w="568" w:type="pct"/>
            <w:tcBorders>
              <w:top w:val="nil"/>
              <w:left w:val="nil"/>
              <w:bottom w:val="single" w:sz="4" w:space="0" w:color="000000"/>
              <w:right w:val="single" w:sz="4" w:space="0" w:color="000000"/>
            </w:tcBorders>
            <w:shd w:val="clear" w:color="auto" w:fill="auto"/>
            <w:tcMar>
              <w:left w:w="70" w:type="dxa"/>
              <w:right w:w="70" w:type="dxa"/>
            </w:tcMar>
          </w:tcPr>
          <w:p w14:paraId="55E6EBCD"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16,70%</w:t>
            </w:r>
          </w:p>
        </w:tc>
        <w:tc>
          <w:tcPr>
            <w:tcW w:w="680" w:type="pct"/>
            <w:tcBorders>
              <w:top w:val="nil"/>
              <w:left w:val="nil"/>
              <w:bottom w:val="single" w:sz="4" w:space="0" w:color="000000"/>
              <w:right w:val="single" w:sz="4" w:space="0" w:color="000000"/>
            </w:tcBorders>
            <w:shd w:val="clear" w:color="auto" w:fill="auto"/>
            <w:tcMar>
              <w:left w:w="70" w:type="dxa"/>
              <w:right w:w="70" w:type="dxa"/>
            </w:tcMar>
          </w:tcPr>
          <w:p w14:paraId="16F0EFBE"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100,00%</w:t>
            </w:r>
          </w:p>
        </w:tc>
      </w:tr>
      <w:tr w:rsidR="00064C79" w:rsidRPr="00D75BA5" w14:paraId="2A73E2C2" w14:textId="77777777" w:rsidTr="00D75BA5">
        <w:trPr>
          <w:trHeight w:val="604"/>
          <w:jc w:val="center"/>
        </w:trPr>
        <w:tc>
          <w:tcPr>
            <w:tcW w:w="723" w:type="pct"/>
            <w:vMerge/>
            <w:tcBorders>
              <w:top w:val="nil"/>
              <w:left w:val="single" w:sz="4" w:space="0" w:color="000000"/>
              <w:bottom w:val="single" w:sz="4" w:space="0" w:color="000000"/>
              <w:right w:val="single" w:sz="4" w:space="0" w:color="000000"/>
            </w:tcBorders>
            <w:tcMar>
              <w:left w:w="70" w:type="dxa"/>
              <w:right w:w="70" w:type="dxa"/>
            </w:tcMar>
            <w:vAlign w:val="center"/>
          </w:tcPr>
          <w:p w14:paraId="4A1364FB" w14:textId="77777777" w:rsidR="00064C79" w:rsidRPr="00D75BA5" w:rsidRDefault="00064C79" w:rsidP="00064C79">
            <w:pPr>
              <w:spacing w:line="276" w:lineRule="auto"/>
              <w:jc w:val="center"/>
              <w:rPr>
                <w:rFonts w:ascii="Arial" w:eastAsia="Calibri" w:hAnsi="Arial" w:cs="Arial"/>
                <w:b/>
                <w:bCs/>
                <w:sz w:val="20"/>
                <w:szCs w:val="20"/>
                <w:lang w:val="es-EC" w:eastAsia="en-US"/>
              </w:rPr>
            </w:pPr>
          </w:p>
        </w:tc>
        <w:tc>
          <w:tcPr>
            <w:tcW w:w="830"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6515DDE7" w14:textId="77777777" w:rsidR="00064C79" w:rsidRPr="00D75BA5" w:rsidRDefault="00064C79" w:rsidP="00064C79">
            <w:pPr>
              <w:spacing w:line="276" w:lineRule="auto"/>
              <w:jc w:val="center"/>
              <w:rPr>
                <w:rFonts w:ascii="Arial" w:hAnsi="Arial" w:cs="Arial"/>
                <w:b/>
                <w:bCs/>
                <w:sz w:val="20"/>
                <w:szCs w:val="20"/>
                <w:lang w:val="es-EC" w:eastAsia="es-EC"/>
              </w:rPr>
            </w:pPr>
            <w:r w:rsidRPr="00D75BA5">
              <w:rPr>
                <w:rFonts w:ascii="Arial" w:hAnsi="Arial" w:cs="Arial"/>
                <w:b/>
                <w:bCs/>
                <w:sz w:val="20"/>
                <w:szCs w:val="20"/>
                <w:lang w:val="es-EC" w:eastAsia="es-EC"/>
              </w:rPr>
              <w:t>Posgrado</w:t>
            </w:r>
          </w:p>
        </w:tc>
        <w:tc>
          <w:tcPr>
            <w:tcW w:w="673" w:type="pct"/>
            <w:tcBorders>
              <w:top w:val="nil"/>
              <w:left w:val="nil"/>
              <w:bottom w:val="single" w:sz="4" w:space="0" w:color="000000"/>
              <w:right w:val="single" w:sz="4" w:space="0" w:color="000000"/>
            </w:tcBorders>
            <w:shd w:val="clear" w:color="auto" w:fill="auto"/>
            <w:tcMar>
              <w:left w:w="70" w:type="dxa"/>
              <w:right w:w="70" w:type="dxa"/>
            </w:tcMar>
          </w:tcPr>
          <w:p w14:paraId="12EED644"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151.602</w:t>
            </w:r>
          </w:p>
        </w:tc>
        <w:tc>
          <w:tcPr>
            <w:tcW w:w="763" w:type="pct"/>
            <w:tcBorders>
              <w:top w:val="nil"/>
              <w:left w:val="nil"/>
              <w:bottom w:val="single" w:sz="4" w:space="0" w:color="000000"/>
              <w:right w:val="single" w:sz="4" w:space="0" w:color="000000"/>
            </w:tcBorders>
            <w:shd w:val="clear" w:color="auto" w:fill="auto"/>
            <w:tcMar>
              <w:left w:w="70" w:type="dxa"/>
              <w:right w:w="70" w:type="dxa"/>
            </w:tcMar>
          </w:tcPr>
          <w:p w14:paraId="6F9E9F08"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8.360</w:t>
            </w:r>
          </w:p>
        </w:tc>
        <w:tc>
          <w:tcPr>
            <w:tcW w:w="762" w:type="pct"/>
            <w:tcBorders>
              <w:top w:val="nil"/>
              <w:left w:val="nil"/>
              <w:bottom w:val="single" w:sz="4" w:space="0" w:color="000000"/>
              <w:right w:val="single" w:sz="4" w:space="0" w:color="000000"/>
            </w:tcBorders>
            <w:shd w:val="clear" w:color="auto" w:fill="auto"/>
            <w:tcMar>
              <w:left w:w="70" w:type="dxa"/>
              <w:right w:w="70" w:type="dxa"/>
            </w:tcMar>
          </w:tcPr>
          <w:p w14:paraId="3347D5D1"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4.225</w:t>
            </w:r>
          </w:p>
        </w:tc>
        <w:tc>
          <w:tcPr>
            <w:tcW w:w="568" w:type="pct"/>
            <w:tcBorders>
              <w:top w:val="nil"/>
              <w:left w:val="nil"/>
              <w:bottom w:val="single" w:sz="4" w:space="0" w:color="000000"/>
              <w:right w:val="single" w:sz="4" w:space="0" w:color="000000"/>
            </w:tcBorders>
            <w:shd w:val="clear" w:color="auto" w:fill="auto"/>
            <w:tcMar>
              <w:left w:w="70" w:type="dxa"/>
              <w:right w:w="70" w:type="dxa"/>
            </w:tcMar>
          </w:tcPr>
          <w:p w14:paraId="65E27995"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9.762</w:t>
            </w:r>
          </w:p>
        </w:tc>
        <w:tc>
          <w:tcPr>
            <w:tcW w:w="680" w:type="pct"/>
            <w:tcBorders>
              <w:top w:val="nil"/>
              <w:left w:val="nil"/>
              <w:bottom w:val="single" w:sz="4" w:space="0" w:color="000000"/>
              <w:right w:val="single" w:sz="4" w:space="0" w:color="000000"/>
            </w:tcBorders>
            <w:shd w:val="clear" w:color="auto" w:fill="auto"/>
            <w:tcMar>
              <w:left w:w="70" w:type="dxa"/>
              <w:right w:w="70" w:type="dxa"/>
            </w:tcMar>
          </w:tcPr>
          <w:p w14:paraId="3C5F2DFC"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173.949</w:t>
            </w:r>
          </w:p>
        </w:tc>
      </w:tr>
      <w:tr w:rsidR="00064C79" w:rsidRPr="00D75BA5" w14:paraId="2F3411CE" w14:textId="77777777" w:rsidTr="00D75BA5">
        <w:trPr>
          <w:trHeight w:val="604"/>
          <w:jc w:val="center"/>
        </w:trPr>
        <w:tc>
          <w:tcPr>
            <w:tcW w:w="723" w:type="pct"/>
            <w:vMerge/>
            <w:tcBorders>
              <w:top w:val="nil"/>
              <w:left w:val="single" w:sz="4" w:space="0" w:color="000000"/>
              <w:bottom w:val="single" w:sz="4" w:space="0" w:color="000000"/>
              <w:right w:val="single" w:sz="4" w:space="0" w:color="000000"/>
            </w:tcBorders>
            <w:tcMar>
              <w:left w:w="70" w:type="dxa"/>
              <w:right w:w="70" w:type="dxa"/>
            </w:tcMar>
            <w:vAlign w:val="center"/>
          </w:tcPr>
          <w:p w14:paraId="3ACEE785" w14:textId="77777777" w:rsidR="00064C79" w:rsidRPr="00D75BA5" w:rsidRDefault="00064C79" w:rsidP="00064C79">
            <w:pPr>
              <w:spacing w:line="276" w:lineRule="auto"/>
              <w:jc w:val="center"/>
              <w:rPr>
                <w:rFonts w:ascii="Arial" w:eastAsia="Calibri" w:hAnsi="Arial" w:cs="Arial"/>
                <w:b/>
                <w:bCs/>
                <w:sz w:val="20"/>
                <w:szCs w:val="20"/>
                <w:lang w:val="es-EC" w:eastAsia="en-US"/>
              </w:rPr>
            </w:pPr>
          </w:p>
        </w:tc>
        <w:tc>
          <w:tcPr>
            <w:tcW w:w="830" w:type="pct"/>
            <w:vMerge/>
            <w:tcBorders>
              <w:top w:val="nil"/>
              <w:left w:val="single" w:sz="4" w:space="0" w:color="000000"/>
              <w:bottom w:val="single" w:sz="4" w:space="0" w:color="000000"/>
              <w:right w:val="single" w:sz="4" w:space="0" w:color="000000"/>
            </w:tcBorders>
            <w:tcMar>
              <w:left w:w="70" w:type="dxa"/>
              <w:right w:w="70" w:type="dxa"/>
            </w:tcMar>
            <w:vAlign w:val="center"/>
          </w:tcPr>
          <w:p w14:paraId="2E94B840" w14:textId="77777777" w:rsidR="00064C79" w:rsidRPr="00D75BA5" w:rsidRDefault="00064C79" w:rsidP="00064C79">
            <w:pPr>
              <w:spacing w:line="276" w:lineRule="auto"/>
              <w:jc w:val="center"/>
              <w:rPr>
                <w:rFonts w:ascii="Arial" w:eastAsia="Calibri" w:hAnsi="Arial" w:cs="Arial"/>
                <w:b/>
                <w:bCs/>
                <w:sz w:val="20"/>
                <w:szCs w:val="20"/>
                <w:lang w:val="es-EC" w:eastAsia="en-US"/>
              </w:rPr>
            </w:pPr>
          </w:p>
        </w:tc>
        <w:tc>
          <w:tcPr>
            <w:tcW w:w="673" w:type="pct"/>
            <w:tcBorders>
              <w:top w:val="nil"/>
              <w:left w:val="nil"/>
              <w:bottom w:val="single" w:sz="4" w:space="0" w:color="000000"/>
              <w:right w:val="single" w:sz="4" w:space="0" w:color="000000"/>
            </w:tcBorders>
            <w:shd w:val="clear" w:color="auto" w:fill="auto"/>
            <w:tcMar>
              <w:left w:w="70" w:type="dxa"/>
              <w:right w:w="70" w:type="dxa"/>
            </w:tcMar>
          </w:tcPr>
          <w:p w14:paraId="1A6D4E69"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87,15%</w:t>
            </w:r>
          </w:p>
        </w:tc>
        <w:tc>
          <w:tcPr>
            <w:tcW w:w="763" w:type="pct"/>
            <w:tcBorders>
              <w:top w:val="nil"/>
              <w:left w:val="nil"/>
              <w:bottom w:val="single" w:sz="4" w:space="0" w:color="000000"/>
              <w:right w:val="single" w:sz="4" w:space="0" w:color="000000"/>
            </w:tcBorders>
            <w:shd w:val="clear" w:color="auto" w:fill="auto"/>
            <w:tcMar>
              <w:left w:w="70" w:type="dxa"/>
              <w:right w:w="70" w:type="dxa"/>
            </w:tcMar>
          </w:tcPr>
          <w:p w14:paraId="6E65DFD8"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4,81%</w:t>
            </w:r>
          </w:p>
        </w:tc>
        <w:tc>
          <w:tcPr>
            <w:tcW w:w="762" w:type="pct"/>
            <w:tcBorders>
              <w:top w:val="nil"/>
              <w:left w:val="nil"/>
              <w:bottom w:val="single" w:sz="4" w:space="0" w:color="000000"/>
              <w:right w:val="single" w:sz="4" w:space="0" w:color="000000"/>
            </w:tcBorders>
            <w:shd w:val="clear" w:color="auto" w:fill="auto"/>
            <w:tcMar>
              <w:left w:w="70" w:type="dxa"/>
              <w:right w:w="70" w:type="dxa"/>
            </w:tcMar>
          </w:tcPr>
          <w:p w14:paraId="5549492B"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2,43%</w:t>
            </w:r>
          </w:p>
        </w:tc>
        <w:tc>
          <w:tcPr>
            <w:tcW w:w="568" w:type="pct"/>
            <w:tcBorders>
              <w:top w:val="nil"/>
              <w:left w:val="nil"/>
              <w:bottom w:val="single" w:sz="4" w:space="0" w:color="000000"/>
              <w:right w:val="single" w:sz="4" w:space="0" w:color="000000"/>
            </w:tcBorders>
            <w:shd w:val="clear" w:color="auto" w:fill="auto"/>
            <w:tcMar>
              <w:left w:w="70" w:type="dxa"/>
              <w:right w:w="70" w:type="dxa"/>
            </w:tcMar>
          </w:tcPr>
          <w:p w14:paraId="7788DF71"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5,61%</w:t>
            </w:r>
          </w:p>
        </w:tc>
        <w:tc>
          <w:tcPr>
            <w:tcW w:w="680" w:type="pct"/>
            <w:tcBorders>
              <w:top w:val="nil"/>
              <w:left w:val="nil"/>
              <w:bottom w:val="single" w:sz="4" w:space="0" w:color="000000"/>
              <w:right w:val="single" w:sz="4" w:space="0" w:color="000000"/>
            </w:tcBorders>
            <w:shd w:val="clear" w:color="auto" w:fill="auto"/>
            <w:tcMar>
              <w:left w:w="70" w:type="dxa"/>
              <w:right w:w="70" w:type="dxa"/>
            </w:tcMar>
          </w:tcPr>
          <w:p w14:paraId="58F0F6AC"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25,79%</w:t>
            </w:r>
          </w:p>
        </w:tc>
      </w:tr>
      <w:tr w:rsidR="00064C79" w:rsidRPr="00D75BA5" w14:paraId="7BBC1E96" w14:textId="77777777" w:rsidTr="00D75BA5">
        <w:trPr>
          <w:trHeight w:val="604"/>
          <w:jc w:val="center"/>
        </w:trPr>
        <w:tc>
          <w:tcPr>
            <w:tcW w:w="15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B9BE632" w14:textId="77777777" w:rsidR="00064C79" w:rsidRPr="00D75BA5" w:rsidRDefault="00064C79" w:rsidP="00064C79">
            <w:pPr>
              <w:spacing w:line="276" w:lineRule="auto"/>
              <w:jc w:val="center"/>
              <w:rPr>
                <w:rFonts w:ascii="Arial" w:hAnsi="Arial" w:cs="Arial"/>
                <w:b/>
                <w:bCs/>
                <w:sz w:val="20"/>
                <w:szCs w:val="20"/>
                <w:lang w:val="es-EC" w:eastAsia="es-EC"/>
              </w:rPr>
            </w:pPr>
            <w:r w:rsidRPr="00D75BA5">
              <w:rPr>
                <w:rFonts w:ascii="Arial" w:hAnsi="Arial" w:cs="Arial"/>
                <w:b/>
                <w:bCs/>
                <w:sz w:val="20"/>
                <w:szCs w:val="20"/>
                <w:lang w:val="es-EC" w:eastAsia="es-EC"/>
              </w:rPr>
              <w:t>Total</w:t>
            </w:r>
          </w:p>
        </w:tc>
        <w:tc>
          <w:tcPr>
            <w:tcW w:w="673" w:type="pct"/>
            <w:tcBorders>
              <w:top w:val="nil"/>
              <w:left w:val="nil"/>
              <w:bottom w:val="single" w:sz="4" w:space="0" w:color="000000"/>
              <w:right w:val="single" w:sz="4" w:space="0" w:color="000000"/>
            </w:tcBorders>
            <w:shd w:val="clear" w:color="auto" w:fill="auto"/>
            <w:tcMar>
              <w:left w:w="70" w:type="dxa"/>
              <w:right w:w="70" w:type="dxa"/>
            </w:tcMar>
          </w:tcPr>
          <w:p w14:paraId="26DB0E9E"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911.401</w:t>
            </w:r>
          </w:p>
        </w:tc>
        <w:tc>
          <w:tcPr>
            <w:tcW w:w="763" w:type="pct"/>
            <w:tcBorders>
              <w:top w:val="nil"/>
              <w:left w:val="nil"/>
              <w:bottom w:val="single" w:sz="4" w:space="0" w:color="000000"/>
              <w:right w:val="single" w:sz="4" w:space="0" w:color="000000"/>
            </w:tcBorders>
            <w:shd w:val="clear" w:color="auto" w:fill="auto"/>
            <w:tcMar>
              <w:left w:w="70" w:type="dxa"/>
              <w:right w:w="70" w:type="dxa"/>
            </w:tcMar>
          </w:tcPr>
          <w:p w14:paraId="3CCC8004"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157.420</w:t>
            </w:r>
          </w:p>
        </w:tc>
        <w:tc>
          <w:tcPr>
            <w:tcW w:w="762" w:type="pct"/>
            <w:tcBorders>
              <w:top w:val="nil"/>
              <w:left w:val="nil"/>
              <w:bottom w:val="single" w:sz="4" w:space="0" w:color="000000"/>
              <w:right w:val="single" w:sz="4" w:space="0" w:color="000000"/>
            </w:tcBorders>
            <w:shd w:val="clear" w:color="auto" w:fill="auto"/>
            <w:tcMar>
              <w:left w:w="70" w:type="dxa"/>
              <w:right w:w="70" w:type="dxa"/>
            </w:tcMar>
          </w:tcPr>
          <w:p w14:paraId="0C57F146"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70.822</w:t>
            </w:r>
          </w:p>
        </w:tc>
        <w:tc>
          <w:tcPr>
            <w:tcW w:w="568" w:type="pct"/>
            <w:tcBorders>
              <w:top w:val="nil"/>
              <w:left w:val="nil"/>
              <w:bottom w:val="single" w:sz="4" w:space="0" w:color="000000"/>
              <w:right w:val="single" w:sz="4" w:space="0" w:color="000000"/>
            </w:tcBorders>
            <w:shd w:val="clear" w:color="auto" w:fill="auto"/>
            <w:tcMar>
              <w:left w:w="70" w:type="dxa"/>
              <w:right w:w="70" w:type="dxa"/>
            </w:tcMar>
          </w:tcPr>
          <w:p w14:paraId="24CFB969"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205.317</w:t>
            </w:r>
          </w:p>
        </w:tc>
        <w:tc>
          <w:tcPr>
            <w:tcW w:w="680" w:type="pct"/>
            <w:tcBorders>
              <w:top w:val="nil"/>
              <w:left w:val="nil"/>
              <w:bottom w:val="single" w:sz="4" w:space="0" w:color="000000"/>
              <w:right w:val="single" w:sz="4" w:space="0" w:color="000000"/>
            </w:tcBorders>
            <w:shd w:val="clear" w:color="auto" w:fill="auto"/>
            <w:tcMar>
              <w:left w:w="70" w:type="dxa"/>
              <w:right w:w="70" w:type="dxa"/>
            </w:tcMar>
          </w:tcPr>
          <w:p w14:paraId="5008C6B6"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1.344.960</w:t>
            </w:r>
          </w:p>
        </w:tc>
      </w:tr>
      <w:tr w:rsidR="00064C79" w:rsidRPr="00D75BA5" w14:paraId="5E64B9CD" w14:textId="77777777" w:rsidTr="00D75BA5">
        <w:trPr>
          <w:trHeight w:val="604"/>
          <w:jc w:val="center"/>
        </w:trPr>
        <w:tc>
          <w:tcPr>
            <w:tcW w:w="1554"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AEE64F6" w14:textId="77777777" w:rsidR="00064C79" w:rsidRPr="00D75BA5" w:rsidRDefault="00064C79" w:rsidP="00064C79">
            <w:pPr>
              <w:spacing w:line="276" w:lineRule="auto"/>
              <w:rPr>
                <w:rFonts w:ascii="Arial" w:eastAsia="Calibri" w:hAnsi="Arial" w:cs="Arial"/>
                <w:sz w:val="20"/>
                <w:szCs w:val="20"/>
                <w:lang w:val="es-EC" w:eastAsia="en-US"/>
              </w:rPr>
            </w:pPr>
          </w:p>
        </w:tc>
        <w:tc>
          <w:tcPr>
            <w:tcW w:w="673" w:type="pct"/>
            <w:tcBorders>
              <w:top w:val="nil"/>
              <w:left w:val="nil"/>
              <w:bottom w:val="single" w:sz="4" w:space="0" w:color="000000"/>
              <w:right w:val="single" w:sz="4" w:space="0" w:color="000000"/>
            </w:tcBorders>
            <w:shd w:val="clear" w:color="auto" w:fill="auto"/>
            <w:tcMar>
              <w:left w:w="70" w:type="dxa"/>
              <w:right w:w="70" w:type="dxa"/>
            </w:tcMar>
          </w:tcPr>
          <w:p w14:paraId="26A436F7"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67,76%</w:t>
            </w:r>
          </w:p>
        </w:tc>
        <w:tc>
          <w:tcPr>
            <w:tcW w:w="763" w:type="pct"/>
            <w:tcBorders>
              <w:top w:val="nil"/>
              <w:left w:val="nil"/>
              <w:bottom w:val="single" w:sz="4" w:space="0" w:color="000000"/>
              <w:right w:val="single" w:sz="4" w:space="0" w:color="000000"/>
            </w:tcBorders>
            <w:shd w:val="clear" w:color="auto" w:fill="auto"/>
            <w:tcMar>
              <w:left w:w="70" w:type="dxa"/>
              <w:right w:w="70" w:type="dxa"/>
            </w:tcMar>
          </w:tcPr>
          <w:p w14:paraId="04DD767A"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11,70%</w:t>
            </w:r>
          </w:p>
        </w:tc>
        <w:tc>
          <w:tcPr>
            <w:tcW w:w="762" w:type="pct"/>
            <w:tcBorders>
              <w:top w:val="nil"/>
              <w:left w:val="nil"/>
              <w:bottom w:val="single" w:sz="4" w:space="0" w:color="000000"/>
              <w:right w:val="single" w:sz="4" w:space="0" w:color="000000"/>
            </w:tcBorders>
            <w:shd w:val="clear" w:color="auto" w:fill="auto"/>
            <w:tcMar>
              <w:left w:w="70" w:type="dxa"/>
              <w:right w:w="70" w:type="dxa"/>
            </w:tcMar>
          </w:tcPr>
          <w:p w14:paraId="3F16EA81"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5,27%</w:t>
            </w:r>
          </w:p>
        </w:tc>
        <w:tc>
          <w:tcPr>
            <w:tcW w:w="568" w:type="pct"/>
            <w:tcBorders>
              <w:top w:val="nil"/>
              <w:left w:val="nil"/>
              <w:bottom w:val="single" w:sz="4" w:space="0" w:color="000000"/>
              <w:right w:val="single" w:sz="4" w:space="0" w:color="000000"/>
            </w:tcBorders>
            <w:shd w:val="clear" w:color="auto" w:fill="auto"/>
            <w:tcMar>
              <w:left w:w="70" w:type="dxa"/>
              <w:right w:w="70" w:type="dxa"/>
            </w:tcMar>
          </w:tcPr>
          <w:p w14:paraId="6D2F3BF0"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15,27%</w:t>
            </w:r>
          </w:p>
        </w:tc>
        <w:tc>
          <w:tcPr>
            <w:tcW w:w="680" w:type="pct"/>
            <w:tcBorders>
              <w:top w:val="nil"/>
              <w:left w:val="nil"/>
              <w:bottom w:val="single" w:sz="4" w:space="0" w:color="000000"/>
              <w:right w:val="single" w:sz="4" w:space="0" w:color="000000"/>
            </w:tcBorders>
            <w:shd w:val="clear" w:color="auto" w:fill="auto"/>
            <w:tcMar>
              <w:left w:w="70" w:type="dxa"/>
              <w:right w:w="70" w:type="dxa"/>
            </w:tcMar>
          </w:tcPr>
          <w:p w14:paraId="481B67AA" w14:textId="77777777" w:rsidR="00064C79" w:rsidRPr="00D75BA5" w:rsidRDefault="00064C79" w:rsidP="00064C79">
            <w:pPr>
              <w:spacing w:line="276" w:lineRule="auto"/>
              <w:jc w:val="center"/>
              <w:rPr>
                <w:rFonts w:ascii="Arial" w:hAnsi="Arial" w:cs="Arial"/>
                <w:sz w:val="20"/>
                <w:szCs w:val="20"/>
                <w:lang w:val="es-EC" w:eastAsia="es-EC"/>
              </w:rPr>
            </w:pPr>
            <w:r w:rsidRPr="00D75BA5">
              <w:rPr>
                <w:rFonts w:ascii="Arial" w:hAnsi="Arial" w:cs="Arial"/>
                <w:sz w:val="20"/>
                <w:szCs w:val="20"/>
                <w:lang w:val="es-EC" w:eastAsia="es-EC"/>
              </w:rPr>
              <w:t>110,07%</w:t>
            </w:r>
          </w:p>
        </w:tc>
      </w:tr>
    </w:tbl>
    <w:p w14:paraId="5938CD88" w14:textId="77777777" w:rsidR="00064C79" w:rsidRPr="00D75BA5" w:rsidRDefault="00064C79" w:rsidP="00064C79">
      <w:pPr>
        <w:spacing w:line="360" w:lineRule="auto"/>
        <w:jc w:val="both"/>
        <w:rPr>
          <w:rFonts w:ascii="Arial" w:eastAsia="Calibri" w:hAnsi="Arial" w:cs="Arial"/>
          <w:spacing w:val="-1"/>
          <w:sz w:val="20"/>
          <w:szCs w:val="20"/>
          <w:lang w:val="es-EC" w:eastAsia="en-US"/>
        </w:rPr>
      </w:pPr>
      <w:r w:rsidRPr="00D75BA5">
        <w:rPr>
          <w:rFonts w:ascii="Arial" w:eastAsia="Calibri" w:hAnsi="Arial" w:cs="Arial"/>
          <w:iCs/>
          <w:spacing w:val="-1"/>
          <w:sz w:val="20"/>
          <w:szCs w:val="20"/>
          <w:lang w:val="es-EC" w:eastAsia="en-US"/>
        </w:rPr>
        <w:t>Nota</w:t>
      </w:r>
      <w:r w:rsidRPr="00D75BA5">
        <w:rPr>
          <w:rFonts w:ascii="Arial" w:eastAsia="Calibri" w:hAnsi="Arial" w:cs="Arial"/>
          <w:spacing w:val="-1"/>
          <w:sz w:val="20"/>
          <w:szCs w:val="20"/>
          <w:lang w:val="es-EC" w:eastAsia="en-US"/>
        </w:rPr>
        <w:t>. Elaboración propia con base en el INEC, 2023.</w:t>
      </w:r>
    </w:p>
    <w:p w14:paraId="54136F9C" w14:textId="77777777" w:rsidR="00064C79" w:rsidRPr="00064C79" w:rsidRDefault="00064C79" w:rsidP="00272687">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lastRenderedPageBreak/>
        <w:t>El 96,61% de las personas con estudios de posgrado trabaja en el sector formal; del nivel superior universitario, el 78,34%, es decir, una mayor proporción de graduados de posgrado está empleada en el sector formal, en comparación con aquellos con solo educación superior universitaria (tabla de contingencia 11).</w:t>
      </w:r>
    </w:p>
    <w:p w14:paraId="6AD2EB4D" w14:textId="2A6822A4" w:rsidR="00064C79" w:rsidRPr="00AD1ADC" w:rsidRDefault="00064C79" w:rsidP="00AD1ADC">
      <w:pPr>
        <w:spacing w:after="100" w:afterAutospacing="1"/>
        <w:jc w:val="center"/>
        <w:rPr>
          <w:rFonts w:ascii="Arial" w:eastAsia="Calibri" w:hAnsi="Arial" w:cs="Arial"/>
          <w:b/>
          <w:iCs/>
          <w:sz w:val="20"/>
          <w:szCs w:val="20"/>
          <w:lang w:val="es-EC" w:eastAsia="en-US"/>
        </w:rPr>
      </w:pPr>
      <w:r w:rsidRPr="00AD1ADC">
        <w:rPr>
          <w:rFonts w:ascii="Arial" w:eastAsia="Calibri" w:hAnsi="Arial" w:cs="Arial"/>
          <w:b/>
          <w:bCs/>
          <w:sz w:val="20"/>
          <w:szCs w:val="20"/>
          <w:lang w:val="es-EC" w:eastAsia="en-US"/>
        </w:rPr>
        <w:t>Tabla de contingencia 11</w:t>
      </w:r>
      <w:r w:rsidR="00272687" w:rsidRPr="00AD1ADC">
        <w:rPr>
          <w:rFonts w:ascii="Arial" w:eastAsia="Calibri" w:hAnsi="Arial" w:cs="Arial"/>
          <w:b/>
          <w:bCs/>
          <w:sz w:val="20"/>
          <w:szCs w:val="20"/>
          <w:lang w:val="es-EC" w:eastAsia="en-US"/>
        </w:rPr>
        <w:t>.</w:t>
      </w:r>
      <w:r w:rsidR="0048173B" w:rsidRPr="00AD1ADC">
        <w:rPr>
          <w:rFonts w:ascii="Arial" w:eastAsia="Calibri" w:hAnsi="Arial" w:cs="Arial"/>
          <w:b/>
          <w:bCs/>
          <w:sz w:val="20"/>
          <w:szCs w:val="20"/>
          <w:lang w:val="es-EC" w:eastAsia="en-US"/>
        </w:rPr>
        <w:t xml:space="preserve"> </w:t>
      </w:r>
      <w:r w:rsidRPr="00AD1ADC">
        <w:rPr>
          <w:rFonts w:ascii="Arial" w:eastAsia="Calibri" w:hAnsi="Arial" w:cs="Arial"/>
          <w:b/>
          <w:iCs/>
          <w:sz w:val="20"/>
          <w:szCs w:val="20"/>
          <w:lang w:val="es-EC" w:eastAsia="en-US"/>
        </w:rPr>
        <w:t>Nivel de instrucción - Sectorización de los empleados</w:t>
      </w:r>
    </w:p>
    <w:tbl>
      <w:tblPr>
        <w:tblW w:w="4992" w:type="pct"/>
        <w:jc w:val="center"/>
        <w:tblLook w:val="04A0" w:firstRow="1" w:lastRow="0" w:firstColumn="1" w:lastColumn="0" w:noHBand="0" w:noVBand="1"/>
      </w:tblPr>
      <w:tblGrid>
        <w:gridCol w:w="1533"/>
        <w:gridCol w:w="1757"/>
        <w:gridCol w:w="1439"/>
        <w:gridCol w:w="1331"/>
        <w:gridCol w:w="1266"/>
        <w:gridCol w:w="1439"/>
      </w:tblGrid>
      <w:tr w:rsidR="00064C79" w:rsidRPr="00AD1ADC" w14:paraId="71E27258" w14:textId="77777777" w:rsidTr="00917F6D">
        <w:trPr>
          <w:trHeight w:val="706"/>
          <w:jc w:val="center"/>
        </w:trPr>
        <w:tc>
          <w:tcPr>
            <w:tcW w:w="187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899CBE1" w14:textId="77777777" w:rsidR="00064C79" w:rsidRPr="00AD1ADC" w:rsidRDefault="00064C79" w:rsidP="00064C79">
            <w:pPr>
              <w:spacing w:line="276" w:lineRule="auto"/>
              <w:jc w:val="center"/>
              <w:rPr>
                <w:rFonts w:ascii="Arial" w:hAnsi="Arial" w:cs="Arial"/>
                <w:sz w:val="20"/>
                <w:szCs w:val="20"/>
                <w:lang w:val="es-EC" w:eastAsia="es-EC"/>
              </w:rPr>
            </w:pPr>
          </w:p>
        </w:tc>
        <w:tc>
          <w:tcPr>
            <w:tcW w:w="2302" w:type="pct"/>
            <w:gridSpan w:val="3"/>
            <w:tcBorders>
              <w:top w:val="single" w:sz="4" w:space="0" w:color="000000"/>
              <w:left w:val="nil"/>
              <w:bottom w:val="single" w:sz="4" w:space="0" w:color="000000"/>
              <w:right w:val="single" w:sz="4" w:space="0" w:color="000000"/>
            </w:tcBorders>
            <w:shd w:val="clear" w:color="auto" w:fill="auto"/>
            <w:tcMar>
              <w:left w:w="70" w:type="dxa"/>
              <w:right w:w="70" w:type="dxa"/>
            </w:tcMar>
            <w:vAlign w:val="center"/>
          </w:tcPr>
          <w:p w14:paraId="7F2F4795" w14:textId="77777777" w:rsidR="00064C79" w:rsidRPr="00AD1ADC" w:rsidRDefault="00064C79" w:rsidP="00064C79">
            <w:pPr>
              <w:spacing w:line="276" w:lineRule="auto"/>
              <w:jc w:val="center"/>
              <w:rPr>
                <w:rFonts w:ascii="Arial" w:hAnsi="Arial" w:cs="Arial"/>
                <w:b/>
                <w:bCs/>
                <w:sz w:val="20"/>
                <w:szCs w:val="20"/>
                <w:lang w:val="es-EC" w:eastAsia="es-EC"/>
              </w:rPr>
            </w:pPr>
            <w:r w:rsidRPr="00AD1ADC">
              <w:rPr>
                <w:rFonts w:ascii="Arial" w:hAnsi="Arial" w:cs="Arial"/>
                <w:b/>
                <w:bCs/>
                <w:sz w:val="20"/>
                <w:szCs w:val="20"/>
                <w:lang w:val="es-EC" w:eastAsia="es-EC"/>
              </w:rPr>
              <w:t>Sectorización de los empleados</w:t>
            </w: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3DA1EF5" w14:textId="77777777" w:rsidR="00064C79" w:rsidRPr="00AD1ADC" w:rsidRDefault="00064C79" w:rsidP="00064C79">
            <w:pPr>
              <w:spacing w:line="276" w:lineRule="auto"/>
              <w:jc w:val="center"/>
              <w:rPr>
                <w:rFonts w:ascii="Arial" w:hAnsi="Arial" w:cs="Arial"/>
                <w:b/>
                <w:bCs/>
                <w:sz w:val="20"/>
                <w:szCs w:val="20"/>
                <w:lang w:val="es-EC" w:eastAsia="es-EC"/>
              </w:rPr>
            </w:pPr>
            <w:r w:rsidRPr="00AD1ADC">
              <w:rPr>
                <w:rFonts w:ascii="Arial" w:hAnsi="Arial" w:cs="Arial"/>
                <w:b/>
                <w:bCs/>
                <w:sz w:val="20"/>
                <w:szCs w:val="20"/>
                <w:lang w:val="es-EC" w:eastAsia="es-EC"/>
              </w:rPr>
              <w:t>Total</w:t>
            </w:r>
          </w:p>
        </w:tc>
      </w:tr>
      <w:tr w:rsidR="00064C79" w:rsidRPr="00AD1ADC" w14:paraId="3AA99C98" w14:textId="77777777" w:rsidTr="00917F6D">
        <w:trPr>
          <w:trHeight w:val="1330"/>
          <w:jc w:val="center"/>
        </w:trPr>
        <w:tc>
          <w:tcPr>
            <w:tcW w:w="1877"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74995E7" w14:textId="77777777" w:rsidR="00064C79" w:rsidRPr="00AD1ADC" w:rsidRDefault="00064C79" w:rsidP="00064C79">
            <w:pPr>
              <w:spacing w:line="276" w:lineRule="auto"/>
              <w:jc w:val="center"/>
              <w:rPr>
                <w:rFonts w:ascii="Arial" w:eastAsia="Calibri" w:hAnsi="Arial" w:cs="Arial"/>
                <w:sz w:val="20"/>
                <w:szCs w:val="20"/>
                <w:lang w:val="es-EC" w:eastAsia="en-US"/>
              </w:rPr>
            </w:pPr>
          </w:p>
        </w:tc>
        <w:tc>
          <w:tcPr>
            <w:tcW w:w="821" w:type="pct"/>
            <w:tcBorders>
              <w:top w:val="nil"/>
              <w:left w:val="nil"/>
              <w:bottom w:val="single" w:sz="4" w:space="0" w:color="000000"/>
              <w:right w:val="single" w:sz="4" w:space="0" w:color="000000"/>
            </w:tcBorders>
            <w:shd w:val="clear" w:color="auto" w:fill="auto"/>
            <w:tcMar>
              <w:left w:w="70" w:type="dxa"/>
              <w:right w:w="70" w:type="dxa"/>
            </w:tcMar>
            <w:vAlign w:val="center"/>
          </w:tcPr>
          <w:p w14:paraId="7D08832D" w14:textId="77777777" w:rsidR="00064C79" w:rsidRPr="00AD1ADC" w:rsidRDefault="00064C79" w:rsidP="00064C79">
            <w:pPr>
              <w:spacing w:line="276" w:lineRule="auto"/>
              <w:jc w:val="center"/>
              <w:rPr>
                <w:rFonts w:ascii="Arial" w:hAnsi="Arial" w:cs="Arial"/>
                <w:b/>
                <w:bCs/>
                <w:sz w:val="20"/>
                <w:szCs w:val="20"/>
                <w:lang w:val="es-EC" w:eastAsia="es-EC"/>
              </w:rPr>
            </w:pPr>
            <w:r w:rsidRPr="00AD1ADC">
              <w:rPr>
                <w:rFonts w:ascii="Arial" w:hAnsi="Arial" w:cs="Arial"/>
                <w:b/>
                <w:bCs/>
                <w:sz w:val="20"/>
                <w:szCs w:val="20"/>
                <w:lang w:val="es-EC" w:eastAsia="es-EC"/>
              </w:rPr>
              <w:t>Sector formal</w:t>
            </w:r>
          </w:p>
        </w:tc>
        <w:tc>
          <w:tcPr>
            <w:tcW w:w="759" w:type="pct"/>
            <w:tcBorders>
              <w:top w:val="nil"/>
              <w:left w:val="nil"/>
              <w:bottom w:val="single" w:sz="4" w:space="0" w:color="000000"/>
              <w:right w:val="single" w:sz="4" w:space="0" w:color="000000"/>
            </w:tcBorders>
            <w:shd w:val="clear" w:color="auto" w:fill="auto"/>
            <w:tcMar>
              <w:left w:w="70" w:type="dxa"/>
              <w:right w:w="70" w:type="dxa"/>
            </w:tcMar>
            <w:vAlign w:val="center"/>
          </w:tcPr>
          <w:p w14:paraId="4A9D4165" w14:textId="77777777" w:rsidR="00064C79" w:rsidRPr="00AD1ADC" w:rsidRDefault="00064C79" w:rsidP="00064C79">
            <w:pPr>
              <w:spacing w:line="276" w:lineRule="auto"/>
              <w:jc w:val="center"/>
              <w:rPr>
                <w:rFonts w:ascii="Arial" w:hAnsi="Arial" w:cs="Arial"/>
                <w:b/>
                <w:bCs/>
                <w:sz w:val="20"/>
                <w:szCs w:val="20"/>
                <w:lang w:val="es-EC" w:eastAsia="es-EC"/>
              </w:rPr>
            </w:pPr>
            <w:r w:rsidRPr="00AD1ADC">
              <w:rPr>
                <w:rFonts w:ascii="Arial" w:hAnsi="Arial" w:cs="Arial"/>
                <w:b/>
                <w:bCs/>
                <w:sz w:val="20"/>
                <w:szCs w:val="20"/>
                <w:lang w:val="es-EC" w:eastAsia="es-EC"/>
              </w:rPr>
              <w:t>Sector informal</w:t>
            </w:r>
          </w:p>
        </w:tc>
        <w:tc>
          <w:tcPr>
            <w:tcW w:w="721" w:type="pct"/>
            <w:tcBorders>
              <w:top w:val="nil"/>
              <w:left w:val="nil"/>
              <w:bottom w:val="single" w:sz="4" w:space="0" w:color="000000"/>
              <w:right w:val="single" w:sz="4" w:space="0" w:color="000000"/>
            </w:tcBorders>
            <w:shd w:val="clear" w:color="auto" w:fill="auto"/>
            <w:tcMar>
              <w:left w:w="70" w:type="dxa"/>
              <w:right w:w="70" w:type="dxa"/>
            </w:tcMar>
            <w:vAlign w:val="center"/>
          </w:tcPr>
          <w:p w14:paraId="0DE296D6" w14:textId="77777777" w:rsidR="00064C79" w:rsidRPr="00AD1ADC" w:rsidRDefault="00064C79" w:rsidP="00064C79">
            <w:pPr>
              <w:spacing w:line="276" w:lineRule="auto"/>
              <w:jc w:val="center"/>
              <w:rPr>
                <w:rFonts w:ascii="Arial" w:hAnsi="Arial" w:cs="Arial"/>
                <w:b/>
                <w:bCs/>
                <w:sz w:val="20"/>
                <w:szCs w:val="20"/>
                <w:lang w:val="es-EC" w:eastAsia="es-EC"/>
              </w:rPr>
            </w:pPr>
            <w:r w:rsidRPr="00AD1ADC">
              <w:rPr>
                <w:rFonts w:ascii="Arial" w:hAnsi="Arial" w:cs="Arial"/>
                <w:b/>
                <w:bCs/>
                <w:sz w:val="20"/>
                <w:szCs w:val="20"/>
                <w:lang w:val="es-EC" w:eastAsia="es-EC"/>
              </w:rPr>
              <w:t>Otro</w:t>
            </w:r>
          </w:p>
        </w:tc>
        <w:tc>
          <w:tcPr>
            <w:tcW w:w="821" w:type="pct"/>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8C14CBC" w14:textId="77777777" w:rsidR="00064C79" w:rsidRPr="00AD1ADC" w:rsidRDefault="00064C79" w:rsidP="00064C79">
            <w:pPr>
              <w:spacing w:line="276" w:lineRule="auto"/>
              <w:jc w:val="center"/>
              <w:rPr>
                <w:rFonts w:ascii="Arial" w:eastAsia="Calibri" w:hAnsi="Arial" w:cs="Arial"/>
                <w:sz w:val="20"/>
                <w:szCs w:val="20"/>
                <w:lang w:val="es-EC" w:eastAsia="en-US"/>
              </w:rPr>
            </w:pPr>
          </w:p>
        </w:tc>
      </w:tr>
      <w:tr w:rsidR="00064C79" w:rsidRPr="00AD1ADC" w14:paraId="7CDB4AF7" w14:textId="77777777" w:rsidTr="00917F6D">
        <w:trPr>
          <w:trHeight w:val="706"/>
          <w:jc w:val="center"/>
        </w:trPr>
        <w:tc>
          <w:tcPr>
            <w:tcW w:w="875"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17E933F6" w14:textId="77777777" w:rsidR="00064C79" w:rsidRPr="00AD1ADC" w:rsidRDefault="00064C79" w:rsidP="00064C79">
            <w:pPr>
              <w:spacing w:line="276" w:lineRule="auto"/>
              <w:jc w:val="center"/>
              <w:rPr>
                <w:rFonts w:ascii="Arial" w:hAnsi="Arial" w:cs="Arial"/>
                <w:b/>
                <w:bCs/>
                <w:sz w:val="20"/>
                <w:szCs w:val="20"/>
                <w:lang w:val="es-EC" w:eastAsia="es-EC"/>
              </w:rPr>
            </w:pPr>
            <w:r w:rsidRPr="00AD1ADC">
              <w:rPr>
                <w:rFonts w:ascii="Arial" w:hAnsi="Arial" w:cs="Arial"/>
                <w:b/>
                <w:bCs/>
                <w:sz w:val="20"/>
                <w:szCs w:val="20"/>
                <w:lang w:val="es-EC" w:eastAsia="es-EC"/>
              </w:rPr>
              <w:t>Nivel de instrucción</w:t>
            </w:r>
          </w:p>
        </w:tc>
        <w:tc>
          <w:tcPr>
            <w:tcW w:w="1002"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687B1571" w14:textId="77777777" w:rsidR="00064C79" w:rsidRPr="00AD1ADC" w:rsidRDefault="00064C79" w:rsidP="00064C79">
            <w:pPr>
              <w:spacing w:line="276" w:lineRule="auto"/>
              <w:jc w:val="center"/>
              <w:rPr>
                <w:rFonts w:ascii="Arial" w:hAnsi="Arial" w:cs="Arial"/>
                <w:b/>
                <w:bCs/>
                <w:sz w:val="20"/>
                <w:szCs w:val="20"/>
                <w:lang w:val="es-EC" w:eastAsia="es-EC"/>
              </w:rPr>
            </w:pPr>
            <w:r w:rsidRPr="00AD1ADC">
              <w:rPr>
                <w:rFonts w:ascii="Arial" w:hAnsi="Arial" w:cs="Arial"/>
                <w:b/>
                <w:bCs/>
                <w:sz w:val="20"/>
                <w:szCs w:val="20"/>
                <w:lang w:val="es-EC" w:eastAsia="es-EC"/>
              </w:rPr>
              <w:t>Superior Universitario</w:t>
            </w:r>
          </w:p>
        </w:tc>
        <w:tc>
          <w:tcPr>
            <w:tcW w:w="821" w:type="pct"/>
            <w:tcBorders>
              <w:top w:val="nil"/>
              <w:left w:val="nil"/>
              <w:bottom w:val="single" w:sz="4" w:space="0" w:color="000000"/>
              <w:right w:val="single" w:sz="4" w:space="0" w:color="000000"/>
            </w:tcBorders>
            <w:shd w:val="clear" w:color="auto" w:fill="auto"/>
            <w:tcMar>
              <w:left w:w="70" w:type="dxa"/>
              <w:right w:w="70" w:type="dxa"/>
            </w:tcMar>
            <w:vAlign w:val="center"/>
          </w:tcPr>
          <w:p w14:paraId="54F28F47"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865.240</w:t>
            </w:r>
          </w:p>
        </w:tc>
        <w:tc>
          <w:tcPr>
            <w:tcW w:w="759" w:type="pct"/>
            <w:tcBorders>
              <w:top w:val="nil"/>
              <w:left w:val="nil"/>
              <w:bottom w:val="single" w:sz="4" w:space="0" w:color="000000"/>
              <w:right w:val="single" w:sz="4" w:space="0" w:color="000000"/>
            </w:tcBorders>
            <w:shd w:val="clear" w:color="auto" w:fill="auto"/>
            <w:tcMar>
              <w:left w:w="70" w:type="dxa"/>
              <w:right w:w="70" w:type="dxa"/>
            </w:tcMar>
            <w:vAlign w:val="center"/>
          </w:tcPr>
          <w:p w14:paraId="786F80F7"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222.903</w:t>
            </w:r>
          </w:p>
        </w:tc>
        <w:tc>
          <w:tcPr>
            <w:tcW w:w="721" w:type="pct"/>
            <w:tcBorders>
              <w:top w:val="nil"/>
              <w:left w:val="nil"/>
              <w:bottom w:val="single" w:sz="4" w:space="0" w:color="000000"/>
              <w:right w:val="single" w:sz="4" w:space="0" w:color="000000"/>
            </w:tcBorders>
            <w:shd w:val="clear" w:color="auto" w:fill="auto"/>
            <w:tcMar>
              <w:left w:w="70" w:type="dxa"/>
              <w:right w:w="70" w:type="dxa"/>
            </w:tcMar>
            <w:vAlign w:val="center"/>
          </w:tcPr>
          <w:p w14:paraId="68B36C54"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16.271</w:t>
            </w:r>
          </w:p>
        </w:tc>
        <w:tc>
          <w:tcPr>
            <w:tcW w:w="821" w:type="pct"/>
            <w:tcBorders>
              <w:top w:val="nil"/>
              <w:left w:val="nil"/>
              <w:bottom w:val="single" w:sz="4" w:space="0" w:color="000000"/>
              <w:right w:val="single" w:sz="4" w:space="0" w:color="000000"/>
            </w:tcBorders>
            <w:shd w:val="clear" w:color="auto" w:fill="auto"/>
            <w:tcMar>
              <w:left w:w="70" w:type="dxa"/>
              <w:right w:w="70" w:type="dxa"/>
            </w:tcMar>
            <w:vAlign w:val="center"/>
          </w:tcPr>
          <w:p w14:paraId="464FC23C"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1.104.414</w:t>
            </w:r>
          </w:p>
        </w:tc>
      </w:tr>
      <w:tr w:rsidR="00064C79" w:rsidRPr="00AD1ADC" w14:paraId="62925186" w14:textId="77777777" w:rsidTr="00917F6D">
        <w:trPr>
          <w:trHeight w:val="706"/>
          <w:jc w:val="center"/>
        </w:trPr>
        <w:tc>
          <w:tcPr>
            <w:tcW w:w="875" w:type="pct"/>
            <w:vMerge/>
            <w:tcBorders>
              <w:top w:val="nil"/>
              <w:left w:val="single" w:sz="4" w:space="0" w:color="000000"/>
              <w:bottom w:val="single" w:sz="4" w:space="0" w:color="000000"/>
              <w:right w:val="single" w:sz="4" w:space="0" w:color="000000"/>
            </w:tcBorders>
            <w:tcMar>
              <w:left w:w="70" w:type="dxa"/>
              <w:right w:w="70" w:type="dxa"/>
            </w:tcMar>
            <w:vAlign w:val="center"/>
          </w:tcPr>
          <w:p w14:paraId="03D7D767" w14:textId="77777777" w:rsidR="00064C79" w:rsidRPr="00AD1ADC" w:rsidRDefault="00064C79" w:rsidP="00064C79">
            <w:pPr>
              <w:spacing w:line="276" w:lineRule="auto"/>
              <w:jc w:val="center"/>
              <w:rPr>
                <w:rFonts w:ascii="Arial" w:eastAsia="Calibri" w:hAnsi="Arial" w:cs="Arial"/>
                <w:b/>
                <w:bCs/>
                <w:sz w:val="20"/>
                <w:szCs w:val="20"/>
                <w:lang w:val="es-EC" w:eastAsia="en-US"/>
              </w:rPr>
            </w:pPr>
          </w:p>
        </w:tc>
        <w:tc>
          <w:tcPr>
            <w:tcW w:w="1002" w:type="pct"/>
            <w:vMerge/>
            <w:tcBorders>
              <w:top w:val="nil"/>
              <w:left w:val="single" w:sz="4" w:space="0" w:color="000000"/>
              <w:bottom w:val="single" w:sz="4" w:space="0" w:color="000000"/>
              <w:right w:val="single" w:sz="4" w:space="0" w:color="000000"/>
            </w:tcBorders>
            <w:tcMar>
              <w:left w:w="70" w:type="dxa"/>
              <w:right w:w="70" w:type="dxa"/>
            </w:tcMar>
            <w:vAlign w:val="center"/>
          </w:tcPr>
          <w:p w14:paraId="0A6F2CAA" w14:textId="77777777" w:rsidR="00064C79" w:rsidRPr="00AD1ADC" w:rsidRDefault="00064C79" w:rsidP="00064C79">
            <w:pPr>
              <w:spacing w:line="276" w:lineRule="auto"/>
              <w:jc w:val="center"/>
              <w:rPr>
                <w:rFonts w:ascii="Arial" w:eastAsia="Calibri" w:hAnsi="Arial" w:cs="Arial"/>
                <w:b/>
                <w:bCs/>
                <w:sz w:val="20"/>
                <w:szCs w:val="20"/>
                <w:lang w:val="es-EC" w:eastAsia="en-US"/>
              </w:rPr>
            </w:pPr>
          </w:p>
        </w:tc>
        <w:tc>
          <w:tcPr>
            <w:tcW w:w="821" w:type="pct"/>
            <w:tcBorders>
              <w:top w:val="nil"/>
              <w:left w:val="nil"/>
              <w:bottom w:val="single" w:sz="4" w:space="0" w:color="000000"/>
              <w:right w:val="single" w:sz="4" w:space="0" w:color="000000"/>
            </w:tcBorders>
            <w:shd w:val="clear" w:color="auto" w:fill="auto"/>
            <w:tcMar>
              <w:left w:w="70" w:type="dxa"/>
              <w:right w:w="70" w:type="dxa"/>
            </w:tcMar>
            <w:vAlign w:val="center"/>
          </w:tcPr>
          <w:p w14:paraId="6611299B"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78,34%</w:t>
            </w:r>
          </w:p>
        </w:tc>
        <w:tc>
          <w:tcPr>
            <w:tcW w:w="759" w:type="pct"/>
            <w:tcBorders>
              <w:top w:val="nil"/>
              <w:left w:val="nil"/>
              <w:bottom w:val="single" w:sz="4" w:space="0" w:color="000000"/>
              <w:right w:val="single" w:sz="4" w:space="0" w:color="000000"/>
            </w:tcBorders>
            <w:shd w:val="clear" w:color="auto" w:fill="auto"/>
            <w:tcMar>
              <w:left w:w="70" w:type="dxa"/>
              <w:right w:w="70" w:type="dxa"/>
            </w:tcMar>
            <w:vAlign w:val="center"/>
          </w:tcPr>
          <w:p w14:paraId="3B7613D3"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20,18%</w:t>
            </w:r>
          </w:p>
        </w:tc>
        <w:tc>
          <w:tcPr>
            <w:tcW w:w="721" w:type="pct"/>
            <w:tcBorders>
              <w:top w:val="nil"/>
              <w:left w:val="nil"/>
              <w:bottom w:val="single" w:sz="4" w:space="0" w:color="000000"/>
              <w:right w:val="single" w:sz="4" w:space="0" w:color="000000"/>
            </w:tcBorders>
            <w:shd w:val="clear" w:color="auto" w:fill="auto"/>
            <w:tcMar>
              <w:left w:w="70" w:type="dxa"/>
              <w:right w:w="70" w:type="dxa"/>
            </w:tcMar>
            <w:vAlign w:val="center"/>
          </w:tcPr>
          <w:p w14:paraId="3BE34A70"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1,47%</w:t>
            </w:r>
          </w:p>
        </w:tc>
        <w:tc>
          <w:tcPr>
            <w:tcW w:w="821" w:type="pct"/>
            <w:tcBorders>
              <w:top w:val="nil"/>
              <w:left w:val="nil"/>
              <w:bottom w:val="single" w:sz="4" w:space="0" w:color="000000"/>
              <w:right w:val="single" w:sz="4" w:space="0" w:color="000000"/>
            </w:tcBorders>
            <w:shd w:val="clear" w:color="auto" w:fill="auto"/>
            <w:tcMar>
              <w:left w:w="70" w:type="dxa"/>
              <w:right w:w="70" w:type="dxa"/>
            </w:tcMar>
            <w:vAlign w:val="center"/>
          </w:tcPr>
          <w:p w14:paraId="19AB7ACA"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100,00%</w:t>
            </w:r>
          </w:p>
        </w:tc>
      </w:tr>
      <w:tr w:rsidR="00064C79" w:rsidRPr="00AD1ADC" w14:paraId="577D53C2" w14:textId="77777777" w:rsidTr="00917F6D">
        <w:trPr>
          <w:trHeight w:val="706"/>
          <w:jc w:val="center"/>
        </w:trPr>
        <w:tc>
          <w:tcPr>
            <w:tcW w:w="875" w:type="pct"/>
            <w:vMerge/>
            <w:tcBorders>
              <w:top w:val="nil"/>
              <w:left w:val="single" w:sz="4" w:space="0" w:color="000000"/>
              <w:bottom w:val="single" w:sz="4" w:space="0" w:color="000000"/>
              <w:right w:val="single" w:sz="4" w:space="0" w:color="000000"/>
            </w:tcBorders>
            <w:tcMar>
              <w:left w:w="70" w:type="dxa"/>
              <w:right w:w="70" w:type="dxa"/>
            </w:tcMar>
            <w:vAlign w:val="center"/>
          </w:tcPr>
          <w:p w14:paraId="224E8016" w14:textId="77777777" w:rsidR="00064C79" w:rsidRPr="00AD1ADC" w:rsidRDefault="00064C79" w:rsidP="00064C79">
            <w:pPr>
              <w:spacing w:line="276" w:lineRule="auto"/>
              <w:jc w:val="center"/>
              <w:rPr>
                <w:rFonts w:ascii="Arial" w:eastAsia="Calibri" w:hAnsi="Arial" w:cs="Arial"/>
                <w:b/>
                <w:bCs/>
                <w:sz w:val="20"/>
                <w:szCs w:val="20"/>
                <w:lang w:val="es-EC" w:eastAsia="en-US"/>
              </w:rPr>
            </w:pPr>
          </w:p>
        </w:tc>
        <w:tc>
          <w:tcPr>
            <w:tcW w:w="1002"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38948FE1" w14:textId="77777777" w:rsidR="00064C79" w:rsidRPr="00AD1ADC" w:rsidRDefault="00064C79" w:rsidP="00064C79">
            <w:pPr>
              <w:spacing w:line="276" w:lineRule="auto"/>
              <w:jc w:val="center"/>
              <w:rPr>
                <w:rFonts w:ascii="Arial" w:hAnsi="Arial" w:cs="Arial"/>
                <w:b/>
                <w:bCs/>
                <w:sz w:val="20"/>
                <w:szCs w:val="20"/>
                <w:lang w:val="es-EC" w:eastAsia="es-EC"/>
              </w:rPr>
            </w:pPr>
            <w:r w:rsidRPr="00AD1ADC">
              <w:rPr>
                <w:rFonts w:ascii="Arial" w:hAnsi="Arial" w:cs="Arial"/>
                <w:b/>
                <w:bCs/>
                <w:sz w:val="20"/>
                <w:szCs w:val="20"/>
                <w:lang w:val="es-EC" w:eastAsia="es-EC"/>
              </w:rPr>
              <w:t>Posgrado</w:t>
            </w:r>
          </w:p>
        </w:tc>
        <w:tc>
          <w:tcPr>
            <w:tcW w:w="821" w:type="pct"/>
            <w:tcBorders>
              <w:top w:val="nil"/>
              <w:left w:val="nil"/>
              <w:bottom w:val="single" w:sz="4" w:space="0" w:color="000000"/>
              <w:right w:val="single" w:sz="4" w:space="0" w:color="000000"/>
            </w:tcBorders>
            <w:shd w:val="clear" w:color="auto" w:fill="auto"/>
            <w:tcMar>
              <w:left w:w="70" w:type="dxa"/>
              <w:right w:w="70" w:type="dxa"/>
            </w:tcMar>
            <w:vAlign w:val="center"/>
          </w:tcPr>
          <w:p w14:paraId="366073F2"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163.976</w:t>
            </w:r>
          </w:p>
        </w:tc>
        <w:tc>
          <w:tcPr>
            <w:tcW w:w="759" w:type="pct"/>
            <w:tcBorders>
              <w:top w:val="nil"/>
              <w:left w:val="nil"/>
              <w:bottom w:val="single" w:sz="4" w:space="0" w:color="000000"/>
              <w:right w:val="single" w:sz="4" w:space="0" w:color="000000"/>
            </w:tcBorders>
            <w:shd w:val="clear" w:color="auto" w:fill="auto"/>
            <w:tcMar>
              <w:left w:w="70" w:type="dxa"/>
              <w:right w:w="70" w:type="dxa"/>
            </w:tcMar>
            <w:vAlign w:val="center"/>
          </w:tcPr>
          <w:p w14:paraId="2D4CD026"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5.570</w:t>
            </w:r>
          </w:p>
        </w:tc>
        <w:tc>
          <w:tcPr>
            <w:tcW w:w="721" w:type="pct"/>
            <w:tcBorders>
              <w:top w:val="nil"/>
              <w:left w:val="nil"/>
              <w:bottom w:val="single" w:sz="4" w:space="0" w:color="000000"/>
              <w:right w:val="single" w:sz="4" w:space="0" w:color="000000"/>
            </w:tcBorders>
            <w:shd w:val="clear" w:color="auto" w:fill="auto"/>
            <w:tcMar>
              <w:left w:w="70" w:type="dxa"/>
              <w:right w:w="70" w:type="dxa"/>
            </w:tcMar>
            <w:vAlign w:val="center"/>
          </w:tcPr>
          <w:p w14:paraId="76DA1559"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178</w:t>
            </w:r>
          </w:p>
        </w:tc>
        <w:tc>
          <w:tcPr>
            <w:tcW w:w="821" w:type="pct"/>
            <w:tcBorders>
              <w:top w:val="nil"/>
              <w:left w:val="nil"/>
              <w:bottom w:val="single" w:sz="4" w:space="0" w:color="000000"/>
              <w:right w:val="single" w:sz="4" w:space="0" w:color="000000"/>
            </w:tcBorders>
            <w:shd w:val="clear" w:color="auto" w:fill="auto"/>
            <w:tcMar>
              <w:left w:w="70" w:type="dxa"/>
              <w:right w:w="70" w:type="dxa"/>
            </w:tcMar>
            <w:vAlign w:val="center"/>
          </w:tcPr>
          <w:p w14:paraId="2771E57A"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169.724</w:t>
            </w:r>
          </w:p>
        </w:tc>
      </w:tr>
      <w:tr w:rsidR="00064C79" w:rsidRPr="00AD1ADC" w14:paraId="387FF105" w14:textId="77777777" w:rsidTr="00917F6D">
        <w:trPr>
          <w:trHeight w:val="706"/>
          <w:jc w:val="center"/>
        </w:trPr>
        <w:tc>
          <w:tcPr>
            <w:tcW w:w="875" w:type="pct"/>
            <w:vMerge/>
            <w:tcBorders>
              <w:top w:val="nil"/>
              <w:left w:val="single" w:sz="4" w:space="0" w:color="000000"/>
              <w:bottom w:val="single" w:sz="4" w:space="0" w:color="000000"/>
              <w:right w:val="single" w:sz="4" w:space="0" w:color="000000"/>
            </w:tcBorders>
            <w:tcMar>
              <w:left w:w="70" w:type="dxa"/>
              <w:right w:w="70" w:type="dxa"/>
            </w:tcMar>
            <w:vAlign w:val="center"/>
          </w:tcPr>
          <w:p w14:paraId="7E031C87" w14:textId="77777777" w:rsidR="00064C79" w:rsidRPr="00AD1ADC" w:rsidRDefault="00064C79" w:rsidP="00064C79">
            <w:pPr>
              <w:spacing w:line="276" w:lineRule="auto"/>
              <w:jc w:val="center"/>
              <w:rPr>
                <w:rFonts w:ascii="Arial" w:eastAsia="Calibri" w:hAnsi="Arial" w:cs="Arial"/>
                <w:b/>
                <w:bCs/>
                <w:sz w:val="20"/>
                <w:szCs w:val="20"/>
                <w:lang w:val="es-EC" w:eastAsia="en-US"/>
              </w:rPr>
            </w:pPr>
          </w:p>
        </w:tc>
        <w:tc>
          <w:tcPr>
            <w:tcW w:w="1002" w:type="pct"/>
            <w:vMerge/>
            <w:tcBorders>
              <w:top w:val="nil"/>
              <w:left w:val="single" w:sz="4" w:space="0" w:color="000000"/>
              <w:bottom w:val="single" w:sz="4" w:space="0" w:color="000000"/>
              <w:right w:val="single" w:sz="4" w:space="0" w:color="000000"/>
            </w:tcBorders>
            <w:tcMar>
              <w:left w:w="70" w:type="dxa"/>
              <w:right w:w="70" w:type="dxa"/>
            </w:tcMar>
            <w:vAlign w:val="center"/>
          </w:tcPr>
          <w:p w14:paraId="586A6C30" w14:textId="77777777" w:rsidR="00064C79" w:rsidRPr="00AD1ADC" w:rsidRDefault="00064C79" w:rsidP="00064C79">
            <w:pPr>
              <w:spacing w:line="276" w:lineRule="auto"/>
              <w:jc w:val="center"/>
              <w:rPr>
                <w:rFonts w:ascii="Arial" w:eastAsia="Calibri" w:hAnsi="Arial" w:cs="Arial"/>
                <w:b/>
                <w:bCs/>
                <w:sz w:val="20"/>
                <w:szCs w:val="20"/>
                <w:lang w:val="es-EC" w:eastAsia="en-US"/>
              </w:rPr>
            </w:pPr>
          </w:p>
        </w:tc>
        <w:tc>
          <w:tcPr>
            <w:tcW w:w="821" w:type="pct"/>
            <w:tcBorders>
              <w:top w:val="nil"/>
              <w:left w:val="nil"/>
              <w:bottom w:val="single" w:sz="4" w:space="0" w:color="000000"/>
              <w:right w:val="single" w:sz="4" w:space="0" w:color="000000"/>
            </w:tcBorders>
            <w:shd w:val="clear" w:color="auto" w:fill="auto"/>
            <w:tcMar>
              <w:left w:w="70" w:type="dxa"/>
              <w:right w:w="70" w:type="dxa"/>
            </w:tcMar>
            <w:vAlign w:val="center"/>
          </w:tcPr>
          <w:p w14:paraId="05C5651A"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96,61%</w:t>
            </w:r>
          </w:p>
        </w:tc>
        <w:tc>
          <w:tcPr>
            <w:tcW w:w="759" w:type="pct"/>
            <w:tcBorders>
              <w:top w:val="nil"/>
              <w:left w:val="nil"/>
              <w:bottom w:val="single" w:sz="4" w:space="0" w:color="000000"/>
              <w:right w:val="single" w:sz="4" w:space="0" w:color="000000"/>
            </w:tcBorders>
            <w:shd w:val="clear" w:color="auto" w:fill="auto"/>
            <w:tcMar>
              <w:left w:w="70" w:type="dxa"/>
              <w:right w:w="70" w:type="dxa"/>
            </w:tcMar>
            <w:vAlign w:val="center"/>
          </w:tcPr>
          <w:p w14:paraId="00C44CFF"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3,28%</w:t>
            </w:r>
          </w:p>
        </w:tc>
        <w:tc>
          <w:tcPr>
            <w:tcW w:w="721" w:type="pct"/>
            <w:tcBorders>
              <w:top w:val="nil"/>
              <w:left w:val="nil"/>
              <w:bottom w:val="single" w:sz="4" w:space="0" w:color="000000"/>
              <w:right w:val="single" w:sz="4" w:space="0" w:color="000000"/>
            </w:tcBorders>
            <w:shd w:val="clear" w:color="auto" w:fill="auto"/>
            <w:tcMar>
              <w:left w:w="70" w:type="dxa"/>
              <w:right w:w="70" w:type="dxa"/>
            </w:tcMar>
            <w:vAlign w:val="center"/>
          </w:tcPr>
          <w:p w14:paraId="05CA8F1C"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0,10%</w:t>
            </w:r>
          </w:p>
        </w:tc>
        <w:tc>
          <w:tcPr>
            <w:tcW w:w="821" w:type="pct"/>
            <w:tcBorders>
              <w:top w:val="nil"/>
              <w:left w:val="nil"/>
              <w:bottom w:val="single" w:sz="4" w:space="0" w:color="000000"/>
              <w:right w:val="single" w:sz="4" w:space="0" w:color="000000"/>
            </w:tcBorders>
            <w:shd w:val="clear" w:color="auto" w:fill="auto"/>
            <w:tcMar>
              <w:left w:w="70" w:type="dxa"/>
              <w:right w:w="70" w:type="dxa"/>
            </w:tcMar>
            <w:vAlign w:val="center"/>
          </w:tcPr>
          <w:p w14:paraId="46E0C8B0"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100,00%</w:t>
            </w:r>
          </w:p>
        </w:tc>
      </w:tr>
      <w:tr w:rsidR="00064C79" w:rsidRPr="00AD1ADC" w14:paraId="4E122D02" w14:textId="77777777" w:rsidTr="00917F6D">
        <w:trPr>
          <w:trHeight w:val="706"/>
          <w:jc w:val="center"/>
        </w:trPr>
        <w:tc>
          <w:tcPr>
            <w:tcW w:w="187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F4E28AE" w14:textId="77777777" w:rsidR="00064C79" w:rsidRPr="00AD1ADC" w:rsidRDefault="00064C79" w:rsidP="00064C79">
            <w:pPr>
              <w:spacing w:line="276" w:lineRule="auto"/>
              <w:jc w:val="center"/>
              <w:rPr>
                <w:rFonts w:ascii="Arial" w:hAnsi="Arial" w:cs="Arial"/>
                <w:b/>
                <w:bCs/>
                <w:sz w:val="20"/>
                <w:szCs w:val="20"/>
                <w:lang w:val="es-EC" w:eastAsia="es-EC"/>
              </w:rPr>
            </w:pPr>
            <w:r w:rsidRPr="00AD1ADC">
              <w:rPr>
                <w:rFonts w:ascii="Arial" w:hAnsi="Arial" w:cs="Arial"/>
                <w:b/>
                <w:bCs/>
                <w:sz w:val="20"/>
                <w:szCs w:val="20"/>
                <w:lang w:val="es-EC" w:eastAsia="es-EC"/>
              </w:rPr>
              <w:t>Total</w:t>
            </w:r>
          </w:p>
        </w:tc>
        <w:tc>
          <w:tcPr>
            <w:tcW w:w="821" w:type="pct"/>
            <w:tcBorders>
              <w:top w:val="nil"/>
              <w:left w:val="nil"/>
              <w:bottom w:val="single" w:sz="4" w:space="0" w:color="000000"/>
              <w:right w:val="single" w:sz="4" w:space="0" w:color="000000"/>
            </w:tcBorders>
            <w:shd w:val="clear" w:color="auto" w:fill="auto"/>
            <w:tcMar>
              <w:left w:w="70" w:type="dxa"/>
              <w:right w:w="70" w:type="dxa"/>
            </w:tcMar>
            <w:vAlign w:val="center"/>
          </w:tcPr>
          <w:p w14:paraId="147B6937"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1.029.216</w:t>
            </w:r>
          </w:p>
        </w:tc>
        <w:tc>
          <w:tcPr>
            <w:tcW w:w="759" w:type="pct"/>
            <w:tcBorders>
              <w:top w:val="nil"/>
              <w:left w:val="nil"/>
              <w:bottom w:val="single" w:sz="4" w:space="0" w:color="000000"/>
              <w:right w:val="single" w:sz="4" w:space="0" w:color="000000"/>
            </w:tcBorders>
            <w:shd w:val="clear" w:color="auto" w:fill="auto"/>
            <w:tcMar>
              <w:left w:w="70" w:type="dxa"/>
              <w:right w:w="70" w:type="dxa"/>
            </w:tcMar>
            <w:vAlign w:val="center"/>
          </w:tcPr>
          <w:p w14:paraId="5D8019D4"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228.473</w:t>
            </w:r>
          </w:p>
        </w:tc>
        <w:tc>
          <w:tcPr>
            <w:tcW w:w="721" w:type="pct"/>
            <w:tcBorders>
              <w:top w:val="nil"/>
              <w:left w:val="nil"/>
              <w:bottom w:val="single" w:sz="4" w:space="0" w:color="000000"/>
              <w:right w:val="single" w:sz="4" w:space="0" w:color="000000"/>
            </w:tcBorders>
            <w:shd w:val="clear" w:color="auto" w:fill="auto"/>
            <w:tcMar>
              <w:left w:w="70" w:type="dxa"/>
              <w:right w:w="70" w:type="dxa"/>
            </w:tcMar>
            <w:vAlign w:val="center"/>
          </w:tcPr>
          <w:p w14:paraId="166BB25C"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16.449</w:t>
            </w:r>
          </w:p>
        </w:tc>
        <w:tc>
          <w:tcPr>
            <w:tcW w:w="821" w:type="pct"/>
            <w:tcBorders>
              <w:top w:val="nil"/>
              <w:left w:val="nil"/>
              <w:bottom w:val="single" w:sz="4" w:space="0" w:color="000000"/>
              <w:right w:val="single" w:sz="4" w:space="0" w:color="000000"/>
            </w:tcBorders>
            <w:shd w:val="clear" w:color="auto" w:fill="auto"/>
            <w:tcMar>
              <w:left w:w="70" w:type="dxa"/>
              <w:right w:w="70" w:type="dxa"/>
            </w:tcMar>
            <w:vAlign w:val="center"/>
          </w:tcPr>
          <w:p w14:paraId="3CA62CD1"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1.274.138</w:t>
            </w:r>
          </w:p>
        </w:tc>
      </w:tr>
      <w:tr w:rsidR="00064C79" w:rsidRPr="00AD1ADC" w14:paraId="0C68B534" w14:textId="77777777" w:rsidTr="00917F6D">
        <w:trPr>
          <w:trHeight w:val="706"/>
          <w:jc w:val="center"/>
        </w:trPr>
        <w:tc>
          <w:tcPr>
            <w:tcW w:w="1877"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A5592D3" w14:textId="77777777" w:rsidR="00064C79" w:rsidRPr="00AD1ADC" w:rsidRDefault="00064C79" w:rsidP="00064C79">
            <w:pPr>
              <w:spacing w:line="276" w:lineRule="auto"/>
              <w:jc w:val="center"/>
              <w:rPr>
                <w:rFonts w:ascii="Arial" w:eastAsia="Calibri" w:hAnsi="Arial" w:cs="Arial"/>
                <w:sz w:val="20"/>
                <w:szCs w:val="20"/>
                <w:lang w:val="es-EC" w:eastAsia="en-US"/>
              </w:rPr>
            </w:pPr>
          </w:p>
        </w:tc>
        <w:tc>
          <w:tcPr>
            <w:tcW w:w="821" w:type="pct"/>
            <w:tcBorders>
              <w:top w:val="nil"/>
              <w:left w:val="nil"/>
              <w:bottom w:val="single" w:sz="4" w:space="0" w:color="000000"/>
              <w:right w:val="single" w:sz="4" w:space="0" w:color="000000"/>
            </w:tcBorders>
            <w:shd w:val="clear" w:color="auto" w:fill="auto"/>
            <w:tcMar>
              <w:left w:w="70" w:type="dxa"/>
              <w:right w:w="70" w:type="dxa"/>
            </w:tcMar>
            <w:vAlign w:val="center"/>
          </w:tcPr>
          <w:p w14:paraId="2FEE6E1D"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80,78%</w:t>
            </w:r>
          </w:p>
        </w:tc>
        <w:tc>
          <w:tcPr>
            <w:tcW w:w="759" w:type="pct"/>
            <w:tcBorders>
              <w:top w:val="nil"/>
              <w:left w:val="nil"/>
              <w:bottom w:val="single" w:sz="4" w:space="0" w:color="000000"/>
              <w:right w:val="single" w:sz="4" w:space="0" w:color="000000"/>
            </w:tcBorders>
            <w:shd w:val="clear" w:color="auto" w:fill="auto"/>
            <w:tcMar>
              <w:left w:w="70" w:type="dxa"/>
              <w:right w:w="70" w:type="dxa"/>
            </w:tcMar>
            <w:vAlign w:val="center"/>
          </w:tcPr>
          <w:p w14:paraId="6903109F"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17,93%</w:t>
            </w:r>
          </w:p>
        </w:tc>
        <w:tc>
          <w:tcPr>
            <w:tcW w:w="721" w:type="pct"/>
            <w:tcBorders>
              <w:top w:val="nil"/>
              <w:left w:val="nil"/>
              <w:bottom w:val="single" w:sz="4" w:space="0" w:color="000000"/>
              <w:right w:val="single" w:sz="4" w:space="0" w:color="000000"/>
            </w:tcBorders>
            <w:shd w:val="clear" w:color="auto" w:fill="auto"/>
            <w:tcMar>
              <w:left w:w="70" w:type="dxa"/>
              <w:right w:w="70" w:type="dxa"/>
            </w:tcMar>
            <w:vAlign w:val="center"/>
          </w:tcPr>
          <w:p w14:paraId="35A1858B"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1,29%</w:t>
            </w:r>
          </w:p>
        </w:tc>
        <w:tc>
          <w:tcPr>
            <w:tcW w:w="821" w:type="pct"/>
            <w:tcBorders>
              <w:top w:val="nil"/>
              <w:left w:val="nil"/>
              <w:bottom w:val="single" w:sz="4" w:space="0" w:color="000000"/>
              <w:right w:val="single" w:sz="4" w:space="0" w:color="000000"/>
            </w:tcBorders>
            <w:shd w:val="clear" w:color="auto" w:fill="auto"/>
            <w:tcMar>
              <w:left w:w="70" w:type="dxa"/>
              <w:right w:w="70" w:type="dxa"/>
            </w:tcMar>
            <w:vAlign w:val="center"/>
          </w:tcPr>
          <w:p w14:paraId="108D00E9" w14:textId="77777777" w:rsidR="00064C79" w:rsidRPr="00AD1ADC" w:rsidRDefault="00064C79" w:rsidP="00064C79">
            <w:pPr>
              <w:spacing w:line="276" w:lineRule="auto"/>
              <w:jc w:val="center"/>
              <w:rPr>
                <w:rFonts w:ascii="Arial" w:hAnsi="Arial" w:cs="Arial"/>
                <w:sz w:val="20"/>
                <w:szCs w:val="20"/>
                <w:lang w:val="es-EC" w:eastAsia="es-EC"/>
              </w:rPr>
            </w:pPr>
            <w:r w:rsidRPr="00AD1ADC">
              <w:rPr>
                <w:rFonts w:ascii="Arial" w:hAnsi="Arial" w:cs="Arial"/>
                <w:sz w:val="20"/>
                <w:szCs w:val="20"/>
                <w:lang w:val="es-EC" w:eastAsia="es-EC"/>
              </w:rPr>
              <w:t>100,00%</w:t>
            </w:r>
          </w:p>
        </w:tc>
      </w:tr>
    </w:tbl>
    <w:p w14:paraId="27FC351A" w14:textId="77777777" w:rsidR="00064C79" w:rsidRPr="00AD1ADC" w:rsidRDefault="00064C79" w:rsidP="00064C79">
      <w:pPr>
        <w:spacing w:line="360" w:lineRule="auto"/>
        <w:jc w:val="both"/>
        <w:rPr>
          <w:rFonts w:ascii="Arial" w:eastAsia="Calibri" w:hAnsi="Arial" w:cs="Arial"/>
          <w:spacing w:val="-1"/>
          <w:sz w:val="20"/>
          <w:szCs w:val="20"/>
          <w:lang w:val="es-EC" w:eastAsia="en-US"/>
        </w:rPr>
      </w:pPr>
      <w:r w:rsidRPr="00AD1ADC">
        <w:rPr>
          <w:rFonts w:ascii="Arial" w:eastAsia="Calibri" w:hAnsi="Arial" w:cs="Arial"/>
          <w:iCs/>
          <w:spacing w:val="-1"/>
          <w:sz w:val="20"/>
          <w:szCs w:val="20"/>
          <w:lang w:val="es-EC" w:eastAsia="en-US"/>
        </w:rPr>
        <w:t>Nota</w:t>
      </w:r>
      <w:r w:rsidRPr="00AD1ADC">
        <w:rPr>
          <w:rFonts w:ascii="Arial" w:eastAsia="Calibri" w:hAnsi="Arial" w:cs="Arial"/>
          <w:spacing w:val="-1"/>
          <w:sz w:val="20"/>
          <w:szCs w:val="20"/>
          <w:lang w:val="es-EC" w:eastAsia="en-US"/>
        </w:rPr>
        <w:t>. Elaboración propia con base en el INEC, 2023.</w:t>
      </w:r>
    </w:p>
    <w:p w14:paraId="118DFC8B" w14:textId="77777777" w:rsidR="00064C79" w:rsidRPr="00064C79" w:rsidRDefault="00064C79" w:rsidP="00064C79">
      <w:pPr>
        <w:spacing w:line="360" w:lineRule="auto"/>
        <w:jc w:val="both"/>
        <w:rPr>
          <w:rFonts w:ascii="Arial" w:eastAsia="Calibri" w:hAnsi="Arial" w:cs="Arial"/>
          <w:lang w:val="es-EC" w:eastAsia="en-US"/>
        </w:rPr>
      </w:pPr>
    </w:p>
    <w:p w14:paraId="0F1E08A9" w14:textId="77777777" w:rsidR="00064C79" w:rsidRPr="00064C79" w:rsidRDefault="00064C79" w:rsidP="00FE7C00">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lastRenderedPageBreak/>
        <w:t>El 73,31% de las personas con estudios de posgrado se desempeña como profesionales científicos e intelectuales, este porcentaje es del 35,71% en el nivel superior universitario, reflejando que una proporción significativamente mayor de graduados de posgrado trabaja en ocupaciones de alto nivel intelectual y científico, en comparación con personas con solo educación superior universitaria (tabla de contingencia 12).</w:t>
      </w:r>
    </w:p>
    <w:p w14:paraId="5195D8D8" w14:textId="4ABDC86D" w:rsidR="00064C79" w:rsidRPr="00FE7C00" w:rsidRDefault="00064C79" w:rsidP="00FE7C00">
      <w:pPr>
        <w:spacing w:after="100" w:afterAutospacing="1"/>
        <w:jc w:val="center"/>
        <w:rPr>
          <w:rFonts w:ascii="Arial" w:eastAsia="Calibri" w:hAnsi="Arial" w:cs="Arial"/>
          <w:b/>
          <w:i/>
          <w:iCs/>
          <w:sz w:val="20"/>
          <w:szCs w:val="20"/>
          <w:lang w:val="es-EC" w:eastAsia="en-US"/>
        </w:rPr>
      </w:pPr>
      <w:r w:rsidRPr="00FE7C00">
        <w:rPr>
          <w:rFonts w:ascii="Arial" w:eastAsia="Calibri" w:hAnsi="Arial" w:cs="Arial"/>
          <w:b/>
          <w:bCs/>
          <w:sz w:val="20"/>
          <w:szCs w:val="20"/>
          <w:lang w:val="es-EC" w:eastAsia="en-US"/>
        </w:rPr>
        <w:t>Tabla de contingencia 12</w:t>
      </w:r>
      <w:r w:rsidR="00FE7C00" w:rsidRPr="00FE7C00">
        <w:rPr>
          <w:rFonts w:ascii="Arial" w:eastAsia="Calibri" w:hAnsi="Arial" w:cs="Arial"/>
          <w:b/>
          <w:bCs/>
          <w:sz w:val="20"/>
          <w:szCs w:val="20"/>
          <w:lang w:val="es-EC" w:eastAsia="en-US"/>
        </w:rPr>
        <w:t xml:space="preserve">. </w:t>
      </w:r>
      <w:r w:rsidRPr="00FE7C00">
        <w:rPr>
          <w:rFonts w:ascii="Arial" w:eastAsia="Calibri" w:hAnsi="Arial" w:cs="Arial"/>
          <w:b/>
          <w:iCs/>
          <w:sz w:val="20"/>
          <w:szCs w:val="20"/>
          <w:lang w:val="es-EC" w:eastAsia="en-US"/>
        </w:rPr>
        <w:t>Nivel de instrucción - Grupo de ocupación</w:t>
      </w:r>
    </w:p>
    <w:tbl>
      <w:tblPr>
        <w:tblW w:w="4985" w:type="pct"/>
        <w:jc w:val="center"/>
        <w:tblLook w:val="04A0" w:firstRow="1" w:lastRow="0" w:firstColumn="1" w:lastColumn="0" w:noHBand="0" w:noVBand="1"/>
      </w:tblPr>
      <w:tblGrid>
        <w:gridCol w:w="1216"/>
        <w:gridCol w:w="1360"/>
        <w:gridCol w:w="1449"/>
        <w:gridCol w:w="1438"/>
        <w:gridCol w:w="1427"/>
        <w:gridCol w:w="861"/>
        <w:gridCol w:w="1028"/>
      </w:tblGrid>
      <w:tr w:rsidR="00064C79" w:rsidRPr="00FE7C00" w14:paraId="76D58850" w14:textId="77777777" w:rsidTr="00A17C4B">
        <w:trPr>
          <w:trHeight w:val="534"/>
          <w:jc w:val="center"/>
        </w:trPr>
        <w:tc>
          <w:tcPr>
            <w:tcW w:w="14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CACC343" w14:textId="77777777" w:rsidR="00064C79" w:rsidRPr="00FE7C00" w:rsidRDefault="00064C79" w:rsidP="00064C79">
            <w:pPr>
              <w:spacing w:line="276" w:lineRule="auto"/>
              <w:jc w:val="center"/>
              <w:rPr>
                <w:rFonts w:ascii="Arial" w:hAnsi="Arial" w:cs="Arial"/>
                <w:sz w:val="20"/>
                <w:szCs w:val="20"/>
                <w:lang w:val="es-EC" w:eastAsia="es-EC"/>
              </w:rPr>
            </w:pPr>
          </w:p>
        </w:tc>
        <w:tc>
          <w:tcPr>
            <w:tcW w:w="2948" w:type="pct"/>
            <w:gridSpan w:val="4"/>
            <w:tcBorders>
              <w:top w:val="single" w:sz="4" w:space="0" w:color="000000"/>
              <w:left w:val="nil"/>
              <w:bottom w:val="single" w:sz="4" w:space="0" w:color="000000"/>
              <w:right w:val="single" w:sz="4" w:space="0" w:color="000000"/>
            </w:tcBorders>
            <w:shd w:val="clear" w:color="auto" w:fill="auto"/>
            <w:tcMar>
              <w:left w:w="70" w:type="dxa"/>
              <w:right w:w="70" w:type="dxa"/>
            </w:tcMar>
            <w:vAlign w:val="center"/>
          </w:tcPr>
          <w:p w14:paraId="0ACBD7A8" w14:textId="77777777" w:rsidR="00064C79" w:rsidRPr="00FE7C00" w:rsidRDefault="00064C79" w:rsidP="00064C79">
            <w:pPr>
              <w:spacing w:line="276" w:lineRule="auto"/>
              <w:jc w:val="center"/>
              <w:rPr>
                <w:rFonts w:ascii="Arial" w:hAnsi="Arial" w:cs="Arial"/>
                <w:b/>
                <w:bCs/>
                <w:sz w:val="20"/>
                <w:szCs w:val="20"/>
                <w:lang w:val="es-EC" w:eastAsia="es-EC"/>
              </w:rPr>
            </w:pPr>
            <w:r w:rsidRPr="00FE7C00">
              <w:rPr>
                <w:rFonts w:ascii="Arial" w:hAnsi="Arial" w:cs="Arial"/>
                <w:b/>
                <w:bCs/>
                <w:sz w:val="20"/>
                <w:szCs w:val="20"/>
                <w:lang w:val="es-EC" w:eastAsia="es-EC"/>
              </w:rPr>
              <w:t>Grupo de ocupación</w:t>
            </w:r>
          </w:p>
        </w:tc>
        <w:tc>
          <w:tcPr>
            <w:tcW w:w="586" w:type="pct"/>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91CF450" w14:textId="77777777" w:rsidR="00064C79" w:rsidRPr="00FE7C00" w:rsidRDefault="00064C79" w:rsidP="00064C79">
            <w:pPr>
              <w:spacing w:line="276" w:lineRule="auto"/>
              <w:jc w:val="center"/>
              <w:rPr>
                <w:rFonts w:ascii="Arial" w:hAnsi="Arial" w:cs="Arial"/>
                <w:b/>
                <w:bCs/>
                <w:sz w:val="20"/>
                <w:szCs w:val="20"/>
                <w:lang w:val="es-EC" w:eastAsia="es-EC"/>
              </w:rPr>
            </w:pPr>
            <w:r w:rsidRPr="00FE7C00">
              <w:rPr>
                <w:rFonts w:ascii="Arial" w:hAnsi="Arial" w:cs="Arial"/>
                <w:b/>
                <w:bCs/>
                <w:sz w:val="20"/>
                <w:szCs w:val="20"/>
                <w:lang w:val="es-EC" w:eastAsia="es-EC"/>
              </w:rPr>
              <w:t>Total</w:t>
            </w:r>
          </w:p>
        </w:tc>
      </w:tr>
      <w:tr w:rsidR="00064C79" w:rsidRPr="00FE7C00" w14:paraId="37DD8EDE" w14:textId="77777777" w:rsidTr="00A17C4B">
        <w:trPr>
          <w:trHeight w:val="1700"/>
          <w:jc w:val="center"/>
        </w:trPr>
        <w:tc>
          <w:tcPr>
            <w:tcW w:w="1467"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8DB4A70" w14:textId="77777777" w:rsidR="00064C79" w:rsidRPr="00FE7C00" w:rsidRDefault="00064C79" w:rsidP="00064C79">
            <w:pPr>
              <w:spacing w:line="276" w:lineRule="auto"/>
              <w:jc w:val="center"/>
              <w:rPr>
                <w:rFonts w:ascii="Arial" w:eastAsia="Calibri" w:hAnsi="Arial" w:cs="Arial"/>
                <w:sz w:val="20"/>
                <w:szCs w:val="20"/>
                <w:lang w:val="es-EC" w:eastAsia="en-US"/>
              </w:rPr>
            </w:pPr>
          </w:p>
        </w:tc>
        <w:tc>
          <w:tcPr>
            <w:tcW w:w="825" w:type="pct"/>
            <w:tcBorders>
              <w:top w:val="nil"/>
              <w:left w:val="nil"/>
              <w:bottom w:val="single" w:sz="4" w:space="0" w:color="000000"/>
              <w:right w:val="single" w:sz="4" w:space="0" w:color="000000"/>
            </w:tcBorders>
            <w:shd w:val="clear" w:color="auto" w:fill="auto"/>
            <w:tcMar>
              <w:left w:w="70" w:type="dxa"/>
              <w:right w:w="70" w:type="dxa"/>
            </w:tcMar>
            <w:vAlign w:val="center"/>
          </w:tcPr>
          <w:p w14:paraId="0FC3A1C0" w14:textId="77777777" w:rsidR="00064C79" w:rsidRPr="00FE7C00" w:rsidRDefault="00064C79" w:rsidP="00064C79">
            <w:pPr>
              <w:spacing w:line="276" w:lineRule="auto"/>
              <w:jc w:val="center"/>
              <w:rPr>
                <w:rFonts w:ascii="Arial" w:hAnsi="Arial" w:cs="Arial"/>
                <w:b/>
                <w:bCs/>
                <w:sz w:val="20"/>
                <w:szCs w:val="20"/>
                <w:lang w:val="es-EC" w:eastAsia="es-EC"/>
              </w:rPr>
            </w:pPr>
            <w:r w:rsidRPr="00FE7C00">
              <w:rPr>
                <w:rFonts w:ascii="Arial" w:hAnsi="Arial" w:cs="Arial"/>
                <w:b/>
                <w:bCs/>
                <w:sz w:val="20"/>
                <w:szCs w:val="20"/>
                <w:lang w:val="es-EC" w:eastAsia="es-EC"/>
              </w:rPr>
              <w:t>Profesionales científicos e intelectuales</w:t>
            </w:r>
          </w:p>
        </w:tc>
        <w:tc>
          <w:tcPr>
            <w:tcW w:w="819" w:type="pct"/>
            <w:tcBorders>
              <w:top w:val="nil"/>
              <w:left w:val="nil"/>
              <w:bottom w:val="single" w:sz="4" w:space="0" w:color="000000"/>
              <w:right w:val="single" w:sz="4" w:space="0" w:color="000000"/>
            </w:tcBorders>
            <w:shd w:val="clear" w:color="auto" w:fill="auto"/>
            <w:tcMar>
              <w:left w:w="70" w:type="dxa"/>
              <w:right w:w="70" w:type="dxa"/>
            </w:tcMar>
            <w:vAlign w:val="center"/>
          </w:tcPr>
          <w:p w14:paraId="5F210E5A" w14:textId="77777777" w:rsidR="00064C79" w:rsidRPr="00FE7C00" w:rsidRDefault="00064C79" w:rsidP="00064C79">
            <w:pPr>
              <w:spacing w:line="276" w:lineRule="auto"/>
              <w:jc w:val="center"/>
              <w:rPr>
                <w:rFonts w:ascii="Arial" w:hAnsi="Arial" w:cs="Arial"/>
                <w:b/>
                <w:bCs/>
                <w:sz w:val="20"/>
                <w:szCs w:val="20"/>
                <w:lang w:val="es-EC" w:eastAsia="es-EC"/>
              </w:rPr>
            </w:pPr>
            <w:r w:rsidRPr="00FE7C00">
              <w:rPr>
                <w:rFonts w:ascii="Arial" w:hAnsi="Arial" w:cs="Arial"/>
                <w:b/>
                <w:bCs/>
                <w:sz w:val="20"/>
                <w:szCs w:val="20"/>
                <w:lang w:val="es-EC" w:eastAsia="es-EC"/>
              </w:rPr>
              <w:t>Técnicos y profesionales de nivel medio</w:t>
            </w:r>
          </w:p>
        </w:tc>
        <w:tc>
          <w:tcPr>
            <w:tcW w:w="812" w:type="pct"/>
            <w:tcBorders>
              <w:top w:val="nil"/>
              <w:left w:val="nil"/>
              <w:bottom w:val="single" w:sz="4" w:space="0" w:color="000000"/>
              <w:right w:val="single" w:sz="4" w:space="0" w:color="000000"/>
            </w:tcBorders>
            <w:shd w:val="clear" w:color="auto" w:fill="auto"/>
            <w:tcMar>
              <w:left w:w="70" w:type="dxa"/>
              <w:right w:w="70" w:type="dxa"/>
            </w:tcMar>
            <w:vAlign w:val="center"/>
          </w:tcPr>
          <w:p w14:paraId="1230771A" w14:textId="77777777" w:rsidR="00064C79" w:rsidRPr="00FE7C00" w:rsidRDefault="00064C79" w:rsidP="00064C79">
            <w:pPr>
              <w:spacing w:line="276" w:lineRule="auto"/>
              <w:jc w:val="center"/>
              <w:rPr>
                <w:rFonts w:ascii="Arial" w:hAnsi="Arial" w:cs="Arial"/>
                <w:b/>
                <w:bCs/>
                <w:sz w:val="20"/>
                <w:szCs w:val="20"/>
                <w:lang w:val="es-EC" w:eastAsia="es-EC"/>
              </w:rPr>
            </w:pPr>
            <w:r w:rsidRPr="00FE7C00">
              <w:rPr>
                <w:rFonts w:ascii="Arial" w:hAnsi="Arial" w:cs="Arial"/>
                <w:b/>
                <w:bCs/>
                <w:sz w:val="20"/>
                <w:szCs w:val="20"/>
                <w:lang w:val="es-EC" w:eastAsia="es-EC"/>
              </w:rPr>
              <w:t>Trabajad. de los servicios y comerciantes</w:t>
            </w:r>
          </w:p>
        </w:tc>
        <w:tc>
          <w:tcPr>
            <w:tcW w:w="490" w:type="pct"/>
            <w:tcBorders>
              <w:top w:val="nil"/>
              <w:left w:val="nil"/>
              <w:bottom w:val="single" w:sz="4" w:space="0" w:color="000000"/>
              <w:right w:val="single" w:sz="4" w:space="0" w:color="000000"/>
            </w:tcBorders>
            <w:shd w:val="clear" w:color="auto" w:fill="auto"/>
            <w:tcMar>
              <w:left w:w="70" w:type="dxa"/>
              <w:right w:w="70" w:type="dxa"/>
            </w:tcMar>
            <w:vAlign w:val="center"/>
          </w:tcPr>
          <w:p w14:paraId="6855E334" w14:textId="77777777" w:rsidR="00064C79" w:rsidRPr="00FE7C00" w:rsidRDefault="00064C79" w:rsidP="00064C79">
            <w:pPr>
              <w:spacing w:line="276" w:lineRule="auto"/>
              <w:jc w:val="center"/>
              <w:rPr>
                <w:rFonts w:ascii="Arial" w:hAnsi="Arial" w:cs="Arial"/>
                <w:b/>
                <w:bCs/>
                <w:sz w:val="20"/>
                <w:szCs w:val="20"/>
                <w:lang w:val="es-EC" w:eastAsia="es-EC"/>
              </w:rPr>
            </w:pPr>
            <w:r w:rsidRPr="00FE7C00">
              <w:rPr>
                <w:rFonts w:ascii="Arial" w:hAnsi="Arial" w:cs="Arial"/>
                <w:b/>
                <w:bCs/>
                <w:sz w:val="20"/>
                <w:szCs w:val="20"/>
                <w:lang w:val="es-EC" w:eastAsia="es-EC"/>
              </w:rPr>
              <w:t>Otro</w:t>
            </w:r>
          </w:p>
        </w:tc>
        <w:tc>
          <w:tcPr>
            <w:tcW w:w="586" w:type="pct"/>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1FA3C06" w14:textId="77777777" w:rsidR="00064C79" w:rsidRPr="00FE7C00" w:rsidRDefault="00064C79" w:rsidP="00064C79">
            <w:pPr>
              <w:spacing w:line="276" w:lineRule="auto"/>
              <w:jc w:val="center"/>
              <w:rPr>
                <w:rFonts w:ascii="Arial" w:eastAsia="Calibri" w:hAnsi="Arial" w:cs="Arial"/>
                <w:sz w:val="20"/>
                <w:szCs w:val="20"/>
                <w:lang w:val="es-EC" w:eastAsia="en-US"/>
              </w:rPr>
            </w:pPr>
          </w:p>
        </w:tc>
      </w:tr>
      <w:tr w:rsidR="00064C79" w:rsidRPr="00FE7C00" w14:paraId="650E07C1" w14:textId="77777777" w:rsidTr="00A17C4B">
        <w:trPr>
          <w:trHeight w:val="534"/>
          <w:jc w:val="center"/>
        </w:trPr>
        <w:tc>
          <w:tcPr>
            <w:tcW w:w="692"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49BEA893" w14:textId="77777777" w:rsidR="00064C79" w:rsidRPr="00FE7C00" w:rsidRDefault="00064C79" w:rsidP="00064C79">
            <w:pPr>
              <w:spacing w:line="276" w:lineRule="auto"/>
              <w:jc w:val="center"/>
              <w:rPr>
                <w:rFonts w:ascii="Arial" w:hAnsi="Arial" w:cs="Arial"/>
                <w:b/>
                <w:bCs/>
                <w:sz w:val="20"/>
                <w:szCs w:val="20"/>
                <w:lang w:val="es-EC" w:eastAsia="es-EC"/>
              </w:rPr>
            </w:pPr>
            <w:r w:rsidRPr="00FE7C00">
              <w:rPr>
                <w:rFonts w:ascii="Arial" w:hAnsi="Arial" w:cs="Arial"/>
                <w:b/>
                <w:bCs/>
                <w:sz w:val="20"/>
                <w:szCs w:val="20"/>
                <w:lang w:val="es-EC" w:eastAsia="es-EC"/>
              </w:rPr>
              <w:t>Nivel de instrucción</w:t>
            </w:r>
          </w:p>
        </w:tc>
        <w:tc>
          <w:tcPr>
            <w:tcW w:w="775"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3255E5A5" w14:textId="77777777" w:rsidR="00064C79" w:rsidRPr="00FE7C00" w:rsidRDefault="00064C79" w:rsidP="00064C79">
            <w:pPr>
              <w:spacing w:line="276" w:lineRule="auto"/>
              <w:jc w:val="center"/>
              <w:rPr>
                <w:rFonts w:ascii="Arial" w:hAnsi="Arial" w:cs="Arial"/>
                <w:b/>
                <w:bCs/>
                <w:sz w:val="20"/>
                <w:szCs w:val="20"/>
                <w:lang w:val="es-EC" w:eastAsia="es-EC"/>
              </w:rPr>
            </w:pPr>
            <w:r w:rsidRPr="00FE7C00">
              <w:rPr>
                <w:rFonts w:ascii="Arial" w:hAnsi="Arial" w:cs="Arial"/>
                <w:b/>
                <w:bCs/>
                <w:sz w:val="20"/>
                <w:szCs w:val="20"/>
                <w:lang w:val="es-EC" w:eastAsia="es-EC"/>
              </w:rPr>
              <w:t>Superior Universitario</w:t>
            </w:r>
          </w:p>
        </w:tc>
        <w:tc>
          <w:tcPr>
            <w:tcW w:w="825" w:type="pct"/>
            <w:tcBorders>
              <w:top w:val="nil"/>
              <w:left w:val="nil"/>
              <w:bottom w:val="single" w:sz="4" w:space="0" w:color="000000"/>
              <w:right w:val="single" w:sz="4" w:space="0" w:color="000000"/>
            </w:tcBorders>
            <w:shd w:val="clear" w:color="auto" w:fill="auto"/>
            <w:tcMar>
              <w:left w:w="70" w:type="dxa"/>
              <w:right w:w="70" w:type="dxa"/>
            </w:tcMar>
            <w:vAlign w:val="center"/>
          </w:tcPr>
          <w:p w14:paraId="2457C768"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394.411</w:t>
            </w:r>
          </w:p>
        </w:tc>
        <w:tc>
          <w:tcPr>
            <w:tcW w:w="819" w:type="pct"/>
            <w:tcBorders>
              <w:top w:val="nil"/>
              <w:left w:val="nil"/>
              <w:bottom w:val="single" w:sz="4" w:space="0" w:color="000000"/>
              <w:right w:val="single" w:sz="4" w:space="0" w:color="000000"/>
            </w:tcBorders>
            <w:shd w:val="clear" w:color="auto" w:fill="auto"/>
            <w:tcMar>
              <w:left w:w="70" w:type="dxa"/>
              <w:right w:w="70" w:type="dxa"/>
            </w:tcMar>
            <w:vAlign w:val="center"/>
          </w:tcPr>
          <w:p w14:paraId="568999CD"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159.377</w:t>
            </w:r>
          </w:p>
        </w:tc>
        <w:tc>
          <w:tcPr>
            <w:tcW w:w="812" w:type="pct"/>
            <w:tcBorders>
              <w:top w:val="nil"/>
              <w:left w:val="nil"/>
              <w:bottom w:val="single" w:sz="4" w:space="0" w:color="000000"/>
              <w:right w:val="single" w:sz="4" w:space="0" w:color="000000"/>
            </w:tcBorders>
            <w:shd w:val="clear" w:color="auto" w:fill="auto"/>
            <w:tcMar>
              <w:left w:w="70" w:type="dxa"/>
              <w:right w:w="70" w:type="dxa"/>
            </w:tcMar>
            <w:vAlign w:val="center"/>
          </w:tcPr>
          <w:p w14:paraId="77DE3013"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218.001</w:t>
            </w:r>
          </w:p>
        </w:tc>
        <w:tc>
          <w:tcPr>
            <w:tcW w:w="490" w:type="pct"/>
            <w:tcBorders>
              <w:top w:val="nil"/>
              <w:left w:val="nil"/>
              <w:bottom w:val="single" w:sz="4" w:space="0" w:color="000000"/>
              <w:right w:val="single" w:sz="4" w:space="0" w:color="000000"/>
            </w:tcBorders>
            <w:shd w:val="clear" w:color="auto" w:fill="auto"/>
            <w:tcMar>
              <w:left w:w="70" w:type="dxa"/>
              <w:right w:w="70" w:type="dxa"/>
            </w:tcMar>
            <w:vAlign w:val="center"/>
          </w:tcPr>
          <w:p w14:paraId="21E74A9B"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332.626</w:t>
            </w:r>
          </w:p>
        </w:tc>
        <w:tc>
          <w:tcPr>
            <w:tcW w:w="586" w:type="pct"/>
            <w:tcBorders>
              <w:top w:val="nil"/>
              <w:left w:val="nil"/>
              <w:bottom w:val="single" w:sz="4" w:space="0" w:color="000000"/>
              <w:right w:val="single" w:sz="4" w:space="0" w:color="000000"/>
            </w:tcBorders>
            <w:shd w:val="clear" w:color="auto" w:fill="auto"/>
            <w:tcMar>
              <w:left w:w="70" w:type="dxa"/>
              <w:right w:w="70" w:type="dxa"/>
            </w:tcMar>
            <w:vAlign w:val="center"/>
          </w:tcPr>
          <w:p w14:paraId="4125DFF8"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1.104.415</w:t>
            </w:r>
          </w:p>
        </w:tc>
      </w:tr>
      <w:tr w:rsidR="00064C79" w:rsidRPr="00FE7C00" w14:paraId="37CBA883" w14:textId="77777777" w:rsidTr="00A17C4B">
        <w:trPr>
          <w:trHeight w:val="534"/>
          <w:jc w:val="center"/>
        </w:trPr>
        <w:tc>
          <w:tcPr>
            <w:tcW w:w="692" w:type="pct"/>
            <w:vMerge/>
            <w:tcBorders>
              <w:top w:val="nil"/>
              <w:left w:val="single" w:sz="4" w:space="0" w:color="000000"/>
              <w:bottom w:val="single" w:sz="4" w:space="0" w:color="000000"/>
              <w:right w:val="single" w:sz="4" w:space="0" w:color="000000"/>
            </w:tcBorders>
            <w:tcMar>
              <w:left w:w="70" w:type="dxa"/>
              <w:right w:w="70" w:type="dxa"/>
            </w:tcMar>
            <w:vAlign w:val="center"/>
          </w:tcPr>
          <w:p w14:paraId="664C6F12" w14:textId="77777777" w:rsidR="00064C79" w:rsidRPr="00FE7C00" w:rsidRDefault="00064C79" w:rsidP="00064C79">
            <w:pPr>
              <w:spacing w:line="276" w:lineRule="auto"/>
              <w:jc w:val="center"/>
              <w:rPr>
                <w:rFonts w:ascii="Arial" w:eastAsia="Calibri" w:hAnsi="Arial" w:cs="Arial"/>
                <w:b/>
                <w:bCs/>
                <w:sz w:val="20"/>
                <w:szCs w:val="20"/>
                <w:lang w:val="es-EC" w:eastAsia="en-US"/>
              </w:rPr>
            </w:pPr>
          </w:p>
        </w:tc>
        <w:tc>
          <w:tcPr>
            <w:tcW w:w="775" w:type="pct"/>
            <w:vMerge/>
            <w:tcBorders>
              <w:top w:val="nil"/>
              <w:left w:val="single" w:sz="4" w:space="0" w:color="000000"/>
              <w:bottom w:val="single" w:sz="4" w:space="0" w:color="000000"/>
              <w:right w:val="single" w:sz="4" w:space="0" w:color="000000"/>
            </w:tcBorders>
            <w:tcMar>
              <w:left w:w="70" w:type="dxa"/>
              <w:right w:w="70" w:type="dxa"/>
            </w:tcMar>
            <w:vAlign w:val="center"/>
          </w:tcPr>
          <w:p w14:paraId="1D4DFE53" w14:textId="77777777" w:rsidR="00064C79" w:rsidRPr="00FE7C00" w:rsidRDefault="00064C79" w:rsidP="00064C79">
            <w:pPr>
              <w:spacing w:line="276" w:lineRule="auto"/>
              <w:jc w:val="center"/>
              <w:rPr>
                <w:rFonts w:ascii="Arial" w:eastAsia="Calibri" w:hAnsi="Arial" w:cs="Arial"/>
                <w:b/>
                <w:bCs/>
                <w:sz w:val="20"/>
                <w:szCs w:val="20"/>
                <w:lang w:val="es-EC" w:eastAsia="en-US"/>
              </w:rPr>
            </w:pPr>
          </w:p>
        </w:tc>
        <w:tc>
          <w:tcPr>
            <w:tcW w:w="825" w:type="pct"/>
            <w:tcBorders>
              <w:top w:val="nil"/>
              <w:left w:val="nil"/>
              <w:bottom w:val="single" w:sz="4" w:space="0" w:color="000000"/>
              <w:right w:val="single" w:sz="4" w:space="0" w:color="000000"/>
            </w:tcBorders>
            <w:shd w:val="clear" w:color="auto" w:fill="auto"/>
            <w:tcMar>
              <w:left w:w="70" w:type="dxa"/>
              <w:right w:w="70" w:type="dxa"/>
            </w:tcMar>
            <w:vAlign w:val="center"/>
          </w:tcPr>
          <w:p w14:paraId="5422887F"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35,71%</w:t>
            </w:r>
          </w:p>
        </w:tc>
        <w:tc>
          <w:tcPr>
            <w:tcW w:w="819" w:type="pct"/>
            <w:tcBorders>
              <w:top w:val="nil"/>
              <w:left w:val="nil"/>
              <w:bottom w:val="single" w:sz="4" w:space="0" w:color="000000"/>
              <w:right w:val="single" w:sz="4" w:space="0" w:color="000000"/>
            </w:tcBorders>
            <w:shd w:val="clear" w:color="auto" w:fill="auto"/>
            <w:tcMar>
              <w:left w:w="70" w:type="dxa"/>
              <w:right w:w="70" w:type="dxa"/>
            </w:tcMar>
            <w:vAlign w:val="center"/>
          </w:tcPr>
          <w:p w14:paraId="4BDB61E1"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14,43%</w:t>
            </w:r>
          </w:p>
        </w:tc>
        <w:tc>
          <w:tcPr>
            <w:tcW w:w="812" w:type="pct"/>
            <w:tcBorders>
              <w:top w:val="nil"/>
              <w:left w:val="nil"/>
              <w:bottom w:val="single" w:sz="4" w:space="0" w:color="000000"/>
              <w:right w:val="single" w:sz="4" w:space="0" w:color="000000"/>
            </w:tcBorders>
            <w:shd w:val="clear" w:color="auto" w:fill="auto"/>
            <w:tcMar>
              <w:left w:w="70" w:type="dxa"/>
              <w:right w:w="70" w:type="dxa"/>
            </w:tcMar>
            <w:vAlign w:val="center"/>
          </w:tcPr>
          <w:p w14:paraId="3A46C43D"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19,74%</w:t>
            </w:r>
          </w:p>
        </w:tc>
        <w:tc>
          <w:tcPr>
            <w:tcW w:w="490" w:type="pct"/>
            <w:tcBorders>
              <w:top w:val="nil"/>
              <w:left w:val="nil"/>
              <w:bottom w:val="single" w:sz="4" w:space="0" w:color="000000"/>
              <w:right w:val="single" w:sz="4" w:space="0" w:color="000000"/>
            </w:tcBorders>
            <w:shd w:val="clear" w:color="auto" w:fill="auto"/>
            <w:tcMar>
              <w:left w:w="70" w:type="dxa"/>
              <w:right w:w="70" w:type="dxa"/>
            </w:tcMar>
            <w:vAlign w:val="center"/>
          </w:tcPr>
          <w:p w14:paraId="47E32749"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30,12%</w:t>
            </w:r>
          </w:p>
        </w:tc>
        <w:tc>
          <w:tcPr>
            <w:tcW w:w="586" w:type="pct"/>
            <w:tcBorders>
              <w:top w:val="nil"/>
              <w:left w:val="nil"/>
              <w:bottom w:val="single" w:sz="4" w:space="0" w:color="000000"/>
              <w:right w:val="single" w:sz="4" w:space="0" w:color="000000"/>
            </w:tcBorders>
            <w:shd w:val="clear" w:color="auto" w:fill="auto"/>
            <w:tcMar>
              <w:left w:w="70" w:type="dxa"/>
              <w:right w:w="70" w:type="dxa"/>
            </w:tcMar>
            <w:vAlign w:val="center"/>
          </w:tcPr>
          <w:p w14:paraId="7066EE2A"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100,00%</w:t>
            </w:r>
          </w:p>
        </w:tc>
      </w:tr>
      <w:tr w:rsidR="00064C79" w:rsidRPr="00FE7C00" w14:paraId="61BF2E8B" w14:textId="77777777" w:rsidTr="00A17C4B">
        <w:trPr>
          <w:trHeight w:val="534"/>
          <w:jc w:val="center"/>
        </w:trPr>
        <w:tc>
          <w:tcPr>
            <w:tcW w:w="692" w:type="pct"/>
            <w:vMerge/>
            <w:tcBorders>
              <w:top w:val="nil"/>
              <w:left w:val="single" w:sz="4" w:space="0" w:color="000000"/>
              <w:bottom w:val="single" w:sz="4" w:space="0" w:color="000000"/>
              <w:right w:val="single" w:sz="4" w:space="0" w:color="000000"/>
            </w:tcBorders>
            <w:tcMar>
              <w:left w:w="70" w:type="dxa"/>
              <w:right w:w="70" w:type="dxa"/>
            </w:tcMar>
            <w:vAlign w:val="center"/>
          </w:tcPr>
          <w:p w14:paraId="1B0C68C2" w14:textId="77777777" w:rsidR="00064C79" w:rsidRPr="00FE7C00" w:rsidRDefault="00064C79" w:rsidP="00064C79">
            <w:pPr>
              <w:spacing w:line="276" w:lineRule="auto"/>
              <w:jc w:val="center"/>
              <w:rPr>
                <w:rFonts w:ascii="Arial" w:eastAsia="Calibri" w:hAnsi="Arial" w:cs="Arial"/>
                <w:b/>
                <w:bCs/>
                <w:sz w:val="20"/>
                <w:szCs w:val="20"/>
                <w:lang w:val="es-EC" w:eastAsia="en-US"/>
              </w:rPr>
            </w:pPr>
          </w:p>
        </w:tc>
        <w:tc>
          <w:tcPr>
            <w:tcW w:w="775"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461B92AC" w14:textId="77777777" w:rsidR="00064C79" w:rsidRPr="00FE7C00" w:rsidRDefault="00064C79" w:rsidP="00064C79">
            <w:pPr>
              <w:spacing w:line="276" w:lineRule="auto"/>
              <w:jc w:val="center"/>
              <w:rPr>
                <w:rFonts w:ascii="Arial" w:hAnsi="Arial" w:cs="Arial"/>
                <w:b/>
                <w:bCs/>
                <w:sz w:val="20"/>
                <w:szCs w:val="20"/>
                <w:lang w:val="es-EC" w:eastAsia="es-EC"/>
              </w:rPr>
            </w:pPr>
            <w:r w:rsidRPr="00FE7C00">
              <w:rPr>
                <w:rFonts w:ascii="Arial" w:hAnsi="Arial" w:cs="Arial"/>
                <w:b/>
                <w:bCs/>
                <w:sz w:val="20"/>
                <w:szCs w:val="20"/>
                <w:lang w:val="es-EC" w:eastAsia="es-EC"/>
              </w:rPr>
              <w:t>Posgrado</w:t>
            </w:r>
          </w:p>
        </w:tc>
        <w:tc>
          <w:tcPr>
            <w:tcW w:w="825" w:type="pct"/>
            <w:tcBorders>
              <w:top w:val="nil"/>
              <w:left w:val="nil"/>
              <w:bottom w:val="single" w:sz="4" w:space="0" w:color="000000"/>
              <w:right w:val="single" w:sz="4" w:space="0" w:color="000000"/>
            </w:tcBorders>
            <w:shd w:val="clear" w:color="auto" w:fill="auto"/>
            <w:tcMar>
              <w:left w:w="70" w:type="dxa"/>
              <w:right w:w="70" w:type="dxa"/>
            </w:tcMar>
            <w:vAlign w:val="center"/>
          </w:tcPr>
          <w:p w14:paraId="2AD6B32B"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124.429</w:t>
            </w:r>
          </w:p>
        </w:tc>
        <w:tc>
          <w:tcPr>
            <w:tcW w:w="819" w:type="pct"/>
            <w:tcBorders>
              <w:top w:val="nil"/>
              <w:left w:val="nil"/>
              <w:bottom w:val="single" w:sz="4" w:space="0" w:color="000000"/>
              <w:right w:val="single" w:sz="4" w:space="0" w:color="000000"/>
            </w:tcBorders>
            <w:shd w:val="clear" w:color="auto" w:fill="auto"/>
            <w:tcMar>
              <w:left w:w="70" w:type="dxa"/>
              <w:right w:w="70" w:type="dxa"/>
            </w:tcMar>
            <w:vAlign w:val="center"/>
          </w:tcPr>
          <w:p w14:paraId="09A43491"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13.737</w:t>
            </w:r>
          </w:p>
        </w:tc>
        <w:tc>
          <w:tcPr>
            <w:tcW w:w="812" w:type="pct"/>
            <w:tcBorders>
              <w:top w:val="nil"/>
              <w:left w:val="nil"/>
              <w:bottom w:val="single" w:sz="4" w:space="0" w:color="000000"/>
              <w:right w:val="single" w:sz="4" w:space="0" w:color="000000"/>
            </w:tcBorders>
            <w:shd w:val="clear" w:color="auto" w:fill="auto"/>
            <w:tcMar>
              <w:left w:w="70" w:type="dxa"/>
              <w:right w:w="70" w:type="dxa"/>
            </w:tcMar>
            <w:vAlign w:val="center"/>
          </w:tcPr>
          <w:p w14:paraId="7B815E23"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6.158</w:t>
            </w:r>
          </w:p>
        </w:tc>
        <w:tc>
          <w:tcPr>
            <w:tcW w:w="490" w:type="pct"/>
            <w:tcBorders>
              <w:top w:val="nil"/>
              <w:left w:val="nil"/>
              <w:bottom w:val="single" w:sz="4" w:space="0" w:color="000000"/>
              <w:right w:val="single" w:sz="4" w:space="0" w:color="000000"/>
            </w:tcBorders>
            <w:shd w:val="clear" w:color="auto" w:fill="auto"/>
            <w:tcMar>
              <w:left w:w="70" w:type="dxa"/>
              <w:right w:w="70" w:type="dxa"/>
            </w:tcMar>
            <w:vAlign w:val="center"/>
          </w:tcPr>
          <w:p w14:paraId="2D055F26"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25.401</w:t>
            </w:r>
          </w:p>
        </w:tc>
        <w:tc>
          <w:tcPr>
            <w:tcW w:w="586" w:type="pct"/>
            <w:tcBorders>
              <w:top w:val="nil"/>
              <w:left w:val="nil"/>
              <w:bottom w:val="single" w:sz="4" w:space="0" w:color="000000"/>
              <w:right w:val="single" w:sz="4" w:space="0" w:color="000000"/>
            </w:tcBorders>
            <w:shd w:val="clear" w:color="auto" w:fill="auto"/>
            <w:tcMar>
              <w:left w:w="70" w:type="dxa"/>
              <w:right w:w="70" w:type="dxa"/>
            </w:tcMar>
            <w:vAlign w:val="center"/>
          </w:tcPr>
          <w:p w14:paraId="42200727"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169.725</w:t>
            </w:r>
          </w:p>
        </w:tc>
      </w:tr>
      <w:tr w:rsidR="00064C79" w:rsidRPr="00FE7C00" w14:paraId="587293B3" w14:textId="77777777" w:rsidTr="00A17C4B">
        <w:trPr>
          <w:trHeight w:val="534"/>
          <w:jc w:val="center"/>
        </w:trPr>
        <w:tc>
          <w:tcPr>
            <w:tcW w:w="692" w:type="pct"/>
            <w:vMerge/>
            <w:tcBorders>
              <w:top w:val="nil"/>
              <w:left w:val="single" w:sz="4" w:space="0" w:color="000000"/>
              <w:bottom w:val="single" w:sz="4" w:space="0" w:color="000000"/>
              <w:right w:val="single" w:sz="4" w:space="0" w:color="000000"/>
            </w:tcBorders>
            <w:tcMar>
              <w:left w:w="70" w:type="dxa"/>
              <w:right w:w="70" w:type="dxa"/>
            </w:tcMar>
            <w:vAlign w:val="center"/>
          </w:tcPr>
          <w:p w14:paraId="7E69805B" w14:textId="77777777" w:rsidR="00064C79" w:rsidRPr="00FE7C00" w:rsidRDefault="00064C79" w:rsidP="00064C79">
            <w:pPr>
              <w:spacing w:line="276" w:lineRule="auto"/>
              <w:jc w:val="center"/>
              <w:rPr>
                <w:rFonts w:ascii="Arial" w:eastAsia="Calibri" w:hAnsi="Arial" w:cs="Arial"/>
                <w:b/>
                <w:bCs/>
                <w:sz w:val="20"/>
                <w:szCs w:val="20"/>
                <w:lang w:val="es-EC" w:eastAsia="en-US"/>
              </w:rPr>
            </w:pPr>
          </w:p>
        </w:tc>
        <w:tc>
          <w:tcPr>
            <w:tcW w:w="775" w:type="pct"/>
            <w:vMerge/>
            <w:tcBorders>
              <w:top w:val="nil"/>
              <w:left w:val="single" w:sz="4" w:space="0" w:color="000000"/>
              <w:bottom w:val="single" w:sz="4" w:space="0" w:color="000000"/>
              <w:right w:val="single" w:sz="4" w:space="0" w:color="000000"/>
            </w:tcBorders>
            <w:tcMar>
              <w:left w:w="70" w:type="dxa"/>
              <w:right w:w="70" w:type="dxa"/>
            </w:tcMar>
            <w:vAlign w:val="center"/>
          </w:tcPr>
          <w:p w14:paraId="306E188C" w14:textId="77777777" w:rsidR="00064C79" w:rsidRPr="00FE7C00" w:rsidRDefault="00064C79" w:rsidP="00064C79">
            <w:pPr>
              <w:spacing w:line="276" w:lineRule="auto"/>
              <w:jc w:val="center"/>
              <w:rPr>
                <w:rFonts w:ascii="Arial" w:eastAsia="Calibri" w:hAnsi="Arial" w:cs="Arial"/>
                <w:b/>
                <w:bCs/>
                <w:sz w:val="20"/>
                <w:szCs w:val="20"/>
                <w:lang w:val="es-EC" w:eastAsia="en-US"/>
              </w:rPr>
            </w:pPr>
          </w:p>
        </w:tc>
        <w:tc>
          <w:tcPr>
            <w:tcW w:w="825" w:type="pct"/>
            <w:tcBorders>
              <w:top w:val="nil"/>
              <w:left w:val="nil"/>
              <w:bottom w:val="single" w:sz="4" w:space="0" w:color="000000"/>
              <w:right w:val="single" w:sz="4" w:space="0" w:color="000000"/>
            </w:tcBorders>
            <w:shd w:val="clear" w:color="auto" w:fill="auto"/>
            <w:tcMar>
              <w:left w:w="70" w:type="dxa"/>
              <w:right w:w="70" w:type="dxa"/>
            </w:tcMar>
            <w:vAlign w:val="center"/>
          </w:tcPr>
          <w:p w14:paraId="0AB08582"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73,31%</w:t>
            </w:r>
          </w:p>
        </w:tc>
        <w:tc>
          <w:tcPr>
            <w:tcW w:w="819" w:type="pct"/>
            <w:tcBorders>
              <w:top w:val="nil"/>
              <w:left w:val="nil"/>
              <w:bottom w:val="single" w:sz="4" w:space="0" w:color="000000"/>
              <w:right w:val="single" w:sz="4" w:space="0" w:color="000000"/>
            </w:tcBorders>
            <w:shd w:val="clear" w:color="auto" w:fill="auto"/>
            <w:tcMar>
              <w:left w:w="70" w:type="dxa"/>
              <w:right w:w="70" w:type="dxa"/>
            </w:tcMar>
            <w:vAlign w:val="center"/>
          </w:tcPr>
          <w:p w14:paraId="30FE8D1E"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8,09%</w:t>
            </w:r>
          </w:p>
        </w:tc>
        <w:tc>
          <w:tcPr>
            <w:tcW w:w="812" w:type="pct"/>
            <w:tcBorders>
              <w:top w:val="nil"/>
              <w:left w:val="nil"/>
              <w:bottom w:val="single" w:sz="4" w:space="0" w:color="000000"/>
              <w:right w:val="single" w:sz="4" w:space="0" w:color="000000"/>
            </w:tcBorders>
            <w:shd w:val="clear" w:color="auto" w:fill="auto"/>
            <w:tcMar>
              <w:left w:w="70" w:type="dxa"/>
              <w:right w:w="70" w:type="dxa"/>
            </w:tcMar>
            <w:vAlign w:val="center"/>
          </w:tcPr>
          <w:p w14:paraId="307876EA"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3,63%</w:t>
            </w:r>
          </w:p>
        </w:tc>
        <w:tc>
          <w:tcPr>
            <w:tcW w:w="490" w:type="pct"/>
            <w:tcBorders>
              <w:top w:val="nil"/>
              <w:left w:val="nil"/>
              <w:bottom w:val="single" w:sz="4" w:space="0" w:color="000000"/>
              <w:right w:val="single" w:sz="4" w:space="0" w:color="000000"/>
            </w:tcBorders>
            <w:shd w:val="clear" w:color="auto" w:fill="auto"/>
            <w:tcMar>
              <w:left w:w="70" w:type="dxa"/>
              <w:right w:w="70" w:type="dxa"/>
            </w:tcMar>
            <w:vAlign w:val="center"/>
          </w:tcPr>
          <w:p w14:paraId="1876BFA2"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14,97%</w:t>
            </w:r>
          </w:p>
        </w:tc>
        <w:tc>
          <w:tcPr>
            <w:tcW w:w="586" w:type="pct"/>
            <w:tcBorders>
              <w:top w:val="nil"/>
              <w:left w:val="nil"/>
              <w:bottom w:val="single" w:sz="4" w:space="0" w:color="000000"/>
              <w:right w:val="single" w:sz="4" w:space="0" w:color="000000"/>
            </w:tcBorders>
            <w:shd w:val="clear" w:color="auto" w:fill="auto"/>
            <w:tcMar>
              <w:left w:w="70" w:type="dxa"/>
              <w:right w:w="70" w:type="dxa"/>
            </w:tcMar>
            <w:vAlign w:val="center"/>
          </w:tcPr>
          <w:p w14:paraId="1EA26E6A"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100,00%</w:t>
            </w:r>
          </w:p>
        </w:tc>
      </w:tr>
      <w:tr w:rsidR="00064C79" w:rsidRPr="00FE7C00" w14:paraId="01D70029" w14:textId="77777777" w:rsidTr="00A17C4B">
        <w:trPr>
          <w:trHeight w:val="534"/>
          <w:jc w:val="center"/>
        </w:trPr>
        <w:tc>
          <w:tcPr>
            <w:tcW w:w="14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E9926E6" w14:textId="77777777" w:rsidR="00064C79" w:rsidRPr="00FE7C00" w:rsidRDefault="00064C79" w:rsidP="00064C79">
            <w:pPr>
              <w:spacing w:line="276" w:lineRule="auto"/>
              <w:jc w:val="center"/>
              <w:rPr>
                <w:rFonts w:ascii="Arial" w:hAnsi="Arial" w:cs="Arial"/>
                <w:b/>
                <w:bCs/>
                <w:sz w:val="20"/>
                <w:szCs w:val="20"/>
                <w:lang w:val="es-EC" w:eastAsia="es-EC"/>
              </w:rPr>
            </w:pPr>
            <w:r w:rsidRPr="00FE7C00">
              <w:rPr>
                <w:rFonts w:ascii="Arial" w:hAnsi="Arial" w:cs="Arial"/>
                <w:b/>
                <w:bCs/>
                <w:sz w:val="20"/>
                <w:szCs w:val="20"/>
                <w:lang w:val="es-EC" w:eastAsia="es-EC"/>
              </w:rPr>
              <w:t>Total</w:t>
            </w:r>
          </w:p>
        </w:tc>
        <w:tc>
          <w:tcPr>
            <w:tcW w:w="825" w:type="pct"/>
            <w:tcBorders>
              <w:top w:val="nil"/>
              <w:left w:val="nil"/>
              <w:bottom w:val="single" w:sz="4" w:space="0" w:color="000000"/>
              <w:right w:val="single" w:sz="4" w:space="0" w:color="000000"/>
            </w:tcBorders>
            <w:shd w:val="clear" w:color="auto" w:fill="auto"/>
            <w:tcMar>
              <w:left w:w="70" w:type="dxa"/>
              <w:right w:w="70" w:type="dxa"/>
            </w:tcMar>
            <w:vAlign w:val="center"/>
          </w:tcPr>
          <w:p w14:paraId="14761C79"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518.840</w:t>
            </w:r>
          </w:p>
        </w:tc>
        <w:tc>
          <w:tcPr>
            <w:tcW w:w="819" w:type="pct"/>
            <w:tcBorders>
              <w:top w:val="nil"/>
              <w:left w:val="nil"/>
              <w:bottom w:val="single" w:sz="4" w:space="0" w:color="000000"/>
              <w:right w:val="single" w:sz="4" w:space="0" w:color="000000"/>
            </w:tcBorders>
            <w:shd w:val="clear" w:color="auto" w:fill="auto"/>
            <w:tcMar>
              <w:left w:w="70" w:type="dxa"/>
              <w:right w:w="70" w:type="dxa"/>
            </w:tcMar>
            <w:vAlign w:val="center"/>
          </w:tcPr>
          <w:p w14:paraId="122F1C69"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173.114</w:t>
            </w:r>
          </w:p>
        </w:tc>
        <w:tc>
          <w:tcPr>
            <w:tcW w:w="812" w:type="pct"/>
            <w:tcBorders>
              <w:top w:val="nil"/>
              <w:left w:val="nil"/>
              <w:bottom w:val="single" w:sz="4" w:space="0" w:color="000000"/>
              <w:right w:val="single" w:sz="4" w:space="0" w:color="000000"/>
            </w:tcBorders>
            <w:shd w:val="clear" w:color="auto" w:fill="auto"/>
            <w:tcMar>
              <w:left w:w="70" w:type="dxa"/>
              <w:right w:w="70" w:type="dxa"/>
            </w:tcMar>
            <w:vAlign w:val="center"/>
          </w:tcPr>
          <w:p w14:paraId="3461A271"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224.159</w:t>
            </w:r>
          </w:p>
        </w:tc>
        <w:tc>
          <w:tcPr>
            <w:tcW w:w="490" w:type="pct"/>
            <w:tcBorders>
              <w:top w:val="nil"/>
              <w:left w:val="nil"/>
              <w:bottom w:val="single" w:sz="4" w:space="0" w:color="000000"/>
              <w:right w:val="single" w:sz="4" w:space="0" w:color="000000"/>
            </w:tcBorders>
            <w:shd w:val="clear" w:color="auto" w:fill="auto"/>
            <w:tcMar>
              <w:left w:w="70" w:type="dxa"/>
              <w:right w:w="70" w:type="dxa"/>
            </w:tcMar>
            <w:vAlign w:val="center"/>
          </w:tcPr>
          <w:p w14:paraId="20A188AB"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358.027</w:t>
            </w:r>
          </w:p>
        </w:tc>
        <w:tc>
          <w:tcPr>
            <w:tcW w:w="586" w:type="pct"/>
            <w:tcBorders>
              <w:top w:val="nil"/>
              <w:left w:val="nil"/>
              <w:bottom w:val="single" w:sz="4" w:space="0" w:color="000000"/>
              <w:right w:val="single" w:sz="4" w:space="0" w:color="000000"/>
            </w:tcBorders>
            <w:shd w:val="clear" w:color="auto" w:fill="auto"/>
            <w:tcMar>
              <w:left w:w="70" w:type="dxa"/>
              <w:right w:w="70" w:type="dxa"/>
            </w:tcMar>
            <w:vAlign w:val="center"/>
          </w:tcPr>
          <w:p w14:paraId="7004C3C3"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1.274.140</w:t>
            </w:r>
          </w:p>
        </w:tc>
      </w:tr>
      <w:tr w:rsidR="00064C79" w:rsidRPr="00FE7C00" w14:paraId="6C03B60B" w14:textId="77777777" w:rsidTr="00A17C4B">
        <w:trPr>
          <w:trHeight w:val="534"/>
          <w:jc w:val="center"/>
        </w:trPr>
        <w:tc>
          <w:tcPr>
            <w:tcW w:w="1467"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02DE329" w14:textId="77777777" w:rsidR="00064C79" w:rsidRPr="00FE7C00" w:rsidRDefault="00064C79" w:rsidP="00064C79">
            <w:pPr>
              <w:spacing w:line="276" w:lineRule="auto"/>
              <w:jc w:val="center"/>
              <w:rPr>
                <w:rFonts w:ascii="Arial" w:eastAsia="Calibri" w:hAnsi="Arial" w:cs="Arial"/>
                <w:sz w:val="20"/>
                <w:szCs w:val="20"/>
                <w:lang w:val="es-EC" w:eastAsia="en-US"/>
              </w:rPr>
            </w:pPr>
          </w:p>
        </w:tc>
        <w:tc>
          <w:tcPr>
            <w:tcW w:w="825" w:type="pct"/>
            <w:tcBorders>
              <w:top w:val="nil"/>
              <w:left w:val="nil"/>
              <w:bottom w:val="single" w:sz="4" w:space="0" w:color="000000"/>
              <w:right w:val="single" w:sz="4" w:space="0" w:color="000000"/>
            </w:tcBorders>
            <w:shd w:val="clear" w:color="auto" w:fill="auto"/>
            <w:tcMar>
              <w:left w:w="70" w:type="dxa"/>
              <w:right w:w="70" w:type="dxa"/>
            </w:tcMar>
            <w:vAlign w:val="center"/>
          </w:tcPr>
          <w:p w14:paraId="6B707390"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40,72%</w:t>
            </w:r>
          </w:p>
        </w:tc>
        <w:tc>
          <w:tcPr>
            <w:tcW w:w="819" w:type="pct"/>
            <w:tcBorders>
              <w:top w:val="nil"/>
              <w:left w:val="nil"/>
              <w:bottom w:val="single" w:sz="4" w:space="0" w:color="000000"/>
              <w:right w:val="single" w:sz="4" w:space="0" w:color="000000"/>
            </w:tcBorders>
            <w:shd w:val="clear" w:color="auto" w:fill="auto"/>
            <w:tcMar>
              <w:left w:w="70" w:type="dxa"/>
              <w:right w:w="70" w:type="dxa"/>
            </w:tcMar>
            <w:vAlign w:val="center"/>
          </w:tcPr>
          <w:p w14:paraId="540E39B9"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13,59%</w:t>
            </w:r>
          </w:p>
        </w:tc>
        <w:tc>
          <w:tcPr>
            <w:tcW w:w="812" w:type="pct"/>
            <w:tcBorders>
              <w:top w:val="nil"/>
              <w:left w:val="nil"/>
              <w:bottom w:val="single" w:sz="4" w:space="0" w:color="000000"/>
              <w:right w:val="single" w:sz="4" w:space="0" w:color="000000"/>
            </w:tcBorders>
            <w:shd w:val="clear" w:color="auto" w:fill="auto"/>
            <w:tcMar>
              <w:left w:w="70" w:type="dxa"/>
              <w:right w:w="70" w:type="dxa"/>
            </w:tcMar>
            <w:vAlign w:val="center"/>
          </w:tcPr>
          <w:p w14:paraId="40C942F4"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17,59%</w:t>
            </w:r>
          </w:p>
        </w:tc>
        <w:tc>
          <w:tcPr>
            <w:tcW w:w="490" w:type="pct"/>
            <w:tcBorders>
              <w:top w:val="nil"/>
              <w:left w:val="nil"/>
              <w:bottom w:val="single" w:sz="4" w:space="0" w:color="000000"/>
              <w:right w:val="single" w:sz="4" w:space="0" w:color="000000"/>
            </w:tcBorders>
            <w:shd w:val="clear" w:color="auto" w:fill="auto"/>
            <w:tcMar>
              <w:left w:w="70" w:type="dxa"/>
              <w:right w:w="70" w:type="dxa"/>
            </w:tcMar>
            <w:vAlign w:val="center"/>
          </w:tcPr>
          <w:p w14:paraId="041A4ED4"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28,10%</w:t>
            </w:r>
          </w:p>
        </w:tc>
        <w:tc>
          <w:tcPr>
            <w:tcW w:w="586" w:type="pct"/>
            <w:tcBorders>
              <w:top w:val="nil"/>
              <w:left w:val="nil"/>
              <w:bottom w:val="single" w:sz="4" w:space="0" w:color="000000"/>
              <w:right w:val="single" w:sz="4" w:space="0" w:color="000000"/>
            </w:tcBorders>
            <w:shd w:val="clear" w:color="auto" w:fill="auto"/>
            <w:tcMar>
              <w:left w:w="70" w:type="dxa"/>
              <w:right w:w="70" w:type="dxa"/>
            </w:tcMar>
            <w:vAlign w:val="center"/>
          </w:tcPr>
          <w:p w14:paraId="004ED9BC" w14:textId="77777777" w:rsidR="00064C79" w:rsidRPr="00FE7C00" w:rsidRDefault="00064C79" w:rsidP="00064C79">
            <w:pPr>
              <w:spacing w:line="276" w:lineRule="auto"/>
              <w:jc w:val="center"/>
              <w:rPr>
                <w:rFonts w:ascii="Arial" w:hAnsi="Arial" w:cs="Arial"/>
                <w:sz w:val="20"/>
                <w:szCs w:val="20"/>
                <w:lang w:val="es-EC" w:eastAsia="es-EC"/>
              </w:rPr>
            </w:pPr>
            <w:r w:rsidRPr="00FE7C00">
              <w:rPr>
                <w:rFonts w:ascii="Arial" w:hAnsi="Arial" w:cs="Arial"/>
                <w:sz w:val="20"/>
                <w:szCs w:val="20"/>
                <w:lang w:val="es-EC" w:eastAsia="es-EC"/>
              </w:rPr>
              <w:t>100,00%</w:t>
            </w:r>
          </w:p>
        </w:tc>
      </w:tr>
    </w:tbl>
    <w:p w14:paraId="656BBF67" w14:textId="77777777" w:rsidR="00064C79" w:rsidRPr="000A5DA3" w:rsidRDefault="00064C79" w:rsidP="00064C79">
      <w:pPr>
        <w:spacing w:line="360" w:lineRule="auto"/>
        <w:jc w:val="both"/>
        <w:rPr>
          <w:rFonts w:ascii="Arial" w:eastAsia="Calibri" w:hAnsi="Arial" w:cs="Arial"/>
          <w:spacing w:val="-1"/>
          <w:sz w:val="20"/>
          <w:szCs w:val="20"/>
          <w:lang w:val="es-EC" w:eastAsia="en-US"/>
        </w:rPr>
      </w:pPr>
      <w:r w:rsidRPr="000A5DA3">
        <w:rPr>
          <w:rFonts w:ascii="Arial" w:eastAsia="Calibri" w:hAnsi="Arial" w:cs="Arial"/>
          <w:iCs/>
          <w:spacing w:val="-1"/>
          <w:sz w:val="20"/>
          <w:szCs w:val="20"/>
          <w:lang w:val="es-EC" w:eastAsia="en-US"/>
        </w:rPr>
        <w:t>Nota</w:t>
      </w:r>
      <w:r w:rsidRPr="000A5DA3">
        <w:rPr>
          <w:rFonts w:ascii="Arial" w:eastAsia="Calibri" w:hAnsi="Arial" w:cs="Arial"/>
          <w:spacing w:val="-1"/>
          <w:sz w:val="20"/>
          <w:szCs w:val="20"/>
          <w:lang w:val="es-EC" w:eastAsia="en-US"/>
        </w:rPr>
        <w:t>. Elaboración propia con base en el INEC, 2023.</w:t>
      </w:r>
    </w:p>
    <w:p w14:paraId="719AC0EF" w14:textId="77777777" w:rsidR="00064C79" w:rsidRPr="00064C79" w:rsidRDefault="00064C79" w:rsidP="00064C79">
      <w:pPr>
        <w:spacing w:line="360" w:lineRule="auto"/>
        <w:jc w:val="both"/>
        <w:rPr>
          <w:rFonts w:ascii="Arial" w:eastAsia="Calibri" w:hAnsi="Arial" w:cs="Arial"/>
          <w:lang w:val="es-EC" w:eastAsia="en-US"/>
        </w:rPr>
      </w:pPr>
    </w:p>
    <w:p w14:paraId="58E88DF4" w14:textId="77777777" w:rsidR="00064C79" w:rsidRPr="00064C79" w:rsidRDefault="00064C79" w:rsidP="00B31702">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lastRenderedPageBreak/>
        <w:t>El 41,04% de las personas con estudios de posgrado trabaja en el sector de enseñanza; del nivel superior universitario, el 14,58%. Esto indica que una mayor proporción de graduados de posgrado está empleada en el ámbito educativo en comparación con quienes tienen solo educación superior universitaria (tabla de contingencia 13).</w:t>
      </w:r>
    </w:p>
    <w:p w14:paraId="761E845A" w14:textId="5F09AF35" w:rsidR="00064C79" w:rsidRPr="00231350" w:rsidRDefault="00064C79" w:rsidP="00231350">
      <w:pPr>
        <w:spacing w:after="100" w:afterAutospacing="1"/>
        <w:jc w:val="center"/>
        <w:rPr>
          <w:rFonts w:ascii="Arial" w:eastAsia="Calibri" w:hAnsi="Arial" w:cs="Arial"/>
          <w:b/>
          <w:sz w:val="20"/>
          <w:szCs w:val="20"/>
          <w:lang w:val="es-EC" w:eastAsia="en-US"/>
        </w:rPr>
      </w:pPr>
      <w:r w:rsidRPr="00231350">
        <w:rPr>
          <w:rFonts w:ascii="Arial" w:eastAsia="Calibri" w:hAnsi="Arial" w:cs="Arial"/>
          <w:b/>
          <w:bCs/>
          <w:sz w:val="20"/>
          <w:szCs w:val="20"/>
          <w:lang w:val="es-EC" w:eastAsia="en-US"/>
        </w:rPr>
        <w:t>Tabla de contingencia 13</w:t>
      </w:r>
      <w:r w:rsidR="00B31702" w:rsidRPr="00231350">
        <w:rPr>
          <w:rFonts w:ascii="Arial" w:eastAsia="Calibri" w:hAnsi="Arial" w:cs="Arial"/>
          <w:b/>
          <w:bCs/>
          <w:sz w:val="20"/>
          <w:szCs w:val="20"/>
          <w:lang w:val="es-EC" w:eastAsia="en-US"/>
        </w:rPr>
        <w:t xml:space="preserve">. </w:t>
      </w:r>
      <w:r w:rsidRPr="00231350">
        <w:rPr>
          <w:rFonts w:ascii="Arial" w:eastAsia="Calibri" w:hAnsi="Arial" w:cs="Arial"/>
          <w:b/>
          <w:iCs/>
          <w:sz w:val="20"/>
          <w:szCs w:val="20"/>
          <w:lang w:val="es-EC" w:eastAsia="en-US"/>
        </w:rPr>
        <w:t>Nivel de instrucción - Rama de actividad</w:t>
      </w:r>
    </w:p>
    <w:tbl>
      <w:tblPr>
        <w:tblW w:w="5163" w:type="pct"/>
        <w:jc w:val="center"/>
        <w:tblLook w:val="04A0" w:firstRow="1" w:lastRow="0" w:firstColumn="1" w:lastColumn="0" w:noHBand="0" w:noVBand="1"/>
      </w:tblPr>
      <w:tblGrid>
        <w:gridCol w:w="1306"/>
        <w:gridCol w:w="1479"/>
        <w:gridCol w:w="1278"/>
        <w:gridCol w:w="1345"/>
        <w:gridCol w:w="1438"/>
        <w:gridCol w:w="1010"/>
        <w:gridCol w:w="1209"/>
      </w:tblGrid>
      <w:tr w:rsidR="00064C79" w:rsidRPr="00B63C32" w14:paraId="66BA8CF6" w14:textId="77777777" w:rsidTr="003B547C">
        <w:trPr>
          <w:trHeight w:val="544"/>
          <w:jc w:val="center"/>
        </w:trPr>
        <w:tc>
          <w:tcPr>
            <w:tcW w:w="15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BC8686F" w14:textId="77777777" w:rsidR="00064C79" w:rsidRPr="00B63C32" w:rsidRDefault="00064C79" w:rsidP="00064C79">
            <w:pPr>
              <w:spacing w:line="276" w:lineRule="auto"/>
              <w:jc w:val="center"/>
              <w:rPr>
                <w:rFonts w:ascii="Arial" w:hAnsi="Arial" w:cs="Arial"/>
                <w:sz w:val="20"/>
                <w:szCs w:val="20"/>
                <w:lang w:val="es-EC" w:eastAsia="es-EC"/>
              </w:rPr>
            </w:pPr>
          </w:p>
        </w:tc>
        <w:tc>
          <w:tcPr>
            <w:tcW w:w="2797" w:type="pct"/>
            <w:gridSpan w:val="4"/>
            <w:tcBorders>
              <w:top w:val="single" w:sz="4" w:space="0" w:color="000000"/>
              <w:left w:val="nil"/>
              <w:bottom w:val="single" w:sz="4" w:space="0" w:color="000000"/>
              <w:right w:val="single" w:sz="4" w:space="0" w:color="000000"/>
            </w:tcBorders>
            <w:shd w:val="clear" w:color="auto" w:fill="auto"/>
            <w:tcMar>
              <w:left w:w="70" w:type="dxa"/>
              <w:right w:w="70" w:type="dxa"/>
            </w:tcMar>
            <w:vAlign w:val="center"/>
          </w:tcPr>
          <w:p w14:paraId="225B27FE" w14:textId="77777777" w:rsidR="00064C79" w:rsidRPr="00B63C32" w:rsidRDefault="00064C79" w:rsidP="00064C79">
            <w:pPr>
              <w:spacing w:line="276" w:lineRule="auto"/>
              <w:jc w:val="center"/>
              <w:rPr>
                <w:rFonts w:ascii="Arial" w:hAnsi="Arial" w:cs="Arial"/>
                <w:b/>
                <w:bCs/>
                <w:sz w:val="20"/>
                <w:szCs w:val="20"/>
                <w:lang w:val="es-EC" w:eastAsia="es-EC"/>
              </w:rPr>
            </w:pPr>
            <w:r w:rsidRPr="00B63C32">
              <w:rPr>
                <w:rFonts w:ascii="Arial" w:hAnsi="Arial" w:cs="Arial"/>
                <w:b/>
                <w:bCs/>
                <w:sz w:val="20"/>
                <w:szCs w:val="20"/>
                <w:lang w:val="es-EC" w:eastAsia="es-EC"/>
              </w:rPr>
              <w:t>Rama de actividad</w:t>
            </w:r>
          </w:p>
        </w:tc>
        <w:tc>
          <w:tcPr>
            <w:tcW w:w="667" w:type="pct"/>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E1A018F" w14:textId="77777777" w:rsidR="00064C79" w:rsidRPr="00B63C32" w:rsidRDefault="00064C79" w:rsidP="00064C79">
            <w:pPr>
              <w:spacing w:line="276" w:lineRule="auto"/>
              <w:jc w:val="center"/>
              <w:rPr>
                <w:rFonts w:ascii="Arial" w:hAnsi="Arial" w:cs="Arial"/>
                <w:b/>
                <w:bCs/>
                <w:sz w:val="20"/>
                <w:szCs w:val="20"/>
                <w:lang w:val="es-EC" w:eastAsia="es-EC"/>
              </w:rPr>
            </w:pPr>
            <w:r w:rsidRPr="00B63C32">
              <w:rPr>
                <w:rFonts w:ascii="Arial" w:hAnsi="Arial" w:cs="Arial"/>
                <w:b/>
                <w:bCs/>
                <w:sz w:val="20"/>
                <w:szCs w:val="20"/>
                <w:lang w:val="es-EC" w:eastAsia="es-EC"/>
              </w:rPr>
              <w:t>Total</w:t>
            </w:r>
          </w:p>
        </w:tc>
      </w:tr>
      <w:tr w:rsidR="00064C79" w:rsidRPr="00B63C32" w14:paraId="61A13A6D" w14:textId="77777777" w:rsidTr="003B547C">
        <w:trPr>
          <w:trHeight w:val="2048"/>
          <w:jc w:val="center"/>
        </w:trPr>
        <w:tc>
          <w:tcPr>
            <w:tcW w:w="1536"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DBE942F" w14:textId="77777777" w:rsidR="00064C79" w:rsidRPr="00B63C32" w:rsidRDefault="00064C79" w:rsidP="00064C79">
            <w:pPr>
              <w:spacing w:line="276" w:lineRule="auto"/>
              <w:jc w:val="center"/>
              <w:rPr>
                <w:rFonts w:ascii="Arial" w:eastAsia="Calibri" w:hAnsi="Arial" w:cs="Arial"/>
                <w:sz w:val="20"/>
                <w:szCs w:val="20"/>
                <w:lang w:val="es-EC" w:eastAsia="en-US"/>
              </w:rPr>
            </w:pPr>
          </w:p>
        </w:tc>
        <w:tc>
          <w:tcPr>
            <w:tcW w:w="705" w:type="pct"/>
            <w:tcBorders>
              <w:top w:val="nil"/>
              <w:left w:val="nil"/>
              <w:bottom w:val="single" w:sz="4" w:space="0" w:color="000000"/>
              <w:right w:val="single" w:sz="4" w:space="0" w:color="000000"/>
            </w:tcBorders>
            <w:shd w:val="clear" w:color="auto" w:fill="auto"/>
            <w:tcMar>
              <w:left w:w="70" w:type="dxa"/>
              <w:right w:w="70" w:type="dxa"/>
            </w:tcMar>
            <w:vAlign w:val="center"/>
          </w:tcPr>
          <w:p w14:paraId="3347883F" w14:textId="77777777" w:rsidR="00064C79" w:rsidRPr="00B63C32" w:rsidRDefault="00064C79" w:rsidP="00064C79">
            <w:pPr>
              <w:spacing w:line="276" w:lineRule="auto"/>
              <w:jc w:val="center"/>
              <w:rPr>
                <w:rFonts w:ascii="Arial" w:hAnsi="Arial" w:cs="Arial"/>
                <w:b/>
                <w:bCs/>
                <w:sz w:val="20"/>
                <w:szCs w:val="20"/>
                <w:lang w:val="es-EC" w:eastAsia="es-EC"/>
              </w:rPr>
            </w:pPr>
            <w:r w:rsidRPr="00B63C32">
              <w:rPr>
                <w:rFonts w:ascii="Arial" w:hAnsi="Arial" w:cs="Arial"/>
                <w:b/>
                <w:bCs/>
                <w:sz w:val="20"/>
                <w:szCs w:val="20"/>
                <w:lang w:val="es-EC" w:eastAsia="es-EC"/>
              </w:rPr>
              <w:t>Comercio, reparación vehículos</w:t>
            </w:r>
          </w:p>
        </w:tc>
        <w:tc>
          <w:tcPr>
            <w:tcW w:w="742" w:type="pct"/>
            <w:tcBorders>
              <w:top w:val="nil"/>
              <w:left w:val="nil"/>
              <w:bottom w:val="single" w:sz="4" w:space="0" w:color="000000"/>
              <w:right w:val="single" w:sz="4" w:space="0" w:color="000000"/>
            </w:tcBorders>
            <w:shd w:val="clear" w:color="auto" w:fill="auto"/>
            <w:tcMar>
              <w:left w:w="70" w:type="dxa"/>
              <w:right w:w="70" w:type="dxa"/>
            </w:tcMar>
            <w:vAlign w:val="center"/>
          </w:tcPr>
          <w:p w14:paraId="5A42A310" w14:textId="77777777" w:rsidR="00064C79" w:rsidRPr="00B63C32" w:rsidRDefault="00064C79" w:rsidP="00064C79">
            <w:pPr>
              <w:spacing w:line="276" w:lineRule="auto"/>
              <w:jc w:val="center"/>
              <w:rPr>
                <w:rFonts w:ascii="Arial" w:hAnsi="Arial" w:cs="Arial"/>
                <w:b/>
                <w:bCs/>
                <w:sz w:val="20"/>
                <w:szCs w:val="20"/>
                <w:lang w:val="es-EC" w:eastAsia="es-EC"/>
              </w:rPr>
            </w:pPr>
            <w:r w:rsidRPr="00B63C32">
              <w:rPr>
                <w:rFonts w:ascii="Arial" w:hAnsi="Arial" w:cs="Arial"/>
                <w:b/>
                <w:bCs/>
                <w:sz w:val="20"/>
                <w:szCs w:val="20"/>
                <w:lang w:val="es-EC" w:eastAsia="es-EC"/>
              </w:rPr>
              <w:t>Enseñanza</w:t>
            </w:r>
          </w:p>
        </w:tc>
        <w:tc>
          <w:tcPr>
            <w:tcW w:w="793" w:type="pct"/>
            <w:tcBorders>
              <w:top w:val="nil"/>
              <w:left w:val="nil"/>
              <w:bottom w:val="single" w:sz="4" w:space="0" w:color="000000"/>
              <w:right w:val="single" w:sz="4" w:space="0" w:color="000000"/>
            </w:tcBorders>
            <w:shd w:val="clear" w:color="auto" w:fill="auto"/>
            <w:tcMar>
              <w:left w:w="70" w:type="dxa"/>
              <w:right w:w="70" w:type="dxa"/>
            </w:tcMar>
            <w:vAlign w:val="center"/>
          </w:tcPr>
          <w:p w14:paraId="49769645" w14:textId="77777777" w:rsidR="00064C79" w:rsidRPr="00B63C32" w:rsidRDefault="00064C79" w:rsidP="00064C79">
            <w:pPr>
              <w:spacing w:line="276" w:lineRule="auto"/>
              <w:jc w:val="center"/>
              <w:rPr>
                <w:rFonts w:ascii="Arial" w:hAnsi="Arial" w:cs="Arial"/>
                <w:b/>
                <w:bCs/>
                <w:sz w:val="20"/>
                <w:szCs w:val="20"/>
                <w:lang w:val="es-EC" w:eastAsia="es-EC"/>
              </w:rPr>
            </w:pPr>
            <w:r w:rsidRPr="00B63C32">
              <w:rPr>
                <w:rFonts w:ascii="Arial" w:hAnsi="Arial" w:cs="Arial"/>
                <w:b/>
                <w:bCs/>
                <w:sz w:val="20"/>
                <w:szCs w:val="20"/>
                <w:lang w:val="es-EC" w:eastAsia="es-EC"/>
              </w:rPr>
              <w:t>Actividades, servicios sociales y de salud</w:t>
            </w:r>
          </w:p>
        </w:tc>
        <w:tc>
          <w:tcPr>
            <w:tcW w:w="557" w:type="pct"/>
            <w:tcBorders>
              <w:top w:val="nil"/>
              <w:left w:val="nil"/>
              <w:bottom w:val="single" w:sz="4" w:space="0" w:color="000000"/>
              <w:right w:val="single" w:sz="4" w:space="0" w:color="000000"/>
            </w:tcBorders>
            <w:shd w:val="clear" w:color="auto" w:fill="auto"/>
            <w:tcMar>
              <w:left w:w="70" w:type="dxa"/>
              <w:right w:w="70" w:type="dxa"/>
            </w:tcMar>
            <w:vAlign w:val="center"/>
          </w:tcPr>
          <w:p w14:paraId="656FBFC3" w14:textId="77777777" w:rsidR="00064C79" w:rsidRPr="00B63C32" w:rsidRDefault="00064C79" w:rsidP="00064C79">
            <w:pPr>
              <w:spacing w:line="276" w:lineRule="auto"/>
              <w:jc w:val="center"/>
              <w:rPr>
                <w:rFonts w:ascii="Arial" w:hAnsi="Arial" w:cs="Arial"/>
                <w:b/>
                <w:bCs/>
                <w:sz w:val="20"/>
                <w:szCs w:val="20"/>
                <w:lang w:val="es-EC" w:eastAsia="es-EC"/>
              </w:rPr>
            </w:pPr>
            <w:r w:rsidRPr="00B63C32">
              <w:rPr>
                <w:rFonts w:ascii="Arial" w:hAnsi="Arial" w:cs="Arial"/>
                <w:b/>
                <w:bCs/>
                <w:sz w:val="20"/>
                <w:szCs w:val="20"/>
                <w:lang w:val="es-EC" w:eastAsia="es-EC"/>
              </w:rPr>
              <w:t>Otro</w:t>
            </w:r>
          </w:p>
        </w:tc>
        <w:tc>
          <w:tcPr>
            <w:tcW w:w="667" w:type="pct"/>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B1C8EDC" w14:textId="77777777" w:rsidR="00064C79" w:rsidRPr="00B63C32" w:rsidRDefault="00064C79" w:rsidP="00064C79">
            <w:pPr>
              <w:spacing w:line="276" w:lineRule="auto"/>
              <w:jc w:val="center"/>
              <w:rPr>
                <w:rFonts w:ascii="Arial" w:eastAsia="Calibri" w:hAnsi="Arial" w:cs="Arial"/>
                <w:sz w:val="20"/>
                <w:szCs w:val="20"/>
                <w:lang w:val="es-EC" w:eastAsia="en-US"/>
              </w:rPr>
            </w:pPr>
          </w:p>
        </w:tc>
      </w:tr>
      <w:tr w:rsidR="00064C79" w:rsidRPr="00B63C32" w14:paraId="167A31D5" w14:textId="77777777" w:rsidTr="003B547C">
        <w:trPr>
          <w:trHeight w:val="544"/>
          <w:jc w:val="center"/>
        </w:trPr>
        <w:tc>
          <w:tcPr>
            <w:tcW w:w="720"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014B63C2" w14:textId="77777777" w:rsidR="00064C79" w:rsidRPr="00B63C32" w:rsidRDefault="00064C79" w:rsidP="00064C79">
            <w:pPr>
              <w:spacing w:line="276" w:lineRule="auto"/>
              <w:jc w:val="center"/>
              <w:rPr>
                <w:rFonts w:ascii="Arial" w:hAnsi="Arial" w:cs="Arial"/>
                <w:b/>
                <w:bCs/>
                <w:sz w:val="20"/>
                <w:szCs w:val="20"/>
                <w:lang w:val="es-EC" w:eastAsia="es-EC"/>
              </w:rPr>
            </w:pPr>
            <w:r w:rsidRPr="00B63C32">
              <w:rPr>
                <w:rFonts w:ascii="Arial" w:hAnsi="Arial" w:cs="Arial"/>
                <w:b/>
                <w:bCs/>
                <w:sz w:val="20"/>
                <w:szCs w:val="20"/>
                <w:lang w:val="es-EC" w:eastAsia="es-EC"/>
              </w:rPr>
              <w:t>Nivel de instrucción</w:t>
            </w:r>
          </w:p>
        </w:tc>
        <w:tc>
          <w:tcPr>
            <w:tcW w:w="816"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443EBC21" w14:textId="77777777" w:rsidR="00064C79" w:rsidRPr="00B63C32" w:rsidRDefault="00064C79" w:rsidP="00064C79">
            <w:pPr>
              <w:spacing w:line="276" w:lineRule="auto"/>
              <w:jc w:val="center"/>
              <w:rPr>
                <w:rFonts w:ascii="Arial" w:hAnsi="Arial" w:cs="Arial"/>
                <w:b/>
                <w:bCs/>
                <w:sz w:val="20"/>
                <w:szCs w:val="20"/>
                <w:lang w:val="es-EC" w:eastAsia="es-EC"/>
              </w:rPr>
            </w:pPr>
            <w:r w:rsidRPr="00B63C32">
              <w:rPr>
                <w:rFonts w:ascii="Arial" w:hAnsi="Arial" w:cs="Arial"/>
                <w:b/>
                <w:bCs/>
                <w:sz w:val="20"/>
                <w:szCs w:val="20"/>
                <w:lang w:val="es-EC" w:eastAsia="es-EC"/>
              </w:rPr>
              <w:t>Superior Universitario</w:t>
            </w:r>
          </w:p>
        </w:tc>
        <w:tc>
          <w:tcPr>
            <w:tcW w:w="705" w:type="pct"/>
            <w:tcBorders>
              <w:top w:val="nil"/>
              <w:left w:val="nil"/>
              <w:bottom w:val="single" w:sz="4" w:space="0" w:color="000000"/>
              <w:right w:val="single" w:sz="4" w:space="0" w:color="000000"/>
            </w:tcBorders>
            <w:shd w:val="clear" w:color="auto" w:fill="auto"/>
            <w:tcMar>
              <w:left w:w="70" w:type="dxa"/>
              <w:right w:w="70" w:type="dxa"/>
            </w:tcMar>
            <w:vAlign w:val="center"/>
          </w:tcPr>
          <w:p w14:paraId="35C40FBD"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204.535</w:t>
            </w:r>
          </w:p>
        </w:tc>
        <w:tc>
          <w:tcPr>
            <w:tcW w:w="742" w:type="pct"/>
            <w:tcBorders>
              <w:top w:val="nil"/>
              <w:left w:val="nil"/>
              <w:bottom w:val="single" w:sz="4" w:space="0" w:color="000000"/>
              <w:right w:val="single" w:sz="4" w:space="0" w:color="000000"/>
            </w:tcBorders>
            <w:shd w:val="clear" w:color="auto" w:fill="auto"/>
            <w:tcMar>
              <w:left w:w="70" w:type="dxa"/>
              <w:right w:w="70" w:type="dxa"/>
            </w:tcMar>
            <w:vAlign w:val="center"/>
          </w:tcPr>
          <w:p w14:paraId="3D9C8B1F"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161.069</w:t>
            </w:r>
          </w:p>
        </w:tc>
        <w:tc>
          <w:tcPr>
            <w:tcW w:w="793" w:type="pct"/>
            <w:tcBorders>
              <w:top w:val="nil"/>
              <w:left w:val="nil"/>
              <w:bottom w:val="single" w:sz="4" w:space="0" w:color="000000"/>
              <w:right w:val="single" w:sz="4" w:space="0" w:color="000000"/>
            </w:tcBorders>
            <w:shd w:val="clear" w:color="auto" w:fill="auto"/>
            <w:tcMar>
              <w:left w:w="70" w:type="dxa"/>
              <w:right w:w="70" w:type="dxa"/>
            </w:tcMar>
            <w:vAlign w:val="center"/>
          </w:tcPr>
          <w:p w14:paraId="3991E659"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96.164</w:t>
            </w:r>
          </w:p>
        </w:tc>
        <w:tc>
          <w:tcPr>
            <w:tcW w:w="557" w:type="pct"/>
            <w:tcBorders>
              <w:top w:val="nil"/>
              <w:left w:val="nil"/>
              <w:bottom w:val="single" w:sz="4" w:space="0" w:color="000000"/>
              <w:right w:val="single" w:sz="4" w:space="0" w:color="000000"/>
            </w:tcBorders>
            <w:shd w:val="clear" w:color="auto" w:fill="auto"/>
            <w:tcMar>
              <w:left w:w="70" w:type="dxa"/>
              <w:right w:w="70" w:type="dxa"/>
            </w:tcMar>
            <w:vAlign w:val="center"/>
          </w:tcPr>
          <w:p w14:paraId="2D3EC61D"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642.647</w:t>
            </w:r>
          </w:p>
        </w:tc>
        <w:tc>
          <w:tcPr>
            <w:tcW w:w="667" w:type="pct"/>
            <w:tcBorders>
              <w:top w:val="nil"/>
              <w:left w:val="nil"/>
              <w:bottom w:val="single" w:sz="4" w:space="0" w:color="000000"/>
              <w:right w:val="single" w:sz="4" w:space="0" w:color="000000"/>
            </w:tcBorders>
            <w:shd w:val="clear" w:color="auto" w:fill="auto"/>
            <w:tcMar>
              <w:left w:w="70" w:type="dxa"/>
              <w:right w:w="70" w:type="dxa"/>
            </w:tcMar>
            <w:vAlign w:val="center"/>
          </w:tcPr>
          <w:p w14:paraId="5C4321F2"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1.104.415</w:t>
            </w:r>
          </w:p>
        </w:tc>
      </w:tr>
      <w:tr w:rsidR="00064C79" w:rsidRPr="00B63C32" w14:paraId="1345E98A" w14:textId="77777777" w:rsidTr="003B547C">
        <w:trPr>
          <w:trHeight w:val="544"/>
          <w:jc w:val="center"/>
        </w:trPr>
        <w:tc>
          <w:tcPr>
            <w:tcW w:w="720" w:type="pct"/>
            <w:vMerge/>
            <w:tcBorders>
              <w:top w:val="nil"/>
              <w:left w:val="single" w:sz="4" w:space="0" w:color="000000"/>
              <w:bottom w:val="single" w:sz="4" w:space="0" w:color="000000"/>
              <w:right w:val="single" w:sz="4" w:space="0" w:color="000000"/>
            </w:tcBorders>
            <w:tcMar>
              <w:left w:w="70" w:type="dxa"/>
              <w:right w:w="70" w:type="dxa"/>
            </w:tcMar>
            <w:vAlign w:val="center"/>
          </w:tcPr>
          <w:p w14:paraId="68D687F3" w14:textId="77777777" w:rsidR="00064C79" w:rsidRPr="00B63C32" w:rsidRDefault="00064C79" w:rsidP="00064C79">
            <w:pPr>
              <w:spacing w:line="276" w:lineRule="auto"/>
              <w:jc w:val="center"/>
              <w:rPr>
                <w:rFonts w:ascii="Arial" w:eastAsia="Calibri" w:hAnsi="Arial" w:cs="Arial"/>
                <w:b/>
                <w:bCs/>
                <w:sz w:val="20"/>
                <w:szCs w:val="20"/>
                <w:lang w:val="es-EC" w:eastAsia="en-US"/>
              </w:rPr>
            </w:pPr>
          </w:p>
        </w:tc>
        <w:tc>
          <w:tcPr>
            <w:tcW w:w="816" w:type="pct"/>
            <w:vMerge/>
            <w:tcBorders>
              <w:top w:val="nil"/>
              <w:left w:val="single" w:sz="4" w:space="0" w:color="000000"/>
              <w:bottom w:val="single" w:sz="4" w:space="0" w:color="000000"/>
              <w:right w:val="single" w:sz="4" w:space="0" w:color="000000"/>
            </w:tcBorders>
            <w:tcMar>
              <w:left w:w="70" w:type="dxa"/>
              <w:right w:w="70" w:type="dxa"/>
            </w:tcMar>
            <w:vAlign w:val="center"/>
          </w:tcPr>
          <w:p w14:paraId="092A71BD" w14:textId="77777777" w:rsidR="00064C79" w:rsidRPr="00B63C32" w:rsidRDefault="00064C79" w:rsidP="00064C79">
            <w:pPr>
              <w:spacing w:line="276" w:lineRule="auto"/>
              <w:jc w:val="center"/>
              <w:rPr>
                <w:rFonts w:ascii="Arial" w:eastAsia="Calibri" w:hAnsi="Arial" w:cs="Arial"/>
                <w:b/>
                <w:bCs/>
                <w:sz w:val="20"/>
                <w:szCs w:val="20"/>
                <w:lang w:val="es-EC" w:eastAsia="en-US"/>
              </w:rPr>
            </w:pPr>
          </w:p>
        </w:tc>
        <w:tc>
          <w:tcPr>
            <w:tcW w:w="705" w:type="pct"/>
            <w:tcBorders>
              <w:top w:val="nil"/>
              <w:left w:val="nil"/>
              <w:bottom w:val="single" w:sz="4" w:space="0" w:color="000000"/>
              <w:right w:val="single" w:sz="4" w:space="0" w:color="000000"/>
            </w:tcBorders>
            <w:shd w:val="clear" w:color="auto" w:fill="auto"/>
            <w:tcMar>
              <w:left w:w="70" w:type="dxa"/>
              <w:right w:w="70" w:type="dxa"/>
            </w:tcMar>
            <w:vAlign w:val="center"/>
          </w:tcPr>
          <w:p w14:paraId="3C5A07D3"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18,52%</w:t>
            </w:r>
          </w:p>
        </w:tc>
        <w:tc>
          <w:tcPr>
            <w:tcW w:w="742" w:type="pct"/>
            <w:tcBorders>
              <w:top w:val="nil"/>
              <w:left w:val="nil"/>
              <w:bottom w:val="single" w:sz="4" w:space="0" w:color="000000"/>
              <w:right w:val="single" w:sz="4" w:space="0" w:color="000000"/>
            </w:tcBorders>
            <w:shd w:val="clear" w:color="auto" w:fill="auto"/>
            <w:tcMar>
              <w:left w:w="70" w:type="dxa"/>
              <w:right w:w="70" w:type="dxa"/>
            </w:tcMar>
            <w:vAlign w:val="center"/>
          </w:tcPr>
          <w:p w14:paraId="64EAEAEA"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14,58%</w:t>
            </w:r>
          </w:p>
        </w:tc>
        <w:tc>
          <w:tcPr>
            <w:tcW w:w="793" w:type="pct"/>
            <w:tcBorders>
              <w:top w:val="nil"/>
              <w:left w:val="nil"/>
              <w:bottom w:val="single" w:sz="4" w:space="0" w:color="000000"/>
              <w:right w:val="single" w:sz="4" w:space="0" w:color="000000"/>
            </w:tcBorders>
            <w:shd w:val="clear" w:color="auto" w:fill="auto"/>
            <w:tcMar>
              <w:left w:w="70" w:type="dxa"/>
              <w:right w:w="70" w:type="dxa"/>
            </w:tcMar>
            <w:vAlign w:val="center"/>
          </w:tcPr>
          <w:p w14:paraId="2342F4DE"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8,71%</w:t>
            </w:r>
          </w:p>
        </w:tc>
        <w:tc>
          <w:tcPr>
            <w:tcW w:w="557" w:type="pct"/>
            <w:tcBorders>
              <w:top w:val="nil"/>
              <w:left w:val="nil"/>
              <w:bottom w:val="single" w:sz="4" w:space="0" w:color="000000"/>
              <w:right w:val="single" w:sz="4" w:space="0" w:color="000000"/>
            </w:tcBorders>
            <w:shd w:val="clear" w:color="auto" w:fill="auto"/>
            <w:tcMar>
              <w:left w:w="70" w:type="dxa"/>
              <w:right w:w="70" w:type="dxa"/>
            </w:tcMar>
            <w:vAlign w:val="center"/>
          </w:tcPr>
          <w:p w14:paraId="5AB8A4AA"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58,19%</w:t>
            </w:r>
          </w:p>
        </w:tc>
        <w:tc>
          <w:tcPr>
            <w:tcW w:w="667" w:type="pct"/>
            <w:tcBorders>
              <w:top w:val="nil"/>
              <w:left w:val="nil"/>
              <w:bottom w:val="single" w:sz="4" w:space="0" w:color="000000"/>
              <w:right w:val="single" w:sz="4" w:space="0" w:color="000000"/>
            </w:tcBorders>
            <w:shd w:val="clear" w:color="auto" w:fill="auto"/>
            <w:tcMar>
              <w:left w:w="70" w:type="dxa"/>
              <w:right w:w="70" w:type="dxa"/>
            </w:tcMar>
            <w:vAlign w:val="center"/>
          </w:tcPr>
          <w:p w14:paraId="7891FA8D"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100,00%</w:t>
            </w:r>
          </w:p>
        </w:tc>
      </w:tr>
      <w:tr w:rsidR="00064C79" w:rsidRPr="00B63C32" w14:paraId="157534B3" w14:textId="77777777" w:rsidTr="003B547C">
        <w:trPr>
          <w:trHeight w:val="544"/>
          <w:jc w:val="center"/>
        </w:trPr>
        <w:tc>
          <w:tcPr>
            <w:tcW w:w="720" w:type="pct"/>
            <w:vMerge/>
            <w:tcBorders>
              <w:top w:val="nil"/>
              <w:left w:val="single" w:sz="4" w:space="0" w:color="000000"/>
              <w:bottom w:val="single" w:sz="4" w:space="0" w:color="000000"/>
              <w:right w:val="single" w:sz="4" w:space="0" w:color="000000"/>
            </w:tcBorders>
            <w:tcMar>
              <w:left w:w="70" w:type="dxa"/>
              <w:right w:w="70" w:type="dxa"/>
            </w:tcMar>
            <w:vAlign w:val="center"/>
          </w:tcPr>
          <w:p w14:paraId="7C1CFF69" w14:textId="77777777" w:rsidR="00064C79" w:rsidRPr="00B63C32" w:rsidRDefault="00064C79" w:rsidP="00064C79">
            <w:pPr>
              <w:spacing w:line="276" w:lineRule="auto"/>
              <w:jc w:val="center"/>
              <w:rPr>
                <w:rFonts w:ascii="Arial" w:eastAsia="Calibri" w:hAnsi="Arial" w:cs="Arial"/>
                <w:b/>
                <w:bCs/>
                <w:sz w:val="20"/>
                <w:szCs w:val="20"/>
                <w:lang w:val="es-EC" w:eastAsia="en-US"/>
              </w:rPr>
            </w:pPr>
          </w:p>
        </w:tc>
        <w:tc>
          <w:tcPr>
            <w:tcW w:w="816"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7F7F6CC1" w14:textId="77777777" w:rsidR="00064C79" w:rsidRPr="00B63C32" w:rsidRDefault="00064C79" w:rsidP="00064C79">
            <w:pPr>
              <w:spacing w:line="276" w:lineRule="auto"/>
              <w:jc w:val="center"/>
              <w:rPr>
                <w:rFonts w:ascii="Arial" w:hAnsi="Arial" w:cs="Arial"/>
                <w:b/>
                <w:bCs/>
                <w:sz w:val="20"/>
                <w:szCs w:val="20"/>
                <w:lang w:val="es-EC" w:eastAsia="es-EC"/>
              </w:rPr>
            </w:pPr>
            <w:r w:rsidRPr="00B63C32">
              <w:rPr>
                <w:rFonts w:ascii="Arial" w:hAnsi="Arial" w:cs="Arial"/>
                <w:b/>
                <w:bCs/>
                <w:sz w:val="20"/>
                <w:szCs w:val="20"/>
                <w:lang w:val="es-EC" w:eastAsia="es-EC"/>
              </w:rPr>
              <w:t>Posgrado</w:t>
            </w:r>
          </w:p>
        </w:tc>
        <w:tc>
          <w:tcPr>
            <w:tcW w:w="705" w:type="pct"/>
            <w:tcBorders>
              <w:top w:val="nil"/>
              <w:left w:val="nil"/>
              <w:bottom w:val="single" w:sz="4" w:space="0" w:color="000000"/>
              <w:right w:val="single" w:sz="4" w:space="0" w:color="000000"/>
            </w:tcBorders>
            <w:shd w:val="clear" w:color="auto" w:fill="auto"/>
            <w:tcMar>
              <w:left w:w="70" w:type="dxa"/>
              <w:right w:w="70" w:type="dxa"/>
            </w:tcMar>
            <w:vAlign w:val="center"/>
          </w:tcPr>
          <w:p w14:paraId="567C3401"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9.017</w:t>
            </w:r>
          </w:p>
        </w:tc>
        <w:tc>
          <w:tcPr>
            <w:tcW w:w="742" w:type="pct"/>
            <w:tcBorders>
              <w:top w:val="nil"/>
              <w:left w:val="nil"/>
              <w:bottom w:val="single" w:sz="4" w:space="0" w:color="000000"/>
              <w:right w:val="single" w:sz="4" w:space="0" w:color="000000"/>
            </w:tcBorders>
            <w:shd w:val="clear" w:color="auto" w:fill="auto"/>
            <w:tcMar>
              <w:left w:w="70" w:type="dxa"/>
              <w:right w:w="70" w:type="dxa"/>
            </w:tcMar>
            <w:vAlign w:val="center"/>
          </w:tcPr>
          <w:p w14:paraId="75E3E8FF"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69.649</w:t>
            </w:r>
          </w:p>
        </w:tc>
        <w:tc>
          <w:tcPr>
            <w:tcW w:w="793" w:type="pct"/>
            <w:tcBorders>
              <w:top w:val="nil"/>
              <w:left w:val="nil"/>
              <w:bottom w:val="single" w:sz="4" w:space="0" w:color="000000"/>
              <w:right w:val="single" w:sz="4" w:space="0" w:color="000000"/>
            </w:tcBorders>
            <w:shd w:val="clear" w:color="auto" w:fill="auto"/>
            <w:tcMar>
              <w:left w:w="70" w:type="dxa"/>
              <w:right w:w="70" w:type="dxa"/>
            </w:tcMar>
            <w:vAlign w:val="center"/>
          </w:tcPr>
          <w:p w14:paraId="436E6849"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25.669</w:t>
            </w:r>
          </w:p>
        </w:tc>
        <w:tc>
          <w:tcPr>
            <w:tcW w:w="557" w:type="pct"/>
            <w:tcBorders>
              <w:top w:val="nil"/>
              <w:left w:val="nil"/>
              <w:bottom w:val="single" w:sz="4" w:space="0" w:color="000000"/>
              <w:right w:val="single" w:sz="4" w:space="0" w:color="000000"/>
            </w:tcBorders>
            <w:shd w:val="clear" w:color="auto" w:fill="auto"/>
            <w:tcMar>
              <w:left w:w="70" w:type="dxa"/>
              <w:right w:w="70" w:type="dxa"/>
            </w:tcMar>
            <w:vAlign w:val="center"/>
          </w:tcPr>
          <w:p w14:paraId="7DA396DA"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65.390</w:t>
            </w:r>
          </w:p>
        </w:tc>
        <w:tc>
          <w:tcPr>
            <w:tcW w:w="667" w:type="pct"/>
            <w:tcBorders>
              <w:top w:val="nil"/>
              <w:left w:val="nil"/>
              <w:bottom w:val="single" w:sz="4" w:space="0" w:color="000000"/>
              <w:right w:val="single" w:sz="4" w:space="0" w:color="000000"/>
            </w:tcBorders>
            <w:shd w:val="clear" w:color="auto" w:fill="auto"/>
            <w:tcMar>
              <w:left w:w="70" w:type="dxa"/>
              <w:right w:w="70" w:type="dxa"/>
            </w:tcMar>
            <w:vAlign w:val="center"/>
          </w:tcPr>
          <w:p w14:paraId="07DF1D57"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169.725</w:t>
            </w:r>
          </w:p>
        </w:tc>
      </w:tr>
      <w:tr w:rsidR="00064C79" w:rsidRPr="00B63C32" w14:paraId="340A4E89" w14:textId="77777777" w:rsidTr="003B547C">
        <w:trPr>
          <w:trHeight w:val="544"/>
          <w:jc w:val="center"/>
        </w:trPr>
        <w:tc>
          <w:tcPr>
            <w:tcW w:w="720" w:type="pct"/>
            <w:vMerge/>
            <w:tcBorders>
              <w:top w:val="nil"/>
              <w:left w:val="single" w:sz="4" w:space="0" w:color="000000"/>
              <w:bottom w:val="single" w:sz="4" w:space="0" w:color="000000"/>
              <w:right w:val="single" w:sz="4" w:space="0" w:color="000000"/>
            </w:tcBorders>
            <w:tcMar>
              <w:left w:w="70" w:type="dxa"/>
              <w:right w:w="70" w:type="dxa"/>
            </w:tcMar>
            <w:vAlign w:val="center"/>
          </w:tcPr>
          <w:p w14:paraId="4C73834E" w14:textId="77777777" w:rsidR="00064C79" w:rsidRPr="00B63C32" w:rsidRDefault="00064C79" w:rsidP="00064C79">
            <w:pPr>
              <w:spacing w:line="276" w:lineRule="auto"/>
              <w:jc w:val="center"/>
              <w:rPr>
                <w:rFonts w:ascii="Arial" w:eastAsia="Calibri" w:hAnsi="Arial" w:cs="Arial"/>
                <w:b/>
                <w:bCs/>
                <w:sz w:val="20"/>
                <w:szCs w:val="20"/>
                <w:lang w:val="es-EC" w:eastAsia="en-US"/>
              </w:rPr>
            </w:pPr>
          </w:p>
        </w:tc>
        <w:tc>
          <w:tcPr>
            <w:tcW w:w="816" w:type="pct"/>
            <w:vMerge/>
            <w:tcBorders>
              <w:top w:val="nil"/>
              <w:left w:val="single" w:sz="4" w:space="0" w:color="000000"/>
              <w:bottom w:val="single" w:sz="4" w:space="0" w:color="000000"/>
              <w:right w:val="single" w:sz="4" w:space="0" w:color="000000"/>
            </w:tcBorders>
            <w:tcMar>
              <w:left w:w="70" w:type="dxa"/>
              <w:right w:w="70" w:type="dxa"/>
            </w:tcMar>
            <w:vAlign w:val="center"/>
          </w:tcPr>
          <w:p w14:paraId="06811DBB" w14:textId="77777777" w:rsidR="00064C79" w:rsidRPr="00B63C32" w:rsidRDefault="00064C79" w:rsidP="00064C79">
            <w:pPr>
              <w:spacing w:line="276" w:lineRule="auto"/>
              <w:jc w:val="center"/>
              <w:rPr>
                <w:rFonts w:ascii="Arial" w:eastAsia="Calibri" w:hAnsi="Arial" w:cs="Arial"/>
                <w:b/>
                <w:bCs/>
                <w:sz w:val="20"/>
                <w:szCs w:val="20"/>
                <w:lang w:val="es-EC" w:eastAsia="en-US"/>
              </w:rPr>
            </w:pPr>
          </w:p>
        </w:tc>
        <w:tc>
          <w:tcPr>
            <w:tcW w:w="705" w:type="pct"/>
            <w:tcBorders>
              <w:top w:val="nil"/>
              <w:left w:val="nil"/>
              <w:bottom w:val="single" w:sz="4" w:space="0" w:color="000000"/>
              <w:right w:val="single" w:sz="4" w:space="0" w:color="000000"/>
            </w:tcBorders>
            <w:shd w:val="clear" w:color="auto" w:fill="auto"/>
            <w:tcMar>
              <w:left w:w="70" w:type="dxa"/>
              <w:right w:w="70" w:type="dxa"/>
            </w:tcMar>
            <w:vAlign w:val="center"/>
          </w:tcPr>
          <w:p w14:paraId="225E52F8"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5,31%</w:t>
            </w:r>
          </w:p>
        </w:tc>
        <w:tc>
          <w:tcPr>
            <w:tcW w:w="742" w:type="pct"/>
            <w:tcBorders>
              <w:top w:val="nil"/>
              <w:left w:val="nil"/>
              <w:bottom w:val="single" w:sz="4" w:space="0" w:color="000000"/>
              <w:right w:val="single" w:sz="4" w:space="0" w:color="000000"/>
            </w:tcBorders>
            <w:shd w:val="clear" w:color="auto" w:fill="auto"/>
            <w:tcMar>
              <w:left w:w="70" w:type="dxa"/>
              <w:right w:w="70" w:type="dxa"/>
            </w:tcMar>
            <w:vAlign w:val="center"/>
          </w:tcPr>
          <w:p w14:paraId="17A1CB3D"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41,04%</w:t>
            </w:r>
          </w:p>
        </w:tc>
        <w:tc>
          <w:tcPr>
            <w:tcW w:w="793" w:type="pct"/>
            <w:tcBorders>
              <w:top w:val="nil"/>
              <w:left w:val="nil"/>
              <w:bottom w:val="single" w:sz="4" w:space="0" w:color="000000"/>
              <w:right w:val="single" w:sz="4" w:space="0" w:color="000000"/>
            </w:tcBorders>
            <w:shd w:val="clear" w:color="auto" w:fill="auto"/>
            <w:tcMar>
              <w:left w:w="70" w:type="dxa"/>
              <w:right w:w="70" w:type="dxa"/>
            </w:tcMar>
            <w:vAlign w:val="center"/>
          </w:tcPr>
          <w:p w14:paraId="34FEA027"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15,12%</w:t>
            </w:r>
          </w:p>
        </w:tc>
        <w:tc>
          <w:tcPr>
            <w:tcW w:w="557" w:type="pct"/>
            <w:tcBorders>
              <w:top w:val="nil"/>
              <w:left w:val="nil"/>
              <w:bottom w:val="single" w:sz="4" w:space="0" w:color="000000"/>
              <w:right w:val="single" w:sz="4" w:space="0" w:color="000000"/>
            </w:tcBorders>
            <w:shd w:val="clear" w:color="auto" w:fill="auto"/>
            <w:tcMar>
              <w:left w:w="70" w:type="dxa"/>
              <w:right w:w="70" w:type="dxa"/>
            </w:tcMar>
            <w:vAlign w:val="center"/>
          </w:tcPr>
          <w:p w14:paraId="2752CC77"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38,53%</w:t>
            </w:r>
          </w:p>
        </w:tc>
        <w:tc>
          <w:tcPr>
            <w:tcW w:w="667" w:type="pct"/>
            <w:tcBorders>
              <w:top w:val="nil"/>
              <w:left w:val="nil"/>
              <w:bottom w:val="single" w:sz="4" w:space="0" w:color="000000"/>
              <w:right w:val="single" w:sz="4" w:space="0" w:color="000000"/>
            </w:tcBorders>
            <w:shd w:val="clear" w:color="auto" w:fill="auto"/>
            <w:tcMar>
              <w:left w:w="70" w:type="dxa"/>
              <w:right w:w="70" w:type="dxa"/>
            </w:tcMar>
            <w:vAlign w:val="center"/>
          </w:tcPr>
          <w:p w14:paraId="2E7AB1F8"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100,00%</w:t>
            </w:r>
          </w:p>
        </w:tc>
      </w:tr>
      <w:tr w:rsidR="00064C79" w:rsidRPr="00B63C32" w14:paraId="2A52B437" w14:textId="77777777" w:rsidTr="003B547C">
        <w:trPr>
          <w:trHeight w:val="544"/>
          <w:jc w:val="center"/>
        </w:trPr>
        <w:tc>
          <w:tcPr>
            <w:tcW w:w="15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A73B6A3" w14:textId="77777777" w:rsidR="00064C79" w:rsidRPr="00B63C32" w:rsidRDefault="00064C79" w:rsidP="00064C79">
            <w:pPr>
              <w:spacing w:line="276" w:lineRule="auto"/>
              <w:jc w:val="center"/>
              <w:rPr>
                <w:rFonts w:ascii="Arial" w:hAnsi="Arial" w:cs="Arial"/>
                <w:b/>
                <w:bCs/>
                <w:sz w:val="20"/>
                <w:szCs w:val="20"/>
                <w:lang w:val="es-EC" w:eastAsia="es-EC"/>
              </w:rPr>
            </w:pPr>
            <w:r w:rsidRPr="00B63C32">
              <w:rPr>
                <w:rFonts w:ascii="Arial" w:hAnsi="Arial" w:cs="Arial"/>
                <w:b/>
                <w:bCs/>
                <w:sz w:val="20"/>
                <w:szCs w:val="20"/>
                <w:lang w:val="es-EC" w:eastAsia="es-EC"/>
              </w:rPr>
              <w:t>Total</w:t>
            </w:r>
          </w:p>
        </w:tc>
        <w:tc>
          <w:tcPr>
            <w:tcW w:w="705" w:type="pct"/>
            <w:tcBorders>
              <w:top w:val="nil"/>
              <w:left w:val="nil"/>
              <w:bottom w:val="single" w:sz="4" w:space="0" w:color="000000"/>
              <w:right w:val="single" w:sz="4" w:space="0" w:color="000000"/>
            </w:tcBorders>
            <w:shd w:val="clear" w:color="auto" w:fill="auto"/>
            <w:tcMar>
              <w:left w:w="70" w:type="dxa"/>
              <w:right w:w="70" w:type="dxa"/>
            </w:tcMar>
            <w:vAlign w:val="center"/>
          </w:tcPr>
          <w:p w14:paraId="14324F07"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213.552</w:t>
            </w:r>
          </w:p>
        </w:tc>
        <w:tc>
          <w:tcPr>
            <w:tcW w:w="742" w:type="pct"/>
            <w:tcBorders>
              <w:top w:val="nil"/>
              <w:left w:val="nil"/>
              <w:bottom w:val="single" w:sz="4" w:space="0" w:color="000000"/>
              <w:right w:val="single" w:sz="4" w:space="0" w:color="000000"/>
            </w:tcBorders>
            <w:shd w:val="clear" w:color="auto" w:fill="auto"/>
            <w:tcMar>
              <w:left w:w="70" w:type="dxa"/>
              <w:right w:w="70" w:type="dxa"/>
            </w:tcMar>
            <w:vAlign w:val="center"/>
          </w:tcPr>
          <w:p w14:paraId="690E81C7"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230.718</w:t>
            </w:r>
          </w:p>
        </w:tc>
        <w:tc>
          <w:tcPr>
            <w:tcW w:w="793" w:type="pct"/>
            <w:tcBorders>
              <w:top w:val="nil"/>
              <w:left w:val="nil"/>
              <w:bottom w:val="single" w:sz="4" w:space="0" w:color="000000"/>
              <w:right w:val="single" w:sz="4" w:space="0" w:color="000000"/>
            </w:tcBorders>
            <w:shd w:val="clear" w:color="auto" w:fill="auto"/>
            <w:tcMar>
              <w:left w:w="70" w:type="dxa"/>
              <w:right w:w="70" w:type="dxa"/>
            </w:tcMar>
            <w:vAlign w:val="center"/>
          </w:tcPr>
          <w:p w14:paraId="6C959F02"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121.833</w:t>
            </w:r>
          </w:p>
        </w:tc>
        <w:tc>
          <w:tcPr>
            <w:tcW w:w="557" w:type="pct"/>
            <w:tcBorders>
              <w:top w:val="nil"/>
              <w:left w:val="nil"/>
              <w:bottom w:val="single" w:sz="4" w:space="0" w:color="000000"/>
              <w:right w:val="single" w:sz="4" w:space="0" w:color="000000"/>
            </w:tcBorders>
            <w:shd w:val="clear" w:color="auto" w:fill="auto"/>
            <w:tcMar>
              <w:left w:w="70" w:type="dxa"/>
              <w:right w:w="70" w:type="dxa"/>
            </w:tcMar>
            <w:vAlign w:val="center"/>
          </w:tcPr>
          <w:p w14:paraId="43020943"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708.037</w:t>
            </w:r>
          </w:p>
        </w:tc>
        <w:tc>
          <w:tcPr>
            <w:tcW w:w="667" w:type="pct"/>
            <w:tcBorders>
              <w:top w:val="nil"/>
              <w:left w:val="nil"/>
              <w:bottom w:val="single" w:sz="4" w:space="0" w:color="000000"/>
              <w:right w:val="single" w:sz="4" w:space="0" w:color="000000"/>
            </w:tcBorders>
            <w:shd w:val="clear" w:color="auto" w:fill="auto"/>
            <w:tcMar>
              <w:left w:w="70" w:type="dxa"/>
              <w:right w:w="70" w:type="dxa"/>
            </w:tcMar>
            <w:vAlign w:val="center"/>
          </w:tcPr>
          <w:p w14:paraId="402A1ACB"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1.274.140</w:t>
            </w:r>
          </w:p>
        </w:tc>
      </w:tr>
      <w:tr w:rsidR="00064C79" w:rsidRPr="00B63C32" w14:paraId="789F212B" w14:textId="77777777" w:rsidTr="003B547C">
        <w:trPr>
          <w:trHeight w:val="544"/>
          <w:jc w:val="center"/>
        </w:trPr>
        <w:tc>
          <w:tcPr>
            <w:tcW w:w="1536"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1D86CFC" w14:textId="77777777" w:rsidR="00064C79" w:rsidRPr="00B63C32" w:rsidRDefault="00064C79" w:rsidP="00064C79">
            <w:pPr>
              <w:spacing w:line="276" w:lineRule="auto"/>
              <w:jc w:val="center"/>
              <w:rPr>
                <w:rFonts w:ascii="Arial" w:eastAsia="Calibri" w:hAnsi="Arial" w:cs="Arial"/>
                <w:sz w:val="20"/>
                <w:szCs w:val="20"/>
                <w:lang w:val="es-EC" w:eastAsia="en-US"/>
              </w:rPr>
            </w:pPr>
          </w:p>
        </w:tc>
        <w:tc>
          <w:tcPr>
            <w:tcW w:w="705" w:type="pct"/>
            <w:tcBorders>
              <w:top w:val="nil"/>
              <w:left w:val="nil"/>
              <w:bottom w:val="single" w:sz="4" w:space="0" w:color="000000"/>
              <w:right w:val="single" w:sz="4" w:space="0" w:color="000000"/>
            </w:tcBorders>
            <w:shd w:val="clear" w:color="auto" w:fill="auto"/>
            <w:tcMar>
              <w:left w:w="70" w:type="dxa"/>
              <w:right w:w="70" w:type="dxa"/>
            </w:tcMar>
            <w:vAlign w:val="center"/>
          </w:tcPr>
          <w:p w14:paraId="26D9D292"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16,76%</w:t>
            </w:r>
          </w:p>
        </w:tc>
        <w:tc>
          <w:tcPr>
            <w:tcW w:w="742" w:type="pct"/>
            <w:tcBorders>
              <w:top w:val="nil"/>
              <w:left w:val="nil"/>
              <w:bottom w:val="single" w:sz="4" w:space="0" w:color="000000"/>
              <w:right w:val="single" w:sz="4" w:space="0" w:color="000000"/>
            </w:tcBorders>
            <w:shd w:val="clear" w:color="auto" w:fill="auto"/>
            <w:tcMar>
              <w:left w:w="70" w:type="dxa"/>
              <w:right w:w="70" w:type="dxa"/>
            </w:tcMar>
            <w:vAlign w:val="center"/>
          </w:tcPr>
          <w:p w14:paraId="0D6FE869"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18,11%</w:t>
            </w:r>
          </w:p>
        </w:tc>
        <w:tc>
          <w:tcPr>
            <w:tcW w:w="793" w:type="pct"/>
            <w:tcBorders>
              <w:top w:val="nil"/>
              <w:left w:val="nil"/>
              <w:bottom w:val="single" w:sz="4" w:space="0" w:color="000000"/>
              <w:right w:val="single" w:sz="4" w:space="0" w:color="000000"/>
            </w:tcBorders>
            <w:shd w:val="clear" w:color="auto" w:fill="auto"/>
            <w:tcMar>
              <w:left w:w="70" w:type="dxa"/>
              <w:right w:w="70" w:type="dxa"/>
            </w:tcMar>
            <w:vAlign w:val="center"/>
          </w:tcPr>
          <w:p w14:paraId="1933AE8F"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9,56%</w:t>
            </w:r>
          </w:p>
        </w:tc>
        <w:tc>
          <w:tcPr>
            <w:tcW w:w="557" w:type="pct"/>
            <w:tcBorders>
              <w:top w:val="nil"/>
              <w:left w:val="nil"/>
              <w:bottom w:val="single" w:sz="4" w:space="0" w:color="000000"/>
              <w:right w:val="single" w:sz="4" w:space="0" w:color="000000"/>
            </w:tcBorders>
            <w:shd w:val="clear" w:color="auto" w:fill="auto"/>
            <w:tcMar>
              <w:left w:w="70" w:type="dxa"/>
              <w:right w:w="70" w:type="dxa"/>
            </w:tcMar>
            <w:vAlign w:val="center"/>
          </w:tcPr>
          <w:p w14:paraId="6EBC5014"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55,57%</w:t>
            </w:r>
          </w:p>
        </w:tc>
        <w:tc>
          <w:tcPr>
            <w:tcW w:w="667" w:type="pct"/>
            <w:tcBorders>
              <w:top w:val="nil"/>
              <w:left w:val="nil"/>
              <w:bottom w:val="single" w:sz="4" w:space="0" w:color="000000"/>
              <w:right w:val="single" w:sz="4" w:space="0" w:color="000000"/>
            </w:tcBorders>
            <w:shd w:val="clear" w:color="auto" w:fill="auto"/>
            <w:tcMar>
              <w:left w:w="70" w:type="dxa"/>
              <w:right w:w="70" w:type="dxa"/>
            </w:tcMar>
            <w:vAlign w:val="center"/>
          </w:tcPr>
          <w:p w14:paraId="49590EF1" w14:textId="77777777" w:rsidR="00064C79" w:rsidRPr="00B63C32" w:rsidRDefault="00064C79" w:rsidP="00064C79">
            <w:pPr>
              <w:spacing w:line="276" w:lineRule="auto"/>
              <w:jc w:val="center"/>
              <w:rPr>
                <w:rFonts w:ascii="Arial" w:hAnsi="Arial" w:cs="Arial"/>
                <w:sz w:val="20"/>
                <w:szCs w:val="20"/>
                <w:lang w:val="es-EC" w:eastAsia="es-EC"/>
              </w:rPr>
            </w:pPr>
            <w:r w:rsidRPr="00B63C32">
              <w:rPr>
                <w:rFonts w:ascii="Arial" w:hAnsi="Arial" w:cs="Arial"/>
                <w:sz w:val="20"/>
                <w:szCs w:val="20"/>
                <w:lang w:val="es-EC" w:eastAsia="es-EC"/>
              </w:rPr>
              <w:t>100,00%</w:t>
            </w:r>
          </w:p>
        </w:tc>
      </w:tr>
    </w:tbl>
    <w:p w14:paraId="0BC864DD" w14:textId="77777777" w:rsidR="00064C79" w:rsidRPr="00B63C32" w:rsidRDefault="00064C79" w:rsidP="00064C79">
      <w:pPr>
        <w:spacing w:line="360" w:lineRule="auto"/>
        <w:jc w:val="both"/>
        <w:rPr>
          <w:rFonts w:ascii="Arial" w:eastAsia="Calibri" w:hAnsi="Arial" w:cs="Arial"/>
          <w:spacing w:val="-1"/>
          <w:sz w:val="20"/>
          <w:szCs w:val="20"/>
          <w:lang w:val="es-EC" w:eastAsia="en-US"/>
        </w:rPr>
      </w:pPr>
      <w:r w:rsidRPr="00B63C32">
        <w:rPr>
          <w:rFonts w:ascii="Arial" w:eastAsia="Calibri" w:hAnsi="Arial" w:cs="Arial"/>
          <w:iCs/>
          <w:spacing w:val="-1"/>
          <w:sz w:val="20"/>
          <w:szCs w:val="20"/>
          <w:lang w:val="es-EC" w:eastAsia="en-US"/>
        </w:rPr>
        <w:t>Nota</w:t>
      </w:r>
      <w:r w:rsidRPr="00B63C32">
        <w:rPr>
          <w:rFonts w:ascii="Arial" w:eastAsia="Calibri" w:hAnsi="Arial" w:cs="Arial"/>
          <w:spacing w:val="-1"/>
          <w:sz w:val="20"/>
          <w:szCs w:val="20"/>
          <w:lang w:val="es-EC" w:eastAsia="en-US"/>
        </w:rPr>
        <w:t>. Elaboración propia con base en el INEC, 2023.</w:t>
      </w:r>
    </w:p>
    <w:p w14:paraId="21D217AD" w14:textId="77777777" w:rsidR="00064C79" w:rsidRPr="00064C79" w:rsidRDefault="00064C79" w:rsidP="00064C79">
      <w:pPr>
        <w:spacing w:line="360" w:lineRule="auto"/>
        <w:jc w:val="both"/>
        <w:rPr>
          <w:rFonts w:ascii="Arial" w:eastAsia="Calibri" w:hAnsi="Arial" w:cs="Arial"/>
          <w:lang w:val="es-EC" w:eastAsia="en-US"/>
        </w:rPr>
      </w:pPr>
    </w:p>
    <w:p w14:paraId="13E313D4" w14:textId="77777777" w:rsidR="00064C79" w:rsidRPr="00064C79" w:rsidRDefault="00064C79" w:rsidP="00CB794D">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lastRenderedPageBreak/>
        <w:t>El 0,63% de las personas con estudios de posgrado se encuentra en situación de pobreza, mientras que, en el nivel superior universitario, este porcentaje es del 4,86%. Esto refleja una menor proporción de graduados de posgrado que vive en condiciones de pobreza en comparación con quienes tienen solo educación superior universitaria (tabla de contingencia 14).</w:t>
      </w:r>
    </w:p>
    <w:p w14:paraId="4DD86E86" w14:textId="772D3DE1" w:rsidR="00064C79" w:rsidRPr="00CB794D" w:rsidRDefault="00064C79" w:rsidP="00CB794D">
      <w:pPr>
        <w:spacing w:after="100" w:afterAutospacing="1"/>
        <w:jc w:val="center"/>
        <w:rPr>
          <w:rFonts w:ascii="Arial" w:eastAsia="Calibri" w:hAnsi="Arial" w:cs="Arial"/>
          <w:b/>
          <w:iCs/>
          <w:sz w:val="20"/>
          <w:szCs w:val="20"/>
          <w:lang w:val="es-EC" w:eastAsia="en-US"/>
        </w:rPr>
      </w:pPr>
      <w:r w:rsidRPr="00CB794D">
        <w:rPr>
          <w:rFonts w:ascii="Arial" w:eastAsia="Calibri" w:hAnsi="Arial" w:cs="Arial"/>
          <w:b/>
          <w:bCs/>
          <w:sz w:val="20"/>
          <w:szCs w:val="20"/>
          <w:lang w:val="es-EC" w:eastAsia="en-US"/>
        </w:rPr>
        <w:t>Tabla de contingencia 14</w:t>
      </w:r>
      <w:r w:rsidR="00CB794D" w:rsidRPr="00CB794D">
        <w:rPr>
          <w:rFonts w:ascii="Arial" w:eastAsia="Calibri" w:hAnsi="Arial" w:cs="Arial"/>
          <w:b/>
          <w:bCs/>
          <w:sz w:val="20"/>
          <w:szCs w:val="20"/>
          <w:lang w:val="es-EC" w:eastAsia="en-US"/>
        </w:rPr>
        <w:t xml:space="preserve">. </w:t>
      </w:r>
      <w:r w:rsidRPr="00CB794D">
        <w:rPr>
          <w:rFonts w:ascii="Arial" w:eastAsia="Calibri" w:hAnsi="Arial" w:cs="Arial"/>
          <w:b/>
          <w:iCs/>
          <w:sz w:val="20"/>
          <w:szCs w:val="20"/>
          <w:lang w:val="es-EC" w:eastAsia="en-US"/>
        </w:rPr>
        <w:t>Nivel de instrucción - Pobreza</w:t>
      </w:r>
    </w:p>
    <w:tbl>
      <w:tblPr>
        <w:tblW w:w="4963" w:type="pct"/>
        <w:jc w:val="center"/>
        <w:tblLook w:val="04A0" w:firstRow="1" w:lastRow="0" w:firstColumn="1" w:lastColumn="0" w:noHBand="0" w:noVBand="1"/>
      </w:tblPr>
      <w:tblGrid>
        <w:gridCol w:w="1821"/>
        <w:gridCol w:w="2091"/>
        <w:gridCol w:w="1710"/>
        <w:gridCol w:w="1384"/>
        <w:gridCol w:w="1708"/>
      </w:tblGrid>
      <w:tr w:rsidR="00064C79" w:rsidRPr="00CB794D" w14:paraId="5CA36112" w14:textId="77777777" w:rsidTr="00CB794D">
        <w:trPr>
          <w:trHeight w:val="728"/>
          <w:jc w:val="center"/>
        </w:trPr>
        <w:tc>
          <w:tcPr>
            <w:tcW w:w="224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314FC20" w14:textId="77777777" w:rsidR="00064C79" w:rsidRPr="00CB794D" w:rsidRDefault="00064C79" w:rsidP="00064C79">
            <w:pPr>
              <w:spacing w:line="276" w:lineRule="auto"/>
              <w:jc w:val="center"/>
              <w:rPr>
                <w:rFonts w:ascii="Arial" w:hAnsi="Arial" w:cs="Arial"/>
                <w:sz w:val="20"/>
                <w:szCs w:val="20"/>
                <w:lang w:val="es-EC" w:eastAsia="es-EC"/>
              </w:rPr>
            </w:pPr>
          </w:p>
        </w:tc>
        <w:tc>
          <w:tcPr>
            <w:tcW w:w="1775" w:type="pct"/>
            <w:gridSpan w:val="2"/>
            <w:tcBorders>
              <w:top w:val="single" w:sz="4" w:space="0" w:color="000000"/>
              <w:left w:val="nil"/>
              <w:bottom w:val="single" w:sz="4" w:space="0" w:color="000000"/>
              <w:right w:val="single" w:sz="4" w:space="0" w:color="000000"/>
            </w:tcBorders>
            <w:shd w:val="clear" w:color="auto" w:fill="auto"/>
            <w:tcMar>
              <w:left w:w="70" w:type="dxa"/>
              <w:right w:w="70" w:type="dxa"/>
            </w:tcMar>
            <w:vAlign w:val="center"/>
          </w:tcPr>
          <w:p w14:paraId="57190B40" w14:textId="77777777" w:rsidR="00064C79" w:rsidRPr="00CB794D" w:rsidRDefault="00064C79" w:rsidP="00064C79">
            <w:pPr>
              <w:spacing w:line="276" w:lineRule="auto"/>
              <w:jc w:val="center"/>
              <w:rPr>
                <w:rFonts w:ascii="Arial" w:hAnsi="Arial" w:cs="Arial"/>
                <w:b/>
                <w:bCs/>
                <w:sz w:val="20"/>
                <w:szCs w:val="20"/>
                <w:lang w:val="es-EC" w:eastAsia="es-EC"/>
              </w:rPr>
            </w:pPr>
            <w:r w:rsidRPr="00CB794D">
              <w:rPr>
                <w:rFonts w:ascii="Arial" w:hAnsi="Arial" w:cs="Arial"/>
                <w:b/>
                <w:bCs/>
                <w:sz w:val="20"/>
                <w:szCs w:val="20"/>
                <w:lang w:val="es-EC" w:eastAsia="es-EC"/>
              </w:rPr>
              <w:t>Pobreza</w:t>
            </w:r>
          </w:p>
        </w:tc>
        <w:tc>
          <w:tcPr>
            <w:tcW w:w="981" w:type="pct"/>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6D175DC" w14:textId="77777777" w:rsidR="00064C79" w:rsidRPr="00CB794D" w:rsidRDefault="00064C79" w:rsidP="00064C79">
            <w:pPr>
              <w:spacing w:line="276" w:lineRule="auto"/>
              <w:jc w:val="center"/>
              <w:rPr>
                <w:rFonts w:ascii="Arial" w:hAnsi="Arial" w:cs="Arial"/>
                <w:b/>
                <w:bCs/>
                <w:sz w:val="20"/>
                <w:szCs w:val="20"/>
                <w:lang w:val="es-EC" w:eastAsia="es-EC"/>
              </w:rPr>
            </w:pPr>
            <w:r w:rsidRPr="00CB794D">
              <w:rPr>
                <w:rFonts w:ascii="Arial" w:hAnsi="Arial" w:cs="Arial"/>
                <w:b/>
                <w:bCs/>
                <w:sz w:val="20"/>
                <w:szCs w:val="20"/>
                <w:lang w:val="es-EC" w:eastAsia="es-EC"/>
              </w:rPr>
              <w:t>Total</w:t>
            </w:r>
          </w:p>
        </w:tc>
      </w:tr>
      <w:tr w:rsidR="00064C79" w:rsidRPr="00CB794D" w14:paraId="69E0D9C5" w14:textId="77777777" w:rsidTr="00CB794D">
        <w:trPr>
          <w:trHeight w:val="728"/>
          <w:jc w:val="center"/>
        </w:trPr>
        <w:tc>
          <w:tcPr>
            <w:tcW w:w="2245"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2CFDBF7" w14:textId="77777777" w:rsidR="00064C79" w:rsidRPr="00CB794D" w:rsidRDefault="00064C79" w:rsidP="00064C79">
            <w:pPr>
              <w:spacing w:line="276" w:lineRule="auto"/>
              <w:jc w:val="center"/>
              <w:rPr>
                <w:rFonts w:ascii="Arial" w:eastAsia="Calibri" w:hAnsi="Arial" w:cs="Arial"/>
                <w:sz w:val="20"/>
                <w:szCs w:val="20"/>
                <w:lang w:val="es-EC" w:eastAsia="en-US"/>
              </w:rPr>
            </w:pPr>
          </w:p>
        </w:tc>
        <w:tc>
          <w:tcPr>
            <w:tcW w:w="981" w:type="pct"/>
            <w:tcBorders>
              <w:top w:val="nil"/>
              <w:left w:val="nil"/>
              <w:bottom w:val="single" w:sz="4" w:space="0" w:color="000000"/>
              <w:right w:val="single" w:sz="4" w:space="0" w:color="000000"/>
            </w:tcBorders>
            <w:shd w:val="clear" w:color="auto" w:fill="auto"/>
            <w:tcMar>
              <w:left w:w="70" w:type="dxa"/>
              <w:right w:w="70" w:type="dxa"/>
            </w:tcMar>
            <w:vAlign w:val="center"/>
          </w:tcPr>
          <w:p w14:paraId="7B363FD6" w14:textId="77777777" w:rsidR="00064C79" w:rsidRPr="00CB794D" w:rsidRDefault="00064C79" w:rsidP="00064C79">
            <w:pPr>
              <w:spacing w:line="276" w:lineRule="auto"/>
              <w:jc w:val="center"/>
              <w:rPr>
                <w:rFonts w:ascii="Arial" w:hAnsi="Arial" w:cs="Arial"/>
                <w:b/>
                <w:bCs/>
                <w:sz w:val="20"/>
                <w:szCs w:val="20"/>
                <w:lang w:val="es-EC" w:eastAsia="es-EC"/>
              </w:rPr>
            </w:pPr>
            <w:r w:rsidRPr="00CB794D">
              <w:rPr>
                <w:rFonts w:ascii="Arial" w:hAnsi="Arial" w:cs="Arial"/>
                <w:b/>
                <w:bCs/>
                <w:sz w:val="20"/>
                <w:szCs w:val="20"/>
                <w:lang w:val="es-EC" w:eastAsia="es-EC"/>
              </w:rPr>
              <w:t>No pobre</w:t>
            </w:r>
          </w:p>
        </w:tc>
        <w:tc>
          <w:tcPr>
            <w:tcW w:w="794" w:type="pct"/>
            <w:tcBorders>
              <w:top w:val="nil"/>
              <w:left w:val="nil"/>
              <w:bottom w:val="single" w:sz="4" w:space="0" w:color="000000"/>
              <w:right w:val="single" w:sz="4" w:space="0" w:color="000000"/>
            </w:tcBorders>
            <w:shd w:val="clear" w:color="auto" w:fill="auto"/>
            <w:tcMar>
              <w:left w:w="70" w:type="dxa"/>
              <w:right w:w="70" w:type="dxa"/>
            </w:tcMar>
            <w:vAlign w:val="center"/>
          </w:tcPr>
          <w:p w14:paraId="6B3BDBEB" w14:textId="77777777" w:rsidR="00064C79" w:rsidRPr="00CB794D" w:rsidRDefault="00064C79" w:rsidP="00064C79">
            <w:pPr>
              <w:spacing w:line="276" w:lineRule="auto"/>
              <w:jc w:val="center"/>
              <w:rPr>
                <w:rFonts w:ascii="Arial" w:hAnsi="Arial" w:cs="Arial"/>
                <w:b/>
                <w:bCs/>
                <w:sz w:val="20"/>
                <w:szCs w:val="20"/>
                <w:lang w:val="es-EC" w:eastAsia="es-EC"/>
              </w:rPr>
            </w:pPr>
            <w:r w:rsidRPr="00CB794D">
              <w:rPr>
                <w:rFonts w:ascii="Arial" w:hAnsi="Arial" w:cs="Arial"/>
                <w:b/>
                <w:bCs/>
                <w:sz w:val="20"/>
                <w:szCs w:val="20"/>
                <w:lang w:val="es-EC" w:eastAsia="es-EC"/>
              </w:rPr>
              <w:t>Pobre</w:t>
            </w:r>
          </w:p>
        </w:tc>
        <w:tc>
          <w:tcPr>
            <w:tcW w:w="981" w:type="pct"/>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270BBC8" w14:textId="77777777" w:rsidR="00064C79" w:rsidRPr="00CB794D" w:rsidRDefault="00064C79" w:rsidP="00064C79">
            <w:pPr>
              <w:spacing w:line="276" w:lineRule="auto"/>
              <w:jc w:val="center"/>
              <w:rPr>
                <w:rFonts w:ascii="Arial" w:eastAsia="Calibri" w:hAnsi="Arial" w:cs="Arial"/>
                <w:sz w:val="20"/>
                <w:szCs w:val="20"/>
                <w:lang w:val="es-EC" w:eastAsia="en-US"/>
              </w:rPr>
            </w:pPr>
          </w:p>
        </w:tc>
      </w:tr>
      <w:tr w:rsidR="00064C79" w:rsidRPr="00CB794D" w14:paraId="703A3300" w14:textId="77777777" w:rsidTr="00CB794D">
        <w:trPr>
          <w:trHeight w:val="728"/>
          <w:jc w:val="center"/>
        </w:trPr>
        <w:tc>
          <w:tcPr>
            <w:tcW w:w="1045"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720F4CFB" w14:textId="77777777" w:rsidR="00064C79" w:rsidRPr="00CB794D" w:rsidRDefault="00064C79" w:rsidP="00064C79">
            <w:pPr>
              <w:spacing w:line="276" w:lineRule="auto"/>
              <w:jc w:val="center"/>
              <w:rPr>
                <w:rFonts w:ascii="Arial" w:hAnsi="Arial" w:cs="Arial"/>
                <w:b/>
                <w:bCs/>
                <w:sz w:val="20"/>
                <w:szCs w:val="20"/>
                <w:lang w:val="es-EC" w:eastAsia="es-EC"/>
              </w:rPr>
            </w:pPr>
            <w:r w:rsidRPr="00CB794D">
              <w:rPr>
                <w:rFonts w:ascii="Arial" w:hAnsi="Arial" w:cs="Arial"/>
                <w:b/>
                <w:bCs/>
                <w:sz w:val="20"/>
                <w:szCs w:val="20"/>
                <w:lang w:val="es-EC" w:eastAsia="es-EC"/>
              </w:rPr>
              <w:t>Nivel de instrucción</w:t>
            </w:r>
          </w:p>
        </w:tc>
        <w:tc>
          <w:tcPr>
            <w:tcW w:w="1199"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50092109" w14:textId="77777777" w:rsidR="00064C79" w:rsidRPr="00CB794D" w:rsidRDefault="00064C79" w:rsidP="00064C79">
            <w:pPr>
              <w:spacing w:line="276" w:lineRule="auto"/>
              <w:jc w:val="center"/>
              <w:rPr>
                <w:rFonts w:ascii="Arial" w:hAnsi="Arial" w:cs="Arial"/>
                <w:b/>
                <w:bCs/>
                <w:sz w:val="20"/>
                <w:szCs w:val="20"/>
                <w:lang w:val="es-EC" w:eastAsia="es-EC"/>
              </w:rPr>
            </w:pPr>
            <w:r w:rsidRPr="00CB794D">
              <w:rPr>
                <w:rFonts w:ascii="Arial" w:hAnsi="Arial" w:cs="Arial"/>
                <w:b/>
                <w:bCs/>
                <w:sz w:val="20"/>
                <w:szCs w:val="20"/>
                <w:lang w:val="es-EC" w:eastAsia="es-EC"/>
              </w:rPr>
              <w:t>Superior Universitario</w:t>
            </w:r>
          </w:p>
        </w:tc>
        <w:tc>
          <w:tcPr>
            <w:tcW w:w="981" w:type="pct"/>
            <w:tcBorders>
              <w:top w:val="nil"/>
              <w:left w:val="nil"/>
              <w:bottom w:val="single" w:sz="4" w:space="0" w:color="000000"/>
              <w:right w:val="single" w:sz="4" w:space="0" w:color="000000"/>
            </w:tcBorders>
            <w:shd w:val="clear" w:color="auto" w:fill="auto"/>
            <w:tcMar>
              <w:left w:w="70" w:type="dxa"/>
              <w:right w:w="70" w:type="dxa"/>
            </w:tcMar>
            <w:vAlign w:val="center"/>
          </w:tcPr>
          <w:p w14:paraId="094526D2"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1.324.056</w:t>
            </w:r>
          </w:p>
        </w:tc>
        <w:tc>
          <w:tcPr>
            <w:tcW w:w="794" w:type="pct"/>
            <w:tcBorders>
              <w:top w:val="nil"/>
              <w:left w:val="nil"/>
              <w:bottom w:val="single" w:sz="4" w:space="0" w:color="000000"/>
              <w:right w:val="single" w:sz="4" w:space="0" w:color="000000"/>
            </w:tcBorders>
            <w:shd w:val="clear" w:color="auto" w:fill="auto"/>
            <w:tcMar>
              <w:left w:w="70" w:type="dxa"/>
              <w:right w:w="70" w:type="dxa"/>
            </w:tcMar>
            <w:vAlign w:val="center"/>
          </w:tcPr>
          <w:p w14:paraId="3CEF03E1"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67.691</w:t>
            </w:r>
          </w:p>
        </w:tc>
        <w:tc>
          <w:tcPr>
            <w:tcW w:w="981" w:type="pct"/>
            <w:tcBorders>
              <w:top w:val="nil"/>
              <w:left w:val="nil"/>
              <w:bottom w:val="single" w:sz="4" w:space="0" w:color="000000"/>
              <w:right w:val="single" w:sz="4" w:space="0" w:color="000000"/>
            </w:tcBorders>
            <w:shd w:val="clear" w:color="auto" w:fill="auto"/>
            <w:tcMar>
              <w:left w:w="70" w:type="dxa"/>
              <w:right w:w="70" w:type="dxa"/>
            </w:tcMar>
            <w:vAlign w:val="center"/>
          </w:tcPr>
          <w:p w14:paraId="3874B46B"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1.391.747</w:t>
            </w:r>
          </w:p>
        </w:tc>
      </w:tr>
      <w:tr w:rsidR="00064C79" w:rsidRPr="00CB794D" w14:paraId="3064F26B" w14:textId="77777777" w:rsidTr="00CB794D">
        <w:trPr>
          <w:trHeight w:val="728"/>
          <w:jc w:val="center"/>
        </w:trPr>
        <w:tc>
          <w:tcPr>
            <w:tcW w:w="1045" w:type="pct"/>
            <w:vMerge/>
            <w:tcBorders>
              <w:top w:val="nil"/>
              <w:left w:val="single" w:sz="4" w:space="0" w:color="000000"/>
              <w:bottom w:val="single" w:sz="4" w:space="0" w:color="000000"/>
              <w:right w:val="single" w:sz="4" w:space="0" w:color="000000"/>
            </w:tcBorders>
            <w:tcMar>
              <w:left w:w="70" w:type="dxa"/>
              <w:right w:w="70" w:type="dxa"/>
            </w:tcMar>
            <w:vAlign w:val="center"/>
          </w:tcPr>
          <w:p w14:paraId="03C387CE" w14:textId="77777777" w:rsidR="00064C79" w:rsidRPr="00CB794D" w:rsidRDefault="00064C79" w:rsidP="00064C79">
            <w:pPr>
              <w:spacing w:line="276" w:lineRule="auto"/>
              <w:jc w:val="center"/>
              <w:rPr>
                <w:rFonts w:ascii="Arial" w:eastAsia="Calibri" w:hAnsi="Arial" w:cs="Arial"/>
                <w:b/>
                <w:bCs/>
                <w:sz w:val="20"/>
                <w:szCs w:val="20"/>
                <w:lang w:val="es-EC" w:eastAsia="en-US"/>
              </w:rPr>
            </w:pPr>
          </w:p>
        </w:tc>
        <w:tc>
          <w:tcPr>
            <w:tcW w:w="1199" w:type="pct"/>
            <w:vMerge/>
            <w:tcBorders>
              <w:top w:val="nil"/>
              <w:left w:val="single" w:sz="4" w:space="0" w:color="000000"/>
              <w:bottom w:val="single" w:sz="4" w:space="0" w:color="000000"/>
              <w:right w:val="single" w:sz="4" w:space="0" w:color="000000"/>
            </w:tcBorders>
            <w:tcMar>
              <w:left w:w="70" w:type="dxa"/>
              <w:right w:w="70" w:type="dxa"/>
            </w:tcMar>
            <w:vAlign w:val="center"/>
          </w:tcPr>
          <w:p w14:paraId="7F3DA699" w14:textId="77777777" w:rsidR="00064C79" w:rsidRPr="00CB794D" w:rsidRDefault="00064C79" w:rsidP="00064C79">
            <w:pPr>
              <w:spacing w:line="276" w:lineRule="auto"/>
              <w:jc w:val="center"/>
              <w:rPr>
                <w:rFonts w:ascii="Arial" w:eastAsia="Calibri" w:hAnsi="Arial" w:cs="Arial"/>
                <w:b/>
                <w:bCs/>
                <w:sz w:val="20"/>
                <w:szCs w:val="20"/>
                <w:lang w:val="es-EC" w:eastAsia="en-US"/>
              </w:rPr>
            </w:pPr>
          </w:p>
        </w:tc>
        <w:tc>
          <w:tcPr>
            <w:tcW w:w="981" w:type="pct"/>
            <w:tcBorders>
              <w:top w:val="nil"/>
              <w:left w:val="nil"/>
              <w:bottom w:val="single" w:sz="4" w:space="0" w:color="000000"/>
              <w:right w:val="single" w:sz="4" w:space="0" w:color="000000"/>
            </w:tcBorders>
            <w:shd w:val="clear" w:color="auto" w:fill="auto"/>
            <w:tcMar>
              <w:left w:w="70" w:type="dxa"/>
              <w:right w:w="70" w:type="dxa"/>
            </w:tcMar>
            <w:vAlign w:val="center"/>
          </w:tcPr>
          <w:p w14:paraId="7B2D47B2"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95,14%</w:t>
            </w:r>
          </w:p>
        </w:tc>
        <w:tc>
          <w:tcPr>
            <w:tcW w:w="794" w:type="pct"/>
            <w:tcBorders>
              <w:top w:val="nil"/>
              <w:left w:val="nil"/>
              <w:bottom w:val="single" w:sz="4" w:space="0" w:color="000000"/>
              <w:right w:val="single" w:sz="4" w:space="0" w:color="000000"/>
            </w:tcBorders>
            <w:shd w:val="clear" w:color="auto" w:fill="auto"/>
            <w:tcMar>
              <w:left w:w="70" w:type="dxa"/>
              <w:right w:w="70" w:type="dxa"/>
            </w:tcMar>
            <w:vAlign w:val="center"/>
          </w:tcPr>
          <w:p w14:paraId="13246B48"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4,86%</w:t>
            </w:r>
          </w:p>
        </w:tc>
        <w:tc>
          <w:tcPr>
            <w:tcW w:w="981" w:type="pct"/>
            <w:tcBorders>
              <w:top w:val="nil"/>
              <w:left w:val="nil"/>
              <w:bottom w:val="single" w:sz="4" w:space="0" w:color="000000"/>
              <w:right w:val="single" w:sz="4" w:space="0" w:color="000000"/>
            </w:tcBorders>
            <w:shd w:val="clear" w:color="auto" w:fill="auto"/>
            <w:tcMar>
              <w:left w:w="70" w:type="dxa"/>
              <w:right w:w="70" w:type="dxa"/>
            </w:tcMar>
            <w:vAlign w:val="center"/>
          </w:tcPr>
          <w:p w14:paraId="7734671E"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100,00%</w:t>
            </w:r>
          </w:p>
        </w:tc>
      </w:tr>
      <w:tr w:rsidR="00064C79" w:rsidRPr="00CB794D" w14:paraId="2A30DBBE" w14:textId="77777777" w:rsidTr="00CB794D">
        <w:trPr>
          <w:trHeight w:val="728"/>
          <w:jc w:val="center"/>
        </w:trPr>
        <w:tc>
          <w:tcPr>
            <w:tcW w:w="1045" w:type="pct"/>
            <w:vMerge/>
            <w:tcBorders>
              <w:top w:val="nil"/>
              <w:left w:val="single" w:sz="4" w:space="0" w:color="000000"/>
              <w:bottom w:val="single" w:sz="4" w:space="0" w:color="000000"/>
              <w:right w:val="single" w:sz="4" w:space="0" w:color="000000"/>
            </w:tcBorders>
            <w:tcMar>
              <w:left w:w="70" w:type="dxa"/>
              <w:right w:w="70" w:type="dxa"/>
            </w:tcMar>
            <w:vAlign w:val="center"/>
          </w:tcPr>
          <w:p w14:paraId="2BB4CAEA" w14:textId="77777777" w:rsidR="00064C79" w:rsidRPr="00CB794D" w:rsidRDefault="00064C79" w:rsidP="00064C79">
            <w:pPr>
              <w:spacing w:line="276" w:lineRule="auto"/>
              <w:jc w:val="center"/>
              <w:rPr>
                <w:rFonts w:ascii="Arial" w:eastAsia="Calibri" w:hAnsi="Arial" w:cs="Arial"/>
                <w:b/>
                <w:bCs/>
                <w:sz w:val="20"/>
                <w:szCs w:val="20"/>
                <w:lang w:val="es-EC" w:eastAsia="en-US"/>
              </w:rPr>
            </w:pPr>
          </w:p>
        </w:tc>
        <w:tc>
          <w:tcPr>
            <w:tcW w:w="1199"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51D936E4" w14:textId="77777777" w:rsidR="00064C79" w:rsidRPr="00CB794D" w:rsidRDefault="00064C79" w:rsidP="00064C79">
            <w:pPr>
              <w:spacing w:line="276" w:lineRule="auto"/>
              <w:jc w:val="center"/>
              <w:rPr>
                <w:rFonts w:ascii="Arial" w:hAnsi="Arial" w:cs="Arial"/>
                <w:b/>
                <w:bCs/>
                <w:sz w:val="20"/>
                <w:szCs w:val="20"/>
                <w:lang w:val="es-EC" w:eastAsia="es-EC"/>
              </w:rPr>
            </w:pPr>
            <w:r w:rsidRPr="00CB794D">
              <w:rPr>
                <w:rFonts w:ascii="Arial" w:hAnsi="Arial" w:cs="Arial"/>
                <w:b/>
                <w:bCs/>
                <w:sz w:val="20"/>
                <w:szCs w:val="20"/>
                <w:lang w:val="es-EC" w:eastAsia="es-EC"/>
              </w:rPr>
              <w:t>Posgrado</w:t>
            </w:r>
          </w:p>
        </w:tc>
        <w:tc>
          <w:tcPr>
            <w:tcW w:w="981" w:type="pct"/>
            <w:tcBorders>
              <w:top w:val="nil"/>
              <w:left w:val="nil"/>
              <w:bottom w:val="single" w:sz="4" w:space="0" w:color="000000"/>
              <w:right w:val="single" w:sz="4" w:space="0" w:color="000000"/>
            </w:tcBorders>
            <w:shd w:val="clear" w:color="auto" w:fill="auto"/>
            <w:tcMar>
              <w:left w:w="70" w:type="dxa"/>
              <w:right w:w="70" w:type="dxa"/>
            </w:tcMar>
            <w:vAlign w:val="center"/>
          </w:tcPr>
          <w:p w14:paraId="151BB866"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179.463</w:t>
            </w:r>
          </w:p>
        </w:tc>
        <w:tc>
          <w:tcPr>
            <w:tcW w:w="794" w:type="pct"/>
            <w:tcBorders>
              <w:top w:val="nil"/>
              <w:left w:val="nil"/>
              <w:bottom w:val="single" w:sz="4" w:space="0" w:color="000000"/>
              <w:right w:val="single" w:sz="4" w:space="0" w:color="000000"/>
            </w:tcBorders>
            <w:shd w:val="clear" w:color="auto" w:fill="auto"/>
            <w:tcMar>
              <w:left w:w="70" w:type="dxa"/>
              <w:right w:w="70" w:type="dxa"/>
            </w:tcMar>
            <w:vAlign w:val="center"/>
          </w:tcPr>
          <w:p w14:paraId="637DE649"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1.137</w:t>
            </w:r>
          </w:p>
        </w:tc>
        <w:tc>
          <w:tcPr>
            <w:tcW w:w="981" w:type="pct"/>
            <w:tcBorders>
              <w:top w:val="nil"/>
              <w:left w:val="nil"/>
              <w:bottom w:val="single" w:sz="4" w:space="0" w:color="000000"/>
              <w:right w:val="single" w:sz="4" w:space="0" w:color="000000"/>
            </w:tcBorders>
            <w:shd w:val="clear" w:color="auto" w:fill="auto"/>
            <w:tcMar>
              <w:left w:w="70" w:type="dxa"/>
              <w:right w:w="70" w:type="dxa"/>
            </w:tcMar>
            <w:vAlign w:val="center"/>
          </w:tcPr>
          <w:p w14:paraId="6FF8786D"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180.600</w:t>
            </w:r>
          </w:p>
        </w:tc>
      </w:tr>
      <w:tr w:rsidR="00064C79" w:rsidRPr="00CB794D" w14:paraId="259571DB" w14:textId="77777777" w:rsidTr="00CB794D">
        <w:trPr>
          <w:trHeight w:val="728"/>
          <w:jc w:val="center"/>
        </w:trPr>
        <w:tc>
          <w:tcPr>
            <w:tcW w:w="1045" w:type="pct"/>
            <w:vMerge/>
            <w:tcBorders>
              <w:top w:val="nil"/>
              <w:left w:val="single" w:sz="4" w:space="0" w:color="000000"/>
              <w:bottom w:val="single" w:sz="4" w:space="0" w:color="000000"/>
              <w:right w:val="single" w:sz="4" w:space="0" w:color="000000"/>
            </w:tcBorders>
            <w:tcMar>
              <w:left w:w="70" w:type="dxa"/>
              <w:right w:w="70" w:type="dxa"/>
            </w:tcMar>
            <w:vAlign w:val="center"/>
          </w:tcPr>
          <w:p w14:paraId="2F6AE277" w14:textId="77777777" w:rsidR="00064C79" w:rsidRPr="00CB794D" w:rsidRDefault="00064C79" w:rsidP="00064C79">
            <w:pPr>
              <w:spacing w:line="276" w:lineRule="auto"/>
              <w:jc w:val="center"/>
              <w:rPr>
                <w:rFonts w:ascii="Arial" w:eastAsia="Calibri" w:hAnsi="Arial" w:cs="Arial"/>
                <w:b/>
                <w:bCs/>
                <w:sz w:val="20"/>
                <w:szCs w:val="20"/>
                <w:lang w:val="es-EC" w:eastAsia="en-US"/>
              </w:rPr>
            </w:pPr>
          </w:p>
        </w:tc>
        <w:tc>
          <w:tcPr>
            <w:tcW w:w="1199" w:type="pct"/>
            <w:vMerge/>
            <w:tcBorders>
              <w:top w:val="nil"/>
              <w:left w:val="single" w:sz="4" w:space="0" w:color="000000"/>
              <w:bottom w:val="single" w:sz="4" w:space="0" w:color="000000"/>
              <w:right w:val="single" w:sz="4" w:space="0" w:color="000000"/>
            </w:tcBorders>
            <w:tcMar>
              <w:left w:w="70" w:type="dxa"/>
              <w:right w:w="70" w:type="dxa"/>
            </w:tcMar>
            <w:vAlign w:val="center"/>
          </w:tcPr>
          <w:p w14:paraId="327EABEC" w14:textId="77777777" w:rsidR="00064C79" w:rsidRPr="00CB794D" w:rsidRDefault="00064C79" w:rsidP="00064C79">
            <w:pPr>
              <w:spacing w:line="276" w:lineRule="auto"/>
              <w:jc w:val="center"/>
              <w:rPr>
                <w:rFonts w:ascii="Arial" w:eastAsia="Calibri" w:hAnsi="Arial" w:cs="Arial"/>
                <w:b/>
                <w:bCs/>
                <w:sz w:val="20"/>
                <w:szCs w:val="20"/>
                <w:lang w:val="es-EC" w:eastAsia="en-US"/>
              </w:rPr>
            </w:pPr>
          </w:p>
        </w:tc>
        <w:tc>
          <w:tcPr>
            <w:tcW w:w="981" w:type="pct"/>
            <w:tcBorders>
              <w:top w:val="nil"/>
              <w:left w:val="nil"/>
              <w:bottom w:val="single" w:sz="4" w:space="0" w:color="000000"/>
              <w:right w:val="single" w:sz="4" w:space="0" w:color="000000"/>
            </w:tcBorders>
            <w:shd w:val="clear" w:color="auto" w:fill="auto"/>
            <w:tcMar>
              <w:left w:w="70" w:type="dxa"/>
              <w:right w:w="70" w:type="dxa"/>
            </w:tcMar>
            <w:vAlign w:val="center"/>
          </w:tcPr>
          <w:p w14:paraId="40965B85"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99,37%</w:t>
            </w:r>
          </w:p>
        </w:tc>
        <w:tc>
          <w:tcPr>
            <w:tcW w:w="794" w:type="pct"/>
            <w:tcBorders>
              <w:top w:val="nil"/>
              <w:left w:val="nil"/>
              <w:bottom w:val="single" w:sz="4" w:space="0" w:color="000000"/>
              <w:right w:val="single" w:sz="4" w:space="0" w:color="000000"/>
            </w:tcBorders>
            <w:shd w:val="clear" w:color="auto" w:fill="auto"/>
            <w:tcMar>
              <w:left w:w="70" w:type="dxa"/>
              <w:right w:w="70" w:type="dxa"/>
            </w:tcMar>
            <w:vAlign w:val="center"/>
          </w:tcPr>
          <w:p w14:paraId="6341CE89"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0,63%</w:t>
            </w:r>
          </w:p>
        </w:tc>
        <w:tc>
          <w:tcPr>
            <w:tcW w:w="981" w:type="pct"/>
            <w:tcBorders>
              <w:top w:val="nil"/>
              <w:left w:val="nil"/>
              <w:bottom w:val="single" w:sz="4" w:space="0" w:color="000000"/>
              <w:right w:val="single" w:sz="4" w:space="0" w:color="000000"/>
            </w:tcBorders>
            <w:shd w:val="clear" w:color="auto" w:fill="auto"/>
            <w:tcMar>
              <w:left w:w="70" w:type="dxa"/>
              <w:right w:w="70" w:type="dxa"/>
            </w:tcMar>
            <w:vAlign w:val="center"/>
          </w:tcPr>
          <w:p w14:paraId="6E9D5A13"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100,00%</w:t>
            </w:r>
          </w:p>
        </w:tc>
      </w:tr>
      <w:tr w:rsidR="00064C79" w:rsidRPr="00CB794D" w14:paraId="7D80000C" w14:textId="77777777" w:rsidTr="00CB794D">
        <w:trPr>
          <w:trHeight w:val="728"/>
          <w:jc w:val="center"/>
        </w:trPr>
        <w:tc>
          <w:tcPr>
            <w:tcW w:w="224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13DA836" w14:textId="77777777" w:rsidR="00064C79" w:rsidRPr="00CB794D" w:rsidRDefault="00064C79" w:rsidP="00064C79">
            <w:pPr>
              <w:spacing w:line="276" w:lineRule="auto"/>
              <w:jc w:val="center"/>
              <w:rPr>
                <w:rFonts w:ascii="Arial" w:hAnsi="Arial" w:cs="Arial"/>
                <w:b/>
                <w:bCs/>
                <w:sz w:val="20"/>
                <w:szCs w:val="20"/>
                <w:lang w:val="es-EC" w:eastAsia="es-EC"/>
              </w:rPr>
            </w:pPr>
            <w:r w:rsidRPr="00CB794D">
              <w:rPr>
                <w:rFonts w:ascii="Arial" w:hAnsi="Arial" w:cs="Arial"/>
                <w:b/>
                <w:bCs/>
                <w:sz w:val="20"/>
                <w:szCs w:val="20"/>
                <w:lang w:val="es-EC" w:eastAsia="es-EC"/>
              </w:rPr>
              <w:t>Total</w:t>
            </w:r>
          </w:p>
        </w:tc>
        <w:tc>
          <w:tcPr>
            <w:tcW w:w="981" w:type="pct"/>
            <w:tcBorders>
              <w:top w:val="nil"/>
              <w:left w:val="nil"/>
              <w:bottom w:val="single" w:sz="4" w:space="0" w:color="000000"/>
              <w:right w:val="single" w:sz="4" w:space="0" w:color="000000"/>
            </w:tcBorders>
            <w:shd w:val="clear" w:color="auto" w:fill="auto"/>
            <w:tcMar>
              <w:left w:w="70" w:type="dxa"/>
              <w:right w:w="70" w:type="dxa"/>
            </w:tcMar>
            <w:vAlign w:val="center"/>
          </w:tcPr>
          <w:p w14:paraId="656B0EA9"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1.503.519</w:t>
            </w:r>
          </w:p>
        </w:tc>
        <w:tc>
          <w:tcPr>
            <w:tcW w:w="794" w:type="pct"/>
            <w:tcBorders>
              <w:top w:val="nil"/>
              <w:left w:val="nil"/>
              <w:bottom w:val="single" w:sz="4" w:space="0" w:color="000000"/>
              <w:right w:val="single" w:sz="4" w:space="0" w:color="000000"/>
            </w:tcBorders>
            <w:shd w:val="clear" w:color="auto" w:fill="auto"/>
            <w:tcMar>
              <w:left w:w="70" w:type="dxa"/>
              <w:right w:w="70" w:type="dxa"/>
            </w:tcMar>
            <w:vAlign w:val="center"/>
          </w:tcPr>
          <w:p w14:paraId="571E4ABA"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68.828</w:t>
            </w:r>
          </w:p>
        </w:tc>
        <w:tc>
          <w:tcPr>
            <w:tcW w:w="981" w:type="pct"/>
            <w:tcBorders>
              <w:top w:val="nil"/>
              <w:left w:val="nil"/>
              <w:bottom w:val="single" w:sz="4" w:space="0" w:color="000000"/>
              <w:right w:val="single" w:sz="4" w:space="0" w:color="000000"/>
            </w:tcBorders>
            <w:shd w:val="clear" w:color="auto" w:fill="auto"/>
            <w:tcMar>
              <w:left w:w="70" w:type="dxa"/>
              <w:right w:w="70" w:type="dxa"/>
            </w:tcMar>
            <w:vAlign w:val="center"/>
          </w:tcPr>
          <w:p w14:paraId="40259989"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1.572.347</w:t>
            </w:r>
          </w:p>
        </w:tc>
      </w:tr>
      <w:tr w:rsidR="00064C79" w:rsidRPr="00CB794D" w14:paraId="624AC1B6" w14:textId="77777777" w:rsidTr="00CB794D">
        <w:trPr>
          <w:trHeight w:val="728"/>
          <w:jc w:val="center"/>
        </w:trPr>
        <w:tc>
          <w:tcPr>
            <w:tcW w:w="2245"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28EC00D" w14:textId="77777777" w:rsidR="00064C79" w:rsidRPr="00CB794D" w:rsidRDefault="00064C79" w:rsidP="00064C79">
            <w:pPr>
              <w:spacing w:line="276" w:lineRule="auto"/>
              <w:jc w:val="center"/>
              <w:rPr>
                <w:rFonts w:ascii="Arial" w:eastAsia="Calibri" w:hAnsi="Arial" w:cs="Arial"/>
                <w:sz w:val="20"/>
                <w:szCs w:val="20"/>
                <w:lang w:val="es-EC" w:eastAsia="en-US"/>
              </w:rPr>
            </w:pPr>
          </w:p>
        </w:tc>
        <w:tc>
          <w:tcPr>
            <w:tcW w:w="981" w:type="pct"/>
            <w:tcBorders>
              <w:top w:val="nil"/>
              <w:left w:val="nil"/>
              <w:bottom w:val="single" w:sz="4" w:space="0" w:color="000000"/>
              <w:right w:val="single" w:sz="4" w:space="0" w:color="000000"/>
            </w:tcBorders>
            <w:shd w:val="clear" w:color="auto" w:fill="auto"/>
            <w:tcMar>
              <w:left w:w="70" w:type="dxa"/>
              <w:right w:w="70" w:type="dxa"/>
            </w:tcMar>
            <w:vAlign w:val="center"/>
          </w:tcPr>
          <w:p w14:paraId="296A7795"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95,62%</w:t>
            </w:r>
          </w:p>
        </w:tc>
        <w:tc>
          <w:tcPr>
            <w:tcW w:w="794" w:type="pct"/>
            <w:tcBorders>
              <w:top w:val="nil"/>
              <w:left w:val="nil"/>
              <w:bottom w:val="single" w:sz="4" w:space="0" w:color="000000"/>
              <w:right w:val="single" w:sz="4" w:space="0" w:color="000000"/>
            </w:tcBorders>
            <w:shd w:val="clear" w:color="auto" w:fill="auto"/>
            <w:tcMar>
              <w:left w:w="70" w:type="dxa"/>
              <w:right w:w="70" w:type="dxa"/>
            </w:tcMar>
            <w:vAlign w:val="center"/>
          </w:tcPr>
          <w:p w14:paraId="747A6631"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4,38%</w:t>
            </w:r>
          </w:p>
        </w:tc>
        <w:tc>
          <w:tcPr>
            <w:tcW w:w="981" w:type="pct"/>
            <w:tcBorders>
              <w:top w:val="nil"/>
              <w:left w:val="nil"/>
              <w:bottom w:val="single" w:sz="4" w:space="0" w:color="000000"/>
              <w:right w:val="single" w:sz="4" w:space="0" w:color="000000"/>
            </w:tcBorders>
            <w:shd w:val="clear" w:color="auto" w:fill="auto"/>
            <w:tcMar>
              <w:left w:w="70" w:type="dxa"/>
              <w:right w:w="70" w:type="dxa"/>
            </w:tcMar>
            <w:vAlign w:val="center"/>
          </w:tcPr>
          <w:p w14:paraId="16AF688E" w14:textId="77777777" w:rsidR="00064C79" w:rsidRPr="00CB794D" w:rsidRDefault="00064C79" w:rsidP="00064C79">
            <w:pPr>
              <w:spacing w:line="276" w:lineRule="auto"/>
              <w:jc w:val="center"/>
              <w:rPr>
                <w:rFonts w:ascii="Arial" w:hAnsi="Arial" w:cs="Arial"/>
                <w:sz w:val="20"/>
                <w:szCs w:val="20"/>
                <w:lang w:val="es-EC" w:eastAsia="es-EC"/>
              </w:rPr>
            </w:pPr>
            <w:r w:rsidRPr="00CB794D">
              <w:rPr>
                <w:rFonts w:ascii="Arial" w:hAnsi="Arial" w:cs="Arial"/>
                <w:sz w:val="20"/>
                <w:szCs w:val="20"/>
                <w:lang w:val="es-EC" w:eastAsia="es-EC"/>
              </w:rPr>
              <w:t>100,00%</w:t>
            </w:r>
          </w:p>
        </w:tc>
      </w:tr>
    </w:tbl>
    <w:p w14:paraId="68F650CF" w14:textId="77777777" w:rsidR="00064C79" w:rsidRPr="00CB794D" w:rsidRDefault="00064C79" w:rsidP="00064C79">
      <w:pPr>
        <w:spacing w:line="360" w:lineRule="auto"/>
        <w:jc w:val="both"/>
        <w:rPr>
          <w:rFonts w:ascii="Arial" w:eastAsia="Calibri" w:hAnsi="Arial" w:cs="Arial"/>
          <w:spacing w:val="-1"/>
          <w:sz w:val="20"/>
          <w:szCs w:val="20"/>
          <w:lang w:val="es-EC" w:eastAsia="en-US"/>
        </w:rPr>
      </w:pPr>
      <w:r w:rsidRPr="00CB794D">
        <w:rPr>
          <w:rFonts w:ascii="Arial" w:eastAsia="Calibri" w:hAnsi="Arial" w:cs="Arial"/>
          <w:iCs/>
          <w:spacing w:val="-1"/>
          <w:sz w:val="20"/>
          <w:szCs w:val="20"/>
          <w:lang w:val="es-EC" w:eastAsia="en-US"/>
        </w:rPr>
        <w:t>Nota</w:t>
      </w:r>
      <w:r w:rsidRPr="00CB794D">
        <w:rPr>
          <w:rFonts w:ascii="Arial" w:eastAsia="Calibri" w:hAnsi="Arial" w:cs="Arial"/>
          <w:spacing w:val="-1"/>
          <w:sz w:val="20"/>
          <w:szCs w:val="20"/>
          <w:lang w:val="es-EC" w:eastAsia="en-US"/>
        </w:rPr>
        <w:t>. Elaboración propia con base en el INEC, 2023.</w:t>
      </w:r>
    </w:p>
    <w:p w14:paraId="4C871267" w14:textId="77777777" w:rsidR="00064C79" w:rsidRPr="00064C79" w:rsidRDefault="00064C79" w:rsidP="00064C79">
      <w:pPr>
        <w:spacing w:line="360" w:lineRule="auto"/>
        <w:jc w:val="both"/>
        <w:rPr>
          <w:rFonts w:ascii="Arial" w:eastAsia="Calibri" w:hAnsi="Arial" w:cs="Arial"/>
          <w:lang w:val="es-EC" w:eastAsia="en-US"/>
        </w:rPr>
      </w:pPr>
    </w:p>
    <w:p w14:paraId="74D9E743" w14:textId="77777777" w:rsidR="00064C79" w:rsidRPr="00064C79" w:rsidRDefault="00064C79" w:rsidP="001049D4">
      <w:pPr>
        <w:spacing w:before="100" w:beforeAutospacing="1" w:after="100" w:afterAutospacing="1" w:line="360" w:lineRule="auto"/>
        <w:jc w:val="both"/>
        <w:rPr>
          <w:rFonts w:ascii="Arial" w:eastAsia="Calibri" w:hAnsi="Arial" w:cs="Arial"/>
          <w:lang w:val="es-EC" w:eastAsia="en-US"/>
        </w:rPr>
      </w:pPr>
      <w:r w:rsidRPr="00064C79">
        <w:rPr>
          <w:rFonts w:ascii="Arial" w:eastAsia="Calibri" w:hAnsi="Arial" w:cs="Arial"/>
          <w:lang w:val="es-EC" w:eastAsia="en-US"/>
        </w:rPr>
        <w:lastRenderedPageBreak/>
        <w:t>El 0,20% de las personas con estudios de posgrado vive en situación de pobreza extrema; en el nivel superior universitario, este porcentaje es del 1,36%. Indica que la incidencia de pobreza extrema es considerablemente menor entre personas graduadas de posgrado, en comparación quienes tienen solo educación superior universitaria (tabla de contingencia 15).</w:t>
      </w:r>
    </w:p>
    <w:p w14:paraId="737A71E5" w14:textId="4A22940E" w:rsidR="00064C79" w:rsidRPr="001049D4" w:rsidRDefault="00064C79" w:rsidP="001049D4">
      <w:pPr>
        <w:spacing w:after="100" w:afterAutospacing="1"/>
        <w:jc w:val="center"/>
        <w:rPr>
          <w:rFonts w:ascii="Arial" w:eastAsia="Calibri" w:hAnsi="Arial" w:cs="Arial"/>
          <w:b/>
          <w:iCs/>
          <w:sz w:val="20"/>
          <w:szCs w:val="20"/>
          <w:lang w:val="es-EC" w:eastAsia="en-US"/>
        </w:rPr>
      </w:pPr>
      <w:r w:rsidRPr="001049D4">
        <w:rPr>
          <w:rFonts w:ascii="Arial" w:eastAsia="Calibri" w:hAnsi="Arial" w:cs="Arial"/>
          <w:b/>
          <w:bCs/>
          <w:sz w:val="20"/>
          <w:szCs w:val="20"/>
          <w:lang w:val="es-EC" w:eastAsia="en-US"/>
        </w:rPr>
        <w:t>Tabla de contingencia 15</w:t>
      </w:r>
      <w:r w:rsidR="001049D4" w:rsidRPr="001049D4">
        <w:rPr>
          <w:rFonts w:ascii="Arial" w:eastAsia="Calibri" w:hAnsi="Arial" w:cs="Arial"/>
          <w:b/>
          <w:bCs/>
          <w:sz w:val="20"/>
          <w:szCs w:val="20"/>
          <w:lang w:val="es-EC" w:eastAsia="en-US"/>
        </w:rPr>
        <w:t xml:space="preserve">. </w:t>
      </w:r>
      <w:r w:rsidRPr="001049D4">
        <w:rPr>
          <w:rFonts w:ascii="Arial" w:eastAsia="Calibri" w:hAnsi="Arial" w:cs="Arial"/>
          <w:b/>
          <w:iCs/>
          <w:sz w:val="20"/>
          <w:szCs w:val="20"/>
          <w:lang w:val="es-EC" w:eastAsia="en-US"/>
        </w:rPr>
        <w:t>Nivel de instrucción - Pobreza extrema</w:t>
      </w:r>
    </w:p>
    <w:tbl>
      <w:tblPr>
        <w:tblW w:w="4992" w:type="pct"/>
        <w:jc w:val="center"/>
        <w:tblLook w:val="04A0" w:firstRow="1" w:lastRow="0" w:firstColumn="1" w:lastColumn="0" w:noHBand="0" w:noVBand="1"/>
      </w:tblPr>
      <w:tblGrid>
        <w:gridCol w:w="1791"/>
        <w:gridCol w:w="2049"/>
        <w:gridCol w:w="1679"/>
        <w:gridCol w:w="1567"/>
        <w:gridCol w:w="1679"/>
      </w:tblGrid>
      <w:tr w:rsidR="00064C79" w:rsidRPr="001049D4" w14:paraId="5B05E716" w14:textId="77777777" w:rsidTr="00033CE7">
        <w:trPr>
          <w:trHeight w:val="738"/>
          <w:jc w:val="center"/>
        </w:trPr>
        <w:tc>
          <w:tcPr>
            <w:tcW w:w="219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B705EFE" w14:textId="77777777" w:rsidR="00064C79" w:rsidRPr="001049D4" w:rsidRDefault="00064C79" w:rsidP="00064C79">
            <w:pPr>
              <w:spacing w:line="276" w:lineRule="auto"/>
              <w:jc w:val="center"/>
              <w:rPr>
                <w:rFonts w:ascii="Arial" w:hAnsi="Arial" w:cs="Arial"/>
                <w:sz w:val="20"/>
                <w:szCs w:val="20"/>
                <w:lang w:val="es-EC" w:eastAsia="es-EC"/>
              </w:rPr>
            </w:pPr>
          </w:p>
        </w:tc>
        <w:tc>
          <w:tcPr>
            <w:tcW w:w="1852" w:type="pct"/>
            <w:gridSpan w:val="2"/>
            <w:tcBorders>
              <w:top w:val="single" w:sz="4" w:space="0" w:color="000000"/>
              <w:left w:val="nil"/>
              <w:bottom w:val="single" w:sz="4" w:space="0" w:color="000000"/>
              <w:right w:val="single" w:sz="4" w:space="0" w:color="000000"/>
            </w:tcBorders>
            <w:shd w:val="clear" w:color="auto" w:fill="auto"/>
            <w:tcMar>
              <w:left w:w="70" w:type="dxa"/>
              <w:right w:w="70" w:type="dxa"/>
            </w:tcMar>
            <w:vAlign w:val="center"/>
          </w:tcPr>
          <w:p w14:paraId="60F91967" w14:textId="77777777" w:rsidR="00064C79" w:rsidRPr="001049D4" w:rsidRDefault="00064C79" w:rsidP="00064C79">
            <w:pPr>
              <w:spacing w:line="276" w:lineRule="auto"/>
              <w:jc w:val="center"/>
              <w:rPr>
                <w:rFonts w:ascii="Arial" w:hAnsi="Arial" w:cs="Arial"/>
                <w:b/>
                <w:bCs/>
                <w:sz w:val="20"/>
                <w:szCs w:val="20"/>
                <w:lang w:val="es-EC" w:eastAsia="es-EC"/>
              </w:rPr>
            </w:pPr>
            <w:r w:rsidRPr="001049D4">
              <w:rPr>
                <w:rFonts w:ascii="Arial" w:hAnsi="Arial" w:cs="Arial"/>
                <w:b/>
                <w:bCs/>
                <w:sz w:val="20"/>
                <w:szCs w:val="20"/>
                <w:lang w:val="es-EC" w:eastAsia="es-EC"/>
              </w:rPr>
              <w:t>Pobreza extrema</w:t>
            </w:r>
          </w:p>
        </w:tc>
        <w:tc>
          <w:tcPr>
            <w:tcW w:w="958" w:type="pct"/>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F506A2C" w14:textId="77777777" w:rsidR="00064C79" w:rsidRPr="001049D4" w:rsidRDefault="00064C79" w:rsidP="00064C79">
            <w:pPr>
              <w:spacing w:line="276" w:lineRule="auto"/>
              <w:jc w:val="center"/>
              <w:rPr>
                <w:rFonts w:ascii="Arial" w:hAnsi="Arial" w:cs="Arial"/>
                <w:b/>
                <w:bCs/>
                <w:sz w:val="20"/>
                <w:szCs w:val="20"/>
                <w:lang w:val="es-EC" w:eastAsia="es-EC"/>
              </w:rPr>
            </w:pPr>
            <w:r w:rsidRPr="001049D4">
              <w:rPr>
                <w:rFonts w:ascii="Arial" w:hAnsi="Arial" w:cs="Arial"/>
                <w:b/>
                <w:bCs/>
                <w:sz w:val="20"/>
                <w:szCs w:val="20"/>
                <w:lang w:val="es-EC" w:eastAsia="es-EC"/>
              </w:rPr>
              <w:t>Total</w:t>
            </w:r>
          </w:p>
        </w:tc>
      </w:tr>
      <w:tr w:rsidR="00064C79" w:rsidRPr="001049D4" w14:paraId="396F40DD" w14:textId="77777777" w:rsidTr="00033CE7">
        <w:trPr>
          <w:trHeight w:val="738"/>
          <w:jc w:val="center"/>
        </w:trPr>
        <w:tc>
          <w:tcPr>
            <w:tcW w:w="2190"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C7F0D50" w14:textId="77777777" w:rsidR="00064C79" w:rsidRPr="001049D4" w:rsidRDefault="00064C79" w:rsidP="00064C79">
            <w:pPr>
              <w:spacing w:line="276" w:lineRule="auto"/>
              <w:jc w:val="center"/>
              <w:rPr>
                <w:rFonts w:ascii="Arial" w:eastAsia="Calibri" w:hAnsi="Arial" w:cs="Arial"/>
                <w:sz w:val="20"/>
                <w:szCs w:val="20"/>
                <w:lang w:val="es-EC" w:eastAsia="en-US"/>
              </w:rPr>
            </w:pPr>
          </w:p>
        </w:tc>
        <w:tc>
          <w:tcPr>
            <w:tcW w:w="958" w:type="pct"/>
            <w:tcBorders>
              <w:top w:val="nil"/>
              <w:left w:val="nil"/>
              <w:bottom w:val="single" w:sz="4" w:space="0" w:color="000000"/>
              <w:right w:val="single" w:sz="4" w:space="0" w:color="000000"/>
            </w:tcBorders>
            <w:shd w:val="clear" w:color="auto" w:fill="auto"/>
            <w:tcMar>
              <w:left w:w="70" w:type="dxa"/>
              <w:right w:w="70" w:type="dxa"/>
            </w:tcMar>
            <w:vAlign w:val="center"/>
          </w:tcPr>
          <w:p w14:paraId="012E7322" w14:textId="77777777" w:rsidR="00064C79" w:rsidRPr="001049D4" w:rsidRDefault="00064C79" w:rsidP="00064C79">
            <w:pPr>
              <w:spacing w:line="276" w:lineRule="auto"/>
              <w:jc w:val="center"/>
              <w:rPr>
                <w:rFonts w:ascii="Arial" w:hAnsi="Arial" w:cs="Arial"/>
                <w:b/>
                <w:bCs/>
                <w:sz w:val="20"/>
                <w:szCs w:val="20"/>
                <w:lang w:val="es-EC" w:eastAsia="es-EC"/>
              </w:rPr>
            </w:pPr>
            <w:r w:rsidRPr="001049D4">
              <w:rPr>
                <w:rFonts w:ascii="Arial" w:hAnsi="Arial" w:cs="Arial"/>
                <w:b/>
                <w:bCs/>
                <w:sz w:val="20"/>
                <w:szCs w:val="20"/>
                <w:lang w:val="es-EC" w:eastAsia="es-EC"/>
              </w:rPr>
              <w:t>No indigente</w:t>
            </w:r>
          </w:p>
        </w:tc>
        <w:tc>
          <w:tcPr>
            <w:tcW w:w="894" w:type="pct"/>
            <w:tcBorders>
              <w:top w:val="nil"/>
              <w:left w:val="nil"/>
              <w:bottom w:val="single" w:sz="4" w:space="0" w:color="000000"/>
              <w:right w:val="single" w:sz="4" w:space="0" w:color="000000"/>
            </w:tcBorders>
            <w:shd w:val="clear" w:color="auto" w:fill="auto"/>
            <w:tcMar>
              <w:left w:w="70" w:type="dxa"/>
              <w:right w:w="70" w:type="dxa"/>
            </w:tcMar>
            <w:vAlign w:val="center"/>
          </w:tcPr>
          <w:p w14:paraId="6E039440" w14:textId="77777777" w:rsidR="00064C79" w:rsidRPr="001049D4" w:rsidRDefault="00064C79" w:rsidP="00064C79">
            <w:pPr>
              <w:spacing w:line="276" w:lineRule="auto"/>
              <w:jc w:val="center"/>
              <w:rPr>
                <w:rFonts w:ascii="Arial" w:hAnsi="Arial" w:cs="Arial"/>
                <w:b/>
                <w:bCs/>
                <w:sz w:val="20"/>
                <w:szCs w:val="20"/>
                <w:lang w:val="es-EC" w:eastAsia="es-EC"/>
              </w:rPr>
            </w:pPr>
            <w:r w:rsidRPr="001049D4">
              <w:rPr>
                <w:rFonts w:ascii="Arial" w:hAnsi="Arial" w:cs="Arial"/>
                <w:b/>
                <w:bCs/>
                <w:sz w:val="20"/>
                <w:szCs w:val="20"/>
                <w:lang w:val="es-EC" w:eastAsia="es-EC"/>
              </w:rPr>
              <w:t>Indigente</w:t>
            </w:r>
          </w:p>
        </w:tc>
        <w:tc>
          <w:tcPr>
            <w:tcW w:w="958" w:type="pct"/>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A5B3E3C" w14:textId="77777777" w:rsidR="00064C79" w:rsidRPr="001049D4" w:rsidRDefault="00064C79" w:rsidP="00064C79">
            <w:pPr>
              <w:spacing w:line="276" w:lineRule="auto"/>
              <w:jc w:val="center"/>
              <w:rPr>
                <w:rFonts w:ascii="Arial" w:eastAsia="Calibri" w:hAnsi="Arial" w:cs="Arial"/>
                <w:sz w:val="20"/>
                <w:szCs w:val="20"/>
                <w:lang w:val="es-EC" w:eastAsia="en-US"/>
              </w:rPr>
            </w:pPr>
          </w:p>
        </w:tc>
      </w:tr>
      <w:tr w:rsidR="00064C79" w:rsidRPr="001049D4" w14:paraId="31A2B20E" w14:textId="77777777" w:rsidTr="00033CE7">
        <w:trPr>
          <w:trHeight w:val="738"/>
          <w:jc w:val="center"/>
        </w:trPr>
        <w:tc>
          <w:tcPr>
            <w:tcW w:w="1021"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7C18398B" w14:textId="77777777" w:rsidR="00064C79" w:rsidRPr="001049D4" w:rsidRDefault="00064C79" w:rsidP="00064C79">
            <w:pPr>
              <w:spacing w:line="276" w:lineRule="auto"/>
              <w:jc w:val="center"/>
              <w:rPr>
                <w:rFonts w:ascii="Arial" w:hAnsi="Arial" w:cs="Arial"/>
                <w:b/>
                <w:bCs/>
                <w:sz w:val="20"/>
                <w:szCs w:val="20"/>
                <w:lang w:val="es-EC" w:eastAsia="es-EC"/>
              </w:rPr>
            </w:pPr>
            <w:r w:rsidRPr="001049D4">
              <w:rPr>
                <w:rFonts w:ascii="Arial" w:hAnsi="Arial" w:cs="Arial"/>
                <w:b/>
                <w:bCs/>
                <w:sz w:val="20"/>
                <w:szCs w:val="20"/>
                <w:lang w:val="es-EC" w:eastAsia="es-EC"/>
              </w:rPr>
              <w:t>Nivel de instrucción</w:t>
            </w:r>
          </w:p>
        </w:tc>
        <w:tc>
          <w:tcPr>
            <w:tcW w:w="1169"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486492D7" w14:textId="77777777" w:rsidR="00064C79" w:rsidRPr="001049D4" w:rsidRDefault="00064C79" w:rsidP="00064C79">
            <w:pPr>
              <w:spacing w:line="276" w:lineRule="auto"/>
              <w:jc w:val="center"/>
              <w:rPr>
                <w:rFonts w:ascii="Arial" w:hAnsi="Arial" w:cs="Arial"/>
                <w:b/>
                <w:bCs/>
                <w:sz w:val="20"/>
                <w:szCs w:val="20"/>
                <w:lang w:val="es-EC" w:eastAsia="es-EC"/>
              </w:rPr>
            </w:pPr>
            <w:r w:rsidRPr="001049D4">
              <w:rPr>
                <w:rFonts w:ascii="Arial" w:hAnsi="Arial" w:cs="Arial"/>
                <w:b/>
                <w:bCs/>
                <w:sz w:val="20"/>
                <w:szCs w:val="20"/>
                <w:lang w:val="es-EC" w:eastAsia="es-EC"/>
              </w:rPr>
              <w:t>Superior Universitario</w:t>
            </w:r>
          </w:p>
        </w:tc>
        <w:tc>
          <w:tcPr>
            <w:tcW w:w="958" w:type="pct"/>
            <w:tcBorders>
              <w:top w:val="nil"/>
              <w:left w:val="nil"/>
              <w:bottom w:val="single" w:sz="4" w:space="0" w:color="000000"/>
              <w:right w:val="single" w:sz="4" w:space="0" w:color="000000"/>
            </w:tcBorders>
            <w:shd w:val="clear" w:color="auto" w:fill="auto"/>
            <w:tcMar>
              <w:left w:w="70" w:type="dxa"/>
              <w:right w:w="70" w:type="dxa"/>
            </w:tcMar>
            <w:vAlign w:val="center"/>
          </w:tcPr>
          <w:p w14:paraId="556219FF"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1.372.839</w:t>
            </w:r>
          </w:p>
        </w:tc>
        <w:tc>
          <w:tcPr>
            <w:tcW w:w="894" w:type="pct"/>
            <w:tcBorders>
              <w:top w:val="nil"/>
              <w:left w:val="nil"/>
              <w:bottom w:val="single" w:sz="4" w:space="0" w:color="000000"/>
              <w:right w:val="single" w:sz="4" w:space="0" w:color="000000"/>
            </w:tcBorders>
            <w:shd w:val="clear" w:color="auto" w:fill="auto"/>
            <w:tcMar>
              <w:left w:w="70" w:type="dxa"/>
              <w:right w:w="70" w:type="dxa"/>
            </w:tcMar>
            <w:vAlign w:val="center"/>
          </w:tcPr>
          <w:p w14:paraId="2F8C27F3"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18.909</w:t>
            </w:r>
          </w:p>
        </w:tc>
        <w:tc>
          <w:tcPr>
            <w:tcW w:w="958" w:type="pct"/>
            <w:tcBorders>
              <w:top w:val="nil"/>
              <w:left w:val="nil"/>
              <w:bottom w:val="single" w:sz="4" w:space="0" w:color="000000"/>
              <w:right w:val="single" w:sz="4" w:space="0" w:color="000000"/>
            </w:tcBorders>
            <w:shd w:val="clear" w:color="auto" w:fill="auto"/>
            <w:tcMar>
              <w:left w:w="70" w:type="dxa"/>
              <w:right w:w="70" w:type="dxa"/>
            </w:tcMar>
            <w:vAlign w:val="center"/>
          </w:tcPr>
          <w:p w14:paraId="2EE566BA"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1.391.748</w:t>
            </w:r>
          </w:p>
        </w:tc>
      </w:tr>
      <w:tr w:rsidR="00064C79" w:rsidRPr="001049D4" w14:paraId="0630E57C" w14:textId="77777777" w:rsidTr="00033CE7">
        <w:trPr>
          <w:trHeight w:val="738"/>
          <w:jc w:val="center"/>
        </w:trPr>
        <w:tc>
          <w:tcPr>
            <w:tcW w:w="1021" w:type="pct"/>
            <w:vMerge/>
            <w:tcBorders>
              <w:top w:val="nil"/>
              <w:left w:val="single" w:sz="4" w:space="0" w:color="000000"/>
              <w:bottom w:val="single" w:sz="4" w:space="0" w:color="000000"/>
              <w:right w:val="single" w:sz="4" w:space="0" w:color="000000"/>
            </w:tcBorders>
            <w:tcMar>
              <w:left w:w="70" w:type="dxa"/>
              <w:right w:w="70" w:type="dxa"/>
            </w:tcMar>
            <w:vAlign w:val="center"/>
          </w:tcPr>
          <w:p w14:paraId="49959DAD" w14:textId="77777777" w:rsidR="00064C79" w:rsidRPr="001049D4" w:rsidRDefault="00064C79" w:rsidP="00064C79">
            <w:pPr>
              <w:spacing w:line="276" w:lineRule="auto"/>
              <w:jc w:val="center"/>
              <w:rPr>
                <w:rFonts w:ascii="Arial" w:eastAsia="Calibri" w:hAnsi="Arial" w:cs="Arial"/>
                <w:b/>
                <w:bCs/>
                <w:sz w:val="20"/>
                <w:szCs w:val="20"/>
                <w:lang w:val="es-EC" w:eastAsia="en-US"/>
              </w:rPr>
            </w:pPr>
          </w:p>
        </w:tc>
        <w:tc>
          <w:tcPr>
            <w:tcW w:w="1169" w:type="pct"/>
            <w:vMerge/>
            <w:tcBorders>
              <w:top w:val="nil"/>
              <w:left w:val="single" w:sz="4" w:space="0" w:color="000000"/>
              <w:bottom w:val="single" w:sz="4" w:space="0" w:color="000000"/>
              <w:right w:val="single" w:sz="4" w:space="0" w:color="000000"/>
            </w:tcBorders>
            <w:tcMar>
              <w:left w:w="70" w:type="dxa"/>
              <w:right w:w="70" w:type="dxa"/>
            </w:tcMar>
            <w:vAlign w:val="center"/>
          </w:tcPr>
          <w:p w14:paraId="0BCEC07B" w14:textId="77777777" w:rsidR="00064C79" w:rsidRPr="001049D4" w:rsidRDefault="00064C79" w:rsidP="00064C79">
            <w:pPr>
              <w:spacing w:line="276" w:lineRule="auto"/>
              <w:jc w:val="center"/>
              <w:rPr>
                <w:rFonts w:ascii="Arial" w:eastAsia="Calibri" w:hAnsi="Arial" w:cs="Arial"/>
                <w:b/>
                <w:bCs/>
                <w:sz w:val="20"/>
                <w:szCs w:val="20"/>
                <w:lang w:val="es-EC" w:eastAsia="en-US"/>
              </w:rPr>
            </w:pPr>
          </w:p>
        </w:tc>
        <w:tc>
          <w:tcPr>
            <w:tcW w:w="958" w:type="pct"/>
            <w:tcBorders>
              <w:top w:val="nil"/>
              <w:left w:val="nil"/>
              <w:bottom w:val="single" w:sz="4" w:space="0" w:color="000000"/>
              <w:right w:val="single" w:sz="4" w:space="0" w:color="000000"/>
            </w:tcBorders>
            <w:shd w:val="clear" w:color="auto" w:fill="auto"/>
            <w:tcMar>
              <w:left w:w="70" w:type="dxa"/>
              <w:right w:w="70" w:type="dxa"/>
            </w:tcMar>
            <w:vAlign w:val="center"/>
          </w:tcPr>
          <w:p w14:paraId="15BADEDE"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98,64%</w:t>
            </w:r>
          </w:p>
        </w:tc>
        <w:tc>
          <w:tcPr>
            <w:tcW w:w="894" w:type="pct"/>
            <w:tcBorders>
              <w:top w:val="nil"/>
              <w:left w:val="nil"/>
              <w:bottom w:val="single" w:sz="4" w:space="0" w:color="000000"/>
              <w:right w:val="single" w:sz="4" w:space="0" w:color="000000"/>
            </w:tcBorders>
            <w:shd w:val="clear" w:color="auto" w:fill="auto"/>
            <w:tcMar>
              <w:left w:w="70" w:type="dxa"/>
              <w:right w:w="70" w:type="dxa"/>
            </w:tcMar>
            <w:vAlign w:val="center"/>
          </w:tcPr>
          <w:p w14:paraId="3D049642"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1,36%</w:t>
            </w:r>
          </w:p>
        </w:tc>
        <w:tc>
          <w:tcPr>
            <w:tcW w:w="958" w:type="pct"/>
            <w:tcBorders>
              <w:top w:val="nil"/>
              <w:left w:val="nil"/>
              <w:bottom w:val="single" w:sz="4" w:space="0" w:color="000000"/>
              <w:right w:val="single" w:sz="4" w:space="0" w:color="000000"/>
            </w:tcBorders>
            <w:shd w:val="clear" w:color="auto" w:fill="auto"/>
            <w:tcMar>
              <w:left w:w="70" w:type="dxa"/>
              <w:right w:w="70" w:type="dxa"/>
            </w:tcMar>
            <w:vAlign w:val="center"/>
          </w:tcPr>
          <w:p w14:paraId="740530E0"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100,00%</w:t>
            </w:r>
          </w:p>
        </w:tc>
      </w:tr>
      <w:tr w:rsidR="00064C79" w:rsidRPr="001049D4" w14:paraId="0E62F5C8" w14:textId="77777777" w:rsidTr="00033CE7">
        <w:trPr>
          <w:trHeight w:val="738"/>
          <w:jc w:val="center"/>
        </w:trPr>
        <w:tc>
          <w:tcPr>
            <w:tcW w:w="1021" w:type="pct"/>
            <w:vMerge/>
            <w:tcBorders>
              <w:top w:val="nil"/>
              <w:left w:val="single" w:sz="4" w:space="0" w:color="000000"/>
              <w:bottom w:val="single" w:sz="4" w:space="0" w:color="000000"/>
              <w:right w:val="single" w:sz="4" w:space="0" w:color="000000"/>
            </w:tcBorders>
            <w:tcMar>
              <w:left w:w="70" w:type="dxa"/>
              <w:right w:w="70" w:type="dxa"/>
            </w:tcMar>
            <w:vAlign w:val="center"/>
          </w:tcPr>
          <w:p w14:paraId="1CE06CF0" w14:textId="77777777" w:rsidR="00064C79" w:rsidRPr="001049D4" w:rsidRDefault="00064C79" w:rsidP="00064C79">
            <w:pPr>
              <w:spacing w:line="276" w:lineRule="auto"/>
              <w:jc w:val="center"/>
              <w:rPr>
                <w:rFonts w:ascii="Arial" w:eastAsia="Calibri" w:hAnsi="Arial" w:cs="Arial"/>
                <w:b/>
                <w:bCs/>
                <w:sz w:val="20"/>
                <w:szCs w:val="20"/>
                <w:lang w:val="es-EC" w:eastAsia="en-US"/>
              </w:rPr>
            </w:pPr>
          </w:p>
        </w:tc>
        <w:tc>
          <w:tcPr>
            <w:tcW w:w="1169" w:type="pct"/>
            <w:vMerge w:val="restart"/>
            <w:tcBorders>
              <w:top w:val="nil"/>
              <w:left w:val="single" w:sz="4" w:space="0" w:color="000000"/>
              <w:bottom w:val="single" w:sz="4" w:space="0" w:color="000000"/>
              <w:right w:val="single" w:sz="4" w:space="0" w:color="000000"/>
            </w:tcBorders>
            <w:shd w:val="clear" w:color="auto" w:fill="auto"/>
            <w:tcMar>
              <w:left w:w="70" w:type="dxa"/>
              <w:right w:w="70" w:type="dxa"/>
            </w:tcMar>
            <w:vAlign w:val="center"/>
          </w:tcPr>
          <w:p w14:paraId="68BFF113" w14:textId="77777777" w:rsidR="00064C79" w:rsidRPr="001049D4" w:rsidRDefault="00064C79" w:rsidP="00064C79">
            <w:pPr>
              <w:spacing w:line="276" w:lineRule="auto"/>
              <w:jc w:val="center"/>
              <w:rPr>
                <w:rFonts w:ascii="Arial" w:hAnsi="Arial" w:cs="Arial"/>
                <w:b/>
                <w:bCs/>
                <w:sz w:val="20"/>
                <w:szCs w:val="20"/>
                <w:lang w:val="es-EC" w:eastAsia="es-EC"/>
              </w:rPr>
            </w:pPr>
            <w:r w:rsidRPr="001049D4">
              <w:rPr>
                <w:rFonts w:ascii="Arial" w:hAnsi="Arial" w:cs="Arial"/>
                <w:b/>
                <w:bCs/>
                <w:sz w:val="20"/>
                <w:szCs w:val="20"/>
                <w:lang w:val="es-EC" w:eastAsia="es-EC"/>
              </w:rPr>
              <w:t>Posgrado</w:t>
            </w:r>
          </w:p>
        </w:tc>
        <w:tc>
          <w:tcPr>
            <w:tcW w:w="958" w:type="pct"/>
            <w:tcBorders>
              <w:top w:val="nil"/>
              <w:left w:val="nil"/>
              <w:bottom w:val="single" w:sz="4" w:space="0" w:color="000000"/>
              <w:right w:val="single" w:sz="4" w:space="0" w:color="000000"/>
            </w:tcBorders>
            <w:shd w:val="clear" w:color="auto" w:fill="auto"/>
            <w:tcMar>
              <w:left w:w="70" w:type="dxa"/>
              <w:right w:w="70" w:type="dxa"/>
            </w:tcMar>
            <w:vAlign w:val="center"/>
          </w:tcPr>
          <w:p w14:paraId="26906775"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180.241</w:t>
            </w:r>
          </w:p>
        </w:tc>
        <w:tc>
          <w:tcPr>
            <w:tcW w:w="894" w:type="pct"/>
            <w:tcBorders>
              <w:top w:val="nil"/>
              <w:left w:val="nil"/>
              <w:bottom w:val="single" w:sz="4" w:space="0" w:color="000000"/>
              <w:right w:val="single" w:sz="4" w:space="0" w:color="000000"/>
            </w:tcBorders>
            <w:shd w:val="clear" w:color="auto" w:fill="auto"/>
            <w:tcMar>
              <w:left w:w="70" w:type="dxa"/>
              <w:right w:w="70" w:type="dxa"/>
            </w:tcMar>
            <w:vAlign w:val="center"/>
          </w:tcPr>
          <w:p w14:paraId="0CDDA928"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359</w:t>
            </w:r>
          </w:p>
        </w:tc>
        <w:tc>
          <w:tcPr>
            <w:tcW w:w="958" w:type="pct"/>
            <w:tcBorders>
              <w:top w:val="nil"/>
              <w:left w:val="nil"/>
              <w:bottom w:val="single" w:sz="4" w:space="0" w:color="000000"/>
              <w:right w:val="single" w:sz="4" w:space="0" w:color="000000"/>
            </w:tcBorders>
            <w:shd w:val="clear" w:color="auto" w:fill="auto"/>
            <w:tcMar>
              <w:left w:w="70" w:type="dxa"/>
              <w:right w:w="70" w:type="dxa"/>
            </w:tcMar>
            <w:vAlign w:val="center"/>
          </w:tcPr>
          <w:p w14:paraId="2EAF191B"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180.600</w:t>
            </w:r>
          </w:p>
        </w:tc>
      </w:tr>
      <w:tr w:rsidR="00064C79" w:rsidRPr="001049D4" w14:paraId="2D66E22E" w14:textId="77777777" w:rsidTr="00033CE7">
        <w:trPr>
          <w:trHeight w:val="738"/>
          <w:jc w:val="center"/>
        </w:trPr>
        <w:tc>
          <w:tcPr>
            <w:tcW w:w="1021" w:type="pct"/>
            <w:vMerge/>
            <w:tcBorders>
              <w:top w:val="nil"/>
              <w:left w:val="single" w:sz="4" w:space="0" w:color="000000"/>
              <w:bottom w:val="single" w:sz="4" w:space="0" w:color="000000"/>
              <w:right w:val="single" w:sz="4" w:space="0" w:color="000000"/>
            </w:tcBorders>
            <w:tcMar>
              <w:left w:w="70" w:type="dxa"/>
              <w:right w:w="70" w:type="dxa"/>
            </w:tcMar>
            <w:vAlign w:val="center"/>
          </w:tcPr>
          <w:p w14:paraId="057BAC63" w14:textId="77777777" w:rsidR="00064C79" w:rsidRPr="001049D4" w:rsidRDefault="00064C79" w:rsidP="00064C79">
            <w:pPr>
              <w:spacing w:line="276" w:lineRule="auto"/>
              <w:jc w:val="center"/>
              <w:rPr>
                <w:rFonts w:ascii="Arial" w:eastAsia="Calibri" w:hAnsi="Arial" w:cs="Arial"/>
                <w:b/>
                <w:bCs/>
                <w:sz w:val="20"/>
                <w:szCs w:val="20"/>
                <w:lang w:val="es-EC" w:eastAsia="en-US"/>
              </w:rPr>
            </w:pPr>
          </w:p>
        </w:tc>
        <w:tc>
          <w:tcPr>
            <w:tcW w:w="1169" w:type="pct"/>
            <w:vMerge/>
            <w:tcBorders>
              <w:top w:val="nil"/>
              <w:left w:val="single" w:sz="4" w:space="0" w:color="000000"/>
              <w:bottom w:val="single" w:sz="4" w:space="0" w:color="000000"/>
              <w:right w:val="single" w:sz="4" w:space="0" w:color="000000"/>
            </w:tcBorders>
            <w:tcMar>
              <w:left w:w="70" w:type="dxa"/>
              <w:right w:w="70" w:type="dxa"/>
            </w:tcMar>
            <w:vAlign w:val="center"/>
          </w:tcPr>
          <w:p w14:paraId="74910450" w14:textId="77777777" w:rsidR="00064C79" w:rsidRPr="001049D4" w:rsidRDefault="00064C79" w:rsidP="00064C79">
            <w:pPr>
              <w:spacing w:line="276" w:lineRule="auto"/>
              <w:jc w:val="center"/>
              <w:rPr>
                <w:rFonts w:ascii="Arial" w:eastAsia="Calibri" w:hAnsi="Arial" w:cs="Arial"/>
                <w:b/>
                <w:bCs/>
                <w:sz w:val="20"/>
                <w:szCs w:val="20"/>
                <w:lang w:val="es-EC" w:eastAsia="en-US"/>
              </w:rPr>
            </w:pPr>
          </w:p>
        </w:tc>
        <w:tc>
          <w:tcPr>
            <w:tcW w:w="958" w:type="pct"/>
            <w:tcBorders>
              <w:top w:val="nil"/>
              <w:left w:val="nil"/>
              <w:bottom w:val="single" w:sz="4" w:space="0" w:color="000000"/>
              <w:right w:val="single" w:sz="4" w:space="0" w:color="000000"/>
            </w:tcBorders>
            <w:shd w:val="clear" w:color="auto" w:fill="auto"/>
            <w:tcMar>
              <w:left w:w="70" w:type="dxa"/>
              <w:right w:w="70" w:type="dxa"/>
            </w:tcMar>
            <w:vAlign w:val="center"/>
          </w:tcPr>
          <w:p w14:paraId="7A5F73A9"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99,80%</w:t>
            </w:r>
          </w:p>
        </w:tc>
        <w:tc>
          <w:tcPr>
            <w:tcW w:w="894" w:type="pct"/>
            <w:tcBorders>
              <w:top w:val="nil"/>
              <w:left w:val="nil"/>
              <w:bottom w:val="single" w:sz="4" w:space="0" w:color="000000"/>
              <w:right w:val="single" w:sz="4" w:space="0" w:color="000000"/>
            </w:tcBorders>
            <w:shd w:val="clear" w:color="auto" w:fill="auto"/>
            <w:tcMar>
              <w:left w:w="70" w:type="dxa"/>
              <w:right w:w="70" w:type="dxa"/>
            </w:tcMar>
            <w:vAlign w:val="center"/>
          </w:tcPr>
          <w:p w14:paraId="3AE50B50"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0,20%</w:t>
            </w:r>
          </w:p>
        </w:tc>
        <w:tc>
          <w:tcPr>
            <w:tcW w:w="958" w:type="pct"/>
            <w:tcBorders>
              <w:top w:val="nil"/>
              <w:left w:val="nil"/>
              <w:bottom w:val="single" w:sz="4" w:space="0" w:color="000000"/>
              <w:right w:val="single" w:sz="4" w:space="0" w:color="000000"/>
            </w:tcBorders>
            <w:shd w:val="clear" w:color="auto" w:fill="auto"/>
            <w:tcMar>
              <w:left w:w="70" w:type="dxa"/>
              <w:right w:w="70" w:type="dxa"/>
            </w:tcMar>
            <w:vAlign w:val="center"/>
          </w:tcPr>
          <w:p w14:paraId="7FEFCBB5"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100,00%</w:t>
            </w:r>
          </w:p>
        </w:tc>
      </w:tr>
      <w:tr w:rsidR="00064C79" w:rsidRPr="001049D4" w14:paraId="67493589" w14:textId="77777777" w:rsidTr="00033CE7">
        <w:trPr>
          <w:trHeight w:val="738"/>
          <w:jc w:val="center"/>
        </w:trPr>
        <w:tc>
          <w:tcPr>
            <w:tcW w:w="219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EFFC943" w14:textId="77777777" w:rsidR="00064C79" w:rsidRPr="001049D4" w:rsidRDefault="00064C79" w:rsidP="00064C79">
            <w:pPr>
              <w:spacing w:line="276" w:lineRule="auto"/>
              <w:jc w:val="center"/>
              <w:rPr>
                <w:rFonts w:ascii="Arial" w:hAnsi="Arial" w:cs="Arial"/>
                <w:b/>
                <w:bCs/>
                <w:sz w:val="20"/>
                <w:szCs w:val="20"/>
                <w:lang w:val="es-EC" w:eastAsia="es-EC"/>
              </w:rPr>
            </w:pPr>
            <w:r w:rsidRPr="001049D4">
              <w:rPr>
                <w:rFonts w:ascii="Arial" w:hAnsi="Arial" w:cs="Arial"/>
                <w:b/>
                <w:bCs/>
                <w:sz w:val="20"/>
                <w:szCs w:val="20"/>
                <w:lang w:val="es-EC" w:eastAsia="es-EC"/>
              </w:rPr>
              <w:t>Total</w:t>
            </w:r>
          </w:p>
        </w:tc>
        <w:tc>
          <w:tcPr>
            <w:tcW w:w="958" w:type="pct"/>
            <w:tcBorders>
              <w:top w:val="nil"/>
              <w:left w:val="nil"/>
              <w:bottom w:val="single" w:sz="4" w:space="0" w:color="000000"/>
              <w:right w:val="single" w:sz="4" w:space="0" w:color="000000"/>
            </w:tcBorders>
            <w:shd w:val="clear" w:color="auto" w:fill="auto"/>
            <w:tcMar>
              <w:left w:w="70" w:type="dxa"/>
              <w:right w:w="70" w:type="dxa"/>
            </w:tcMar>
            <w:vAlign w:val="center"/>
          </w:tcPr>
          <w:p w14:paraId="15D90548"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1.553.080</w:t>
            </w:r>
          </w:p>
        </w:tc>
        <w:tc>
          <w:tcPr>
            <w:tcW w:w="894" w:type="pct"/>
            <w:tcBorders>
              <w:top w:val="nil"/>
              <w:left w:val="nil"/>
              <w:bottom w:val="single" w:sz="4" w:space="0" w:color="000000"/>
              <w:right w:val="single" w:sz="4" w:space="0" w:color="000000"/>
            </w:tcBorders>
            <w:shd w:val="clear" w:color="auto" w:fill="auto"/>
            <w:tcMar>
              <w:left w:w="70" w:type="dxa"/>
              <w:right w:w="70" w:type="dxa"/>
            </w:tcMar>
            <w:vAlign w:val="center"/>
          </w:tcPr>
          <w:p w14:paraId="41AC4AE3"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19.268</w:t>
            </w:r>
          </w:p>
        </w:tc>
        <w:tc>
          <w:tcPr>
            <w:tcW w:w="958" w:type="pct"/>
            <w:tcBorders>
              <w:top w:val="nil"/>
              <w:left w:val="nil"/>
              <w:bottom w:val="single" w:sz="4" w:space="0" w:color="000000"/>
              <w:right w:val="single" w:sz="4" w:space="0" w:color="000000"/>
            </w:tcBorders>
            <w:shd w:val="clear" w:color="auto" w:fill="auto"/>
            <w:tcMar>
              <w:left w:w="70" w:type="dxa"/>
              <w:right w:w="70" w:type="dxa"/>
            </w:tcMar>
            <w:vAlign w:val="center"/>
          </w:tcPr>
          <w:p w14:paraId="09C1B4FE"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1.572.348</w:t>
            </w:r>
          </w:p>
        </w:tc>
      </w:tr>
      <w:tr w:rsidR="00064C79" w:rsidRPr="001049D4" w14:paraId="718D426D" w14:textId="77777777" w:rsidTr="00033CE7">
        <w:trPr>
          <w:trHeight w:val="738"/>
          <w:jc w:val="center"/>
        </w:trPr>
        <w:tc>
          <w:tcPr>
            <w:tcW w:w="2190" w:type="pct"/>
            <w:gridSpan w:val="2"/>
            <w:vMerge/>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E97AA9F" w14:textId="77777777" w:rsidR="00064C79" w:rsidRPr="001049D4" w:rsidRDefault="00064C79" w:rsidP="00064C79">
            <w:pPr>
              <w:spacing w:line="276" w:lineRule="auto"/>
              <w:jc w:val="center"/>
              <w:rPr>
                <w:rFonts w:ascii="Arial" w:eastAsia="Calibri" w:hAnsi="Arial" w:cs="Arial"/>
                <w:sz w:val="20"/>
                <w:szCs w:val="20"/>
                <w:lang w:val="es-EC" w:eastAsia="en-US"/>
              </w:rPr>
            </w:pPr>
          </w:p>
        </w:tc>
        <w:tc>
          <w:tcPr>
            <w:tcW w:w="958" w:type="pct"/>
            <w:tcBorders>
              <w:top w:val="nil"/>
              <w:left w:val="nil"/>
              <w:bottom w:val="single" w:sz="4" w:space="0" w:color="000000"/>
              <w:right w:val="single" w:sz="4" w:space="0" w:color="000000"/>
            </w:tcBorders>
            <w:shd w:val="clear" w:color="auto" w:fill="auto"/>
            <w:tcMar>
              <w:left w:w="70" w:type="dxa"/>
              <w:right w:w="70" w:type="dxa"/>
            </w:tcMar>
            <w:vAlign w:val="center"/>
          </w:tcPr>
          <w:p w14:paraId="1B799E82"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98,77%</w:t>
            </w:r>
          </w:p>
        </w:tc>
        <w:tc>
          <w:tcPr>
            <w:tcW w:w="894" w:type="pct"/>
            <w:tcBorders>
              <w:top w:val="nil"/>
              <w:left w:val="nil"/>
              <w:bottom w:val="single" w:sz="4" w:space="0" w:color="000000"/>
              <w:right w:val="single" w:sz="4" w:space="0" w:color="000000"/>
            </w:tcBorders>
            <w:shd w:val="clear" w:color="auto" w:fill="auto"/>
            <w:tcMar>
              <w:left w:w="70" w:type="dxa"/>
              <w:right w:w="70" w:type="dxa"/>
            </w:tcMar>
            <w:vAlign w:val="center"/>
          </w:tcPr>
          <w:p w14:paraId="23C2A7BC"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1,23%</w:t>
            </w:r>
          </w:p>
        </w:tc>
        <w:tc>
          <w:tcPr>
            <w:tcW w:w="958" w:type="pct"/>
            <w:tcBorders>
              <w:top w:val="nil"/>
              <w:left w:val="nil"/>
              <w:bottom w:val="single" w:sz="4" w:space="0" w:color="000000"/>
              <w:right w:val="single" w:sz="4" w:space="0" w:color="000000"/>
            </w:tcBorders>
            <w:shd w:val="clear" w:color="auto" w:fill="auto"/>
            <w:tcMar>
              <w:left w:w="70" w:type="dxa"/>
              <w:right w:w="70" w:type="dxa"/>
            </w:tcMar>
            <w:vAlign w:val="center"/>
          </w:tcPr>
          <w:p w14:paraId="7DA9AE36" w14:textId="77777777" w:rsidR="00064C79" w:rsidRPr="001049D4" w:rsidRDefault="00064C79" w:rsidP="00064C79">
            <w:pPr>
              <w:spacing w:line="276" w:lineRule="auto"/>
              <w:jc w:val="center"/>
              <w:rPr>
                <w:rFonts w:ascii="Arial" w:hAnsi="Arial" w:cs="Arial"/>
                <w:sz w:val="20"/>
                <w:szCs w:val="20"/>
                <w:lang w:val="es-EC" w:eastAsia="es-EC"/>
              </w:rPr>
            </w:pPr>
            <w:r w:rsidRPr="001049D4">
              <w:rPr>
                <w:rFonts w:ascii="Arial" w:hAnsi="Arial" w:cs="Arial"/>
                <w:sz w:val="20"/>
                <w:szCs w:val="20"/>
                <w:lang w:val="es-EC" w:eastAsia="es-EC"/>
              </w:rPr>
              <w:t>100,00%</w:t>
            </w:r>
          </w:p>
        </w:tc>
      </w:tr>
    </w:tbl>
    <w:p w14:paraId="533A56B1" w14:textId="77777777" w:rsidR="00064C79" w:rsidRPr="001049D4" w:rsidRDefault="00064C79" w:rsidP="00064C79">
      <w:pPr>
        <w:spacing w:line="360" w:lineRule="auto"/>
        <w:jc w:val="both"/>
        <w:rPr>
          <w:rFonts w:ascii="Arial" w:eastAsia="Calibri" w:hAnsi="Arial" w:cs="Arial"/>
          <w:spacing w:val="-1"/>
          <w:sz w:val="20"/>
          <w:szCs w:val="20"/>
          <w:lang w:val="es-EC" w:eastAsia="en-US"/>
        </w:rPr>
      </w:pPr>
      <w:r w:rsidRPr="001049D4">
        <w:rPr>
          <w:rFonts w:ascii="Arial" w:eastAsia="Calibri" w:hAnsi="Arial" w:cs="Arial"/>
          <w:iCs/>
          <w:spacing w:val="-1"/>
          <w:sz w:val="20"/>
          <w:szCs w:val="20"/>
          <w:lang w:val="es-EC" w:eastAsia="en-US"/>
        </w:rPr>
        <w:t>Nota</w:t>
      </w:r>
      <w:r w:rsidRPr="001049D4">
        <w:rPr>
          <w:rFonts w:ascii="Arial" w:eastAsia="Calibri" w:hAnsi="Arial" w:cs="Arial"/>
          <w:spacing w:val="-1"/>
          <w:sz w:val="20"/>
          <w:szCs w:val="20"/>
          <w:lang w:val="es-EC" w:eastAsia="en-US"/>
        </w:rPr>
        <w:t>. Elaboración propia con base en el INEC, 2023.</w:t>
      </w:r>
    </w:p>
    <w:p w14:paraId="67CB7BA4" w14:textId="77777777" w:rsidR="00064C79" w:rsidRPr="00064C79" w:rsidRDefault="00064C79" w:rsidP="00E73DF2">
      <w:pPr>
        <w:spacing w:before="100" w:beforeAutospacing="1" w:after="100" w:afterAutospacing="1" w:line="360" w:lineRule="auto"/>
        <w:jc w:val="both"/>
        <w:rPr>
          <w:rFonts w:ascii="Arial" w:hAnsi="Arial" w:cs="Arial"/>
          <w:b/>
          <w:lang w:val="es-EC" w:eastAsia="en-US"/>
        </w:rPr>
      </w:pPr>
      <w:r w:rsidRPr="00064C79">
        <w:rPr>
          <w:rFonts w:ascii="Arial" w:hAnsi="Arial" w:cs="Arial"/>
          <w:b/>
          <w:lang w:val="es-EC" w:eastAsia="en-US"/>
        </w:rPr>
        <w:lastRenderedPageBreak/>
        <w:t>Análisis de riesgo</w:t>
      </w:r>
    </w:p>
    <w:p w14:paraId="04532F28" w14:textId="77777777" w:rsidR="00064C79" w:rsidRPr="00064C79" w:rsidRDefault="00064C79" w:rsidP="00E73DF2">
      <w:pPr>
        <w:spacing w:before="100" w:beforeAutospacing="1" w:after="100" w:afterAutospacing="1" w:line="360" w:lineRule="auto"/>
        <w:jc w:val="both"/>
        <w:rPr>
          <w:rFonts w:ascii="Arial" w:hAnsi="Arial" w:cs="Arial"/>
          <w:lang w:val="es-EC" w:eastAsia="en-US"/>
        </w:rPr>
      </w:pPr>
      <w:r w:rsidRPr="00064C79">
        <w:rPr>
          <w:rFonts w:ascii="Arial" w:hAnsi="Arial" w:cs="Arial"/>
          <w:lang w:val="es-EC" w:eastAsia="en-US"/>
        </w:rPr>
        <w:t>A partir de la estimación de riesgo, se concluye que una persona con educación superior universitaria, pero sin posgrado, tiene 3,67 veces más probabilidades de no tener un empleo adecuado en comparación con una persona con un título de posgrado. Además, el riesgo de no alcanzar un empleo pleno para alguien con educación universitaria superior es un 128% mayor, en contraste con aquellos que poseen un nivel educativo de posgrado (tabla 1).</w:t>
      </w:r>
    </w:p>
    <w:p w14:paraId="37871F64" w14:textId="288B4BC8" w:rsidR="00064C79" w:rsidRPr="00452F22" w:rsidRDefault="00064C79" w:rsidP="00452F22">
      <w:pPr>
        <w:spacing w:after="100" w:afterAutospacing="1"/>
        <w:jc w:val="center"/>
        <w:rPr>
          <w:rFonts w:ascii="Arial" w:hAnsi="Arial" w:cs="Arial"/>
          <w:b/>
          <w:iCs/>
          <w:sz w:val="20"/>
          <w:szCs w:val="20"/>
          <w:lang w:val="es-EC" w:eastAsia="en-US"/>
        </w:rPr>
      </w:pPr>
      <w:r w:rsidRPr="00452F22">
        <w:rPr>
          <w:rFonts w:ascii="Arial" w:hAnsi="Arial" w:cs="Arial"/>
          <w:b/>
          <w:bCs/>
          <w:sz w:val="20"/>
          <w:szCs w:val="20"/>
          <w:lang w:val="es-EC" w:eastAsia="en-US"/>
        </w:rPr>
        <w:t>Tabla 1</w:t>
      </w:r>
      <w:r w:rsidR="00127E08" w:rsidRPr="00452F22">
        <w:rPr>
          <w:rFonts w:ascii="Arial" w:hAnsi="Arial" w:cs="Arial"/>
          <w:b/>
          <w:bCs/>
          <w:sz w:val="20"/>
          <w:szCs w:val="20"/>
          <w:lang w:val="es-EC" w:eastAsia="en-US"/>
        </w:rPr>
        <w:t xml:space="preserve">. </w:t>
      </w:r>
      <w:r w:rsidRPr="00452F22">
        <w:rPr>
          <w:rFonts w:ascii="Arial" w:hAnsi="Arial" w:cs="Arial"/>
          <w:b/>
          <w:iCs/>
          <w:sz w:val="20"/>
          <w:szCs w:val="20"/>
          <w:lang w:val="es-EC" w:eastAsia="en-US"/>
        </w:rPr>
        <w:t>Estimación de riesgo de no tener un empleo adecuado / pleno</w:t>
      </w:r>
    </w:p>
    <w:tbl>
      <w:tblPr>
        <w:tblW w:w="5035" w:type="pct"/>
        <w:jc w:val="center"/>
        <w:tblLook w:val="04A0" w:firstRow="1" w:lastRow="0" w:firstColumn="1" w:lastColumn="0" w:noHBand="0" w:noVBand="1"/>
      </w:tblPr>
      <w:tblGrid>
        <w:gridCol w:w="3520"/>
        <w:gridCol w:w="1892"/>
        <w:gridCol w:w="3428"/>
      </w:tblGrid>
      <w:tr w:rsidR="00064C79" w:rsidRPr="00452F22" w14:paraId="4FE5839D" w14:textId="77777777" w:rsidTr="000520EE">
        <w:trPr>
          <w:trHeight w:val="717"/>
          <w:jc w:val="center"/>
        </w:trPr>
        <w:tc>
          <w:tcPr>
            <w:tcW w:w="1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C083B" w14:textId="77777777" w:rsidR="00064C79" w:rsidRPr="00452F22" w:rsidRDefault="00064C79" w:rsidP="00064C79">
            <w:pPr>
              <w:spacing w:line="276" w:lineRule="auto"/>
              <w:jc w:val="center"/>
              <w:rPr>
                <w:rFonts w:ascii="Arial" w:hAnsi="Arial" w:cs="Arial"/>
                <w:b/>
                <w:bCs/>
                <w:sz w:val="20"/>
                <w:szCs w:val="20"/>
                <w:lang w:val="es-EC" w:eastAsia="en-US"/>
              </w:rPr>
            </w:pPr>
            <w:r w:rsidRPr="00452F22">
              <w:rPr>
                <w:rFonts w:ascii="Arial" w:hAnsi="Arial" w:cs="Arial"/>
                <w:b/>
                <w:bCs/>
                <w:sz w:val="20"/>
                <w:szCs w:val="20"/>
                <w:lang w:val="es-EC" w:eastAsia="en-US"/>
              </w:rPr>
              <w:t>Descripción</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4B586" w14:textId="77777777" w:rsidR="00064C79" w:rsidRPr="00452F22" w:rsidRDefault="00064C79" w:rsidP="00064C79">
            <w:pPr>
              <w:spacing w:line="276" w:lineRule="auto"/>
              <w:jc w:val="center"/>
              <w:rPr>
                <w:rFonts w:ascii="Arial" w:hAnsi="Arial" w:cs="Arial"/>
                <w:b/>
                <w:bCs/>
                <w:sz w:val="20"/>
                <w:szCs w:val="20"/>
                <w:lang w:val="es-EC" w:eastAsia="en-US"/>
              </w:rPr>
            </w:pPr>
            <w:r w:rsidRPr="00452F22">
              <w:rPr>
                <w:rFonts w:ascii="Arial" w:hAnsi="Arial" w:cs="Arial"/>
                <w:b/>
                <w:bCs/>
                <w:sz w:val="20"/>
                <w:szCs w:val="20"/>
                <w:lang w:val="es-EC" w:eastAsia="en-US"/>
              </w:rPr>
              <w:t>Valor</w:t>
            </w:r>
          </w:p>
        </w:tc>
        <w:tc>
          <w:tcPr>
            <w:tcW w:w="1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49359" w14:textId="77777777" w:rsidR="00064C79" w:rsidRPr="00452F22" w:rsidRDefault="00064C79" w:rsidP="00064C79">
            <w:pPr>
              <w:spacing w:line="276" w:lineRule="auto"/>
              <w:jc w:val="center"/>
              <w:rPr>
                <w:rFonts w:ascii="Arial" w:hAnsi="Arial" w:cs="Arial"/>
                <w:b/>
                <w:bCs/>
                <w:sz w:val="20"/>
                <w:szCs w:val="20"/>
                <w:lang w:val="es-EC" w:eastAsia="en-US"/>
              </w:rPr>
            </w:pPr>
            <w:r w:rsidRPr="00452F22">
              <w:rPr>
                <w:rFonts w:ascii="Arial" w:hAnsi="Arial" w:cs="Arial"/>
                <w:b/>
                <w:bCs/>
                <w:sz w:val="20"/>
                <w:szCs w:val="20"/>
                <w:lang w:val="es-EC" w:eastAsia="en-US"/>
              </w:rPr>
              <w:t>Intervalo de confianza al 95%</w:t>
            </w:r>
          </w:p>
        </w:tc>
      </w:tr>
      <w:tr w:rsidR="00064C79" w:rsidRPr="00452F22" w14:paraId="0B930229" w14:textId="77777777" w:rsidTr="000520EE">
        <w:trPr>
          <w:trHeight w:val="1049"/>
          <w:jc w:val="center"/>
        </w:trPr>
        <w:tc>
          <w:tcPr>
            <w:tcW w:w="1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F70669" w14:textId="77777777" w:rsidR="00064C79" w:rsidRPr="00452F22" w:rsidRDefault="00064C79" w:rsidP="00064C79">
            <w:pPr>
              <w:spacing w:line="276" w:lineRule="auto"/>
              <w:jc w:val="center"/>
              <w:rPr>
                <w:rFonts w:ascii="Arial" w:hAnsi="Arial" w:cs="Arial"/>
                <w:b/>
                <w:bCs/>
                <w:sz w:val="20"/>
                <w:szCs w:val="20"/>
                <w:lang w:val="es-EC" w:eastAsia="en-US"/>
              </w:rPr>
            </w:pPr>
            <w:r w:rsidRPr="00452F22">
              <w:rPr>
                <w:rFonts w:ascii="Arial" w:hAnsi="Arial" w:cs="Arial"/>
                <w:b/>
                <w:bCs/>
                <w:sz w:val="20"/>
                <w:szCs w:val="20"/>
                <w:lang w:val="es-EC" w:eastAsia="en-US"/>
              </w:rPr>
              <w:t>Nivel de instrucción</w:t>
            </w:r>
          </w:p>
          <w:p w14:paraId="49BDC4F5" w14:textId="77777777" w:rsidR="00064C79" w:rsidRPr="00452F22" w:rsidRDefault="00064C79" w:rsidP="00064C79">
            <w:pPr>
              <w:spacing w:line="276" w:lineRule="auto"/>
              <w:jc w:val="center"/>
              <w:rPr>
                <w:rFonts w:ascii="Arial" w:hAnsi="Arial" w:cs="Arial"/>
                <w:b/>
                <w:bCs/>
                <w:sz w:val="20"/>
                <w:szCs w:val="20"/>
                <w:lang w:val="es-EC" w:eastAsia="en-US"/>
              </w:rPr>
            </w:pPr>
            <w:r w:rsidRPr="00452F22">
              <w:rPr>
                <w:rFonts w:ascii="Arial" w:hAnsi="Arial" w:cs="Arial"/>
                <w:b/>
                <w:bCs/>
                <w:sz w:val="20"/>
                <w:szCs w:val="20"/>
                <w:lang w:val="es-EC" w:eastAsia="en-US"/>
              </w:rPr>
              <w:t>(Superior Universitario vs. Posgrado)</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39CA8A" w14:textId="77777777" w:rsidR="00064C79" w:rsidRPr="00452F22" w:rsidRDefault="00064C79" w:rsidP="00064C79">
            <w:pPr>
              <w:spacing w:line="276" w:lineRule="auto"/>
              <w:jc w:val="center"/>
              <w:rPr>
                <w:rFonts w:ascii="Arial" w:hAnsi="Arial" w:cs="Arial"/>
                <w:sz w:val="20"/>
                <w:szCs w:val="20"/>
                <w:lang w:val="es-EC" w:eastAsia="en-US"/>
              </w:rPr>
            </w:pPr>
            <w:r w:rsidRPr="00452F22">
              <w:rPr>
                <w:rFonts w:ascii="Arial" w:hAnsi="Arial" w:cs="Arial"/>
                <w:sz w:val="20"/>
                <w:szCs w:val="20"/>
                <w:lang w:val="es-EC" w:eastAsia="en-US"/>
              </w:rPr>
              <w:t>3,67</w:t>
            </w:r>
          </w:p>
        </w:tc>
        <w:tc>
          <w:tcPr>
            <w:tcW w:w="1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1BDA51" w14:textId="77777777" w:rsidR="00064C79" w:rsidRPr="00452F22" w:rsidRDefault="00064C79" w:rsidP="00064C79">
            <w:pPr>
              <w:spacing w:line="276" w:lineRule="auto"/>
              <w:jc w:val="center"/>
              <w:rPr>
                <w:rFonts w:ascii="Arial" w:hAnsi="Arial" w:cs="Arial"/>
                <w:sz w:val="20"/>
                <w:szCs w:val="20"/>
                <w:lang w:val="es-EC" w:eastAsia="en-US"/>
              </w:rPr>
            </w:pPr>
            <w:r w:rsidRPr="00452F22">
              <w:rPr>
                <w:rFonts w:ascii="Arial" w:hAnsi="Arial" w:cs="Arial"/>
                <w:sz w:val="20"/>
                <w:szCs w:val="20"/>
                <w:lang w:val="es-EC" w:eastAsia="en-US"/>
              </w:rPr>
              <w:t>3,66 a 3,74</w:t>
            </w:r>
          </w:p>
        </w:tc>
      </w:tr>
      <w:tr w:rsidR="00064C79" w:rsidRPr="00452F22" w14:paraId="1FC7CD15" w14:textId="77777777" w:rsidTr="000520EE">
        <w:trPr>
          <w:trHeight w:val="1038"/>
          <w:jc w:val="center"/>
        </w:trPr>
        <w:tc>
          <w:tcPr>
            <w:tcW w:w="1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6A33B" w14:textId="77777777" w:rsidR="00064C79" w:rsidRPr="00452F22" w:rsidRDefault="00064C79" w:rsidP="00064C79">
            <w:pPr>
              <w:spacing w:line="276" w:lineRule="auto"/>
              <w:jc w:val="center"/>
              <w:rPr>
                <w:rFonts w:ascii="Arial" w:hAnsi="Arial" w:cs="Arial"/>
                <w:b/>
                <w:bCs/>
                <w:sz w:val="20"/>
                <w:szCs w:val="20"/>
                <w:lang w:val="es-EC" w:eastAsia="en-US"/>
              </w:rPr>
            </w:pPr>
            <w:r w:rsidRPr="00452F22">
              <w:rPr>
                <w:rFonts w:ascii="Arial" w:hAnsi="Arial" w:cs="Arial"/>
                <w:b/>
                <w:bCs/>
                <w:sz w:val="20"/>
                <w:szCs w:val="20"/>
                <w:lang w:val="es-EC" w:eastAsia="en-US"/>
              </w:rPr>
              <w:t>Empleo no adecuado / pleno</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0DB15" w14:textId="77777777" w:rsidR="00064C79" w:rsidRPr="00452F22" w:rsidRDefault="00064C79" w:rsidP="00064C79">
            <w:pPr>
              <w:spacing w:line="276" w:lineRule="auto"/>
              <w:jc w:val="center"/>
              <w:rPr>
                <w:rFonts w:ascii="Arial" w:hAnsi="Arial" w:cs="Arial"/>
                <w:sz w:val="20"/>
                <w:szCs w:val="20"/>
                <w:lang w:val="es-EC" w:eastAsia="en-US"/>
              </w:rPr>
            </w:pPr>
            <w:r w:rsidRPr="00452F22">
              <w:rPr>
                <w:rFonts w:ascii="Arial" w:hAnsi="Arial" w:cs="Arial"/>
                <w:sz w:val="20"/>
                <w:szCs w:val="20"/>
                <w:lang w:val="es-EC" w:eastAsia="en-US"/>
              </w:rPr>
              <w:t>2,28</w:t>
            </w:r>
          </w:p>
        </w:tc>
        <w:tc>
          <w:tcPr>
            <w:tcW w:w="1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1ADDC" w14:textId="77777777" w:rsidR="00064C79" w:rsidRPr="00452F22" w:rsidRDefault="00064C79" w:rsidP="00064C79">
            <w:pPr>
              <w:spacing w:line="276" w:lineRule="auto"/>
              <w:jc w:val="center"/>
              <w:rPr>
                <w:rFonts w:ascii="Arial" w:hAnsi="Arial" w:cs="Arial"/>
                <w:sz w:val="20"/>
                <w:szCs w:val="20"/>
                <w:lang w:val="es-EC" w:eastAsia="en-US"/>
              </w:rPr>
            </w:pPr>
            <w:r w:rsidRPr="00452F22">
              <w:rPr>
                <w:rFonts w:ascii="Arial" w:hAnsi="Arial" w:cs="Arial"/>
                <w:sz w:val="20"/>
                <w:szCs w:val="20"/>
                <w:lang w:val="es-EC" w:eastAsia="en-US"/>
              </w:rPr>
              <w:t>2,26 a 2,30</w:t>
            </w:r>
          </w:p>
        </w:tc>
      </w:tr>
      <w:tr w:rsidR="00064C79" w:rsidRPr="00452F22" w14:paraId="48F8CC19" w14:textId="77777777" w:rsidTr="000520EE">
        <w:trPr>
          <w:trHeight w:val="1026"/>
          <w:jc w:val="center"/>
        </w:trPr>
        <w:tc>
          <w:tcPr>
            <w:tcW w:w="1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13515B" w14:textId="77777777" w:rsidR="00064C79" w:rsidRPr="00452F22" w:rsidRDefault="00064C79" w:rsidP="00064C79">
            <w:pPr>
              <w:spacing w:line="276" w:lineRule="auto"/>
              <w:jc w:val="center"/>
              <w:rPr>
                <w:rFonts w:ascii="Arial" w:hAnsi="Arial" w:cs="Arial"/>
                <w:b/>
                <w:bCs/>
                <w:sz w:val="20"/>
                <w:szCs w:val="20"/>
                <w:lang w:val="es-EC" w:eastAsia="en-US"/>
              </w:rPr>
            </w:pPr>
            <w:r w:rsidRPr="00452F22">
              <w:rPr>
                <w:rFonts w:ascii="Arial" w:hAnsi="Arial" w:cs="Arial"/>
                <w:b/>
                <w:bCs/>
                <w:sz w:val="20"/>
                <w:szCs w:val="20"/>
                <w:lang w:val="es-EC" w:eastAsia="en-US"/>
              </w:rPr>
              <w:t>Empleo adecuado / pleno</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4E8C6" w14:textId="77777777" w:rsidR="00064C79" w:rsidRPr="00452F22" w:rsidRDefault="00064C79" w:rsidP="00064C79">
            <w:pPr>
              <w:spacing w:line="276" w:lineRule="auto"/>
              <w:jc w:val="center"/>
              <w:rPr>
                <w:rFonts w:ascii="Arial" w:hAnsi="Arial" w:cs="Arial"/>
                <w:sz w:val="20"/>
                <w:szCs w:val="20"/>
                <w:lang w:val="es-EC" w:eastAsia="en-US"/>
              </w:rPr>
            </w:pPr>
            <w:r w:rsidRPr="00452F22">
              <w:rPr>
                <w:rFonts w:ascii="Arial" w:hAnsi="Arial" w:cs="Arial"/>
                <w:sz w:val="20"/>
                <w:szCs w:val="20"/>
                <w:lang w:val="es-EC" w:eastAsia="en-US"/>
              </w:rPr>
              <w:t>0,62</w:t>
            </w:r>
          </w:p>
        </w:tc>
        <w:tc>
          <w:tcPr>
            <w:tcW w:w="1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2D02B" w14:textId="77777777" w:rsidR="00064C79" w:rsidRPr="00452F22" w:rsidRDefault="00064C79" w:rsidP="00064C79">
            <w:pPr>
              <w:spacing w:line="276" w:lineRule="auto"/>
              <w:jc w:val="center"/>
              <w:rPr>
                <w:rFonts w:ascii="Arial" w:hAnsi="Arial" w:cs="Arial"/>
                <w:sz w:val="20"/>
                <w:szCs w:val="20"/>
                <w:lang w:val="es-EC" w:eastAsia="en-US"/>
              </w:rPr>
            </w:pPr>
            <w:r w:rsidRPr="00452F22">
              <w:rPr>
                <w:rFonts w:ascii="Arial" w:hAnsi="Arial" w:cs="Arial"/>
                <w:sz w:val="20"/>
                <w:szCs w:val="20"/>
                <w:lang w:val="es-EC" w:eastAsia="en-US"/>
              </w:rPr>
              <w:t>0,61 a 0,62</w:t>
            </w:r>
          </w:p>
        </w:tc>
      </w:tr>
      <w:tr w:rsidR="00064C79" w:rsidRPr="00452F22" w14:paraId="17E62EF0" w14:textId="77777777" w:rsidTr="000520EE">
        <w:trPr>
          <w:trHeight w:val="1041"/>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BACA0E" w14:textId="77777777" w:rsidR="00064C79" w:rsidRPr="00452F22" w:rsidRDefault="00064C79" w:rsidP="00064C79">
            <w:pPr>
              <w:spacing w:line="276" w:lineRule="auto"/>
              <w:jc w:val="center"/>
              <w:rPr>
                <w:rFonts w:ascii="Arial" w:eastAsia="Arial" w:hAnsi="Arial" w:cs="Arial"/>
                <w:b/>
                <w:bCs/>
                <w:color w:val="000000"/>
                <w:sz w:val="20"/>
                <w:szCs w:val="20"/>
                <w:lang w:val="es-EC" w:eastAsia="en-US"/>
              </w:rPr>
            </w:pPr>
            <w:r w:rsidRPr="00452F22">
              <w:rPr>
                <w:rFonts w:ascii="Arial" w:hAnsi="Arial" w:cs="Arial"/>
                <w:b/>
                <w:bCs/>
                <w:sz w:val="20"/>
                <w:szCs w:val="20"/>
                <w:lang w:val="es-EC" w:eastAsia="en-US"/>
              </w:rPr>
              <w:t xml:space="preserve">Número de casos válidos: </w:t>
            </w:r>
            <w:r w:rsidRPr="00452F22">
              <w:rPr>
                <w:rFonts w:ascii="Arial" w:eastAsia="Arial" w:hAnsi="Arial" w:cs="Arial"/>
                <w:color w:val="000000"/>
                <w:sz w:val="20"/>
                <w:szCs w:val="20"/>
                <w:lang w:val="es-EC" w:eastAsia="en-US"/>
              </w:rPr>
              <w:t>1.845.578</w:t>
            </w:r>
          </w:p>
        </w:tc>
      </w:tr>
    </w:tbl>
    <w:p w14:paraId="74A37B56" w14:textId="77777777" w:rsidR="00064C79" w:rsidRPr="00452F22" w:rsidRDefault="00064C79" w:rsidP="00064C79">
      <w:pPr>
        <w:spacing w:line="360" w:lineRule="auto"/>
        <w:jc w:val="both"/>
        <w:rPr>
          <w:rFonts w:ascii="Arial" w:eastAsia="Calibri" w:hAnsi="Arial" w:cs="Arial"/>
          <w:spacing w:val="-1"/>
          <w:sz w:val="20"/>
          <w:szCs w:val="20"/>
          <w:lang w:val="es-EC" w:eastAsia="en-US"/>
        </w:rPr>
      </w:pPr>
      <w:r w:rsidRPr="00452F22">
        <w:rPr>
          <w:rFonts w:ascii="Arial" w:eastAsia="Calibri" w:hAnsi="Arial" w:cs="Arial"/>
          <w:iCs/>
          <w:spacing w:val="-1"/>
          <w:sz w:val="20"/>
          <w:szCs w:val="20"/>
          <w:lang w:val="es-EC" w:eastAsia="en-US"/>
        </w:rPr>
        <w:t>Nota</w:t>
      </w:r>
      <w:r w:rsidRPr="00452F22">
        <w:rPr>
          <w:rFonts w:ascii="Arial" w:eastAsia="Calibri" w:hAnsi="Arial" w:cs="Arial"/>
          <w:spacing w:val="-1"/>
          <w:sz w:val="20"/>
          <w:szCs w:val="20"/>
          <w:lang w:val="es-EC" w:eastAsia="en-US"/>
        </w:rPr>
        <w:t>. Elaboración propia con base en el INEC, 2023.</w:t>
      </w:r>
    </w:p>
    <w:p w14:paraId="533A3593" w14:textId="77777777" w:rsidR="00064C79" w:rsidRPr="00064C79" w:rsidRDefault="00064C79" w:rsidP="008D6D6A">
      <w:pPr>
        <w:spacing w:before="100" w:beforeAutospacing="1" w:after="100" w:afterAutospacing="1" w:line="360" w:lineRule="auto"/>
        <w:jc w:val="both"/>
        <w:rPr>
          <w:rFonts w:ascii="Arial" w:hAnsi="Arial" w:cs="Arial"/>
          <w:lang w:val="es-EC" w:eastAsia="en-US"/>
        </w:rPr>
      </w:pPr>
      <w:r w:rsidRPr="00064C79">
        <w:rPr>
          <w:rFonts w:ascii="Arial" w:hAnsi="Arial" w:cs="Arial"/>
          <w:lang w:val="es-EC" w:eastAsia="en-US"/>
        </w:rPr>
        <w:lastRenderedPageBreak/>
        <w:t>A partir de la estimación de riesgo, se deduce que una persona con educación universitaria superior, pero sin posgrado, tiene 3,56 veces más probabilidades de encontrarse en situación de pobreza, frente a alguien que posee un título de posgrado. Además, el riesgo de caer en pobreza para alguien con nivel de instrucción universitario es un 230% mayor en comparación con aquellos que tienen un posgrado (tabla 2).</w:t>
      </w:r>
    </w:p>
    <w:p w14:paraId="0412F2A2" w14:textId="3423CA88" w:rsidR="00064C79" w:rsidRPr="008D6D6A" w:rsidRDefault="00064C79" w:rsidP="008D6D6A">
      <w:pPr>
        <w:spacing w:after="100" w:afterAutospacing="1"/>
        <w:jc w:val="center"/>
        <w:rPr>
          <w:rFonts w:ascii="Arial" w:hAnsi="Arial" w:cs="Arial"/>
          <w:b/>
          <w:iCs/>
          <w:sz w:val="20"/>
          <w:szCs w:val="20"/>
          <w:lang w:val="es-EC" w:eastAsia="en-US"/>
        </w:rPr>
      </w:pPr>
      <w:r w:rsidRPr="008D6D6A">
        <w:rPr>
          <w:rFonts w:ascii="Arial" w:hAnsi="Arial" w:cs="Arial"/>
          <w:b/>
          <w:bCs/>
          <w:sz w:val="20"/>
          <w:szCs w:val="20"/>
          <w:lang w:val="es-EC" w:eastAsia="en-US"/>
        </w:rPr>
        <w:t>Tabla 2</w:t>
      </w:r>
      <w:r w:rsidR="008D6D6A" w:rsidRPr="008D6D6A">
        <w:rPr>
          <w:rFonts w:ascii="Arial" w:hAnsi="Arial" w:cs="Arial"/>
          <w:b/>
          <w:bCs/>
          <w:sz w:val="20"/>
          <w:szCs w:val="20"/>
          <w:lang w:val="es-EC" w:eastAsia="en-US"/>
        </w:rPr>
        <w:t xml:space="preserve">. </w:t>
      </w:r>
      <w:r w:rsidRPr="008D6D6A">
        <w:rPr>
          <w:rFonts w:ascii="Arial" w:hAnsi="Arial" w:cs="Arial"/>
          <w:b/>
          <w:iCs/>
          <w:sz w:val="20"/>
          <w:szCs w:val="20"/>
          <w:lang w:val="es-EC" w:eastAsia="en-US"/>
        </w:rPr>
        <w:t>Estimación de riesgo de ser pobre</w:t>
      </w:r>
    </w:p>
    <w:tbl>
      <w:tblPr>
        <w:tblW w:w="4964" w:type="pct"/>
        <w:tblLook w:val="04A0" w:firstRow="1" w:lastRow="0" w:firstColumn="1" w:lastColumn="0" w:noHBand="0" w:noVBand="1"/>
      </w:tblPr>
      <w:tblGrid>
        <w:gridCol w:w="3693"/>
        <w:gridCol w:w="1626"/>
        <w:gridCol w:w="3397"/>
      </w:tblGrid>
      <w:tr w:rsidR="00064C79" w:rsidRPr="00777C1C" w14:paraId="2E195FE1" w14:textId="77777777" w:rsidTr="00777C1C">
        <w:trPr>
          <w:trHeight w:val="1280"/>
        </w:trPr>
        <w:tc>
          <w:tcPr>
            <w:tcW w:w="21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F2F58F" w14:textId="77777777" w:rsidR="00064C79" w:rsidRPr="00777C1C" w:rsidRDefault="00064C79" w:rsidP="00064C79">
            <w:pPr>
              <w:spacing w:line="276" w:lineRule="auto"/>
              <w:jc w:val="center"/>
              <w:rPr>
                <w:rFonts w:ascii="Arial" w:hAnsi="Arial" w:cs="Arial"/>
                <w:b/>
                <w:bCs/>
                <w:sz w:val="20"/>
                <w:szCs w:val="20"/>
                <w:lang w:val="es-EC" w:eastAsia="en-US"/>
              </w:rPr>
            </w:pPr>
            <w:r w:rsidRPr="00777C1C">
              <w:rPr>
                <w:rFonts w:ascii="Arial" w:hAnsi="Arial" w:cs="Arial"/>
                <w:b/>
                <w:bCs/>
                <w:sz w:val="20"/>
                <w:szCs w:val="20"/>
                <w:lang w:val="es-EC" w:eastAsia="en-US"/>
              </w:rPr>
              <w:t>Descripción</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C35E72" w14:textId="77777777" w:rsidR="00064C79" w:rsidRPr="00777C1C" w:rsidRDefault="00064C79" w:rsidP="00064C79">
            <w:pPr>
              <w:spacing w:line="276" w:lineRule="auto"/>
              <w:jc w:val="center"/>
              <w:rPr>
                <w:rFonts w:ascii="Arial" w:hAnsi="Arial" w:cs="Arial"/>
                <w:b/>
                <w:bCs/>
                <w:sz w:val="20"/>
                <w:szCs w:val="20"/>
                <w:lang w:val="es-EC" w:eastAsia="en-US"/>
              </w:rPr>
            </w:pPr>
            <w:r w:rsidRPr="00777C1C">
              <w:rPr>
                <w:rFonts w:ascii="Arial" w:hAnsi="Arial" w:cs="Arial"/>
                <w:b/>
                <w:bCs/>
                <w:sz w:val="20"/>
                <w:szCs w:val="20"/>
                <w:lang w:val="es-EC" w:eastAsia="en-US"/>
              </w:rPr>
              <w:t>Valor</w:t>
            </w:r>
          </w:p>
        </w:tc>
        <w:tc>
          <w:tcPr>
            <w:tcW w:w="1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0AF9AE" w14:textId="77777777" w:rsidR="00064C79" w:rsidRPr="00777C1C" w:rsidRDefault="00064C79" w:rsidP="00064C79">
            <w:pPr>
              <w:spacing w:line="276" w:lineRule="auto"/>
              <w:jc w:val="center"/>
              <w:rPr>
                <w:rFonts w:ascii="Arial" w:hAnsi="Arial" w:cs="Arial"/>
                <w:b/>
                <w:bCs/>
                <w:sz w:val="20"/>
                <w:szCs w:val="20"/>
                <w:lang w:val="es-EC" w:eastAsia="en-US"/>
              </w:rPr>
            </w:pPr>
            <w:r w:rsidRPr="00777C1C">
              <w:rPr>
                <w:rFonts w:ascii="Arial" w:hAnsi="Arial" w:cs="Arial"/>
                <w:b/>
                <w:bCs/>
                <w:sz w:val="20"/>
                <w:szCs w:val="20"/>
                <w:lang w:val="es-EC" w:eastAsia="en-US"/>
              </w:rPr>
              <w:t>Intervalo de confianza al 95%</w:t>
            </w:r>
          </w:p>
        </w:tc>
      </w:tr>
      <w:tr w:rsidR="00064C79" w:rsidRPr="00777C1C" w14:paraId="6D1DB2C0" w14:textId="77777777" w:rsidTr="00777C1C">
        <w:trPr>
          <w:trHeight w:val="1707"/>
        </w:trPr>
        <w:tc>
          <w:tcPr>
            <w:tcW w:w="21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00226" w14:textId="77777777" w:rsidR="00064C79" w:rsidRPr="00777C1C" w:rsidRDefault="00064C79" w:rsidP="00064C79">
            <w:pPr>
              <w:spacing w:line="276" w:lineRule="auto"/>
              <w:jc w:val="center"/>
              <w:rPr>
                <w:rFonts w:ascii="Arial" w:hAnsi="Arial" w:cs="Arial"/>
                <w:b/>
                <w:bCs/>
                <w:sz w:val="20"/>
                <w:szCs w:val="20"/>
                <w:lang w:val="es-EC" w:eastAsia="en-US"/>
              </w:rPr>
            </w:pPr>
            <w:r w:rsidRPr="00777C1C">
              <w:rPr>
                <w:rFonts w:ascii="Arial" w:hAnsi="Arial" w:cs="Arial"/>
                <w:b/>
                <w:bCs/>
                <w:sz w:val="20"/>
                <w:szCs w:val="20"/>
                <w:lang w:val="es-EC" w:eastAsia="en-US"/>
              </w:rPr>
              <w:t>Nivel de instrucción</w:t>
            </w:r>
          </w:p>
          <w:p w14:paraId="2FDF2341" w14:textId="77777777" w:rsidR="00064C79" w:rsidRPr="00777C1C" w:rsidRDefault="00064C79" w:rsidP="00064C79">
            <w:pPr>
              <w:spacing w:line="276" w:lineRule="auto"/>
              <w:jc w:val="center"/>
              <w:rPr>
                <w:rFonts w:ascii="Arial" w:hAnsi="Arial" w:cs="Arial"/>
                <w:b/>
                <w:bCs/>
                <w:sz w:val="20"/>
                <w:szCs w:val="20"/>
                <w:lang w:val="es-EC" w:eastAsia="en-US"/>
              </w:rPr>
            </w:pPr>
            <w:r w:rsidRPr="00777C1C">
              <w:rPr>
                <w:rFonts w:ascii="Arial" w:hAnsi="Arial" w:cs="Arial"/>
                <w:b/>
                <w:bCs/>
                <w:sz w:val="20"/>
                <w:szCs w:val="20"/>
                <w:lang w:val="es-EC" w:eastAsia="en-US"/>
              </w:rPr>
              <w:t>(Superior Universitario vs. Posgrado)</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5837FA" w14:textId="77777777" w:rsidR="00064C79" w:rsidRPr="00777C1C" w:rsidRDefault="00064C79" w:rsidP="00064C79">
            <w:pPr>
              <w:spacing w:line="276" w:lineRule="auto"/>
              <w:jc w:val="center"/>
              <w:rPr>
                <w:rFonts w:ascii="Arial" w:hAnsi="Arial" w:cs="Arial"/>
                <w:sz w:val="20"/>
                <w:szCs w:val="20"/>
                <w:lang w:val="es-EC" w:eastAsia="en-US"/>
              </w:rPr>
            </w:pPr>
            <w:r w:rsidRPr="00777C1C">
              <w:rPr>
                <w:rFonts w:ascii="Arial" w:hAnsi="Arial" w:cs="Arial"/>
                <w:sz w:val="20"/>
                <w:szCs w:val="20"/>
                <w:lang w:val="es-EC" w:eastAsia="en-US"/>
              </w:rPr>
              <w:t>3,56</w:t>
            </w:r>
          </w:p>
        </w:tc>
        <w:tc>
          <w:tcPr>
            <w:tcW w:w="1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8309C" w14:textId="77777777" w:rsidR="00064C79" w:rsidRPr="00777C1C" w:rsidRDefault="00064C79" w:rsidP="00064C79">
            <w:pPr>
              <w:spacing w:line="276" w:lineRule="auto"/>
              <w:jc w:val="center"/>
              <w:rPr>
                <w:rFonts w:ascii="Arial" w:hAnsi="Arial" w:cs="Arial"/>
                <w:sz w:val="20"/>
                <w:szCs w:val="20"/>
                <w:lang w:val="es-EC" w:eastAsia="en-US"/>
              </w:rPr>
            </w:pPr>
            <w:r w:rsidRPr="00777C1C">
              <w:rPr>
                <w:rFonts w:ascii="Arial" w:hAnsi="Arial" w:cs="Arial"/>
                <w:sz w:val="20"/>
                <w:szCs w:val="20"/>
                <w:lang w:val="es-EC" w:eastAsia="en-US"/>
              </w:rPr>
              <w:t>3,46 a 3,65</w:t>
            </w:r>
          </w:p>
        </w:tc>
      </w:tr>
      <w:tr w:rsidR="00064C79" w:rsidRPr="00777C1C" w14:paraId="5823C33C" w14:textId="77777777" w:rsidTr="00777C1C">
        <w:trPr>
          <w:trHeight w:val="853"/>
        </w:trPr>
        <w:tc>
          <w:tcPr>
            <w:tcW w:w="21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F670A" w14:textId="77777777" w:rsidR="00064C79" w:rsidRPr="00777C1C" w:rsidRDefault="00064C79" w:rsidP="00064C79">
            <w:pPr>
              <w:spacing w:line="276" w:lineRule="auto"/>
              <w:jc w:val="center"/>
              <w:rPr>
                <w:rFonts w:ascii="Arial" w:hAnsi="Arial" w:cs="Arial"/>
                <w:b/>
                <w:bCs/>
                <w:sz w:val="20"/>
                <w:szCs w:val="20"/>
                <w:lang w:val="es-EC" w:eastAsia="en-US"/>
              </w:rPr>
            </w:pPr>
            <w:r w:rsidRPr="00777C1C">
              <w:rPr>
                <w:rFonts w:ascii="Arial" w:hAnsi="Arial" w:cs="Arial"/>
                <w:b/>
                <w:bCs/>
                <w:sz w:val="20"/>
                <w:szCs w:val="20"/>
                <w:lang w:val="es-EC" w:eastAsia="en-US"/>
              </w:rPr>
              <w:t>Pobre</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0A4B5" w14:textId="77777777" w:rsidR="00064C79" w:rsidRPr="00777C1C" w:rsidRDefault="00064C79" w:rsidP="00064C79">
            <w:pPr>
              <w:spacing w:line="276" w:lineRule="auto"/>
              <w:jc w:val="center"/>
              <w:rPr>
                <w:rFonts w:ascii="Arial" w:hAnsi="Arial" w:cs="Arial"/>
                <w:sz w:val="20"/>
                <w:szCs w:val="20"/>
                <w:lang w:val="es-EC" w:eastAsia="en-US"/>
              </w:rPr>
            </w:pPr>
            <w:r w:rsidRPr="00777C1C">
              <w:rPr>
                <w:rFonts w:ascii="Arial" w:hAnsi="Arial" w:cs="Arial"/>
                <w:sz w:val="20"/>
                <w:szCs w:val="20"/>
                <w:lang w:val="es-EC" w:eastAsia="en-US"/>
              </w:rPr>
              <w:t>3,30</w:t>
            </w:r>
          </w:p>
        </w:tc>
        <w:tc>
          <w:tcPr>
            <w:tcW w:w="1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B5E77" w14:textId="77777777" w:rsidR="00064C79" w:rsidRPr="00777C1C" w:rsidRDefault="00064C79" w:rsidP="00064C79">
            <w:pPr>
              <w:spacing w:line="276" w:lineRule="auto"/>
              <w:jc w:val="center"/>
              <w:rPr>
                <w:rFonts w:ascii="Arial" w:hAnsi="Arial" w:cs="Arial"/>
                <w:sz w:val="20"/>
                <w:szCs w:val="20"/>
                <w:lang w:val="es-EC" w:eastAsia="en-US"/>
              </w:rPr>
            </w:pPr>
            <w:r w:rsidRPr="00777C1C">
              <w:rPr>
                <w:rFonts w:ascii="Arial" w:hAnsi="Arial" w:cs="Arial"/>
                <w:sz w:val="20"/>
                <w:szCs w:val="20"/>
                <w:lang w:val="es-EC" w:eastAsia="en-US"/>
              </w:rPr>
              <w:t>3,22 a 3,38</w:t>
            </w:r>
          </w:p>
        </w:tc>
      </w:tr>
      <w:tr w:rsidR="00064C79" w:rsidRPr="00777C1C" w14:paraId="320A2672" w14:textId="77777777" w:rsidTr="00777C1C">
        <w:trPr>
          <w:trHeight w:val="853"/>
        </w:trPr>
        <w:tc>
          <w:tcPr>
            <w:tcW w:w="21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05C3FD" w14:textId="77777777" w:rsidR="00064C79" w:rsidRPr="00777C1C" w:rsidRDefault="00064C79" w:rsidP="00064C79">
            <w:pPr>
              <w:spacing w:line="276" w:lineRule="auto"/>
              <w:jc w:val="center"/>
              <w:rPr>
                <w:rFonts w:ascii="Arial" w:hAnsi="Arial" w:cs="Arial"/>
                <w:b/>
                <w:bCs/>
                <w:sz w:val="20"/>
                <w:szCs w:val="20"/>
                <w:lang w:val="es-EC" w:eastAsia="en-US"/>
              </w:rPr>
            </w:pPr>
            <w:r w:rsidRPr="00777C1C">
              <w:rPr>
                <w:rFonts w:ascii="Arial" w:hAnsi="Arial" w:cs="Arial"/>
                <w:b/>
                <w:bCs/>
                <w:sz w:val="20"/>
                <w:szCs w:val="20"/>
                <w:lang w:val="es-EC" w:eastAsia="en-US"/>
              </w:rPr>
              <w:t>No pobre</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CB007" w14:textId="77777777" w:rsidR="00064C79" w:rsidRPr="00777C1C" w:rsidRDefault="00064C79" w:rsidP="00064C79">
            <w:pPr>
              <w:spacing w:line="276" w:lineRule="auto"/>
              <w:jc w:val="center"/>
              <w:rPr>
                <w:rFonts w:ascii="Arial" w:hAnsi="Arial" w:cs="Arial"/>
                <w:sz w:val="20"/>
                <w:szCs w:val="20"/>
                <w:lang w:val="es-EC" w:eastAsia="en-US"/>
              </w:rPr>
            </w:pPr>
            <w:r w:rsidRPr="00777C1C">
              <w:rPr>
                <w:rFonts w:ascii="Arial" w:hAnsi="Arial" w:cs="Arial"/>
                <w:sz w:val="20"/>
                <w:szCs w:val="20"/>
                <w:lang w:val="es-EC" w:eastAsia="en-US"/>
              </w:rPr>
              <w:t>0,93</w:t>
            </w:r>
          </w:p>
        </w:tc>
        <w:tc>
          <w:tcPr>
            <w:tcW w:w="1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9E4C4" w14:textId="77777777" w:rsidR="00064C79" w:rsidRPr="00777C1C" w:rsidRDefault="00064C79" w:rsidP="00064C79">
            <w:pPr>
              <w:spacing w:line="276" w:lineRule="auto"/>
              <w:jc w:val="center"/>
              <w:rPr>
                <w:rFonts w:ascii="Arial" w:hAnsi="Arial" w:cs="Arial"/>
                <w:sz w:val="20"/>
                <w:szCs w:val="20"/>
                <w:lang w:val="es-EC" w:eastAsia="en-US"/>
              </w:rPr>
            </w:pPr>
            <w:r w:rsidRPr="00777C1C">
              <w:rPr>
                <w:rFonts w:ascii="Arial" w:hAnsi="Arial" w:cs="Arial"/>
                <w:sz w:val="20"/>
                <w:szCs w:val="20"/>
                <w:lang w:val="es-EC" w:eastAsia="en-US"/>
              </w:rPr>
              <w:t>0,92 a 0,93</w:t>
            </w:r>
          </w:p>
        </w:tc>
      </w:tr>
      <w:tr w:rsidR="00064C79" w:rsidRPr="00777C1C" w14:paraId="04D2E231" w14:textId="77777777" w:rsidTr="00777C1C">
        <w:trPr>
          <w:trHeight w:val="853"/>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71A4FA" w14:textId="77777777" w:rsidR="00064C79" w:rsidRPr="00777C1C" w:rsidRDefault="00064C79" w:rsidP="00064C79">
            <w:pPr>
              <w:spacing w:line="276" w:lineRule="auto"/>
              <w:jc w:val="center"/>
              <w:rPr>
                <w:rFonts w:ascii="Arial" w:eastAsia="Arial" w:hAnsi="Arial" w:cs="Arial"/>
                <w:b/>
                <w:bCs/>
                <w:color w:val="000000"/>
                <w:sz w:val="20"/>
                <w:szCs w:val="20"/>
                <w:lang w:val="es-EC" w:eastAsia="en-US"/>
              </w:rPr>
            </w:pPr>
            <w:r w:rsidRPr="00777C1C">
              <w:rPr>
                <w:rFonts w:ascii="Arial" w:hAnsi="Arial" w:cs="Arial"/>
                <w:b/>
                <w:bCs/>
                <w:sz w:val="20"/>
                <w:szCs w:val="20"/>
                <w:lang w:val="es-EC" w:eastAsia="en-US"/>
              </w:rPr>
              <w:t xml:space="preserve">Número de casos válidos: </w:t>
            </w:r>
            <w:r w:rsidRPr="00777C1C">
              <w:rPr>
                <w:rFonts w:ascii="Arial" w:eastAsia="Arial" w:hAnsi="Arial" w:cs="Arial"/>
                <w:color w:val="000000"/>
                <w:sz w:val="20"/>
                <w:szCs w:val="20"/>
                <w:lang w:val="es-EC" w:eastAsia="en-US"/>
              </w:rPr>
              <w:t>1.827.881</w:t>
            </w:r>
          </w:p>
        </w:tc>
      </w:tr>
    </w:tbl>
    <w:p w14:paraId="293C1D56" w14:textId="77777777" w:rsidR="00064C79" w:rsidRPr="00A204FA" w:rsidRDefault="00064C79" w:rsidP="00064C79">
      <w:pPr>
        <w:spacing w:line="360" w:lineRule="auto"/>
        <w:jc w:val="both"/>
        <w:rPr>
          <w:rFonts w:ascii="Arial" w:eastAsia="Calibri" w:hAnsi="Arial" w:cs="Arial"/>
          <w:spacing w:val="-1"/>
          <w:sz w:val="20"/>
          <w:szCs w:val="20"/>
          <w:lang w:val="es-EC" w:eastAsia="en-US"/>
        </w:rPr>
      </w:pPr>
      <w:r w:rsidRPr="00A204FA">
        <w:rPr>
          <w:rFonts w:ascii="Arial" w:eastAsia="Calibri" w:hAnsi="Arial" w:cs="Arial"/>
          <w:iCs/>
          <w:spacing w:val="-1"/>
          <w:sz w:val="20"/>
          <w:szCs w:val="20"/>
          <w:lang w:val="es-EC" w:eastAsia="en-US"/>
        </w:rPr>
        <w:t>Nota</w:t>
      </w:r>
      <w:r w:rsidRPr="00A204FA">
        <w:rPr>
          <w:rFonts w:ascii="Arial" w:eastAsia="Calibri" w:hAnsi="Arial" w:cs="Arial"/>
          <w:spacing w:val="-1"/>
          <w:sz w:val="20"/>
          <w:szCs w:val="20"/>
          <w:lang w:val="es-EC" w:eastAsia="en-US"/>
        </w:rPr>
        <w:t>. Elaboración propia con base en el INEC, 2023.</w:t>
      </w:r>
    </w:p>
    <w:p w14:paraId="27646436" w14:textId="4926ADE1" w:rsidR="00064C79" w:rsidRPr="00064C79" w:rsidRDefault="000E2F1F" w:rsidP="000E2F1F">
      <w:pPr>
        <w:spacing w:before="100" w:beforeAutospacing="1" w:after="100" w:afterAutospacing="1" w:line="360" w:lineRule="auto"/>
        <w:jc w:val="both"/>
        <w:rPr>
          <w:rFonts w:ascii="Arial" w:eastAsia="Calibri" w:hAnsi="Arial" w:cs="Arial"/>
          <w:b/>
          <w:bCs/>
          <w:lang w:val="es-EC" w:eastAsia="en-US"/>
        </w:rPr>
      </w:pPr>
      <w:r w:rsidRPr="00064C79">
        <w:rPr>
          <w:rFonts w:ascii="Arial" w:eastAsia="Calibri" w:hAnsi="Arial" w:cs="Arial"/>
          <w:b/>
          <w:bCs/>
          <w:lang w:val="es-EC" w:eastAsia="en-US"/>
        </w:rPr>
        <w:lastRenderedPageBreak/>
        <w:t>DISCUSIÓN</w:t>
      </w:r>
    </w:p>
    <w:p w14:paraId="5165387F" w14:textId="77777777" w:rsidR="00064C79" w:rsidRPr="00064C79" w:rsidRDefault="00064C79" w:rsidP="000E2F1F">
      <w:pPr>
        <w:spacing w:before="100" w:beforeAutospacing="1" w:after="100" w:afterAutospacing="1" w:line="360" w:lineRule="auto"/>
        <w:jc w:val="both"/>
        <w:rPr>
          <w:rFonts w:ascii="Arial" w:hAnsi="Arial" w:cs="Arial"/>
          <w:lang w:val="es-EC" w:eastAsia="es-EC"/>
        </w:rPr>
      </w:pPr>
      <w:r w:rsidRPr="00064C79">
        <w:rPr>
          <w:rFonts w:ascii="Arial" w:hAnsi="Arial" w:cs="Arial"/>
          <w:lang w:val="es-EC" w:eastAsia="es-EC"/>
        </w:rPr>
        <w:t>Los hallazgos de esta investigación destacan el impacto significativo del nivel de instrucción sobre diversos aspectos sociales, laborales y demográficos en la población ecuatoriana de entre 25 y 64 años. Aunque el objetivo principal se centró en las diferencias entre la educación superior y los estudios de posgrado, los resultados abren una discusión más amplia sobre la interacción entre educación, desigualdad estructural y movilidad social.</w:t>
      </w:r>
    </w:p>
    <w:p w14:paraId="3335388E" w14:textId="77777777" w:rsidR="00064C79" w:rsidRPr="00064C79" w:rsidRDefault="00064C79" w:rsidP="000E2F1F">
      <w:pPr>
        <w:spacing w:before="100" w:beforeAutospacing="1" w:after="100" w:afterAutospacing="1" w:line="360" w:lineRule="auto"/>
        <w:jc w:val="both"/>
        <w:rPr>
          <w:rFonts w:ascii="Arial" w:hAnsi="Arial" w:cs="Arial"/>
          <w:lang w:val="es-EC" w:eastAsia="es-EC"/>
        </w:rPr>
      </w:pPr>
      <w:r w:rsidRPr="00064C79">
        <w:rPr>
          <w:rFonts w:ascii="Arial" w:hAnsi="Arial" w:cs="Arial"/>
          <w:lang w:val="es-EC" w:eastAsia="es-EC"/>
        </w:rPr>
        <w:t xml:space="preserve">En primer lugar, la alta concentración de personas graduadas de posgrado en áreas urbanas refleja un patrón global de centralización de oportunidades educativas y laborales en contextos urbanos. Las ciudades ofrecen mejores condiciones para el acceso a instituciones educativas de nivel avanzado, también a mercados laborales más dinámicos y especializados. </w:t>
      </w:r>
    </w:p>
    <w:p w14:paraId="1BC75FF4" w14:textId="77777777" w:rsidR="00064C79" w:rsidRPr="00064C79" w:rsidRDefault="00064C79" w:rsidP="000E2F1F">
      <w:pPr>
        <w:spacing w:before="100" w:beforeAutospacing="1" w:after="100" w:afterAutospacing="1" w:line="360" w:lineRule="auto"/>
        <w:jc w:val="both"/>
        <w:rPr>
          <w:rFonts w:ascii="Arial" w:hAnsi="Arial" w:cs="Arial"/>
          <w:lang w:val="es-EC" w:eastAsia="es-EC"/>
        </w:rPr>
      </w:pPr>
      <w:r w:rsidRPr="00064C79">
        <w:rPr>
          <w:rFonts w:ascii="Arial" w:hAnsi="Arial" w:cs="Arial"/>
          <w:lang w:val="es-EC" w:eastAsia="es-EC"/>
        </w:rPr>
        <w:t>Este fenómeno plantea un desafío para las zonas rurales, donde la falta de acceso a recursos educativos perpetúa las desigualdades estructurales y limita las posibilidades de desarrollo profesional de sus habitantes. Este hallazgo enfatiza la necesidad de políticas públicas orientadas a descentralizar las oportunidades educativas, y promover estrategias que fortalezcan las capacidades profesionales de quienes residen en áreas rurales.</w:t>
      </w:r>
    </w:p>
    <w:p w14:paraId="4AB8C83D" w14:textId="77777777" w:rsidR="00064C79" w:rsidRPr="00064C79" w:rsidRDefault="00064C79" w:rsidP="000E2F1F">
      <w:pPr>
        <w:spacing w:before="100" w:beforeAutospacing="1" w:after="100" w:afterAutospacing="1" w:line="360" w:lineRule="auto"/>
        <w:jc w:val="both"/>
        <w:rPr>
          <w:rFonts w:ascii="Arial" w:hAnsi="Arial" w:cs="Arial"/>
          <w:lang w:val="es-EC" w:eastAsia="es-EC"/>
        </w:rPr>
      </w:pPr>
      <w:r w:rsidRPr="00064C79">
        <w:rPr>
          <w:rFonts w:ascii="Arial" w:hAnsi="Arial" w:cs="Arial"/>
          <w:lang w:val="es-EC" w:eastAsia="es-EC"/>
        </w:rPr>
        <w:t xml:space="preserve">La relación entre el estado civil y el nivel de instrucción también merece un análisis profundo. El hecho de que una proporción significativa de personas con estudios </w:t>
      </w:r>
      <w:r w:rsidRPr="00064C79">
        <w:rPr>
          <w:rFonts w:ascii="Arial" w:hAnsi="Arial" w:cs="Arial"/>
          <w:lang w:val="es-EC" w:eastAsia="es-EC"/>
        </w:rPr>
        <w:lastRenderedPageBreak/>
        <w:t xml:space="preserve">de posgrado se encuentre en relaciones estables, como el matrimonio o la unión libre, sugiere un vínculo entre estabilidad emocional, recursos familiares y continuidad educativa. Este patrón puede interpretarse como un indicador de que las personas con acceso a redes de apoyo emocional y económico tienen mayores probabilidades de completar estudios avanzados. </w:t>
      </w:r>
    </w:p>
    <w:p w14:paraId="2DE6B9A2" w14:textId="77777777" w:rsidR="00064C79" w:rsidRPr="00064C79" w:rsidRDefault="00064C79" w:rsidP="000E2F1F">
      <w:pPr>
        <w:spacing w:before="100" w:beforeAutospacing="1" w:after="100" w:afterAutospacing="1" w:line="360" w:lineRule="auto"/>
        <w:jc w:val="both"/>
        <w:rPr>
          <w:rFonts w:ascii="Arial" w:hAnsi="Arial" w:cs="Arial"/>
          <w:lang w:val="es-EC" w:eastAsia="es-EC"/>
        </w:rPr>
      </w:pPr>
      <w:r w:rsidRPr="00064C79">
        <w:rPr>
          <w:rFonts w:ascii="Arial" w:hAnsi="Arial" w:cs="Arial"/>
          <w:lang w:val="es-EC" w:eastAsia="es-EC"/>
        </w:rPr>
        <w:t>Al mismo tiempo, los estudios de posgrado pueden ser un factor que contribuye a la estabilidad emocional y familiar, dado que mejores condiciones laborales y mayor seguridad económica favorecen la planificación y consolidación de relaciones familiares.</w:t>
      </w:r>
    </w:p>
    <w:p w14:paraId="076C3DCB" w14:textId="77777777" w:rsidR="00064C79" w:rsidRPr="00064C79" w:rsidRDefault="00064C79" w:rsidP="000E2F1F">
      <w:pPr>
        <w:spacing w:before="100" w:beforeAutospacing="1" w:after="100" w:afterAutospacing="1" w:line="360" w:lineRule="auto"/>
        <w:jc w:val="both"/>
        <w:rPr>
          <w:rFonts w:ascii="Arial" w:hAnsi="Arial" w:cs="Arial"/>
          <w:lang w:val="es-EC" w:eastAsia="es-EC"/>
        </w:rPr>
      </w:pPr>
      <w:r w:rsidRPr="00064C79">
        <w:rPr>
          <w:rFonts w:ascii="Arial" w:hAnsi="Arial" w:cs="Arial"/>
          <w:lang w:val="es-EC" w:eastAsia="es-EC"/>
        </w:rPr>
        <w:t>En términos de etnicidad, los datos evidencian una representación desigual de los grupos indígenas y afrodescendientes en los niveles educativos más altos. Esta situación no es únicamente una manifestación de desigualdades históricas, sino también un reflejo de barreras estructurales contemporáneas que dificultan el acceso de estos grupos a la educación superior. La subrepresentación de estas poblaciones en el nivel de posgrado resalta la necesidad de adoptar políticas inclusivas que garanticen su participación en espacios educativos avanzados. Además, una mayor diversidad étnica en la educación superior puede contribuir a la construcción de una sociedad más equitativa y plural (Rinaldi, 2022).</w:t>
      </w:r>
    </w:p>
    <w:p w14:paraId="5E8B423A" w14:textId="120B9EA4" w:rsidR="00064C79" w:rsidRPr="00064C79" w:rsidRDefault="00064C79" w:rsidP="000E2F1F">
      <w:pPr>
        <w:spacing w:before="100" w:beforeAutospacing="1" w:after="100" w:afterAutospacing="1" w:line="360" w:lineRule="auto"/>
        <w:jc w:val="both"/>
        <w:rPr>
          <w:rFonts w:ascii="Arial" w:hAnsi="Arial" w:cs="Arial"/>
          <w:lang w:val="es-EC" w:eastAsia="es-EC"/>
        </w:rPr>
      </w:pPr>
      <w:r w:rsidRPr="00064C79">
        <w:rPr>
          <w:rFonts w:ascii="Arial" w:hAnsi="Arial" w:cs="Arial"/>
          <w:lang w:val="es-EC" w:eastAsia="es-EC"/>
        </w:rPr>
        <w:t xml:space="preserve">La relación entre la pobreza y el nivel educativo es otro punto crítico de esta investigación. Personas graduadas de posgrado presentan una incidencia considerablemente menor de pobreza y pobreza extrema en comparación con </w:t>
      </w:r>
      <w:r w:rsidRPr="00064C79">
        <w:rPr>
          <w:rFonts w:ascii="Arial" w:hAnsi="Arial" w:cs="Arial"/>
          <w:lang w:val="es-EC" w:eastAsia="es-EC"/>
        </w:rPr>
        <w:lastRenderedPageBreak/>
        <w:t>aquellos que poseen solo educación universitaria. Este hallazgo reafirma el papel de la educación como un motor clave de movilidad social y desarrollo económico. Sin embargo, también plantea interrogantes sobre el acceso desigual a la educación de posgrado y cómo este puede reforzar las disparidades existentes. Es importante que las políticas educativas no solo se enfoquen en aumentar el acceso a la educación superior, sino también en garantizar que e</w:t>
      </w:r>
      <w:r w:rsidR="008D070F">
        <w:rPr>
          <w:rFonts w:ascii="Arial" w:hAnsi="Arial" w:cs="Arial"/>
          <w:lang w:val="es-EC" w:eastAsia="es-EC"/>
        </w:rPr>
        <w:t>l</w:t>
      </w:r>
      <w:r w:rsidRPr="00064C79">
        <w:rPr>
          <w:rFonts w:ascii="Arial" w:hAnsi="Arial" w:cs="Arial"/>
          <w:lang w:val="es-EC" w:eastAsia="es-EC"/>
        </w:rPr>
        <w:t xml:space="preserve"> acceso sea equitativo y responda a los sectores vulnerables (Guerrero-Pérez y Jiménez-Rodrigo, 2022).</w:t>
      </w:r>
    </w:p>
    <w:p w14:paraId="1F788EBA" w14:textId="5DAEE80A" w:rsidR="00064C79" w:rsidRPr="00064C79" w:rsidRDefault="00064C79" w:rsidP="000E2F1F">
      <w:pPr>
        <w:spacing w:before="100" w:beforeAutospacing="1" w:after="100" w:afterAutospacing="1" w:line="360" w:lineRule="auto"/>
        <w:jc w:val="both"/>
        <w:rPr>
          <w:rFonts w:ascii="Arial" w:hAnsi="Arial" w:cs="Arial"/>
          <w:lang w:val="es-EC" w:eastAsia="es-EC"/>
        </w:rPr>
      </w:pPr>
      <w:r w:rsidRPr="00064C79">
        <w:rPr>
          <w:rFonts w:ascii="Arial" w:hAnsi="Arial" w:cs="Arial"/>
          <w:lang w:val="es-EC" w:eastAsia="es-EC"/>
        </w:rPr>
        <w:t xml:space="preserve">El análisis del empleo adecuado y pleno sugiere que el posgrado proporciona ventajas significativas en el mercado laboral, ofreciendo mayores tasas de estabilidad y mejores condiciones de empleo. Las competencias adquiridas en los estudios de posgrado responden </w:t>
      </w:r>
      <w:r w:rsidR="00972D45">
        <w:rPr>
          <w:rFonts w:ascii="Arial" w:hAnsi="Arial" w:cs="Arial"/>
          <w:lang w:val="es-EC" w:eastAsia="es-EC"/>
        </w:rPr>
        <w:t xml:space="preserve">en </w:t>
      </w:r>
      <w:r w:rsidRPr="00064C79">
        <w:rPr>
          <w:rFonts w:ascii="Arial" w:hAnsi="Arial" w:cs="Arial"/>
          <w:lang w:val="es-EC" w:eastAsia="es-EC"/>
        </w:rPr>
        <w:t>efect</w:t>
      </w:r>
      <w:r w:rsidR="00972D45">
        <w:rPr>
          <w:rFonts w:ascii="Arial" w:hAnsi="Arial" w:cs="Arial"/>
          <w:lang w:val="es-EC" w:eastAsia="es-EC"/>
        </w:rPr>
        <w:t>o</w:t>
      </w:r>
      <w:r w:rsidRPr="00064C79">
        <w:rPr>
          <w:rFonts w:ascii="Arial" w:hAnsi="Arial" w:cs="Arial"/>
          <w:lang w:val="es-EC" w:eastAsia="es-EC"/>
        </w:rPr>
        <w:t xml:space="preserve"> a las demandas del mercado laboral.</w:t>
      </w:r>
    </w:p>
    <w:p w14:paraId="6F083F5F" w14:textId="77777777" w:rsidR="00064C79" w:rsidRPr="00064C79" w:rsidRDefault="00064C79" w:rsidP="000E2F1F">
      <w:pPr>
        <w:spacing w:before="100" w:beforeAutospacing="1" w:after="100" w:afterAutospacing="1" w:line="360" w:lineRule="auto"/>
        <w:jc w:val="both"/>
        <w:rPr>
          <w:rFonts w:ascii="Arial" w:hAnsi="Arial" w:cs="Arial"/>
          <w:lang w:val="es-EC" w:eastAsia="es-EC"/>
        </w:rPr>
      </w:pPr>
      <w:r w:rsidRPr="00064C79">
        <w:rPr>
          <w:rFonts w:ascii="Arial" w:hAnsi="Arial" w:cs="Arial"/>
          <w:lang w:val="es-EC" w:eastAsia="es-EC"/>
        </w:rPr>
        <w:t>Los resultados de esta investigación ofrecen una perspectiva integral sobre cómo el nivel de instrucción interactúa con factores sociales, laborales y demográficos en Ecuador. Este enfoque multidimensional permite no solo identificar patrones de desigualdad, sino también proponer soluciones que promuevan una educación inclusiva y equitativa. La implementación de políticas públicas basadas en estos hallazgos puede contribuir a cerrar brechas estructurales y garantizar que la educación superior y el posgrado se conviertan en verdaderos motores de desarrollo social y económico. Además, el estudio plantea preguntas futuras sobre cómo los cambios en el mercado laboral y las dinámicas sociales influirán en la relevancia y accesibilidad de la educación superior en los años venideros.</w:t>
      </w:r>
    </w:p>
    <w:p w14:paraId="4375E6B7" w14:textId="50594652" w:rsidR="00064C79" w:rsidRPr="00064C79" w:rsidRDefault="000D7DE0" w:rsidP="000E2F1F">
      <w:pPr>
        <w:spacing w:before="100" w:beforeAutospacing="1" w:after="100" w:afterAutospacing="1" w:line="360" w:lineRule="auto"/>
        <w:jc w:val="both"/>
        <w:rPr>
          <w:rFonts w:ascii="Arial" w:eastAsia="Calibri" w:hAnsi="Arial" w:cs="Arial"/>
          <w:b/>
          <w:bCs/>
          <w:lang w:val="es-EC" w:eastAsia="en-US"/>
        </w:rPr>
      </w:pPr>
      <w:r w:rsidRPr="00064C79">
        <w:rPr>
          <w:rFonts w:ascii="Arial" w:eastAsia="Calibri" w:hAnsi="Arial" w:cs="Arial"/>
          <w:b/>
          <w:bCs/>
          <w:lang w:val="es-EC" w:eastAsia="en-US"/>
        </w:rPr>
        <w:lastRenderedPageBreak/>
        <w:t>REFERENCIAS</w:t>
      </w:r>
    </w:p>
    <w:p w14:paraId="1D20C543"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s-EC" w:eastAsia="en-US"/>
        </w:rPr>
      </w:pPr>
      <w:r w:rsidRPr="00064C79">
        <w:rPr>
          <w:rFonts w:ascii="Arial" w:eastAsia="Calibri" w:hAnsi="Arial" w:cs="Arial"/>
          <w:lang w:val="es-EC" w:eastAsia="en-US"/>
        </w:rPr>
        <w:t xml:space="preserve">Abreu, M. &amp; </w:t>
      </w:r>
      <w:proofErr w:type="spellStart"/>
      <w:r w:rsidRPr="00064C79">
        <w:rPr>
          <w:rFonts w:ascii="Arial" w:eastAsia="Calibri" w:hAnsi="Arial" w:cs="Arial"/>
          <w:lang w:val="es-EC" w:eastAsia="en-US"/>
        </w:rPr>
        <w:t>Grinevich</w:t>
      </w:r>
      <w:proofErr w:type="spellEnd"/>
      <w:r w:rsidRPr="00064C79">
        <w:rPr>
          <w:rFonts w:ascii="Arial" w:eastAsia="Calibri" w:hAnsi="Arial" w:cs="Arial"/>
          <w:lang w:val="es-EC" w:eastAsia="en-US"/>
        </w:rPr>
        <w:t xml:space="preserve">, V. (2024). </w:t>
      </w:r>
      <w:r w:rsidRPr="00064C79">
        <w:rPr>
          <w:rFonts w:ascii="Arial" w:eastAsia="Calibri" w:hAnsi="Arial" w:cs="Arial"/>
          <w:lang w:val="en-US" w:eastAsia="en-US"/>
        </w:rPr>
        <w:t xml:space="preserve">Intrapreneurial ecosystems in academia and their overlooked outputs: Graduate employability and wellbeing. </w:t>
      </w:r>
      <w:proofErr w:type="spellStart"/>
      <w:r w:rsidRPr="00064C79">
        <w:rPr>
          <w:rFonts w:ascii="Arial" w:eastAsia="Calibri" w:hAnsi="Arial" w:cs="Arial"/>
          <w:i/>
          <w:iCs/>
          <w:lang w:val="es-EC" w:eastAsia="en-US"/>
        </w:rPr>
        <w:t>Technovation</w:t>
      </w:r>
      <w:proofErr w:type="spellEnd"/>
      <w:r w:rsidRPr="00064C79">
        <w:rPr>
          <w:rFonts w:ascii="Arial" w:eastAsia="Calibri" w:hAnsi="Arial" w:cs="Arial"/>
          <w:lang w:val="es-EC" w:eastAsia="en-US"/>
        </w:rPr>
        <w:t xml:space="preserve">, </w:t>
      </w:r>
      <w:r w:rsidRPr="00064C79">
        <w:rPr>
          <w:rFonts w:ascii="Arial" w:eastAsia="Calibri" w:hAnsi="Arial" w:cs="Arial"/>
          <w:i/>
          <w:iCs/>
          <w:lang w:val="es-EC" w:eastAsia="en-US"/>
        </w:rPr>
        <w:t>133</w:t>
      </w:r>
      <w:r w:rsidRPr="00064C79">
        <w:rPr>
          <w:rFonts w:ascii="Arial" w:eastAsia="Calibri" w:hAnsi="Arial" w:cs="Arial"/>
          <w:lang w:val="es-EC" w:eastAsia="en-US"/>
        </w:rPr>
        <w:t xml:space="preserve">, 102996. </w:t>
      </w:r>
      <w:r w:rsidRPr="007C60A8">
        <w:rPr>
          <w:rFonts w:ascii="Arial" w:eastAsia="Calibri" w:hAnsi="Arial" w:cs="Arial"/>
          <w:color w:val="002060"/>
          <w:u w:val="single"/>
          <w:lang w:val="es-EC" w:eastAsia="en-US"/>
        </w:rPr>
        <w:t>https://doi.org/10.1016/j.technovation.2024.102996</w:t>
      </w:r>
    </w:p>
    <w:p w14:paraId="0D3C5975"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s-EC" w:eastAsia="en-US"/>
        </w:rPr>
      </w:pPr>
      <w:r w:rsidRPr="00064C79">
        <w:rPr>
          <w:rFonts w:ascii="Arial" w:eastAsia="Calibri" w:hAnsi="Arial" w:cs="Arial"/>
          <w:lang w:val="es-EC" w:eastAsia="en-US"/>
        </w:rPr>
        <w:t xml:space="preserve">Álvarez-Gavilanes, J. E. &amp; Romero-Fernández, A. (2015). La empleabilidad de graduados universitarios en el contexto latinoamericano: Realidades de UNIANDES, Ecuador. </w:t>
      </w:r>
      <w:r w:rsidRPr="00064C79">
        <w:rPr>
          <w:rFonts w:ascii="Arial" w:eastAsia="Calibri" w:hAnsi="Arial" w:cs="Arial"/>
          <w:i/>
          <w:iCs/>
          <w:lang w:val="es-EC" w:eastAsia="en-US"/>
        </w:rPr>
        <w:t>Atenas, 4</w:t>
      </w:r>
      <w:r w:rsidRPr="00064C79">
        <w:rPr>
          <w:rFonts w:ascii="Arial" w:eastAsia="Calibri" w:hAnsi="Arial" w:cs="Arial"/>
          <w:lang w:val="es-EC" w:eastAsia="en-US"/>
        </w:rPr>
        <w:t xml:space="preserve">(32), 1-15. </w:t>
      </w:r>
      <w:r w:rsidRPr="007C60A8">
        <w:rPr>
          <w:rFonts w:ascii="Arial" w:eastAsia="Calibri" w:hAnsi="Arial" w:cs="Arial"/>
          <w:color w:val="002060"/>
          <w:u w:val="single"/>
          <w:lang w:val="es-EC" w:eastAsia="en-US"/>
        </w:rPr>
        <w:t>https://www.redalyc.org/articulo.oa?id=478047208001</w:t>
      </w:r>
    </w:p>
    <w:p w14:paraId="5F40A73B" w14:textId="77777777" w:rsidR="00064C79" w:rsidRPr="007C60A8" w:rsidRDefault="00064C79" w:rsidP="000D7DE0">
      <w:pPr>
        <w:spacing w:before="100" w:beforeAutospacing="1" w:after="100" w:afterAutospacing="1" w:line="360" w:lineRule="auto"/>
        <w:ind w:left="709" w:hanging="709"/>
        <w:jc w:val="both"/>
        <w:rPr>
          <w:rFonts w:ascii="Arial" w:eastAsia="Calibri" w:hAnsi="Arial" w:cs="Arial"/>
          <w:color w:val="002060"/>
          <w:u w:val="single"/>
          <w:lang w:val="es-EC" w:eastAsia="en-US"/>
        </w:rPr>
      </w:pPr>
      <w:r w:rsidRPr="00064C79">
        <w:rPr>
          <w:rFonts w:ascii="Arial" w:eastAsia="Calibri" w:hAnsi="Arial" w:cs="Arial"/>
          <w:lang w:val="es-EC" w:eastAsia="en-US"/>
        </w:rPr>
        <w:t xml:space="preserve">Álvarez-Gómez, G. A., Viteri-Moya, J. R., Viteri-Intriago, D. A. &amp; Estupiñán-Ricardo, J. (2021). Integración de los procesos sustantivos para la mejora de la calidad del aprendizaje. </w:t>
      </w:r>
      <w:r w:rsidRPr="00064C79">
        <w:rPr>
          <w:rFonts w:ascii="Arial" w:eastAsia="Calibri" w:hAnsi="Arial" w:cs="Arial"/>
          <w:i/>
          <w:iCs/>
          <w:lang w:val="es-EC" w:eastAsia="en-US"/>
        </w:rPr>
        <w:t>Conrado</w:t>
      </w:r>
      <w:r w:rsidRPr="00064C79">
        <w:rPr>
          <w:rFonts w:ascii="Arial" w:eastAsia="Calibri" w:hAnsi="Arial" w:cs="Arial"/>
          <w:lang w:val="es-EC" w:eastAsia="en-US"/>
        </w:rPr>
        <w:t xml:space="preserve">, </w:t>
      </w:r>
      <w:r w:rsidRPr="00064C79">
        <w:rPr>
          <w:rFonts w:ascii="Arial" w:eastAsia="Calibri" w:hAnsi="Arial" w:cs="Arial"/>
          <w:i/>
          <w:iCs/>
          <w:lang w:val="es-EC" w:eastAsia="en-US"/>
        </w:rPr>
        <w:t>17</w:t>
      </w:r>
      <w:r w:rsidRPr="00064C79">
        <w:rPr>
          <w:rFonts w:ascii="Arial" w:eastAsia="Calibri" w:hAnsi="Arial" w:cs="Arial"/>
          <w:lang w:val="es-EC" w:eastAsia="en-US"/>
        </w:rPr>
        <w:t xml:space="preserve">(80), 21-27. </w:t>
      </w:r>
      <w:r w:rsidRPr="007C60A8">
        <w:rPr>
          <w:rFonts w:ascii="Arial" w:eastAsia="Calibri" w:hAnsi="Arial" w:cs="Arial"/>
          <w:color w:val="002060"/>
          <w:u w:val="single"/>
          <w:lang w:val="es-EC" w:eastAsia="en-US"/>
        </w:rPr>
        <w:t>https://conrado.ucf.edu.cu/index.php/conrado/article/view/1806</w:t>
      </w:r>
    </w:p>
    <w:p w14:paraId="4E5C7872"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n-GB" w:eastAsia="en-US"/>
        </w:rPr>
      </w:pPr>
      <w:proofErr w:type="spellStart"/>
      <w:r w:rsidRPr="00064C79">
        <w:rPr>
          <w:rFonts w:ascii="Arial" w:eastAsia="Calibri" w:hAnsi="Arial" w:cs="Arial"/>
          <w:shd w:val="clear" w:color="auto" w:fill="FFFFFF"/>
          <w:lang w:val="es-EC" w:eastAsia="en-US"/>
        </w:rPr>
        <w:t>Ascención</w:t>
      </w:r>
      <w:proofErr w:type="spellEnd"/>
      <w:r w:rsidRPr="00064C79">
        <w:rPr>
          <w:rFonts w:ascii="Arial" w:eastAsia="Calibri" w:hAnsi="Arial" w:cs="Arial"/>
          <w:shd w:val="clear" w:color="auto" w:fill="FFFFFF"/>
          <w:lang w:val="es-EC" w:eastAsia="en-US"/>
        </w:rPr>
        <w:t xml:space="preserve"> Campos, Y. P. &amp; Díaz Manrique, J. (2022). Educación universitaria para la empleabilidad, un análisis a nivel internacional. </w:t>
      </w:r>
      <w:r w:rsidRPr="00064C79">
        <w:rPr>
          <w:rFonts w:ascii="Arial" w:eastAsia="Calibri" w:hAnsi="Arial" w:cs="Arial"/>
          <w:i/>
          <w:iCs/>
          <w:shd w:val="clear" w:color="auto" w:fill="FFFFFF"/>
          <w:lang w:val="en-GB" w:eastAsia="en-US"/>
        </w:rPr>
        <w:t>IGOBERNANZA</w:t>
      </w:r>
      <w:r w:rsidRPr="00064C79">
        <w:rPr>
          <w:rFonts w:ascii="Arial" w:eastAsia="Calibri" w:hAnsi="Arial" w:cs="Arial"/>
          <w:shd w:val="clear" w:color="auto" w:fill="FFFFFF"/>
          <w:lang w:val="en-GB" w:eastAsia="en-US"/>
        </w:rPr>
        <w:t xml:space="preserve">, </w:t>
      </w:r>
      <w:r w:rsidRPr="00064C79">
        <w:rPr>
          <w:rFonts w:ascii="Arial" w:eastAsia="Calibri" w:hAnsi="Arial" w:cs="Arial"/>
          <w:i/>
          <w:iCs/>
          <w:shd w:val="clear" w:color="auto" w:fill="FFFFFF"/>
          <w:lang w:val="en-GB" w:eastAsia="en-US"/>
        </w:rPr>
        <w:t>5</w:t>
      </w:r>
      <w:r w:rsidRPr="00064C79">
        <w:rPr>
          <w:rFonts w:ascii="Arial" w:eastAsia="Calibri" w:hAnsi="Arial" w:cs="Arial"/>
          <w:shd w:val="clear" w:color="auto" w:fill="FFFFFF"/>
          <w:lang w:val="en-GB" w:eastAsia="en-US"/>
        </w:rPr>
        <w:t xml:space="preserve">(20), 133-148. </w:t>
      </w:r>
      <w:r w:rsidRPr="007C60A8">
        <w:rPr>
          <w:rFonts w:ascii="Arial" w:eastAsia="Calibri" w:hAnsi="Arial" w:cs="Arial"/>
          <w:color w:val="002060"/>
          <w:u w:val="single"/>
          <w:shd w:val="clear" w:color="auto" w:fill="FFFFFF"/>
          <w:lang w:val="en-GB" w:eastAsia="en-US"/>
        </w:rPr>
        <w:t>https://doi.org/10.47865/igob.vol5.n20.2022.226</w:t>
      </w:r>
    </w:p>
    <w:p w14:paraId="4C858A79" w14:textId="2C2D610E"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n-US" w:eastAsia="en-US"/>
        </w:rPr>
      </w:pPr>
      <w:proofErr w:type="spellStart"/>
      <w:r w:rsidRPr="00064C79">
        <w:rPr>
          <w:rFonts w:ascii="Arial" w:eastAsia="Calibri" w:hAnsi="Arial" w:cs="Arial"/>
          <w:lang w:val="en-US" w:eastAsia="en-US"/>
        </w:rPr>
        <w:t>Blanka</w:t>
      </w:r>
      <w:proofErr w:type="spellEnd"/>
      <w:r w:rsidRPr="00064C79">
        <w:rPr>
          <w:rFonts w:ascii="Arial" w:eastAsia="Calibri" w:hAnsi="Arial" w:cs="Arial"/>
          <w:lang w:val="en-US" w:eastAsia="en-US"/>
        </w:rPr>
        <w:t xml:space="preserve">, C. (2019). An individual-level perspective on intrapreneurship: a review and ways forward. </w:t>
      </w:r>
      <w:r w:rsidRPr="00064C79">
        <w:rPr>
          <w:rFonts w:ascii="Arial" w:eastAsia="Calibri" w:hAnsi="Arial" w:cs="Arial"/>
          <w:i/>
          <w:iCs/>
          <w:lang w:val="en-US" w:eastAsia="en-US"/>
        </w:rPr>
        <w:t>Review of Managerial Science, 13</w:t>
      </w:r>
      <w:r w:rsidRPr="00064C79">
        <w:rPr>
          <w:rFonts w:ascii="Arial" w:eastAsia="Calibri" w:hAnsi="Arial" w:cs="Arial"/>
          <w:lang w:val="en-US" w:eastAsia="en-US"/>
        </w:rPr>
        <w:t xml:space="preserve">(5), 919-961. </w:t>
      </w:r>
      <w:r w:rsidRPr="007C60A8">
        <w:rPr>
          <w:rFonts w:ascii="Arial" w:eastAsia="Calibri" w:hAnsi="Arial" w:cs="Arial"/>
          <w:color w:val="002060"/>
          <w:u w:val="single"/>
          <w:lang w:val="en-US" w:eastAsia="en-US"/>
        </w:rPr>
        <w:t>https://doi.org/10.1007/s11846-018-0277-0</w:t>
      </w:r>
    </w:p>
    <w:p w14:paraId="3A1E34BA"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s-EC" w:eastAsia="en-US"/>
        </w:rPr>
      </w:pPr>
      <w:r w:rsidRPr="00AC70D7">
        <w:rPr>
          <w:rFonts w:ascii="Arial" w:eastAsia="Calibri" w:hAnsi="Arial" w:cs="Arial"/>
          <w:lang w:val="en-US" w:eastAsia="en-US"/>
        </w:rPr>
        <w:lastRenderedPageBreak/>
        <w:t xml:space="preserve">Bobadilla-Cornelio, J., González-Tovar, C., Bobadilla-Cornelio, A., Medina-Chávez, A. &amp; Sánchez-Díaz, E. J. (2024). </w:t>
      </w:r>
      <w:r w:rsidRPr="00064C79">
        <w:rPr>
          <w:rFonts w:ascii="Arial" w:eastAsia="Calibri" w:hAnsi="Arial" w:cs="Arial"/>
          <w:lang w:val="es-EC" w:eastAsia="en-US"/>
        </w:rPr>
        <w:t xml:space="preserve">Situación laboral de los egresados de las universidades sudamericanas: una revisión sistemática. </w:t>
      </w:r>
      <w:proofErr w:type="spellStart"/>
      <w:r w:rsidRPr="00064C79">
        <w:rPr>
          <w:rFonts w:ascii="Arial" w:eastAsia="Calibri" w:hAnsi="Arial" w:cs="Arial"/>
          <w:i/>
          <w:iCs/>
          <w:lang w:val="es-EC" w:eastAsia="en-US"/>
        </w:rPr>
        <w:t>Comuni@cción</w:t>
      </w:r>
      <w:proofErr w:type="spellEnd"/>
      <w:r w:rsidRPr="00064C79">
        <w:rPr>
          <w:rFonts w:ascii="Arial" w:eastAsia="Calibri" w:hAnsi="Arial" w:cs="Arial"/>
          <w:i/>
          <w:iCs/>
          <w:lang w:val="es-EC" w:eastAsia="en-US"/>
        </w:rPr>
        <w:t>: Revista de Investigación en Comunicación y Desarrollo, 15</w:t>
      </w:r>
      <w:r w:rsidRPr="00064C79">
        <w:rPr>
          <w:rFonts w:ascii="Arial" w:eastAsia="Calibri" w:hAnsi="Arial" w:cs="Arial"/>
          <w:lang w:val="es-EC" w:eastAsia="en-US"/>
        </w:rPr>
        <w:t xml:space="preserve">(1), 79-91. </w:t>
      </w:r>
      <w:r w:rsidRPr="008F48D9">
        <w:rPr>
          <w:rFonts w:ascii="Arial" w:eastAsia="Calibri" w:hAnsi="Arial" w:cs="Arial"/>
          <w:color w:val="002060"/>
          <w:u w:val="single"/>
          <w:lang w:val="es-EC" w:eastAsia="en-US"/>
        </w:rPr>
        <w:t>https://doi.org/10.33595/2226-1478.15.1.934</w:t>
      </w:r>
    </w:p>
    <w:p w14:paraId="33D98535"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n-GB" w:eastAsia="en-US"/>
        </w:rPr>
      </w:pPr>
      <w:r w:rsidRPr="00064C79">
        <w:rPr>
          <w:rFonts w:ascii="Arial" w:eastAsia="Calibri" w:hAnsi="Arial" w:cs="Arial"/>
          <w:lang w:val="en-GB" w:eastAsia="en-US"/>
        </w:rPr>
        <w:t xml:space="preserve">Burkholder, P. &amp; </w:t>
      </w:r>
      <w:proofErr w:type="spellStart"/>
      <w:r w:rsidRPr="00064C79">
        <w:rPr>
          <w:rFonts w:ascii="Arial" w:eastAsia="Calibri" w:hAnsi="Arial" w:cs="Arial"/>
          <w:lang w:val="en-GB" w:eastAsia="en-US"/>
        </w:rPr>
        <w:t>Hulsink</w:t>
      </w:r>
      <w:proofErr w:type="spellEnd"/>
      <w:r w:rsidRPr="00064C79">
        <w:rPr>
          <w:rFonts w:ascii="Arial" w:eastAsia="Calibri" w:hAnsi="Arial" w:cs="Arial"/>
          <w:lang w:val="en-GB" w:eastAsia="en-US"/>
        </w:rPr>
        <w:t xml:space="preserve">, W. (2022). Academic intrapreneurship for health care innovation: The importance of influence, perception, and time management in knowledge commercialization at a university’s medical centre. </w:t>
      </w:r>
      <w:r w:rsidRPr="00064C79">
        <w:rPr>
          <w:rFonts w:ascii="Arial" w:eastAsia="Calibri" w:hAnsi="Arial" w:cs="Arial"/>
          <w:i/>
          <w:iCs/>
          <w:lang w:val="en-GB" w:eastAsia="en-US"/>
        </w:rPr>
        <w:t>The Journal of Technology Transfer</w:t>
      </w:r>
      <w:r w:rsidRPr="00064C79">
        <w:rPr>
          <w:rFonts w:ascii="Arial" w:eastAsia="Calibri" w:hAnsi="Arial" w:cs="Arial"/>
          <w:lang w:val="en-GB" w:eastAsia="en-US"/>
        </w:rPr>
        <w:t xml:space="preserve">, </w:t>
      </w:r>
      <w:r w:rsidRPr="00064C79">
        <w:rPr>
          <w:rFonts w:ascii="Arial" w:eastAsia="Calibri" w:hAnsi="Arial" w:cs="Arial"/>
          <w:i/>
          <w:iCs/>
          <w:lang w:val="en-GB" w:eastAsia="en-US"/>
        </w:rPr>
        <w:t>48</w:t>
      </w:r>
      <w:r w:rsidRPr="00064C79">
        <w:rPr>
          <w:rFonts w:ascii="Arial" w:eastAsia="Calibri" w:hAnsi="Arial" w:cs="Arial"/>
          <w:lang w:val="en-GB" w:eastAsia="en-US"/>
        </w:rPr>
        <w:t>(2), 407-433.</w:t>
      </w:r>
      <w:r w:rsidRPr="008F48D9">
        <w:rPr>
          <w:rFonts w:ascii="Arial" w:eastAsia="Calibri" w:hAnsi="Arial" w:cs="Arial"/>
          <w:color w:val="002060"/>
          <w:u w:val="single"/>
          <w:lang w:val="en-GB" w:eastAsia="en-US"/>
        </w:rPr>
        <w:t xml:space="preserve"> https://doi.org/10.1007/s10961-022-09974-6</w:t>
      </w:r>
    </w:p>
    <w:p w14:paraId="3AD82097"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n-US" w:eastAsia="en-US"/>
        </w:rPr>
      </w:pPr>
      <w:proofErr w:type="spellStart"/>
      <w:r w:rsidRPr="00064C79">
        <w:rPr>
          <w:rFonts w:ascii="Arial" w:eastAsia="Calibri" w:hAnsi="Arial" w:cs="Arial"/>
          <w:lang w:val="en-GB" w:eastAsia="en-US"/>
        </w:rPr>
        <w:t>Compagnucci</w:t>
      </w:r>
      <w:proofErr w:type="spellEnd"/>
      <w:r w:rsidRPr="00064C79">
        <w:rPr>
          <w:rFonts w:ascii="Arial" w:eastAsia="Calibri" w:hAnsi="Arial" w:cs="Arial"/>
          <w:lang w:val="en-GB" w:eastAsia="en-US"/>
        </w:rPr>
        <w:t xml:space="preserve">, L. &amp; </w:t>
      </w:r>
      <w:proofErr w:type="spellStart"/>
      <w:r w:rsidRPr="00064C79">
        <w:rPr>
          <w:rFonts w:ascii="Arial" w:eastAsia="Calibri" w:hAnsi="Arial" w:cs="Arial"/>
          <w:lang w:val="en-GB" w:eastAsia="en-US"/>
        </w:rPr>
        <w:t>Spigarelli</w:t>
      </w:r>
      <w:proofErr w:type="spellEnd"/>
      <w:r w:rsidRPr="00064C79">
        <w:rPr>
          <w:rFonts w:ascii="Arial" w:eastAsia="Calibri" w:hAnsi="Arial" w:cs="Arial"/>
          <w:lang w:val="en-GB" w:eastAsia="en-US"/>
        </w:rPr>
        <w:t xml:space="preserve">, F. (2020). </w:t>
      </w:r>
      <w:r w:rsidRPr="00064C79">
        <w:rPr>
          <w:rFonts w:ascii="Arial" w:eastAsia="Calibri" w:hAnsi="Arial" w:cs="Arial"/>
          <w:lang w:val="en-US" w:eastAsia="en-US"/>
        </w:rPr>
        <w:t xml:space="preserve">The Third Mission of the university: A systematic literature review on potentials and constraints. </w:t>
      </w:r>
      <w:r w:rsidRPr="00064C79">
        <w:rPr>
          <w:rFonts w:ascii="Arial" w:eastAsia="Calibri" w:hAnsi="Arial" w:cs="Arial"/>
          <w:i/>
          <w:iCs/>
          <w:lang w:val="en-US" w:eastAsia="en-US"/>
        </w:rPr>
        <w:t>Technological Forecasting and Social Change</w:t>
      </w:r>
      <w:r w:rsidRPr="00064C79">
        <w:rPr>
          <w:rFonts w:ascii="Arial" w:eastAsia="Calibri" w:hAnsi="Arial" w:cs="Arial"/>
          <w:lang w:val="en-US" w:eastAsia="en-US"/>
        </w:rPr>
        <w:t xml:space="preserve">, </w:t>
      </w:r>
      <w:r w:rsidRPr="00064C79">
        <w:rPr>
          <w:rFonts w:ascii="Arial" w:eastAsia="Calibri" w:hAnsi="Arial" w:cs="Arial"/>
          <w:i/>
          <w:iCs/>
          <w:lang w:val="en-US" w:eastAsia="en-US"/>
        </w:rPr>
        <w:t>161</w:t>
      </w:r>
      <w:r w:rsidRPr="00064C79">
        <w:rPr>
          <w:rFonts w:ascii="Arial" w:eastAsia="Calibri" w:hAnsi="Arial" w:cs="Arial"/>
          <w:lang w:val="en-US" w:eastAsia="en-US"/>
        </w:rPr>
        <w:t xml:space="preserve">, 120284. </w:t>
      </w:r>
      <w:r w:rsidRPr="008F48D9">
        <w:rPr>
          <w:rFonts w:ascii="Arial" w:eastAsia="Calibri" w:hAnsi="Arial" w:cs="Arial"/>
          <w:color w:val="002060"/>
          <w:u w:val="single"/>
          <w:lang w:val="en-US" w:eastAsia="en-US"/>
        </w:rPr>
        <w:t>https://doi.org/10.1016/j.techfore.2020.120284</w:t>
      </w:r>
    </w:p>
    <w:p w14:paraId="10670EA2"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shd w:val="clear" w:color="auto" w:fill="FFFFFF"/>
          <w:lang w:val="en-GB" w:eastAsia="en-US"/>
        </w:rPr>
      </w:pPr>
      <w:r w:rsidRPr="00064C79">
        <w:rPr>
          <w:rFonts w:ascii="Arial" w:eastAsia="Calibri" w:hAnsi="Arial" w:cs="Arial"/>
          <w:shd w:val="clear" w:color="auto" w:fill="FFFFFF"/>
          <w:lang w:val="en-GB" w:eastAsia="en-US"/>
        </w:rPr>
        <w:t xml:space="preserve">Finley, A. (2016). Well-being: an essential outcome for higher education. </w:t>
      </w:r>
      <w:r w:rsidRPr="00064C79">
        <w:rPr>
          <w:rFonts w:ascii="Arial" w:eastAsia="Calibri" w:hAnsi="Arial" w:cs="Arial"/>
          <w:i/>
          <w:iCs/>
          <w:shd w:val="clear" w:color="auto" w:fill="FFFFFF"/>
          <w:lang w:val="en-GB" w:eastAsia="en-US"/>
        </w:rPr>
        <w:t>Change: The Magazine of Higher Learning, 48</w:t>
      </w:r>
      <w:r w:rsidRPr="00064C79">
        <w:rPr>
          <w:rFonts w:ascii="Arial" w:eastAsia="Calibri" w:hAnsi="Arial" w:cs="Arial"/>
          <w:shd w:val="clear" w:color="auto" w:fill="FFFFFF"/>
          <w:lang w:val="en-GB" w:eastAsia="en-US"/>
        </w:rPr>
        <w:t xml:space="preserve">(2), 14-19. </w:t>
      </w:r>
      <w:r w:rsidR="00C76BE9">
        <w:fldChar w:fldCharType="begin"/>
      </w:r>
      <w:r w:rsidR="00C76BE9" w:rsidRPr="00AC70D7">
        <w:rPr>
          <w:lang w:val="en-GB"/>
        </w:rPr>
        <w:instrText xml:space="preserve"> HYPERLINK "https://doi.org/10.1080/00091383.2016.1163163" </w:instrText>
      </w:r>
      <w:r w:rsidR="00C76BE9">
        <w:fldChar w:fldCharType="separate"/>
      </w:r>
      <w:r w:rsidRPr="008F48D9">
        <w:rPr>
          <w:rFonts w:ascii="Arial" w:eastAsia="Calibri" w:hAnsi="Arial" w:cs="Arial"/>
          <w:color w:val="002060"/>
          <w:u w:val="single"/>
          <w:shd w:val="clear" w:color="auto" w:fill="FFFFFF"/>
          <w:lang w:val="en-GB" w:eastAsia="en-US"/>
        </w:rPr>
        <w:t>https://doi.org/10.1080/00091383.2016.1163163</w:t>
      </w:r>
      <w:r w:rsidR="00C76BE9">
        <w:rPr>
          <w:rFonts w:ascii="Arial" w:eastAsia="Calibri" w:hAnsi="Arial" w:cs="Arial"/>
          <w:color w:val="002060"/>
          <w:u w:val="single"/>
          <w:shd w:val="clear" w:color="auto" w:fill="FFFFFF"/>
          <w:lang w:val="en-GB" w:eastAsia="en-US"/>
        </w:rPr>
        <w:fldChar w:fldCharType="end"/>
      </w:r>
    </w:p>
    <w:p w14:paraId="5CA92528"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s-EC" w:eastAsia="en-US"/>
        </w:rPr>
      </w:pPr>
      <w:r w:rsidRPr="00064C79">
        <w:rPr>
          <w:rFonts w:ascii="Arial" w:eastAsia="Calibri" w:hAnsi="Arial" w:cs="Arial"/>
          <w:lang w:val="en-GB" w:eastAsia="en-US"/>
        </w:rPr>
        <w:t>González-Fernández-</w:t>
      </w:r>
      <w:proofErr w:type="spellStart"/>
      <w:r w:rsidRPr="00064C79">
        <w:rPr>
          <w:rFonts w:ascii="Arial" w:eastAsia="Calibri" w:hAnsi="Arial" w:cs="Arial"/>
          <w:lang w:val="en-GB" w:eastAsia="en-US"/>
        </w:rPr>
        <w:t>Larrea</w:t>
      </w:r>
      <w:proofErr w:type="spellEnd"/>
      <w:r w:rsidRPr="00064C79">
        <w:rPr>
          <w:rFonts w:ascii="Arial" w:eastAsia="Calibri" w:hAnsi="Arial" w:cs="Arial"/>
          <w:lang w:val="en-GB" w:eastAsia="en-US"/>
        </w:rPr>
        <w:t>, M., González-González, G. R., González-</w:t>
      </w:r>
      <w:proofErr w:type="spellStart"/>
      <w:r w:rsidRPr="00064C79">
        <w:rPr>
          <w:rFonts w:ascii="Arial" w:eastAsia="Calibri" w:hAnsi="Arial" w:cs="Arial"/>
          <w:lang w:val="en-GB" w:eastAsia="en-US"/>
        </w:rPr>
        <w:t>Aportela</w:t>
      </w:r>
      <w:proofErr w:type="spellEnd"/>
      <w:r w:rsidRPr="00064C79">
        <w:rPr>
          <w:rFonts w:ascii="Arial" w:eastAsia="Calibri" w:hAnsi="Arial" w:cs="Arial"/>
          <w:lang w:val="en-GB" w:eastAsia="en-US"/>
        </w:rPr>
        <w:t>, O. &amp; Batista-</w:t>
      </w:r>
      <w:proofErr w:type="spellStart"/>
      <w:r w:rsidRPr="00064C79">
        <w:rPr>
          <w:rFonts w:ascii="Arial" w:eastAsia="Calibri" w:hAnsi="Arial" w:cs="Arial"/>
          <w:lang w:val="en-GB" w:eastAsia="en-US"/>
        </w:rPr>
        <w:t>Mainegra</w:t>
      </w:r>
      <w:proofErr w:type="spellEnd"/>
      <w:r w:rsidRPr="00064C79">
        <w:rPr>
          <w:rFonts w:ascii="Arial" w:eastAsia="Calibri" w:hAnsi="Arial" w:cs="Arial"/>
          <w:lang w:val="en-GB" w:eastAsia="en-US"/>
        </w:rPr>
        <w:t xml:space="preserve">, A. (2021). </w:t>
      </w:r>
      <w:r w:rsidRPr="00064C79">
        <w:rPr>
          <w:rFonts w:ascii="Arial" w:eastAsia="Calibri" w:hAnsi="Arial" w:cs="Arial"/>
          <w:lang w:val="es-EC" w:eastAsia="en-US"/>
        </w:rPr>
        <w:t xml:space="preserve">Educación y sociedad: universidad, extensión universitaria y comunidad. </w:t>
      </w:r>
      <w:r w:rsidRPr="00064C79">
        <w:rPr>
          <w:rFonts w:ascii="Arial" w:eastAsia="Calibri" w:hAnsi="Arial" w:cs="Arial"/>
          <w:i/>
          <w:iCs/>
          <w:lang w:val="es-EC" w:eastAsia="en-US"/>
        </w:rPr>
        <w:t>Revista Cubana de Educación Superior</w:t>
      </w:r>
      <w:r w:rsidRPr="00064C79">
        <w:rPr>
          <w:rFonts w:ascii="Arial" w:eastAsia="Calibri" w:hAnsi="Arial" w:cs="Arial"/>
          <w:lang w:val="es-EC" w:eastAsia="en-US"/>
        </w:rPr>
        <w:t xml:space="preserve">, </w:t>
      </w:r>
      <w:r w:rsidRPr="00064C79">
        <w:rPr>
          <w:rFonts w:ascii="Arial" w:eastAsia="Calibri" w:hAnsi="Arial" w:cs="Arial"/>
          <w:i/>
          <w:iCs/>
          <w:lang w:val="es-EC" w:eastAsia="en-US"/>
        </w:rPr>
        <w:t>40</w:t>
      </w:r>
      <w:r w:rsidRPr="00064C79">
        <w:rPr>
          <w:rFonts w:ascii="Arial" w:eastAsia="Calibri" w:hAnsi="Arial" w:cs="Arial"/>
          <w:lang w:val="es-EC" w:eastAsia="en-US"/>
        </w:rPr>
        <w:t xml:space="preserve">. </w:t>
      </w:r>
      <w:r w:rsidRPr="008F48D9">
        <w:rPr>
          <w:rFonts w:ascii="Arial" w:eastAsia="Calibri" w:hAnsi="Arial" w:cs="Arial"/>
          <w:color w:val="002060"/>
          <w:u w:val="single"/>
          <w:lang w:val="es-EC" w:eastAsia="en-US"/>
        </w:rPr>
        <w:lastRenderedPageBreak/>
        <w:t>http://scielo.sld.cu/scielo.php?script=sci_arttext&amp;pid=S0257-43142021000400020</w:t>
      </w:r>
    </w:p>
    <w:p w14:paraId="6003543C"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s-EC" w:eastAsia="en-US"/>
        </w:rPr>
      </w:pPr>
      <w:r w:rsidRPr="00064C79">
        <w:rPr>
          <w:rFonts w:ascii="Arial" w:eastAsia="Calibri" w:hAnsi="Arial" w:cs="Arial"/>
          <w:lang w:val="es-EC" w:eastAsia="en-US"/>
        </w:rPr>
        <w:t xml:space="preserve">Guerrero-Pérez, R. X. &amp; Jiménez-Rodrigo, M. L. (2022). Calidad de la educación superior: una aproximación complementaria. </w:t>
      </w:r>
      <w:r w:rsidRPr="00064C79">
        <w:rPr>
          <w:rFonts w:ascii="Arial" w:eastAsia="Calibri" w:hAnsi="Arial" w:cs="Arial"/>
          <w:i/>
          <w:iCs/>
          <w:lang w:val="es-EC" w:eastAsia="en-US"/>
        </w:rPr>
        <w:t>Revista Electrónica Calidad en la Educación Superior</w:t>
      </w:r>
      <w:r w:rsidRPr="00064C79">
        <w:rPr>
          <w:rFonts w:ascii="Arial" w:eastAsia="Calibri" w:hAnsi="Arial" w:cs="Arial"/>
          <w:lang w:val="es-EC" w:eastAsia="en-US"/>
        </w:rPr>
        <w:t xml:space="preserve">, </w:t>
      </w:r>
      <w:r w:rsidRPr="00064C79">
        <w:rPr>
          <w:rFonts w:ascii="Arial" w:eastAsia="Calibri" w:hAnsi="Arial" w:cs="Arial"/>
          <w:i/>
          <w:iCs/>
          <w:lang w:val="es-EC" w:eastAsia="en-US"/>
        </w:rPr>
        <w:t>13</w:t>
      </w:r>
      <w:r w:rsidRPr="00064C79">
        <w:rPr>
          <w:rFonts w:ascii="Arial" w:eastAsia="Calibri" w:hAnsi="Arial" w:cs="Arial"/>
          <w:lang w:val="es-EC" w:eastAsia="en-US"/>
        </w:rPr>
        <w:t xml:space="preserve">(2), 85-114. </w:t>
      </w:r>
      <w:r w:rsidRPr="00CF0EBB">
        <w:rPr>
          <w:rFonts w:ascii="Arial" w:eastAsia="Calibri" w:hAnsi="Arial" w:cs="Arial"/>
          <w:color w:val="002060"/>
          <w:u w:val="single"/>
          <w:lang w:val="es-EC" w:eastAsia="en-US"/>
        </w:rPr>
        <w:t>https://doi.org/10.22458/caes.v13i2.4151</w:t>
      </w:r>
    </w:p>
    <w:p w14:paraId="7AC3606E"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n-GB" w:eastAsia="en-US"/>
        </w:rPr>
      </w:pPr>
      <w:r w:rsidRPr="00064C79">
        <w:rPr>
          <w:rFonts w:ascii="Arial" w:eastAsia="Calibri" w:hAnsi="Arial" w:cs="Arial"/>
          <w:lang w:val="es-EC" w:eastAsia="en-US"/>
        </w:rPr>
        <w:t xml:space="preserve">Guevara-Segarra, G., Ortiz-Santacruz, S. &amp; </w:t>
      </w:r>
      <w:proofErr w:type="spellStart"/>
      <w:r w:rsidRPr="00064C79">
        <w:rPr>
          <w:rFonts w:ascii="Arial" w:eastAsia="Calibri" w:hAnsi="Arial" w:cs="Arial"/>
          <w:lang w:val="es-EC" w:eastAsia="en-US"/>
        </w:rPr>
        <w:t>Stefos</w:t>
      </w:r>
      <w:proofErr w:type="spellEnd"/>
      <w:r w:rsidRPr="00064C79">
        <w:rPr>
          <w:rFonts w:ascii="Arial" w:eastAsia="Calibri" w:hAnsi="Arial" w:cs="Arial"/>
          <w:lang w:val="es-EC" w:eastAsia="en-US"/>
        </w:rPr>
        <w:t xml:space="preserve">, E. (2017). </w:t>
      </w:r>
      <w:r w:rsidRPr="00064C79">
        <w:rPr>
          <w:rFonts w:ascii="Arial" w:eastAsia="Calibri" w:hAnsi="Arial" w:cs="Arial"/>
          <w:lang w:val="en-GB" w:eastAsia="en-US"/>
        </w:rPr>
        <w:t xml:space="preserve">An analysis of the socio-demographic differences in Ecuadorian economically active population between genders. </w:t>
      </w:r>
      <w:r w:rsidRPr="00064C79">
        <w:rPr>
          <w:rFonts w:ascii="Arial" w:eastAsia="Calibri" w:hAnsi="Arial" w:cs="Arial"/>
          <w:i/>
          <w:iCs/>
          <w:lang w:val="en-GB" w:eastAsia="en-US"/>
        </w:rPr>
        <w:t>Modern Applied Science, 11</w:t>
      </w:r>
      <w:r w:rsidRPr="00064C79">
        <w:rPr>
          <w:rFonts w:ascii="Arial" w:eastAsia="Calibri" w:hAnsi="Arial" w:cs="Arial"/>
          <w:lang w:val="en-GB" w:eastAsia="en-US"/>
        </w:rPr>
        <w:t xml:space="preserve">(8), 7-16. </w:t>
      </w:r>
      <w:r w:rsidRPr="00CF0EBB">
        <w:rPr>
          <w:rFonts w:ascii="Arial" w:eastAsia="Calibri" w:hAnsi="Arial" w:cs="Arial"/>
          <w:color w:val="002060"/>
          <w:u w:val="single"/>
          <w:lang w:val="en-GB" w:eastAsia="en-US"/>
        </w:rPr>
        <w:t>https://doi.org/10.5539/mas.v11n8p7</w:t>
      </w:r>
    </w:p>
    <w:p w14:paraId="3457459C"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s-EC" w:eastAsia="en-US"/>
        </w:rPr>
      </w:pPr>
      <w:r w:rsidRPr="00064C79">
        <w:rPr>
          <w:rFonts w:ascii="Arial" w:eastAsia="Calibri" w:hAnsi="Arial" w:cs="Arial"/>
          <w:lang w:val="en-GB" w:eastAsia="en-US"/>
        </w:rPr>
        <w:t xml:space="preserve">Jiménez-Ulate, J. (2022). </w:t>
      </w:r>
      <w:r w:rsidRPr="00064C79">
        <w:rPr>
          <w:rFonts w:ascii="Arial" w:eastAsia="Calibri" w:hAnsi="Arial" w:cs="Arial"/>
          <w:lang w:val="es-EC" w:eastAsia="en-US"/>
        </w:rPr>
        <w:t xml:space="preserve">Hacia una visión sistémica de la empleabilidad. </w:t>
      </w:r>
      <w:r w:rsidRPr="00064C79">
        <w:rPr>
          <w:rFonts w:ascii="Arial" w:eastAsia="Calibri" w:hAnsi="Arial" w:cs="Arial"/>
          <w:i/>
          <w:iCs/>
          <w:lang w:val="es-EC" w:eastAsia="en-US"/>
        </w:rPr>
        <w:t>Revista ABRA</w:t>
      </w:r>
      <w:r w:rsidRPr="00064C79">
        <w:rPr>
          <w:rFonts w:ascii="Arial" w:eastAsia="Calibri" w:hAnsi="Arial" w:cs="Arial"/>
          <w:lang w:val="es-EC" w:eastAsia="en-US"/>
        </w:rPr>
        <w:t xml:space="preserve">, </w:t>
      </w:r>
      <w:r w:rsidRPr="00064C79">
        <w:rPr>
          <w:rFonts w:ascii="Arial" w:eastAsia="Calibri" w:hAnsi="Arial" w:cs="Arial"/>
          <w:i/>
          <w:iCs/>
          <w:lang w:val="es-EC" w:eastAsia="en-US"/>
        </w:rPr>
        <w:t>42</w:t>
      </w:r>
      <w:r w:rsidRPr="00064C79">
        <w:rPr>
          <w:rFonts w:ascii="Arial" w:eastAsia="Calibri" w:hAnsi="Arial" w:cs="Arial"/>
          <w:lang w:val="es-EC" w:eastAsia="en-US"/>
        </w:rPr>
        <w:t xml:space="preserve">(65), 24-43. </w:t>
      </w:r>
      <w:r w:rsidRPr="00CF0EBB">
        <w:rPr>
          <w:rFonts w:ascii="Arial" w:eastAsia="Calibri" w:hAnsi="Arial" w:cs="Arial"/>
          <w:color w:val="002060"/>
          <w:u w:val="single"/>
          <w:lang w:val="es-EC" w:eastAsia="en-US"/>
        </w:rPr>
        <w:t>http://dx.doi.org/10.15359/abra.42-65.2</w:t>
      </w:r>
    </w:p>
    <w:p w14:paraId="13165002"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s-EC" w:eastAsia="en-US"/>
        </w:rPr>
      </w:pPr>
      <w:r w:rsidRPr="00064C79">
        <w:rPr>
          <w:rFonts w:ascii="Arial" w:eastAsia="Calibri" w:hAnsi="Arial" w:cs="Arial"/>
          <w:lang w:val="es-EC" w:eastAsia="en-US"/>
        </w:rPr>
        <w:t xml:space="preserve">Jiménez-Vásquez, M. S. (2014). Trayectorias profesionales de egresados del Doctorado en Educación de la Universidad Autónoma de Tlaxcala: Un análisis de las funciones, productividad y movilidad en el mercado académico. </w:t>
      </w:r>
      <w:r w:rsidRPr="00064C79">
        <w:rPr>
          <w:rFonts w:ascii="Arial" w:eastAsia="Calibri" w:hAnsi="Arial" w:cs="Arial"/>
          <w:i/>
          <w:iCs/>
          <w:lang w:val="es-EC" w:eastAsia="en-US"/>
        </w:rPr>
        <w:t>Perfiles educativos</w:t>
      </w:r>
      <w:r w:rsidRPr="00064C79">
        <w:rPr>
          <w:rFonts w:ascii="Arial" w:eastAsia="Calibri" w:hAnsi="Arial" w:cs="Arial"/>
          <w:lang w:val="es-EC" w:eastAsia="en-US"/>
        </w:rPr>
        <w:t xml:space="preserve">, </w:t>
      </w:r>
      <w:r w:rsidRPr="00064C79">
        <w:rPr>
          <w:rFonts w:ascii="Arial" w:eastAsia="Calibri" w:hAnsi="Arial" w:cs="Arial"/>
          <w:i/>
          <w:iCs/>
          <w:lang w:val="es-EC" w:eastAsia="en-US"/>
        </w:rPr>
        <w:t>36</w:t>
      </w:r>
      <w:r w:rsidRPr="00064C79">
        <w:rPr>
          <w:rFonts w:ascii="Arial" w:eastAsia="Calibri" w:hAnsi="Arial" w:cs="Arial"/>
          <w:lang w:val="es-EC" w:eastAsia="en-US"/>
        </w:rPr>
        <w:t xml:space="preserve">(143), 30-48. </w:t>
      </w:r>
      <w:r w:rsidRPr="00CF0EBB">
        <w:rPr>
          <w:rFonts w:ascii="Arial" w:eastAsia="Calibri" w:hAnsi="Arial" w:cs="Arial"/>
          <w:color w:val="002060"/>
          <w:u w:val="single"/>
          <w:lang w:val="es-EC" w:eastAsia="en-US"/>
        </w:rPr>
        <w:t>https://doi.org/10.1016/S0185-2698(14)70608-7</w:t>
      </w:r>
    </w:p>
    <w:p w14:paraId="5A082A80"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n-GB" w:eastAsia="en-US"/>
        </w:rPr>
      </w:pPr>
      <w:r w:rsidRPr="00CF0EBB">
        <w:rPr>
          <w:rFonts w:ascii="Arial" w:eastAsia="Calibri" w:hAnsi="Arial" w:cs="Arial"/>
          <w:bCs/>
          <w:lang w:val="es-EC" w:eastAsia="en-US"/>
        </w:rPr>
        <w:lastRenderedPageBreak/>
        <w:t>Instituto Nacional de Estadística y Censos (INEC).</w:t>
      </w:r>
      <w:r w:rsidRPr="00CF0EBB">
        <w:rPr>
          <w:rFonts w:ascii="Arial" w:eastAsia="Calibri" w:hAnsi="Arial" w:cs="Arial"/>
          <w:lang w:val="es-EC" w:eastAsia="en-US"/>
        </w:rPr>
        <w:t xml:space="preserve"> (</w:t>
      </w:r>
      <w:r w:rsidRPr="00064C79">
        <w:rPr>
          <w:rFonts w:ascii="Arial" w:eastAsia="Calibri" w:hAnsi="Arial" w:cs="Arial"/>
          <w:lang w:val="es-EC" w:eastAsia="en-US"/>
        </w:rPr>
        <w:t xml:space="preserve">2023). </w:t>
      </w:r>
      <w:r w:rsidRPr="00064C79">
        <w:rPr>
          <w:rFonts w:ascii="Arial" w:eastAsia="Calibri" w:hAnsi="Arial" w:cs="Arial"/>
          <w:i/>
          <w:iCs/>
          <w:lang w:val="es-EC" w:eastAsia="en-US"/>
        </w:rPr>
        <w:t>Encuesta Nacional de Empleo, Desempleo y Subempleo (ENEMDU) 2023</w:t>
      </w:r>
      <w:r w:rsidRPr="00064C79">
        <w:rPr>
          <w:rFonts w:ascii="Arial" w:eastAsia="Calibri" w:hAnsi="Arial" w:cs="Arial"/>
          <w:lang w:val="es-EC" w:eastAsia="en-US"/>
        </w:rPr>
        <w:t xml:space="preserve">. </w:t>
      </w:r>
      <w:r w:rsidRPr="00064C79">
        <w:rPr>
          <w:rFonts w:ascii="Arial" w:eastAsia="Calibri" w:hAnsi="Arial" w:cs="Arial"/>
          <w:lang w:val="en-GB" w:eastAsia="en-US"/>
        </w:rPr>
        <w:t xml:space="preserve">INEC. </w:t>
      </w:r>
      <w:r w:rsidRPr="00CF0EBB">
        <w:rPr>
          <w:rFonts w:ascii="Arial" w:eastAsia="Calibri" w:hAnsi="Arial" w:cs="Arial"/>
          <w:color w:val="002060"/>
          <w:u w:val="single"/>
          <w:lang w:val="en-GB" w:eastAsia="en-US"/>
        </w:rPr>
        <w:t>https://www.ecuadorencifras.gob.ec/enemdu-anual/</w:t>
      </w:r>
    </w:p>
    <w:p w14:paraId="06535F2C"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n-GB" w:eastAsia="en-US"/>
        </w:rPr>
      </w:pPr>
      <w:proofErr w:type="spellStart"/>
      <w:r w:rsidRPr="00064C79">
        <w:rPr>
          <w:rFonts w:ascii="Arial" w:eastAsia="Calibri" w:hAnsi="Arial" w:cs="Arial"/>
          <w:lang w:val="en-US" w:eastAsia="en-US"/>
        </w:rPr>
        <w:t>Marken</w:t>
      </w:r>
      <w:proofErr w:type="spellEnd"/>
      <w:r w:rsidRPr="00064C79">
        <w:rPr>
          <w:rFonts w:ascii="Arial" w:eastAsia="Calibri" w:hAnsi="Arial" w:cs="Arial"/>
          <w:lang w:val="en-US" w:eastAsia="en-US"/>
        </w:rPr>
        <w:t xml:space="preserve">, S. (2021). Ensuring a More Equitable Future: Exploring the Relationship between Wellbeing and Postsecondary Value. </w:t>
      </w:r>
      <w:r w:rsidRPr="00064C79">
        <w:rPr>
          <w:rFonts w:ascii="Arial" w:eastAsia="Calibri" w:hAnsi="Arial" w:cs="Arial"/>
          <w:i/>
          <w:iCs/>
          <w:lang w:val="en-GB" w:eastAsia="en-US"/>
        </w:rPr>
        <w:t>Postsecondary Value Commission</w:t>
      </w:r>
      <w:r w:rsidRPr="00064C79">
        <w:rPr>
          <w:rFonts w:ascii="Arial" w:eastAsia="Calibri" w:hAnsi="Arial" w:cs="Arial"/>
          <w:lang w:val="en-GB" w:eastAsia="en-US"/>
        </w:rPr>
        <w:t xml:space="preserve">. </w:t>
      </w:r>
      <w:r w:rsidRPr="00CF0EBB">
        <w:rPr>
          <w:rFonts w:ascii="Arial" w:eastAsia="Calibri" w:hAnsi="Arial" w:cs="Arial"/>
          <w:color w:val="002060"/>
          <w:u w:val="single"/>
          <w:lang w:val="en-GB" w:eastAsia="en-US"/>
        </w:rPr>
        <w:t>https://www.postsecondaryvalue.org/wp-content/uploads/2021/05/PVC-Marken-FINAL.pdf</w:t>
      </w:r>
    </w:p>
    <w:p w14:paraId="4776D953" w14:textId="77777777" w:rsidR="00064C79" w:rsidRPr="00064C79" w:rsidRDefault="00064C79" w:rsidP="000D7DE0">
      <w:pPr>
        <w:spacing w:before="100" w:beforeAutospacing="1" w:after="100" w:afterAutospacing="1" w:line="360" w:lineRule="auto"/>
        <w:ind w:left="709" w:hanging="709"/>
        <w:jc w:val="both"/>
        <w:rPr>
          <w:rFonts w:ascii="Arial" w:hAnsi="Arial" w:cs="Arial"/>
          <w:lang w:val="es-EC" w:eastAsia="es-EC"/>
        </w:rPr>
      </w:pPr>
      <w:r w:rsidRPr="00064C79">
        <w:rPr>
          <w:rFonts w:ascii="Arial" w:hAnsi="Arial" w:cs="Arial"/>
          <w:lang w:val="es-EC" w:eastAsia="es-EC"/>
        </w:rPr>
        <w:t>Morales-Muñoz, K., González-Burdiles, P. &amp; Cisternas-</w:t>
      </w:r>
      <w:proofErr w:type="spellStart"/>
      <w:r w:rsidRPr="00064C79">
        <w:rPr>
          <w:rFonts w:ascii="Arial" w:hAnsi="Arial" w:cs="Arial"/>
          <w:lang w:val="es-EC" w:eastAsia="es-EC"/>
        </w:rPr>
        <w:t>Irarrázabal</w:t>
      </w:r>
      <w:proofErr w:type="spellEnd"/>
      <w:r w:rsidRPr="00064C79">
        <w:rPr>
          <w:rFonts w:ascii="Arial" w:hAnsi="Arial" w:cs="Arial"/>
          <w:lang w:val="es-EC" w:eastAsia="es-EC"/>
        </w:rPr>
        <w:t xml:space="preserve">, C. (2022). Diseño de un sistema de gestión de calidad para una institución de educación superior técnica estatal de Chile. Descripción de una experiencia piloto. </w:t>
      </w:r>
      <w:r w:rsidRPr="00064C79">
        <w:rPr>
          <w:rFonts w:ascii="Arial" w:hAnsi="Arial" w:cs="Arial"/>
          <w:i/>
          <w:iCs/>
          <w:lang w:val="es-EC" w:eastAsia="es-EC"/>
        </w:rPr>
        <w:t>Revista Electrónica Calidad en la Educación</w:t>
      </w:r>
      <w:r w:rsidRPr="00064C79">
        <w:rPr>
          <w:rFonts w:ascii="Arial" w:hAnsi="Arial" w:cs="Arial"/>
          <w:lang w:val="es-EC" w:eastAsia="es-EC"/>
        </w:rPr>
        <w:t xml:space="preserve"> </w:t>
      </w:r>
      <w:r w:rsidRPr="00064C79">
        <w:rPr>
          <w:rFonts w:ascii="Arial" w:hAnsi="Arial" w:cs="Arial"/>
          <w:i/>
          <w:iCs/>
          <w:lang w:val="es-EC" w:eastAsia="es-EC"/>
        </w:rPr>
        <w:t>Superior</w:t>
      </w:r>
      <w:r w:rsidRPr="00064C79">
        <w:rPr>
          <w:rFonts w:ascii="Arial" w:hAnsi="Arial" w:cs="Arial"/>
          <w:lang w:val="es-EC" w:eastAsia="es-EC"/>
        </w:rPr>
        <w:t xml:space="preserve">, </w:t>
      </w:r>
      <w:r w:rsidRPr="00064C79">
        <w:rPr>
          <w:rFonts w:ascii="Arial" w:hAnsi="Arial" w:cs="Arial"/>
          <w:i/>
          <w:iCs/>
          <w:lang w:val="es-EC" w:eastAsia="es-EC"/>
        </w:rPr>
        <w:t>13</w:t>
      </w:r>
      <w:r w:rsidRPr="00064C79">
        <w:rPr>
          <w:rFonts w:ascii="Arial" w:hAnsi="Arial" w:cs="Arial"/>
          <w:lang w:val="es-EC" w:eastAsia="es-EC"/>
        </w:rPr>
        <w:t xml:space="preserve">(2), 43-66. </w:t>
      </w:r>
      <w:r w:rsidRPr="00CF0EBB">
        <w:rPr>
          <w:rFonts w:ascii="Arial" w:hAnsi="Arial" w:cs="Arial"/>
          <w:color w:val="002060"/>
          <w:u w:val="single"/>
          <w:lang w:val="es-EC" w:eastAsia="es-EC"/>
        </w:rPr>
        <w:t>https://doi.org/10.22458/caes.v13i2.4087</w:t>
      </w:r>
    </w:p>
    <w:p w14:paraId="357C23CA" w14:textId="77777777" w:rsidR="00064C79" w:rsidRPr="00064C79" w:rsidRDefault="00064C79" w:rsidP="000D7DE0">
      <w:pPr>
        <w:spacing w:before="100" w:beforeAutospacing="1" w:after="100" w:afterAutospacing="1" w:line="360" w:lineRule="auto"/>
        <w:ind w:left="709" w:hanging="709"/>
        <w:jc w:val="both"/>
        <w:rPr>
          <w:rFonts w:ascii="Arial" w:hAnsi="Arial" w:cs="Arial"/>
          <w:lang w:val="es-EC" w:eastAsia="es-EC"/>
        </w:rPr>
      </w:pPr>
      <w:r w:rsidRPr="00064C79">
        <w:rPr>
          <w:rFonts w:ascii="Arial" w:hAnsi="Arial" w:cs="Arial"/>
          <w:lang w:val="es-EC" w:eastAsia="es-EC"/>
        </w:rPr>
        <w:t xml:space="preserve">Morineau, A. (1984). Note sur la </w:t>
      </w:r>
      <w:proofErr w:type="spellStart"/>
      <w:r w:rsidRPr="00064C79">
        <w:rPr>
          <w:rFonts w:ascii="Arial" w:hAnsi="Arial" w:cs="Arial"/>
          <w:lang w:val="es-EC" w:eastAsia="es-EC"/>
        </w:rPr>
        <w:t>caractérisation</w:t>
      </w:r>
      <w:proofErr w:type="spellEnd"/>
      <w:r w:rsidRPr="00064C79">
        <w:rPr>
          <w:rFonts w:ascii="Arial" w:hAnsi="Arial" w:cs="Arial"/>
          <w:lang w:val="es-EC" w:eastAsia="es-EC"/>
        </w:rPr>
        <w:t xml:space="preserve"> </w:t>
      </w:r>
      <w:proofErr w:type="spellStart"/>
      <w:r w:rsidRPr="00064C79">
        <w:rPr>
          <w:rFonts w:ascii="Arial" w:hAnsi="Arial" w:cs="Arial"/>
          <w:lang w:val="es-EC" w:eastAsia="es-EC"/>
        </w:rPr>
        <w:t>statistique</w:t>
      </w:r>
      <w:proofErr w:type="spellEnd"/>
      <w:r w:rsidRPr="00064C79">
        <w:rPr>
          <w:rFonts w:ascii="Arial" w:hAnsi="Arial" w:cs="Arial"/>
          <w:lang w:val="es-EC" w:eastAsia="es-EC"/>
        </w:rPr>
        <w:t xml:space="preserve"> </w:t>
      </w:r>
      <w:proofErr w:type="spellStart"/>
      <w:r w:rsidRPr="00064C79">
        <w:rPr>
          <w:rFonts w:ascii="Arial" w:hAnsi="Arial" w:cs="Arial"/>
          <w:lang w:val="es-EC" w:eastAsia="es-EC"/>
        </w:rPr>
        <w:t>d’une</w:t>
      </w:r>
      <w:proofErr w:type="spellEnd"/>
      <w:r w:rsidRPr="00064C79">
        <w:rPr>
          <w:rFonts w:ascii="Arial" w:hAnsi="Arial" w:cs="Arial"/>
          <w:lang w:val="es-EC" w:eastAsia="es-EC"/>
        </w:rPr>
        <w:t xml:space="preserve"> </w:t>
      </w:r>
      <w:proofErr w:type="spellStart"/>
      <w:r w:rsidRPr="00064C79">
        <w:rPr>
          <w:rFonts w:ascii="Arial" w:hAnsi="Arial" w:cs="Arial"/>
          <w:lang w:val="es-EC" w:eastAsia="es-EC"/>
        </w:rPr>
        <w:t>classe</w:t>
      </w:r>
      <w:proofErr w:type="spellEnd"/>
      <w:r w:rsidRPr="00064C79">
        <w:rPr>
          <w:rFonts w:ascii="Arial" w:hAnsi="Arial" w:cs="Arial"/>
          <w:lang w:val="es-EC" w:eastAsia="es-EC"/>
        </w:rPr>
        <w:t xml:space="preserve"> et les </w:t>
      </w:r>
      <w:proofErr w:type="spellStart"/>
      <w:r w:rsidRPr="00064C79">
        <w:rPr>
          <w:rFonts w:ascii="Arial" w:hAnsi="Arial" w:cs="Arial"/>
          <w:lang w:val="es-EC" w:eastAsia="es-EC"/>
        </w:rPr>
        <w:t>valeurs-tests</w:t>
      </w:r>
      <w:proofErr w:type="spellEnd"/>
      <w:r w:rsidRPr="00064C79">
        <w:rPr>
          <w:rFonts w:ascii="Arial" w:hAnsi="Arial" w:cs="Arial"/>
          <w:lang w:val="es-EC" w:eastAsia="es-EC"/>
        </w:rPr>
        <w:t xml:space="preserve">. </w:t>
      </w:r>
      <w:proofErr w:type="spellStart"/>
      <w:r w:rsidRPr="00064C79">
        <w:rPr>
          <w:rFonts w:ascii="Arial" w:hAnsi="Arial" w:cs="Arial"/>
          <w:i/>
          <w:iCs/>
          <w:lang w:val="es-EC" w:eastAsia="es-EC"/>
        </w:rPr>
        <w:t>Bulletin</w:t>
      </w:r>
      <w:proofErr w:type="spellEnd"/>
      <w:r w:rsidRPr="00064C79">
        <w:rPr>
          <w:rFonts w:ascii="Arial" w:hAnsi="Arial" w:cs="Arial"/>
          <w:i/>
          <w:iCs/>
          <w:lang w:val="es-EC" w:eastAsia="es-EC"/>
        </w:rPr>
        <w:t xml:space="preserve"> </w:t>
      </w:r>
      <w:proofErr w:type="spellStart"/>
      <w:r w:rsidRPr="00064C79">
        <w:rPr>
          <w:rFonts w:ascii="Arial" w:hAnsi="Arial" w:cs="Arial"/>
          <w:i/>
          <w:iCs/>
          <w:lang w:val="es-EC" w:eastAsia="es-EC"/>
        </w:rPr>
        <w:t>Technique</w:t>
      </w:r>
      <w:proofErr w:type="spellEnd"/>
      <w:r w:rsidRPr="00064C79">
        <w:rPr>
          <w:rFonts w:ascii="Arial" w:hAnsi="Arial" w:cs="Arial"/>
          <w:i/>
          <w:iCs/>
          <w:lang w:val="es-EC" w:eastAsia="es-EC"/>
        </w:rPr>
        <w:t xml:space="preserve"> du Centre de </w:t>
      </w:r>
      <w:proofErr w:type="spellStart"/>
      <w:r w:rsidRPr="00064C79">
        <w:rPr>
          <w:rFonts w:ascii="Arial" w:hAnsi="Arial" w:cs="Arial"/>
          <w:i/>
          <w:iCs/>
          <w:lang w:val="es-EC" w:eastAsia="es-EC"/>
        </w:rPr>
        <w:t>Statistique</w:t>
      </w:r>
      <w:proofErr w:type="spellEnd"/>
      <w:r w:rsidRPr="00064C79">
        <w:rPr>
          <w:rFonts w:ascii="Arial" w:hAnsi="Arial" w:cs="Arial"/>
          <w:i/>
          <w:iCs/>
          <w:lang w:val="es-EC" w:eastAsia="es-EC"/>
        </w:rPr>
        <w:t xml:space="preserve"> et </w:t>
      </w:r>
      <w:proofErr w:type="spellStart"/>
      <w:r w:rsidRPr="00064C79">
        <w:rPr>
          <w:rFonts w:ascii="Arial" w:hAnsi="Arial" w:cs="Arial"/>
          <w:i/>
          <w:iCs/>
          <w:lang w:val="es-EC" w:eastAsia="es-EC"/>
        </w:rPr>
        <w:t>d’Informatique</w:t>
      </w:r>
      <w:proofErr w:type="spellEnd"/>
      <w:r w:rsidRPr="00064C79">
        <w:rPr>
          <w:rFonts w:ascii="Arial" w:hAnsi="Arial" w:cs="Arial"/>
          <w:i/>
          <w:iCs/>
          <w:lang w:val="es-EC" w:eastAsia="es-EC"/>
        </w:rPr>
        <w:t xml:space="preserve"> </w:t>
      </w:r>
      <w:proofErr w:type="spellStart"/>
      <w:r w:rsidRPr="00064C79">
        <w:rPr>
          <w:rFonts w:ascii="Arial" w:hAnsi="Arial" w:cs="Arial"/>
          <w:i/>
          <w:iCs/>
          <w:lang w:val="es-EC" w:eastAsia="es-EC"/>
        </w:rPr>
        <w:t>Appliquées</w:t>
      </w:r>
      <w:proofErr w:type="spellEnd"/>
      <w:r w:rsidRPr="00064C79">
        <w:rPr>
          <w:rFonts w:ascii="Arial" w:hAnsi="Arial" w:cs="Arial"/>
          <w:i/>
          <w:iCs/>
          <w:lang w:val="es-EC" w:eastAsia="es-EC"/>
        </w:rPr>
        <w:t>, 2</w:t>
      </w:r>
      <w:r w:rsidRPr="00064C79">
        <w:rPr>
          <w:rFonts w:ascii="Arial" w:hAnsi="Arial" w:cs="Arial"/>
          <w:lang w:val="es-EC" w:eastAsia="es-EC"/>
        </w:rPr>
        <w:t xml:space="preserve">(1-2), 20-27. </w:t>
      </w:r>
    </w:p>
    <w:p w14:paraId="7675BFAA"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eastAsia="en-US"/>
        </w:rPr>
      </w:pPr>
      <w:r w:rsidRPr="00064C79">
        <w:rPr>
          <w:rFonts w:ascii="Arial" w:eastAsia="Calibri" w:hAnsi="Arial" w:cs="Arial"/>
          <w:lang w:val="en-GB" w:eastAsia="en-US"/>
        </w:rPr>
        <w:t xml:space="preserve">National Committee of Inquiry into Higher Education. (1997). </w:t>
      </w:r>
      <w:r w:rsidRPr="00064C79">
        <w:rPr>
          <w:rFonts w:ascii="Arial" w:eastAsia="Calibri" w:hAnsi="Arial" w:cs="Arial"/>
          <w:i/>
          <w:iCs/>
          <w:lang w:val="en-GB" w:eastAsia="en-US"/>
        </w:rPr>
        <w:t>Higher education in the learning society: Main report</w:t>
      </w:r>
      <w:r w:rsidRPr="00064C79">
        <w:rPr>
          <w:rFonts w:ascii="Arial" w:eastAsia="Calibri" w:hAnsi="Arial" w:cs="Arial"/>
          <w:lang w:val="en-GB" w:eastAsia="en-US"/>
        </w:rPr>
        <w:t xml:space="preserve">. </w:t>
      </w:r>
      <w:proofErr w:type="spellStart"/>
      <w:r w:rsidRPr="00064C79">
        <w:rPr>
          <w:rFonts w:ascii="Arial" w:eastAsia="Calibri" w:hAnsi="Arial" w:cs="Arial"/>
          <w:lang w:eastAsia="en-US"/>
        </w:rPr>
        <w:t>Her</w:t>
      </w:r>
      <w:proofErr w:type="spellEnd"/>
      <w:r w:rsidRPr="00064C79">
        <w:rPr>
          <w:rFonts w:ascii="Arial" w:eastAsia="Calibri" w:hAnsi="Arial" w:cs="Arial"/>
          <w:lang w:eastAsia="en-US"/>
        </w:rPr>
        <w:t xml:space="preserve"> </w:t>
      </w:r>
      <w:proofErr w:type="spellStart"/>
      <w:r w:rsidRPr="00064C79">
        <w:rPr>
          <w:rFonts w:ascii="Arial" w:eastAsia="Calibri" w:hAnsi="Arial" w:cs="Arial"/>
          <w:lang w:eastAsia="en-US"/>
        </w:rPr>
        <w:t>Majesty's</w:t>
      </w:r>
      <w:proofErr w:type="spellEnd"/>
      <w:r w:rsidRPr="00064C79">
        <w:rPr>
          <w:rFonts w:ascii="Arial" w:eastAsia="Calibri" w:hAnsi="Arial" w:cs="Arial"/>
          <w:lang w:eastAsia="en-US"/>
        </w:rPr>
        <w:t xml:space="preserve"> </w:t>
      </w:r>
      <w:proofErr w:type="spellStart"/>
      <w:r w:rsidRPr="00064C79">
        <w:rPr>
          <w:rFonts w:ascii="Arial" w:eastAsia="Calibri" w:hAnsi="Arial" w:cs="Arial"/>
          <w:lang w:eastAsia="en-US"/>
        </w:rPr>
        <w:t>Stationery</w:t>
      </w:r>
      <w:proofErr w:type="spellEnd"/>
      <w:r w:rsidRPr="00064C79">
        <w:rPr>
          <w:rFonts w:ascii="Arial" w:eastAsia="Calibri" w:hAnsi="Arial" w:cs="Arial"/>
          <w:lang w:eastAsia="en-US"/>
        </w:rPr>
        <w:t xml:space="preserve"> Office.</w:t>
      </w:r>
    </w:p>
    <w:p w14:paraId="1E46E14F"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s-EC" w:eastAsia="en-US"/>
        </w:rPr>
      </w:pPr>
      <w:r w:rsidRPr="00064C79">
        <w:rPr>
          <w:rFonts w:ascii="Arial" w:eastAsia="Calibri" w:hAnsi="Arial" w:cs="Arial"/>
          <w:lang w:val="es-EC" w:eastAsia="en-US"/>
        </w:rPr>
        <w:t xml:space="preserve">Núñez-Flores, M. I., Hurtado-Espinosa, C. L., Vega-Calero, L. M. &amp; Ramirez-Villacorta, Y. (2021). Perfil profesional por competencias y la empleabilidad </w:t>
      </w:r>
      <w:r w:rsidRPr="00064C79">
        <w:rPr>
          <w:rFonts w:ascii="Arial" w:eastAsia="Calibri" w:hAnsi="Arial" w:cs="Arial"/>
          <w:lang w:val="es-EC" w:eastAsia="en-US"/>
        </w:rPr>
        <w:lastRenderedPageBreak/>
        <w:t xml:space="preserve">en la formación docente de estudiantes universitarios. </w:t>
      </w:r>
      <w:r w:rsidRPr="00064C79">
        <w:rPr>
          <w:rFonts w:ascii="Arial" w:eastAsia="Calibri" w:hAnsi="Arial" w:cs="Arial"/>
          <w:i/>
          <w:iCs/>
          <w:lang w:val="es-EC" w:eastAsia="en-US"/>
        </w:rPr>
        <w:t>Revista Internacional de Investigación en Ciencias Sociales</w:t>
      </w:r>
      <w:r w:rsidRPr="00064C79">
        <w:rPr>
          <w:rFonts w:ascii="Arial" w:eastAsia="Calibri" w:hAnsi="Arial" w:cs="Arial"/>
          <w:lang w:val="es-EC" w:eastAsia="en-US"/>
        </w:rPr>
        <w:t xml:space="preserve">, </w:t>
      </w:r>
      <w:r w:rsidRPr="00064C79">
        <w:rPr>
          <w:rFonts w:ascii="Arial" w:eastAsia="Calibri" w:hAnsi="Arial" w:cs="Arial"/>
          <w:i/>
          <w:iCs/>
          <w:lang w:val="es-EC" w:eastAsia="en-US"/>
        </w:rPr>
        <w:t>17</w:t>
      </w:r>
      <w:r w:rsidRPr="00064C79">
        <w:rPr>
          <w:rFonts w:ascii="Arial" w:eastAsia="Calibri" w:hAnsi="Arial" w:cs="Arial"/>
          <w:lang w:val="es-EC" w:eastAsia="en-US"/>
        </w:rPr>
        <w:t xml:space="preserve">(2), 417-432. </w:t>
      </w:r>
      <w:r w:rsidRPr="00CF0EBB">
        <w:rPr>
          <w:rFonts w:ascii="Arial" w:eastAsia="Calibri" w:hAnsi="Arial" w:cs="Arial"/>
          <w:color w:val="002060"/>
          <w:u w:val="single"/>
          <w:lang w:val="es-EC" w:eastAsia="en-US"/>
        </w:rPr>
        <w:t>http://revistacientifica.uaa.edu.py/index.php/riics/article/view/1088/pdf</w:t>
      </w:r>
    </w:p>
    <w:p w14:paraId="203E539E"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s-EC" w:eastAsia="en-US"/>
        </w:rPr>
      </w:pPr>
      <w:r w:rsidRPr="00064C79">
        <w:rPr>
          <w:rFonts w:ascii="Arial" w:eastAsia="Calibri" w:hAnsi="Arial" w:cs="Arial"/>
          <w:lang w:val="es-EC" w:eastAsia="en-US"/>
        </w:rPr>
        <w:t xml:space="preserve">Orellana, N. (2018). Consideraciones sobre empleabilidad en educación superior. </w:t>
      </w:r>
      <w:r w:rsidRPr="00064C79">
        <w:rPr>
          <w:rFonts w:ascii="Arial" w:eastAsia="Calibri" w:hAnsi="Arial" w:cs="Arial"/>
          <w:i/>
          <w:iCs/>
          <w:lang w:val="es-EC" w:eastAsia="en-US"/>
        </w:rPr>
        <w:t>Calidad en la Educación</w:t>
      </w:r>
      <w:r w:rsidRPr="00064C79">
        <w:rPr>
          <w:rFonts w:ascii="Arial" w:eastAsia="Calibri" w:hAnsi="Arial" w:cs="Arial"/>
          <w:lang w:val="es-EC" w:eastAsia="en-US"/>
        </w:rPr>
        <w:t xml:space="preserve">, </w:t>
      </w:r>
      <w:r w:rsidRPr="00064C79">
        <w:rPr>
          <w:rFonts w:ascii="Arial" w:eastAsia="Calibri" w:hAnsi="Arial" w:cs="Arial"/>
          <w:i/>
          <w:iCs/>
          <w:lang w:val="es-EC" w:eastAsia="en-US"/>
        </w:rPr>
        <w:t>48</w:t>
      </w:r>
      <w:r w:rsidRPr="00064C79">
        <w:rPr>
          <w:rFonts w:ascii="Arial" w:eastAsia="Calibri" w:hAnsi="Arial" w:cs="Arial"/>
          <w:lang w:val="es-EC" w:eastAsia="en-US"/>
        </w:rPr>
        <w:t xml:space="preserve">, 273-291. </w:t>
      </w:r>
      <w:r w:rsidRPr="00CF0EBB">
        <w:rPr>
          <w:rFonts w:ascii="Arial" w:eastAsia="Calibri" w:hAnsi="Arial" w:cs="Arial"/>
          <w:color w:val="002060"/>
          <w:u w:val="single"/>
          <w:lang w:val="es-EC" w:eastAsia="en-US"/>
        </w:rPr>
        <w:t>http://dx.doi.org/10.31619/caledu.n48.477</w:t>
      </w:r>
    </w:p>
    <w:p w14:paraId="121A858E"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s-EC" w:eastAsia="en-US"/>
        </w:rPr>
      </w:pPr>
      <w:r w:rsidRPr="00064C79">
        <w:rPr>
          <w:rFonts w:ascii="Arial" w:eastAsia="Calibri" w:hAnsi="Arial" w:cs="Arial"/>
          <w:lang w:val="es-EC" w:eastAsia="en-US"/>
        </w:rPr>
        <w:t xml:space="preserve">Organización de las Naciones Unidas para la Educación, la Ciencia y la Cultura. (1998). </w:t>
      </w:r>
      <w:r w:rsidRPr="00064C79">
        <w:rPr>
          <w:rFonts w:ascii="Arial" w:eastAsia="Calibri" w:hAnsi="Arial" w:cs="Arial"/>
          <w:i/>
          <w:iCs/>
          <w:lang w:val="es-EC" w:eastAsia="en-US"/>
        </w:rPr>
        <w:t>Declaración Mundial sobre la Educación Superior en el Siglo XXI: Visión y Acción</w:t>
      </w:r>
      <w:r w:rsidRPr="00064C79">
        <w:rPr>
          <w:rFonts w:ascii="Arial" w:eastAsia="Calibri" w:hAnsi="Arial" w:cs="Arial"/>
          <w:lang w:val="es-EC" w:eastAsia="en-US"/>
        </w:rPr>
        <w:t xml:space="preserve">. </w:t>
      </w:r>
      <w:r w:rsidRPr="00CF0EBB">
        <w:rPr>
          <w:rFonts w:ascii="Arial" w:eastAsia="Calibri" w:hAnsi="Arial" w:cs="Arial"/>
          <w:color w:val="002060"/>
          <w:u w:val="single"/>
          <w:lang w:val="es-EC" w:eastAsia="en-US"/>
        </w:rPr>
        <w:t>https://unesdoc.unesco.org/ark:/48223/pf0000113878_spa</w:t>
      </w:r>
    </w:p>
    <w:p w14:paraId="1E82520F"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s-EC" w:eastAsia="en-US"/>
        </w:rPr>
      </w:pPr>
      <w:r w:rsidRPr="00064C79">
        <w:rPr>
          <w:rFonts w:ascii="Arial" w:eastAsia="Calibri" w:hAnsi="Arial" w:cs="Arial"/>
          <w:lang w:val="es-EC" w:eastAsia="en-US"/>
        </w:rPr>
        <w:t xml:space="preserve">Pérez, B. M., Quintanilla, I. R. &amp; Cuadrado, I. Z. (2021). </w:t>
      </w:r>
      <w:r w:rsidRPr="00064C79">
        <w:rPr>
          <w:rFonts w:ascii="Arial" w:eastAsia="Calibri" w:hAnsi="Arial" w:cs="Arial"/>
          <w:i/>
          <w:iCs/>
          <w:lang w:val="es-EC" w:eastAsia="en-US"/>
        </w:rPr>
        <w:t>Universidades líderes en el mundo: el posicionamiento de España</w:t>
      </w:r>
      <w:r w:rsidRPr="00064C79">
        <w:rPr>
          <w:rFonts w:ascii="Arial" w:eastAsia="Calibri" w:hAnsi="Arial" w:cs="Arial"/>
          <w:lang w:val="es-EC" w:eastAsia="en-US"/>
        </w:rPr>
        <w:t xml:space="preserve">. Fundación BBVA. </w:t>
      </w:r>
      <w:r w:rsidRPr="00CF0EBB">
        <w:rPr>
          <w:rFonts w:ascii="Arial" w:eastAsia="Calibri" w:hAnsi="Arial" w:cs="Arial"/>
          <w:color w:val="002060"/>
          <w:u w:val="single"/>
          <w:lang w:val="es-EC" w:eastAsia="en-US"/>
        </w:rPr>
        <w:t>https://www.fbbva.es/publicaciones/universidades-lideres-en-el-mundo-2/</w:t>
      </w:r>
    </w:p>
    <w:p w14:paraId="0892C924"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s-EC" w:eastAsia="en-US"/>
        </w:rPr>
      </w:pPr>
      <w:r w:rsidRPr="00064C79">
        <w:rPr>
          <w:rFonts w:ascii="Arial" w:eastAsia="Calibri" w:hAnsi="Arial" w:cs="Arial"/>
          <w:lang w:val="es-EC" w:eastAsia="en-US"/>
        </w:rPr>
        <w:t xml:space="preserve">Rama, C. (2015). La conformación diferenciada de un nuevo subsistema tecnológico universitario en América Latina. </w:t>
      </w:r>
      <w:r w:rsidRPr="00064C79">
        <w:rPr>
          <w:rFonts w:ascii="Arial" w:eastAsia="Calibri" w:hAnsi="Arial" w:cs="Arial"/>
          <w:i/>
          <w:iCs/>
          <w:lang w:val="es-EC" w:eastAsia="en-US"/>
        </w:rPr>
        <w:t>Revista de la Educación Superior</w:t>
      </w:r>
      <w:r w:rsidRPr="00064C79">
        <w:rPr>
          <w:rFonts w:ascii="Arial" w:eastAsia="Calibri" w:hAnsi="Arial" w:cs="Arial"/>
          <w:lang w:val="es-EC" w:eastAsia="en-US"/>
        </w:rPr>
        <w:t xml:space="preserve">, </w:t>
      </w:r>
      <w:r w:rsidRPr="00064C79">
        <w:rPr>
          <w:rFonts w:ascii="Arial" w:eastAsia="Calibri" w:hAnsi="Arial" w:cs="Arial"/>
          <w:i/>
          <w:iCs/>
          <w:lang w:val="es-EC" w:eastAsia="en-US"/>
        </w:rPr>
        <w:t>44</w:t>
      </w:r>
      <w:r w:rsidRPr="00064C79">
        <w:rPr>
          <w:rFonts w:ascii="Arial" w:eastAsia="Calibri" w:hAnsi="Arial" w:cs="Arial"/>
          <w:lang w:val="es-EC" w:eastAsia="en-US"/>
        </w:rPr>
        <w:t xml:space="preserve">(173), 11-46. </w:t>
      </w:r>
      <w:r w:rsidRPr="00CF0EBB">
        <w:rPr>
          <w:rFonts w:ascii="Arial" w:eastAsia="Calibri" w:hAnsi="Arial" w:cs="Arial"/>
          <w:color w:val="002060"/>
          <w:u w:val="single"/>
          <w:lang w:val="es-EC" w:eastAsia="en-US"/>
        </w:rPr>
        <w:t>https://www.redalyc.org/pdf/604/60436859002.pdf</w:t>
      </w:r>
    </w:p>
    <w:p w14:paraId="023B2CB2" w14:textId="77777777" w:rsidR="00064C79" w:rsidRPr="00CF0EBB" w:rsidRDefault="00064C79" w:rsidP="000D7DE0">
      <w:pPr>
        <w:spacing w:before="100" w:beforeAutospacing="1" w:after="100" w:afterAutospacing="1" w:line="360" w:lineRule="auto"/>
        <w:ind w:left="709" w:hanging="709"/>
        <w:jc w:val="both"/>
        <w:rPr>
          <w:rFonts w:ascii="Arial" w:eastAsia="Calibri" w:hAnsi="Arial" w:cs="Arial"/>
          <w:color w:val="002060"/>
          <w:u w:val="single"/>
          <w:lang w:val="es-EC" w:eastAsia="en-US"/>
        </w:rPr>
      </w:pPr>
      <w:r w:rsidRPr="00064C79">
        <w:rPr>
          <w:rFonts w:ascii="Arial" w:eastAsia="Calibri" w:hAnsi="Arial" w:cs="Arial"/>
          <w:lang w:val="es-EC" w:eastAsia="en-US"/>
        </w:rPr>
        <w:t xml:space="preserve">Rinaldi, S. M. (2022). Contribuciones de los procesos de evaluación y acreditación de posgrados al desarrollo de la función docente en Argentina. </w:t>
      </w:r>
      <w:r w:rsidRPr="00064C79">
        <w:rPr>
          <w:rFonts w:ascii="Arial" w:eastAsia="Calibri" w:hAnsi="Arial" w:cs="Arial"/>
          <w:i/>
          <w:iCs/>
          <w:lang w:val="es-EC" w:eastAsia="en-US"/>
        </w:rPr>
        <w:t>Revista Electrónica Calidad en la Educación Superior</w:t>
      </w:r>
      <w:r w:rsidRPr="00064C79">
        <w:rPr>
          <w:rFonts w:ascii="Arial" w:eastAsia="Calibri" w:hAnsi="Arial" w:cs="Arial"/>
          <w:lang w:val="es-EC" w:eastAsia="en-US"/>
        </w:rPr>
        <w:t xml:space="preserve">, </w:t>
      </w:r>
      <w:r w:rsidRPr="00064C79">
        <w:rPr>
          <w:rFonts w:ascii="Arial" w:eastAsia="Calibri" w:hAnsi="Arial" w:cs="Arial"/>
          <w:i/>
          <w:iCs/>
          <w:lang w:val="es-EC" w:eastAsia="en-US"/>
        </w:rPr>
        <w:t>13</w:t>
      </w:r>
      <w:r w:rsidRPr="00064C79">
        <w:rPr>
          <w:rFonts w:ascii="Arial" w:eastAsia="Calibri" w:hAnsi="Arial" w:cs="Arial"/>
          <w:lang w:val="es-EC" w:eastAsia="en-US"/>
        </w:rPr>
        <w:t xml:space="preserve">(1), 164-188. </w:t>
      </w:r>
      <w:r w:rsidRPr="00CF0EBB">
        <w:rPr>
          <w:rFonts w:ascii="Arial" w:eastAsia="Calibri" w:hAnsi="Arial" w:cs="Arial"/>
          <w:color w:val="002060"/>
          <w:u w:val="single"/>
          <w:lang w:val="es-EC" w:eastAsia="en-US"/>
        </w:rPr>
        <w:t>https://revistas.uned.ac.cr/index.php/revistacalidad/article/view/3975</w:t>
      </w:r>
    </w:p>
    <w:p w14:paraId="332E4823"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n-GB" w:eastAsia="en-US"/>
        </w:rPr>
      </w:pPr>
      <w:r w:rsidRPr="00064C79">
        <w:rPr>
          <w:rFonts w:ascii="Arial" w:eastAsia="Calibri" w:hAnsi="Arial" w:cs="Arial"/>
          <w:lang w:val="en-GB" w:eastAsia="en-US"/>
        </w:rPr>
        <w:lastRenderedPageBreak/>
        <w:t xml:space="preserve">Siegel, D. S. &amp; Wright, M. (2015). Academic entrepreneurship: Time for a rethink? </w:t>
      </w:r>
      <w:r w:rsidRPr="00064C79">
        <w:rPr>
          <w:rFonts w:ascii="Arial" w:eastAsia="Calibri" w:hAnsi="Arial" w:cs="Arial"/>
          <w:i/>
          <w:iCs/>
          <w:lang w:val="en-GB" w:eastAsia="en-US"/>
        </w:rPr>
        <w:t>British Journal of Management</w:t>
      </w:r>
      <w:r w:rsidRPr="00064C79">
        <w:rPr>
          <w:rFonts w:ascii="Arial" w:eastAsia="Calibri" w:hAnsi="Arial" w:cs="Arial"/>
          <w:lang w:val="en-GB" w:eastAsia="en-US"/>
        </w:rPr>
        <w:t xml:space="preserve">, </w:t>
      </w:r>
      <w:r w:rsidRPr="00064C79">
        <w:rPr>
          <w:rFonts w:ascii="Arial" w:eastAsia="Calibri" w:hAnsi="Arial" w:cs="Arial"/>
          <w:i/>
          <w:iCs/>
          <w:lang w:val="en-GB" w:eastAsia="en-US"/>
        </w:rPr>
        <w:t>26</w:t>
      </w:r>
      <w:r w:rsidRPr="00064C79">
        <w:rPr>
          <w:rFonts w:ascii="Arial" w:eastAsia="Calibri" w:hAnsi="Arial" w:cs="Arial"/>
          <w:lang w:val="en-GB" w:eastAsia="en-US"/>
        </w:rPr>
        <w:t xml:space="preserve">(4), 582–595. </w:t>
      </w:r>
      <w:r w:rsidRPr="00CF0EBB">
        <w:rPr>
          <w:rFonts w:ascii="Arial" w:eastAsia="Calibri" w:hAnsi="Arial" w:cs="Arial"/>
          <w:color w:val="002060"/>
          <w:u w:val="single"/>
          <w:lang w:val="en-GB" w:eastAsia="en-US"/>
        </w:rPr>
        <w:t>https://doi.org/10.1111/1467-8551.12116</w:t>
      </w:r>
    </w:p>
    <w:p w14:paraId="11922549"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s-EC" w:eastAsia="en-US"/>
        </w:rPr>
      </w:pPr>
      <w:proofErr w:type="spellStart"/>
      <w:r w:rsidRPr="00064C79">
        <w:rPr>
          <w:rFonts w:ascii="Arial" w:eastAsia="Calibri" w:hAnsi="Arial" w:cs="Arial"/>
          <w:lang w:val="en-US" w:eastAsia="en-US"/>
        </w:rPr>
        <w:t>Stefos</w:t>
      </w:r>
      <w:proofErr w:type="spellEnd"/>
      <w:r w:rsidRPr="00064C79">
        <w:rPr>
          <w:rFonts w:ascii="Arial" w:eastAsia="Calibri" w:hAnsi="Arial" w:cs="Arial"/>
          <w:lang w:val="en-US" w:eastAsia="en-US"/>
        </w:rPr>
        <w:t xml:space="preserve">, E. &amp; Chávez Morales, C. E. (2023). </w:t>
      </w:r>
      <w:r w:rsidRPr="00064C79">
        <w:rPr>
          <w:rFonts w:ascii="Arial" w:eastAsia="Calibri" w:hAnsi="Arial" w:cs="Arial"/>
          <w:lang w:val="es-EC" w:eastAsia="en-US"/>
        </w:rPr>
        <w:t xml:space="preserve">Brechas educativas en Ecuador: El caso de la población con estudios universitarios. </w:t>
      </w:r>
      <w:r w:rsidRPr="00064C79">
        <w:rPr>
          <w:rFonts w:ascii="Arial" w:eastAsia="Calibri" w:hAnsi="Arial" w:cs="Arial"/>
          <w:i/>
          <w:iCs/>
          <w:lang w:val="es-EC" w:eastAsia="en-US"/>
        </w:rPr>
        <w:t xml:space="preserve">Revista </w:t>
      </w:r>
      <w:proofErr w:type="spellStart"/>
      <w:r w:rsidRPr="00064C79">
        <w:rPr>
          <w:rFonts w:ascii="Arial" w:eastAsia="Calibri" w:hAnsi="Arial" w:cs="Arial"/>
          <w:i/>
          <w:iCs/>
          <w:lang w:val="es-EC" w:eastAsia="en-US"/>
        </w:rPr>
        <w:t>Scientific</w:t>
      </w:r>
      <w:proofErr w:type="spellEnd"/>
      <w:r w:rsidRPr="00064C79">
        <w:rPr>
          <w:rFonts w:ascii="Arial" w:eastAsia="Calibri" w:hAnsi="Arial" w:cs="Arial"/>
          <w:lang w:val="es-EC" w:eastAsia="en-US"/>
        </w:rPr>
        <w:t xml:space="preserve">, </w:t>
      </w:r>
      <w:r w:rsidRPr="00064C79">
        <w:rPr>
          <w:rFonts w:ascii="Arial" w:eastAsia="Calibri" w:hAnsi="Arial" w:cs="Arial"/>
          <w:i/>
          <w:iCs/>
          <w:lang w:val="es-EC" w:eastAsia="en-US"/>
        </w:rPr>
        <w:t>8</w:t>
      </w:r>
      <w:r w:rsidRPr="00064C79">
        <w:rPr>
          <w:rFonts w:ascii="Arial" w:eastAsia="Calibri" w:hAnsi="Arial" w:cs="Arial"/>
          <w:lang w:val="es-EC" w:eastAsia="en-US"/>
        </w:rPr>
        <w:t xml:space="preserve">(28), 230-244. </w:t>
      </w:r>
      <w:r w:rsidRPr="00CF0EBB">
        <w:rPr>
          <w:rFonts w:ascii="Arial" w:eastAsia="Calibri" w:hAnsi="Arial" w:cs="Arial"/>
          <w:color w:val="002060"/>
          <w:u w:val="single"/>
          <w:lang w:val="es-EC" w:eastAsia="en-US"/>
        </w:rPr>
        <w:t>https://doi.org/10.29394/Scientific.issn.2542-2987.2023.8.28.12.230-244</w:t>
      </w:r>
    </w:p>
    <w:p w14:paraId="2EAD1F56"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lang w:val="es-EC" w:eastAsia="en-US"/>
        </w:rPr>
      </w:pPr>
      <w:proofErr w:type="spellStart"/>
      <w:r w:rsidRPr="00064C79">
        <w:rPr>
          <w:rFonts w:ascii="Arial" w:eastAsia="Calibri" w:hAnsi="Arial" w:cs="Arial"/>
          <w:lang w:val="es-EC" w:eastAsia="en-US"/>
        </w:rPr>
        <w:t>Stefos</w:t>
      </w:r>
      <w:proofErr w:type="spellEnd"/>
      <w:r w:rsidRPr="00064C79">
        <w:rPr>
          <w:rFonts w:ascii="Arial" w:eastAsia="Calibri" w:hAnsi="Arial" w:cs="Arial"/>
          <w:lang w:val="es-EC" w:eastAsia="en-US"/>
        </w:rPr>
        <w:t xml:space="preserve">, E. (2022). Brechas educativas en la educación ecuatoriana. </w:t>
      </w:r>
      <w:r w:rsidRPr="00064C79">
        <w:rPr>
          <w:rFonts w:ascii="Arial" w:eastAsia="Calibri" w:hAnsi="Arial" w:cs="Arial"/>
          <w:i/>
          <w:iCs/>
          <w:lang w:val="es-EC" w:eastAsia="en-US"/>
        </w:rPr>
        <w:t xml:space="preserve">Revista </w:t>
      </w:r>
      <w:proofErr w:type="spellStart"/>
      <w:r w:rsidRPr="00064C79">
        <w:rPr>
          <w:rFonts w:ascii="Arial" w:eastAsia="Calibri" w:hAnsi="Arial" w:cs="Arial"/>
          <w:i/>
          <w:iCs/>
          <w:lang w:val="es-EC" w:eastAsia="en-US"/>
        </w:rPr>
        <w:t>Scientific</w:t>
      </w:r>
      <w:proofErr w:type="spellEnd"/>
      <w:r w:rsidRPr="00064C79">
        <w:rPr>
          <w:rFonts w:ascii="Arial" w:eastAsia="Calibri" w:hAnsi="Arial" w:cs="Arial"/>
          <w:i/>
          <w:iCs/>
          <w:lang w:val="es-EC" w:eastAsia="en-US"/>
        </w:rPr>
        <w:t>, 7</w:t>
      </w:r>
      <w:r w:rsidRPr="00064C79">
        <w:rPr>
          <w:rFonts w:ascii="Arial" w:eastAsia="Calibri" w:hAnsi="Arial" w:cs="Arial"/>
          <w:lang w:val="es-EC" w:eastAsia="en-US"/>
        </w:rPr>
        <w:t xml:space="preserve">(26), 10-15. </w:t>
      </w:r>
      <w:r w:rsidRPr="00CF0EBB">
        <w:rPr>
          <w:rFonts w:ascii="Arial" w:eastAsia="Calibri" w:hAnsi="Arial" w:cs="Arial"/>
          <w:color w:val="002060"/>
          <w:u w:val="single"/>
          <w:lang w:val="es-EC" w:eastAsia="en-US"/>
        </w:rPr>
        <w:t xml:space="preserve">https://doi.org/10.29394/Scientific.issn.2542-2987.2022.7.26.0.10-15 </w:t>
      </w:r>
    </w:p>
    <w:p w14:paraId="4297FA76" w14:textId="0CBD0794" w:rsidR="00064C79" w:rsidRDefault="00064C79" w:rsidP="000D7DE0">
      <w:pPr>
        <w:spacing w:before="100" w:beforeAutospacing="1" w:after="100" w:afterAutospacing="1" w:line="360" w:lineRule="auto"/>
        <w:ind w:left="709" w:hanging="709"/>
        <w:jc w:val="both"/>
        <w:rPr>
          <w:rFonts w:ascii="Arial" w:eastAsia="Calibri" w:hAnsi="Arial" w:cs="Arial"/>
          <w:lang w:val="es-EC" w:eastAsia="en-US"/>
        </w:rPr>
      </w:pPr>
      <w:r w:rsidRPr="00064C79">
        <w:rPr>
          <w:rFonts w:ascii="Arial" w:eastAsia="Calibri" w:hAnsi="Arial" w:cs="Arial"/>
          <w:lang w:val="es-EC" w:eastAsia="en-US"/>
        </w:rPr>
        <w:t xml:space="preserve">Zabala-Peñafiel, T. L. (2022). La institucionalización de una política pública. El caso de la gratuidad en el acceso a la educación superior ecuatoriana (2008-2018). </w:t>
      </w:r>
      <w:r w:rsidRPr="00064C79">
        <w:rPr>
          <w:rFonts w:ascii="Arial" w:eastAsia="Calibri" w:hAnsi="Arial" w:cs="Arial"/>
          <w:i/>
          <w:iCs/>
          <w:lang w:val="es-EC" w:eastAsia="en-US"/>
        </w:rPr>
        <w:t>Perfiles latinoamericanos</w:t>
      </w:r>
      <w:r w:rsidRPr="00064C79">
        <w:rPr>
          <w:rFonts w:ascii="Arial" w:eastAsia="Calibri" w:hAnsi="Arial" w:cs="Arial"/>
          <w:lang w:val="es-EC" w:eastAsia="en-US"/>
        </w:rPr>
        <w:t xml:space="preserve">, </w:t>
      </w:r>
      <w:r w:rsidRPr="00064C79">
        <w:rPr>
          <w:rFonts w:ascii="Arial" w:eastAsia="Calibri" w:hAnsi="Arial" w:cs="Arial"/>
          <w:i/>
          <w:iCs/>
          <w:lang w:val="es-EC" w:eastAsia="en-US"/>
        </w:rPr>
        <w:t>30</w:t>
      </w:r>
      <w:r w:rsidRPr="00064C79">
        <w:rPr>
          <w:rFonts w:ascii="Arial" w:eastAsia="Calibri" w:hAnsi="Arial" w:cs="Arial"/>
          <w:lang w:val="es-EC" w:eastAsia="en-US"/>
        </w:rPr>
        <w:t xml:space="preserve">(59). </w:t>
      </w:r>
      <w:hyperlink r:id="rId11" w:history="1">
        <w:r w:rsidRPr="00CF0EBB">
          <w:rPr>
            <w:rStyle w:val="Hipervnculo"/>
            <w:rFonts w:ascii="Arial" w:eastAsia="Calibri" w:hAnsi="Arial" w:cs="Arial"/>
            <w:color w:val="002060"/>
            <w:lang w:val="es-EC" w:eastAsia="en-US"/>
          </w:rPr>
          <w:t>https://doi.org/10.18504/pl3059-012-2022</w:t>
        </w:r>
      </w:hyperlink>
    </w:p>
    <w:p w14:paraId="3A75BA2B" w14:textId="77777777" w:rsidR="00064C79" w:rsidRPr="00064C79" w:rsidRDefault="00064C79" w:rsidP="000D7DE0">
      <w:pPr>
        <w:spacing w:before="100" w:beforeAutospacing="1" w:after="100" w:afterAutospacing="1" w:line="360" w:lineRule="auto"/>
        <w:ind w:left="709" w:hanging="709"/>
        <w:jc w:val="both"/>
        <w:rPr>
          <w:rFonts w:ascii="Arial" w:eastAsia="Calibri" w:hAnsi="Arial" w:cs="Arial"/>
          <w:sz w:val="22"/>
          <w:szCs w:val="22"/>
          <w:u w:val="single"/>
          <w:lang w:val="es-EC" w:eastAsia="en-US"/>
        </w:rPr>
      </w:pPr>
    </w:p>
    <w:sectPr w:rsidR="00064C79" w:rsidRPr="00064C79" w:rsidSect="002901F4">
      <w:headerReference w:type="default" r:id="rId12"/>
      <w:footerReference w:type="default" r:id="rId13"/>
      <w:pgSz w:w="12240" w:h="15840"/>
      <w:pgMar w:top="1417" w:right="1750" w:bottom="1411" w:left="1701" w:header="708" w:footer="708" w:gutter="0"/>
      <w:pgNumType w:start="4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BFCC2" w14:textId="77777777" w:rsidR="00C76BE9" w:rsidRDefault="00C76BE9" w:rsidP="003C3F58">
      <w:r>
        <w:separator/>
      </w:r>
    </w:p>
  </w:endnote>
  <w:endnote w:type="continuationSeparator" w:id="0">
    <w:p w14:paraId="3FAD713D" w14:textId="77777777" w:rsidR="00C76BE9" w:rsidRDefault="00C76BE9"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3E69FC" w:rsidRPr="002E52DF" w:rsidRDefault="003E69FC"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15E92FDA" w14:textId="4ACABBA4" w:rsidR="003E69FC" w:rsidRDefault="003E69FC" w:rsidP="006E5605">
        <w:pPr>
          <w:pStyle w:val="Sinespaciado"/>
          <w:jc w:val="center"/>
          <w:rPr>
            <w:rFonts w:ascii="Agency FB" w:hAnsi="Agency FB"/>
            <w:b/>
            <w:color w:val="E36C0A"/>
          </w:rPr>
        </w:pPr>
        <w:r w:rsidRPr="0080242A">
          <w:rPr>
            <w:rFonts w:ascii="Agency FB" w:hAnsi="Agency FB"/>
            <w:b/>
            <w:color w:val="E36C0A"/>
          </w:rPr>
          <w:t>Posgrado en Ecuador: redefiniendo oportunidades para el desarrollo personal y profesional</w:t>
        </w:r>
      </w:p>
      <w:p w14:paraId="2EF245E8" w14:textId="2B1CCC1A" w:rsidR="003E69FC" w:rsidRPr="00BC0D99" w:rsidRDefault="003E69FC" w:rsidP="0020679D">
        <w:pPr>
          <w:pStyle w:val="Sinespaciado"/>
          <w:jc w:val="center"/>
          <w:rPr>
            <w:rFonts w:ascii="Agency FB" w:hAnsi="Agency FB"/>
            <w:color w:val="E36C0A"/>
            <w:lang w:val="es-CR"/>
          </w:rPr>
        </w:pPr>
        <w:r w:rsidRPr="0080242A">
          <w:rPr>
            <w:rFonts w:ascii="Agency FB" w:hAnsi="Agency FB"/>
            <w:color w:val="E36C0A"/>
            <w:lang w:val="es-CR"/>
          </w:rPr>
          <w:t>Grace-S. Zurita-Maldonado</w:t>
        </w:r>
        <w:r>
          <w:rPr>
            <w:rFonts w:ascii="Agency FB" w:hAnsi="Agency FB"/>
            <w:color w:val="E36C0A"/>
            <w:lang w:val="es-CR"/>
          </w:rPr>
          <w:t xml:space="preserve"> y</w:t>
        </w:r>
        <w:r w:rsidRPr="0080242A">
          <w:t xml:space="preserve"> </w:t>
        </w:r>
        <w:r w:rsidRPr="0080242A">
          <w:rPr>
            <w:rFonts w:ascii="Agency FB" w:hAnsi="Agency FB"/>
            <w:color w:val="E36C0A"/>
            <w:lang w:val="es-CR"/>
          </w:rPr>
          <w:t>Efstathios Stefos</w:t>
        </w:r>
      </w:p>
      <w:p w14:paraId="1F70B1D2" w14:textId="1221DECC" w:rsidR="003E69FC" w:rsidRPr="00A77806" w:rsidRDefault="003E69FC" w:rsidP="0020679D">
        <w:pPr>
          <w:pStyle w:val="Sinespaciado"/>
          <w:jc w:val="center"/>
          <w:rPr>
            <w:rFonts w:ascii="Agency FB" w:hAnsi="Agency FB"/>
            <w:color w:val="E36C0A"/>
            <w:lang w:val="en-US"/>
          </w:rPr>
        </w:pPr>
        <w:r w:rsidRPr="00A77806">
          <w:rPr>
            <w:rFonts w:ascii="Agency FB" w:hAnsi="Agency FB"/>
            <w:color w:val="E36C0A"/>
            <w:lang w:val="en-US"/>
          </w:rPr>
          <w:t xml:space="preserve">DOI: </w:t>
        </w:r>
        <w:r w:rsidR="00C76BE9">
          <w:fldChar w:fldCharType="begin"/>
        </w:r>
        <w:r w:rsidR="00C76BE9" w:rsidRPr="00AC70D7">
          <w:rPr>
            <w:lang w:val="en-US"/>
          </w:rPr>
          <w:instrText xml:space="preserve"> HYPERLINK "http://dx.doi.org/10.22458/caes.v16i1.5636" </w:instrText>
        </w:r>
        <w:r w:rsidR="00C76BE9">
          <w:fldChar w:fldCharType="separate"/>
        </w:r>
        <w:r w:rsidRPr="00A77806">
          <w:rPr>
            <w:rStyle w:val="Hipervnculo"/>
            <w:rFonts w:ascii="Agency FB" w:hAnsi="Agency FB"/>
            <w:color w:val="002060"/>
            <w:lang w:val="en-US"/>
          </w:rPr>
          <w:t>http://dx.doi.org/10.22458/caes.v16i1.5636</w:t>
        </w:r>
        <w:r w:rsidR="00C76BE9">
          <w:rPr>
            <w:rStyle w:val="Hipervnculo"/>
            <w:rFonts w:ascii="Agency FB" w:hAnsi="Agency FB"/>
            <w:color w:val="002060"/>
            <w:lang w:val="en-US"/>
          </w:rPr>
          <w:fldChar w:fldCharType="end"/>
        </w:r>
      </w:p>
      <w:p w14:paraId="416290C8" w14:textId="17170D1B" w:rsidR="003E69FC" w:rsidRPr="0066186F" w:rsidRDefault="003E69FC" w:rsidP="0020679D">
        <w:pPr>
          <w:pStyle w:val="Sinespaciado"/>
          <w:tabs>
            <w:tab w:val="center" w:pos="4929"/>
            <w:tab w:val="left" w:pos="8661"/>
          </w:tabs>
          <w:rPr>
            <w:rFonts w:ascii="Agency FB" w:hAnsi="Agency FB"/>
            <w:color w:val="E36C0A"/>
          </w:rPr>
        </w:pPr>
        <w:r w:rsidRPr="00A77806">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3E69FC" w:rsidRPr="0066186F" w:rsidRDefault="003E69FC"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3E69FC" w:rsidRDefault="003E69FC">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3E69FC" w:rsidRPr="0020679D" w:rsidRDefault="003E69FC">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328F6" w14:textId="77777777" w:rsidR="00C76BE9" w:rsidRDefault="00C76BE9" w:rsidP="003C3F58">
      <w:r>
        <w:separator/>
      </w:r>
    </w:p>
  </w:footnote>
  <w:footnote w:type="continuationSeparator" w:id="0">
    <w:p w14:paraId="5C023C2B" w14:textId="77777777" w:rsidR="00C76BE9" w:rsidRDefault="00C76BE9" w:rsidP="003C3F58">
      <w:r>
        <w:continuationSeparator/>
      </w:r>
    </w:p>
  </w:footnote>
  <w:footnote w:id="1">
    <w:p w14:paraId="7F83BD30" w14:textId="15F42A16" w:rsidR="003E69FC" w:rsidRPr="00D86965" w:rsidRDefault="003E69FC" w:rsidP="00944B72">
      <w:pPr>
        <w:spacing w:line="240" w:lineRule="atLeast"/>
        <w:jc w:val="both"/>
        <w:rPr>
          <w:rFonts w:ascii="Arial" w:eastAsiaTheme="minorHAnsi" w:hAnsi="Arial" w:cs="Arial"/>
          <w:sz w:val="20"/>
          <w:szCs w:val="20"/>
          <w:lang w:val="es-MX" w:eastAsia="es-PE"/>
        </w:rPr>
      </w:pPr>
      <w:bookmarkStart w:id="5" w:name="_Hlk199014290"/>
      <w:bookmarkEnd w:id="5"/>
      <w:r w:rsidRPr="00D86965">
        <w:rPr>
          <w:rStyle w:val="Refdenotaalpie"/>
          <w:rFonts w:ascii="Arial" w:eastAsia="Arial" w:hAnsi="Arial" w:cs="Arial"/>
          <w:sz w:val="20"/>
          <w:szCs w:val="20"/>
        </w:rPr>
        <w:footnoteRef/>
      </w:r>
      <w:r w:rsidRPr="00D86965">
        <w:rPr>
          <w:rFonts w:ascii="Arial" w:hAnsi="Arial" w:cs="Arial"/>
          <w:sz w:val="20"/>
          <w:szCs w:val="20"/>
        </w:rPr>
        <w:t xml:space="preserve"> Máster en Educación con mención en interculturalidad, Máster en Gerencia y Liderazgo Educacional</w:t>
      </w:r>
      <w:r>
        <w:rPr>
          <w:rFonts w:ascii="Arial" w:hAnsi="Arial" w:cs="Arial"/>
          <w:sz w:val="20"/>
          <w:szCs w:val="20"/>
        </w:rPr>
        <w:t xml:space="preserve"> con </w:t>
      </w:r>
      <w:r w:rsidRPr="00D86965">
        <w:rPr>
          <w:rFonts w:ascii="Arial" w:hAnsi="Arial" w:cs="Arial"/>
          <w:sz w:val="20"/>
          <w:szCs w:val="20"/>
        </w:rPr>
        <w:t>orientación e</w:t>
      </w:r>
      <w:r>
        <w:rPr>
          <w:rFonts w:ascii="Arial" w:hAnsi="Arial" w:cs="Arial"/>
          <w:sz w:val="20"/>
          <w:szCs w:val="20"/>
        </w:rPr>
        <w:t>n</w:t>
      </w:r>
      <w:r w:rsidRPr="00D86965">
        <w:rPr>
          <w:rFonts w:ascii="Arial" w:hAnsi="Arial" w:cs="Arial"/>
          <w:sz w:val="20"/>
          <w:szCs w:val="20"/>
        </w:rPr>
        <w:t xml:space="preserve"> investigación hacia las problemáticas sociales de América Latina. </w:t>
      </w:r>
      <w:bookmarkStart w:id="6" w:name="_Hlk167366216"/>
      <w:bookmarkStart w:id="7" w:name="_Hlk167366217"/>
      <w:bookmarkStart w:id="8" w:name="_Hlk167366221"/>
      <w:bookmarkStart w:id="9" w:name="_Hlk167366222"/>
      <w:bookmarkStart w:id="10" w:name="_Hlk167366226"/>
      <w:bookmarkStart w:id="11" w:name="_Hlk167366227"/>
      <w:bookmarkStart w:id="12" w:name="_Hlk167366229"/>
      <w:bookmarkStart w:id="13" w:name="_Hlk167366230"/>
      <w:r w:rsidRPr="00D86965">
        <w:rPr>
          <w:rFonts w:ascii="Arial" w:hAnsi="Arial" w:cs="Arial"/>
          <w:noProof/>
          <w:sz w:val="20"/>
          <w:szCs w:val="20"/>
          <w:lang w:eastAsia="es-CR"/>
        </w:rPr>
        <w:drawing>
          <wp:inline distT="0" distB="0" distL="0" distR="0" wp14:anchorId="399946E6" wp14:editId="4841B12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6"/>
      <w:bookmarkEnd w:id="7"/>
      <w:bookmarkEnd w:id="8"/>
      <w:bookmarkEnd w:id="9"/>
      <w:bookmarkEnd w:id="10"/>
      <w:bookmarkEnd w:id="11"/>
      <w:bookmarkEnd w:id="12"/>
      <w:bookmarkEnd w:id="13"/>
      <w:r w:rsidRPr="00D86965">
        <w:rPr>
          <w:rFonts w:ascii="Arial" w:hAnsi="Arial" w:cs="Arial"/>
          <w:sz w:val="20"/>
          <w:szCs w:val="20"/>
        </w:rPr>
        <w:t xml:space="preserve"> </w:t>
      </w:r>
      <w:r w:rsidRPr="00D86965">
        <w:rPr>
          <w:rFonts w:ascii="Arial" w:hAnsi="Arial" w:cs="Arial"/>
          <w:color w:val="002060"/>
          <w:sz w:val="20"/>
          <w:szCs w:val="20"/>
          <w:u w:val="single"/>
        </w:rPr>
        <w:t>https://orcid.org/0000-0002-8548-1485</w:t>
      </w:r>
      <w:r w:rsidRPr="00D86965">
        <w:rPr>
          <w:rFonts w:ascii="Arial" w:hAnsi="Arial" w:cs="Arial"/>
          <w:color w:val="002060"/>
          <w:sz w:val="20"/>
          <w:szCs w:val="20"/>
        </w:rPr>
        <w:t xml:space="preserve">  </w:t>
      </w:r>
    </w:p>
  </w:footnote>
  <w:footnote w:id="2">
    <w:p w14:paraId="2385457F" w14:textId="2BB3F126" w:rsidR="003E69FC" w:rsidRPr="00071238" w:rsidRDefault="003E69FC" w:rsidP="00F31839">
      <w:pPr>
        <w:pStyle w:val="Textonotapie"/>
        <w:jc w:val="both"/>
        <w:rPr>
          <w:lang w:val="es-MX"/>
        </w:rPr>
      </w:pPr>
      <w:r w:rsidRPr="00D86965">
        <w:rPr>
          <w:rStyle w:val="Refdenotaalpie"/>
          <w:rFonts w:ascii="Arial" w:hAnsi="Arial" w:cs="Arial"/>
        </w:rPr>
        <w:footnoteRef/>
      </w:r>
      <w:r w:rsidRPr="00D86965">
        <w:rPr>
          <w:rFonts w:ascii="Arial" w:hAnsi="Arial" w:cs="Arial"/>
        </w:rPr>
        <w:t xml:space="preserve"> Profesor Titular Principal 2 de la Universidad Nacional de Educación</w:t>
      </w:r>
      <w:r>
        <w:rPr>
          <w:rFonts w:ascii="Arial" w:hAnsi="Arial" w:cs="Arial"/>
        </w:rPr>
        <w:t xml:space="preserve"> (UNAE), </w:t>
      </w:r>
      <w:r w:rsidRPr="00D86965">
        <w:rPr>
          <w:rFonts w:ascii="Arial" w:hAnsi="Arial" w:cs="Arial"/>
        </w:rPr>
        <w:t>Ecuador</w:t>
      </w:r>
      <w:r>
        <w:rPr>
          <w:rFonts w:ascii="Arial" w:hAnsi="Arial" w:cs="Arial"/>
        </w:rPr>
        <w:t xml:space="preserve">. </w:t>
      </w:r>
      <w:r w:rsidRPr="00D86965">
        <w:rPr>
          <w:rFonts w:ascii="Arial" w:hAnsi="Arial" w:cs="Arial"/>
        </w:rPr>
        <w:t>Posdoctorado de la Universidad Andina Simón Bolívar</w:t>
      </w:r>
      <w:r>
        <w:rPr>
          <w:rFonts w:ascii="Arial" w:hAnsi="Arial" w:cs="Arial"/>
        </w:rPr>
        <w:t>, Ecuador</w:t>
      </w:r>
      <w:r w:rsidRPr="00D86965">
        <w:rPr>
          <w:rFonts w:ascii="Arial" w:hAnsi="Arial" w:cs="Arial"/>
        </w:rPr>
        <w:t xml:space="preserve"> y PhD de la Universidad del Egeo</w:t>
      </w:r>
      <w:r>
        <w:rPr>
          <w:rFonts w:ascii="Arial" w:hAnsi="Arial" w:cs="Arial"/>
        </w:rPr>
        <w:t>, Grecia.</w:t>
      </w:r>
      <w:r w:rsidRPr="00D86965">
        <w:rPr>
          <w:rFonts w:ascii="Arial" w:hAnsi="Arial" w:cs="Arial"/>
        </w:rPr>
        <w:t xml:space="preserve"> </w:t>
      </w:r>
      <w:r>
        <w:rPr>
          <w:rFonts w:ascii="Arial" w:hAnsi="Arial" w:cs="Arial"/>
        </w:rPr>
        <w:t>F</w:t>
      </w:r>
      <w:r w:rsidRPr="00D86965">
        <w:rPr>
          <w:rFonts w:ascii="Arial" w:hAnsi="Arial" w:cs="Arial"/>
        </w:rPr>
        <w:t>ue Rector de la UNAE, Vicerrector Académico, Director de Calidad y Evaluación Institucional</w:t>
      </w:r>
      <w:r>
        <w:rPr>
          <w:rFonts w:ascii="Arial" w:hAnsi="Arial" w:cs="Arial"/>
        </w:rPr>
        <w:t xml:space="preserve">, entre otros. </w:t>
      </w:r>
      <w:r w:rsidRPr="00D86965">
        <w:rPr>
          <w:rFonts w:ascii="Arial" w:hAnsi="Arial" w:cs="Arial"/>
          <w:noProof/>
          <w:lang w:eastAsia="es-CR"/>
        </w:rPr>
        <w:drawing>
          <wp:inline distT="0" distB="0" distL="0" distR="0" wp14:anchorId="53DA0286" wp14:editId="6D9FAD63">
            <wp:extent cx="123825" cy="123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86965">
        <w:rPr>
          <w:rFonts w:ascii="Arial" w:hAnsi="Arial" w:cs="Arial"/>
        </w:rPr>
        <w:t xml:space="preserve"> </w:t>
      </w:r>
      <w:r w:rsidRPr="00406450">
        <w:rPr>
          <w:rFonts w:ascii="Arial" w:hAnsi="Arial" w:cs="Arial"/>
          <w:color w:val="002060"/>
          <w:u w:val="single"/>
        </w:rPr>
        <w:t>https://orcid.org/0000-0002-5679-8002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3CFDF2EA" w:rsidR="003E69FC" w:rsidRPr="00B344FA" w:rsidRDefault="003E69FC" w:rsidP="008A1766">
    <w:pPr>
      <w:pStyle w:val="Sinespaciado"/>
      <w:jc w:val="center"/>
      <w:rPr>
        <w:rFonts w:ascii="Agency FB" w:hAnsi="Agency FB"/>
        <w:color w:val="E36C0A"/>
      </w:rPr>
    </w:pPr>
    <w:bookmarkStart w:id="18" w:name="_Hlk151106753"/>
    <w:r w:rsidRPr="00B344FA">
      <w:rPr>
        <w:rFonts w:ascii="Agency FB" w:hAnsi="Agency FB"/>
        <w:color w:val="E36C0A"/>
      </w:rPr>
      <w:t>REVISTA ELECTRÓNICA CALIDAD EN LA EDUCACIÓN SUPERIOR ISSN: 1659-4703, VOL. 16(</w:t>
    </w:r>
    <w:r>
      <w:rPr>
        <w:rFonts w:ascii="Agency FB" w:hAnsi="Agency FB"/>
        <w:color w:val="E36C0A"/>
      </w:rPr>
      <w:t>1</w:t>
    </w:r>
    <w:r w:rsidRPr="00B344FA">
      <w:rPr>
        <w:rFonts w:ascii="Agency FB" w:hAnsi="Agency FB"/>
        <w:color w:val="E36C0A"/>
      </w:rPr>
      <w:t>) ENERO-MAYO,2025:</w:t>
    </w:r>
    <w:r>
      <w:rPr>
        <w:rFonts w:ascii="Agency FB" w:hAnsi="Agency FB"/>
        <w:color w:val="E36C0A"/>
      </w:rPr>
      <w:t xml:space="preserve"> 453-</w:t>
    </w:r>
    <w:r w:rsidR="00D75C48">
      <w:rPr>
        <w:rFonts w:ascii="Agency FB" w:hAnsi="Agency FB"/>
        <w:color w:val="E36C0A"/>
      </w:rPr>
      <w:t>492</w:t>
    </w:r>
  </w:p>
  <w:p w14:paraId="505074AE" w14:textId="4D68327B" w:rsidR="003E69FC" w:rsidRPr="00FE0969" w:rsidRDefault="003E69FC"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3E69FC" w:rsidRPr="0081623B" w:rsidRDefault="00C76BE9" w:rsidP="00A82B98">
    <w:pPr>
      <w:pStyle w:val="Sinespaciado"/>
      <w:jc w:val="center"/>
      <w:rPr>
        <w:rFonts w:ascii="Agency FB" w:hAnsi="Agency FB"/>
        <w:color w:val="E36C0A"/>
      </w:rPr>
    </w:pPr>
    <w:hyperlink r:id="rId2" w:history="1">
      <w:r w:rsidR="003E69FC" w:rsidRPr="0081623B">
        <w:rPr>
          <w:color w:val="E36C0A"/>
        </w:rPr>
        <w:t>http://revistas.uned.ac.cr./index.php/revistacalidad</w:t>
      </w:r>
    </w:hyperlink>
  </w:p>
  <w:p w14:paraId="3F557B39" w14:textId="77777777" w:rsidR="003E69FC" w:rsidRPr="0081623B" w:rsidRDefault="003E69FC"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3E69FC" w:rsidRDefault="003E69FC"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8"/>
  <w:p w14:paraId="65D9EF25" w14:textId="77777777" w:rsidR="003E69FC" w:rsidRDefault="003E69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1F3D"/>
    <w:multiLevelType w:val="hybridMultilevel"/>
    <w:tmpl w:val="547A520C"/>
    <w:name w:val="Lista numerada 4"/>
    <w:lvl w:ilvl="0" w:tplc="FFFFFFFF">
      <w:numFmt w:val="none"/>
      <w:lvlText w:val=""/>
      <w:lvlJc w:val="left"/>
      <w:pPr>
        <w:ind w:left="0" w:firstLine="0"/>
      </w:pPr>
    </w:lvl>
    <w:lvl w:ilvl="1" w:tplc="FFFFFFFF">
      <w:numFmt w:val="none"/>
      <w:lvlText w:val=""/>
      <w:lvlJc w:val="left"/>
      <w:pPr>
        <w:ind w:left="0" w:firstLine="0"/>
      </w:pPr>
    </w:lvl>
    <w:lvl w:ilvl="2" w:tplc="FFFFFFFF">
      <w:numFmt w:val="none"/>
      <w:lvlText w:val=""/>
      <w:lvlJc w:val="left"/>
      <w:pPr>
        <w:ind w:left="0" w:firstLine="0"/>
      </w:pPr>
    </w:lvl>
    <w:lvl w:ilvl="3" w:tplc="FFFFFFFF">
      <w:numFmt w:val="none"/>
      <w:lvlText w:val=""/>
      <w:lvlJc w:val="left"/>
      <w:pPr>
        <w:ind w:left="0" w:firstLine="0"/>
      </w:pPr>
    </w:lvl>
    <w:lvl w:ilvl="4" w:tplc="FFFFFFFF">
      <w:numFmt w:val="none"/>
      <w:lvlText w:val=""/>
      <w:lvlJc w:val="left"/>
      <w:pPr>
        <w:ind w:left="0" w:firstLine="0"/>
      </w:pPr>
    </w:lvl>
    <w:lvl w:ilvl="5" w:tplc="FFFFFFFF">
      <w:numFmt w:val="none"/>
      <w:lvlText w:val=""/>
      <w:lvlJc w:val="left"/>
      <w:pPr>
        <w:ind w:left="0" w:firstLine="0"/>
      </w:pPr>
    </w:lvl>
    <w:lvl w:ilvl="6" w:tplc="FFFFFFFF">
      <w:numFmt w:val="none"/>
      <w:lvlText w:val=""/>
      <w:lvlJc w:val="left"/>
      <w:pPr>
        <w:ind w:left="0" w:firstLine="0"/>
      </w:pPr>
    </w:lvl>
    <w:lvl w:ilvl="7" w:tplc="FFFFFFFF">
      <w:numFmt w:val="none"/>
      <w:lvlText w:val=""/>
      <w:lvlJc w:val="left"/>
      <w:pPr>
        <w:ind w:left="0" w:firstLine="0"/>
      </w:pPr>
    </w:lvl>
    <w:lvl w:ilvl="8" w:tplc="FFFFFFFF">
      <w:numFmt w:val="none"/>
      <w:lvlText w:val=""/>
      <w:lvlJc w:val="left"/>
      <w:pPr>
        <w:ind w:left="0" w:firstLine="0"/>
      </w:pPr>
    </w:lvl>
  </w:abstractNum>
  <w:abstractNum w:abstractNumId="1" w15:restartNumberingAfterBreak="0">
    <w:nsid w:val="037A1A1F"/>
    <w:multiLevelType w:val="hybridMultilevel"/>
    <w:tmpl w:val="970E8746"/>
    <w:name w:val="Lista numerada 2"/>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righ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righ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right"/>
      <w:pPr>
        <w:ind w:left="6300" w:firstLine="0"/>
      </w:pPr>
    </w:lvl>
  </w:abstractNum>
  <w:abstractNum w:abstractNumId="2" w15:restartNumberingAfterBreak="0">
    <w:nsid w:val="09570C70"/>
    <w:multiLevelType w:val="hybridMultilevel"/>
    <w:tmpl w:val="B8DAF76A"/>
    <w:name w:val="Lista numerada 3"/>
    <w:lvl w:ilvl="0" w:tplc="FFFFFFFF">
      <w:numFmt w:val="none"/>
      <w:lvlText w:val=""/>
      <w:lvlJc w:val="left"/>
      <w:pPr>
        <w:ind w:left="0" w:firstLine="0"/>
      </w:pPr>
    </w:lvl>
    <w:lvl w:ilvl="1" w:tplc="FFFFFFFF">
      <w:numFmt w:val="none"/>
      <w:lvlText w:val=""/>
      <w:lvlJc w:val="left"/>
      <w:pPr>
        <w:ind w:left="0" w:firstLine="0"/>
      </w:pPr>
    </w:lvl>
    <w:lvl w:ilvl="2" w:tplc="FFFFFFFF">
      <w:numFmt w:val="none"/>
      <w:lvlText w:val=""/>
      <w:lvlJc w:val="left"/>
      <w:pPr>
        <w:ind w:left="0" w:firstLine="0"/>
      </w:pPr>
    </w:lvl>
    <w:lvl w:ilvl="3" w:tplc="FFFFFFFF">
      <w:numFmt w:val="none"/>
      <w:lvlText w:val=""/>
      <w:lvlJc w:val="left"/>
      <w:pPr>
        <w:ind w:left="0" w:firstLine="0"/>
      </w:pPr>
    </w:lvl>
    <w:lvl w:ilvl="4" w:tplc="FFFFFFFF">
      <w:numFmt w:val="none"/>
      <w:lvlText w:val=""/>
      <w:lvlJc w:val="left"/>
      <w:pPr>
        <w:ind w:left="0" w:firstLine="0"/>
      </w:pPr>
    </w:lvl>
    <w:lvl w:ilvl="5" w:tplc="FFFFFFFF">
      <w:numFmt w:val="none"/>
      <w:lvlText w:val=""/>
      <w:lvlJc w:val="left"/>
      <w:pPr>
        <w:ind w:left="0" w:firstLine="0"/>
      </w:pPr>
    </w:lvl>
    <w:lvl w:ilvl="6" w:tplc="FFFFFFFF">
      <w:numFmt w:val="none"/>
      <w:lvlText w:val=""/>
      <w:lvlJc w:val="left"/>
      <w:pPr>
        <w:ind w:left="0" w:firstLine="0"/>
      </w:pPr>
    </w:lvl>
    <w:lvl w:ilvl="7" w:tplc="FFFFFFFF">
      <w:numFmt w:val="none"/>
      <w:lvlText w:val=""/>
      <w:lvlJc w:val="left"/>
      <w:pPr>
        <w:ind w:left="0" w:firstLine="0"/>
      </w:pPr>
    </w:lvl>
    <w:lvl w:ilvl="8" w:tplc="FFFFFFFF">
      <w:numFmt w:val="none"/>
      <w:lvlText w:val=""/>
      <w:lvlJc w:val="left"/>
      <w:pPr>
        <w:ind w:left="0" w:firstLine="0"/>
      </w:pPr>
    </w:lvl>
  </w:abstractNum>
  <w:abstractNum w:abstractNumId="3"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5"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7"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0" w15:restartNumberingAfterBreak="0">
    <w:nsid w:val="1C006E41"/>
    <w:multiLevelType w:val="hybridMultilevel"/>
    <w:tmpl w:val="12ACCA68"/>
    <w:lvl w:ilvl="0" w:tplc="140A000F">
      <w:start w:val="1"/>
      <w:numFmt w:val="decimal"/>
      <w:lvlText w:val="%1."/>
      <w:lvlJc w:val="left"/>
      <w:pPr>
        <w:ind w:left="1429" w:hanging="360"/>
      </w:pPr>
    </w:lvl>
    <w:lvl w:ilvl="1" w:tplc="140A0019" w:tentative="1">
      <w:start w:val="1"/>
      <w:numFmt w:val="lowerLetter"/>
      <w:lvlText w:val="%2."/>
      <w:lvlJc w:val="left"/>
      <w:pPr>
        <w:ind w:left="2149" w:hanging="360"/>
      </w:pPr>
    </w:lvl>
    <w:lvl w:ilvl="2" w:tplc="140A001B" w:tentative="1">
      <w:start w:val="1"/>
      <w:numFmt w:val="lowerRoman"/>
      <w:lvlText w:val="%3."/>
      <w:lvlJc w:val="right"/>
      <w:pPr>
        <w:ind w:left="2869" w:hanging="180"/>
      </w:pPr>
    </w:lvl>
    <w:lvl w:ilvl="3" w:tplc="140A000F" w:tentative="1">
      <w:start w:val="1"/>
      <w:numFmt w:val="decimal"/>
      <w:lvlText w:val="%4."/>
      <w:lvlJc w:val="left"/>
      <w:pPr>
        <w:ind w:left="3589" w:hanging="360"/>
      </w:pPr>
    </w:lvl>
    <w:lvl w:ilvl="4" w:tplc="140A0019" w:tentative="1">
      <w:start w:val="1"/>
      <w:numFmt w:val="lowerLetter"/>
      <w:lvlText w:val="%5."/>
      <w:lvlJc w:val="left"/>
      <w:pPr>
        <w:ind w:left="4309" w:hanging="360"/>
      </w:pPr>
    </w:lvl>
    <w:lvl w:ilvl="5" w:tplc="140A001B" w:tentative="1">
      <w:start w:val="1"/>
      <w:numFmt w:val="lowerRoman"/>
      <w:lvlText w:val="%6."/>
      <w:lvlJc w:val="right"/>
      <w:pPr>
        <w:ind w:left="5029" w:hanging="180"/>
      </w:pPr>
    </w:lvl>
    <w:lvl w:ilvl="6" w:tplc="140A000F" w:tentative="1">
      <w:start w:val="1"/>
      <w:numFmt w:val="decimal"/>
      <w:lvlText w:val="%7."/>
      <w:lvlJc w:val="left"/>
      <w:pPr>
        <w:ind w:left="5749" w:hanging="360"/>
      </w:pPr>
    </w:lvl>
    <w:lvl w:ilvl="7" w:tplc="140A0019" w:tentative="1">
      <w:start w:val="1"/>
      <w:numFmt w:val="lowerLetter"/>
      <w:lvlText w:val="%8."/>
      <w:lvlJc w:val="left"/>
      <w:pPr>
        <w:ind w:left="6469" w:hanging="360"/>
      </w:pPr>
    </w:lvl>
    <w:lvl w:ilvl="8" w:tplc="140A001B" w:tentative="1">
      <w:start w:val="1"/>
      <w:numFmt w:val="lowerRoman"/>
      <w:lvlText w:val="%9."/>
      <w:lvlJc w:val="right"/>
      <w:pPr>
        <w:ind w:left="7189" w:hanging="180"/>
      </w:pPr>
    </w:lvl>
  </w:abstractNum>
  <w:abstractNum w:abstractNumId="11"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3"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3290D05"/>
    <w:multiLevelType w:val="hybridMultilevel"/>
    <w:tmpl w:val="766C692C"/>
    <w:lvl w:ilvl="0" w:tplc="FFFFFFFF">
      <w:numFmt w:val="none"/>
      <w:lvlText w:val=""/>
      <w:lvlJc w:val="left"/>
      <w:pPr>
        <w:tabs>
          <w:tab w:val="num" w:pos="360"/>
        </w:tabs>
        <w:ind w:left="360" w:hanging="360"/>
      </w:pPr>
    </w:lvl>
    <w:lvl w:ilvl="1" w:tplc="FFFFFFFF">
      <w:numFmt w:val="none"/>
      <w:lvlText w:val=""/>
      <w:lvlJc w:val="left"/>
      <w:pPr>
        <w:tabs>
          <w:tab w:val="num" w:pos="360"/>
        </w:tabs>
        <w:ind w:left="360" w:hanging="360"/>
      </w:pPr>
    </w:lvl>
    <w:lvl w:ilvl="2" w:tplc="FFFFFFFF">
      <w:numFmt w:val="none"/>
      <w:lvlText w:val=""/>
      <w:lvlJc w:val="left"/>
      <w:pPr>
        <w:tabs>
          <w:tab w:val="num" w:pos="360"/>
        </w:tabs>
        <w:ind w:left="360" w:hanging="360"/>
      </w:pPr>
    </w:lvl>
    <w:lvl w:ilvl="3" w:tplc="FFFFFFFF">
      <w:numFmt w:val="none"/>
      <w:lvlText w:val=""/>
      <w:lvlJc w:val="left"/>
      <w:pPr>
        <w:tabs>
          <w:tab w:val="num" w:pos="360"/>
        </w:tabs>
        <w:ind w:left="360" w:hanging="360"/>
      </w:pPr>
    </w:lvl>
    <w:lvl w:ilvl="4" w:tplc="FFFFFFFF">
      <w:numFmt w:val="none"/>
      <w:lvlText w:val=""/>
      <w:lvlJc w:val="left"/>
      <w:pPr>
        <w:tabs>
          <w:tab w:val="num" w:pos="360"/>
        </w:tabs>
        <w:ind w:left="360" w:hanging="360"/>
      </w:pPr>
    </w:lvl>
    <w:lvl w:ilvl="5" w:tplc="FFFFFFFF">
      <w:numFmt w:val="none"/>
      <w:lvlText w:val=""/>
      <w:lvlJc w:val="left"/>
      <w:pPr>
        <w:tabs>
          <w:tab w:val="num" w:pos="360"/>
        </w:tabs>
        <w:ind w:left="360" w:hanging="360"/>
      </w:pPr>
    </w:lvl>
    <w:lvl w:ilvl="6" w:tplc="FFFFFFFF">
      <w:numFmt w:val="none"/>
      <w:lvlText w:val=""/>
      <w:lvlJc w:val="left"/>
      <w:pPr>
        <w:tabs>
          <w:tab w:val="num" w:pos="360"/>
        </w:tabs>
        <w:ind w:left="360" w:hanging="360"/>
      </w:pPr>
    </w:lvl>
    <w:lvl w:ilvl="7" w:tplc="FFFFFFFF">
      <w:numFmt w:val="none"/>
      <w:lvlText w:val=""/>
      <w:lvlJc w:val="left"/>
      <w:pPr>
        <w:tabs>
          <w:tab w:val="num" w:pos="360"/>
        </w:tabs>
        <w:ind w:left="360" w:hanging="360"/>
      </w:pPr>
    </w:lvl>
    <w:lvl w:ilvl="8" w:tplc="FFFFFFFF">
      <w:numFmt w:val="none"/>
      <w:lvlText w:val=""/>
      <w:lvlJc w:val="left"/>
      <w:pPr>
        <w:tabs>
          <w:tab w:val="num" w:pos="360"/>
        </w:tabs>
        <w:ind w:left="360" w:hanging="360"/>
      </w:pPr>
    </w:lvl>
  </w:abstractNum>
  <w:abstractNum w:abstractNumId="15"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1F364AB"/>
    <w:multiLevelType w:val="hybridMultilevel"/>
    <w:tmpl w:val="91DAFEC8"/>
    <w:name w:val="Lista numerada 1"/>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righ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righ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right"/>
      <w:pPr>
        <w:ind w:left="6300" w:firstLine="0"/>
      </w:pPr>
    </w:lvl>
  </w:abstractNum>
  <w:abstractNum w:abstractNumId="19"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0"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5"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8"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31"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2"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3"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5"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2"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5" w15:restartNumberingAfterBreak="0">
    <w:nsid w:val="78273AB7"/>
    <w:multiLevelType w:val="hybridMultilevel"/>
    <w:tmpl w:val="502C01CE"/>
    <w:lvl w:ilvl="0" w:tplc="55CCEEF2">
      <w:start w:val="1"/>
      <w:numFmt w:val="decimal"/>
      <w:lvlText w:val="%1."/>
      <w:lvlJc w:val="left"/>
      <w:pPr>
        <w:ind w:left="1069" w:hanging="360"/>
      </w:pPr>
      <w:rPr>
        <w:rFonts w:eastAsia="Calibri"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46"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F2219CA"/>
    <w:multiLevelType w:val="hybridMultilevel"/>
    <w:tmpl w:val="29F86F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1"/>
  </w:num>
  <w:num w:numId="2">
    <w:abstractNumId w:val="38"/>
  </w:num>
  <w:num w:numId="3">
    <w:abstractNumId w:val="26"/>
  </w:num>
  <w:num w:numId="4">
    <w:abstractNumId w:val="30"/>
  </w:num>
  <w:num w:numId="5">
    <w:abstractNumId w:val="5"/>
  </w:num>
  <w:num w:numId="6">
    <w:abstractNumId w:val="29"/>
  </w:num>
  <w:num w:numId="7">
    <w:abstractNumId w:val="46"/>
  </w:num>
  <w:num w:numId="8">
    <w:abstractNumId w:val="20"/>
  </w:num>
  <w:num w:numId="9">
    <w:abstractNumId w:val="36"/>
  </w:num>
  <w:num w:numId="10">
    <w:abstractNumId w:val="27"/>
  </w:num>
  <w:num w:numId="11">
    <w:abstractNumId w:val="3"/>
  </w:num>
  <w:num w:numId="12">
    <w:abstractNumId w:val="44"/>
  </w:num>
  <w:num w:numId="13">
    <w:abstractNumId w:val="33"/>
  </w:num>
  <w:num w:numId="14">
    <w:abstractNumId w:val="7"/>
  </w:num>
  <w:num w:numId="15">
    <w:abstractNumId w:val="19"/>
  </w:num>
  <w:num w:numId="16">
    <w:abstractNumId w:val="11"/>
  </w:num>
  <w:num w:numId="17">
    <w:abstractNumId w:val="13"/>
  </w:num>
  <w:num w:numId="18">
    <w:abstractNumId w:val="37"/>
  </w:num>
  <w:num w:numId="19">
    <w:abstractNumId w:val="12"/>
  </w:num>
  <w:num w:numId="20">
    <w:abstractNumId w:val="35"/>
  </w:num>
  <w:num w:numId="21">
    <w:abstractNumId w:val="4"/>
  </w:num>
  <w:num w:numId="22">
    <w:abstractNumId w:val="9"/>
  </w:num>
  <w:num w:numId="23">
    <w:abstractNumId w:val="6"/>
  </w:num>
  <w:num w:numId="24">
    <w:abstractNumId w:val="17"/>
  </w:num>
  <w:num w:numId="25">
    <w:abstractNumId w:val="48"/>
  </w:num>
  <w:num w:numId="26">
    <w:abstractNumId w:val="43"/>
  </w:num>
  <w:num w:numId="27">
    <w:abstractNumId w:val="16"/>
  </w:num>
  <w:num w:numId="28">
    <w:abstractNumId w:val="22"/>
  </w:num>
  <w:num w:numId="29">
    <w:abstractNumId w:val="34"/>
  </w:num>
  <w:num w:numId="30">
    <w:abstractNumId w:val="24"/>
  </w:num>
  <w:num w:numId="31">
    <w:abstractNumId w:val="15"/>
  </w:num>
  <w:num w:numId="32">
    <w:abstractNumId w:val="47"/>
  </w:num>
  <w:num w:numId="33">
    <w:abstractNumId w:val="31"/>
  </w:num>
  <w:num w:numId="34">
    <w:abstractNumId w:val="23"/>
  </w:num>
  <w:num w:numId="35">
    <w:abstractNumId w:val="40"/>
  </w:num>
  <w:num w:numId="36">
    <w:abstractNumId w:val="28"/>
  </w:num>
  <w:num w:numId="37">
    <w:abstractNumId w:val="8"/>
  </w:num>
  <w:num w:numId="38">
    <w:abstractNumId w:val="25"/>
  </w:num>
  <w:num w:numId="39">
    <w:abstractNumId w:val="39"/>
  </w:num>
  <w:num w:numId="40">
    <w:abstractNumId w:val="32"/>
  </w:num>
  <w:num w:numId="41">
    <w:abstractNumId w:val="41"/>
  </w:num>
  <w:num w:numId="42">
    <w:abstractNumId w:val="42"/>
  </w:num>
  <w:num w:numId="43">
    <w:abstractNumId w:val="2"/>
  </w:num>
  <w:num w:numId="44">
    <w:abstractNumId w:val="18"/>
  </w:num>
  <w:num w:numId="45">
    <w:abstractNumId w:val="0"/>
  </w:num>
  <w:num w:numId="46">
    <w:abstractNumId w:val="1"/>
  </w:num>
  <w:num w:numId="47">
    <w:abstractNumId w:val="14"/>
  </w:num>
  <w:num w:numId="48">
    <w:abstractNumId w:val="49"/>
  </w:num>
  <w:num w:numId="49">
    <w:abstractNumId w:val="10"/>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A2D"/>
    <w:rsid w:val="00001E80"/>
    <w:rsid w:val="00002A45"/>
    <w:rsid w:val="000032FD"/>
    <w:rsid w:val="00006F80"/>
    <w:rsid w:val="000079D2"/>
    <w:rsid w:val="00013400"/>
    <w:rsid w:val="00014278"/>
    <w:rsid w:val="00015D9E"/>
    <w:rsid w:val="00016045"/>
    <w:rsid w:val="0001748B"/>
    <w:rsid w:val="0001780B"/>
    <w:rsid w:val="00017E6D"/>
    <w:rsid w:val="00020C1F"/>
    <w:rsid w:val="0002238C"/>
    <w:rsid w:val="00024251"/>
    <w:rsid w:val="00025A7E"/>
    <w:rsid w:val="00026707"/>
    <w:rsid w:val="00033CE7"/>
    <w:rsid w:val="0003520A"/>
    <w:rsid w:val="00036860"/>
    <w:rsid w:val="00041B5C"/>
    <w:rsid w:val="00041F99"/>
    <w:rsid w:val="00046D6E"/>
    <w:rsid w:val="00047994"/>
    <w:rsid w:val="0005000E"/>
    <w:rsid w:val="00050CBC"/>
    <w:rsid w:val="00051E67"/>
    <w:rsid w:val="000520EE"/>
    <w:rsid w:val="000534BC"/>
    <w:rsid w:val="00053936"/>
    <w:rsid w:val="00053E75"/>
    <w:rsid w:val="0005594E"/>
    <w:rsid w:val="00057376"/>
    <w:rsid w:val="00057A12"/>
    <w:rsid w:val="0006064F"/>
    <w:rsid w:val="00061C1E"/>
    <w:rsid w:val="00063B82"/>
    <w:rsid w:val="00064C79"/>
    <w:rsid w:val="0007083E"/>
    <w:rsid w:val="00071238"/>
    <w:rsid w:val="000720BF"/>
    <w:rsid w:val="00073695"/>
    <w:rsid w:val="000749E7"/>
    <w:rsid w:val="00075680"/>
    <w:rsid w:val="00076624"/>
    <w:rsid w:val="00081189"/>
    <w:rsid w:val="00081EA1"/>
    <w:rsid w:val="000823E6"/>
    <w:rsid w:val="00083198"/>
    <w:rsid w:val="00084C26"/>
    <w:rsid w:val="000865C8"/>
    <w:rsid w:val="00086FA0"/>
    <w:rsid w:val="00091331"/>
    <w:rsid w:val="00091D68"/>
    <w:rsid w:val="00095A07"/>
    <w:rsid w:val="00097C08"/>
    <w:rsid w:val="00097DE7"/>
    <w:rsid w:val="000A111C"/>
    <w:rsid w:val="000A1290"/>
    <w:rsid w:val="000A13CF"/>
    <w:rsid w:val="000A227F"/>
    <w:rsid w:val="000A3A9F"/>
    <w:rsid w:val="000A5781"/>
    <w:rsid w:val="000A5DA3"/>
    <w:rsid w:val="000A6D9A"/>
    <w:rsid w:val="000A7E22"/>
    <w:rsid w:val="000B7151"/>
    <w:rsid w:val="000B7446"/>
    <w:rsid w:val="000C08B0"/>
    <w:rsid w:val="000C1371"/>
    <w:rsid w:val="000C2E97"/>
    <w:rsid w:val="000C680B"/>
    <w:rsid w:val="000C7451"/>
    <w:rsid w:val="000D1334"/>
    <w:rsid w:val="000D144D"/>
    <w:rsid w:val="000D1F91"/>
    <w:rsid w:val="000D2567"/>
    <w:rsid w:val="000D296F"/>
    <w:rsid w:val="000D44E1"/>
    <w:rsid w:val="000D5935"/>
    <w:rsid w:val="000D6CBD"/>
    <w:rsid w:val="000D6E20"/>
    <w:rsid w:val="000D7954"/>
    <w:rsid w:val="000D7DE0"/>
    <w:rsid w:val="000E10A4"/>
    <w:rsid w:val="000E184A"/>
    <w:rsid w:val="000E2F1F"/>
    <w:rsid w:val="000E31F9"/>
    <w:rsid w:val="000E320A"/>
    <w:rsid w:val="000E4253"/>
    <w:rsid w:val="000E4F1A"/>
    <w:rsid w:val="000E5FA6"/>
    <w:rsid w:val="000E7A28"/>
    <w:rsid w:val="000F1259"/>
    <w:rsid w:val="000F28A9"/>
    <w:rsid w:val="000F2B5D"/>
    <w:rsid w:val="000F393F"/>
    <w:rsid w:val="000F61B7"/>
    <w:rsid w:val="00100C52"/>
    <w:rsid w:val="00101707"/>
    <w:rsid w:val="00102586"/>
    <w:rsid w:val="001049D4"/>
    <w:rsid w:val="00104E6F"/>
    <w:rsid w:val="00106270"/>
    <w:rsid w:val="00107071"/>
    <w:rsid w:val="00107EBF"/>
    <w:rsid w:val="00111083"/>
    <w:rsid w:val="0011166E"/>
    <w:rsid w:val="00116616"/>
    <w:rsid w:val="00116C20"/>
    <w:rsid w:val="00120219"/>
    <w:rsid w:val="001207A6"/>
    <w:rsid w:val="00121272"/>
    <w:rsid w:val="0012304C"/>
    <w:rsid w:val="001234AE"/>
    <w:rsid w:val="00125F0E"/>
    <w:rsid w:val="0012727A"/>
    <w:rsid w:val="00127E08"/>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1CA2"/>
    <w:rsid w:val="00152545"/>
    <w:rsid w:val="00152C27"/>
    <w:rsid w:val="00155FB2"/>
    <w:rsid w:val="001561AF"/>
    <w:rsid w:val="00156C8F"/>
    <w:rsid w:val="00160030"/>
    <w:rsid w:val="001624E8"/>
    <w:rsid w:val="001650EE"/>
    <w:rsid w:val="00166863"/>
    <w:rsid w:val="001749A5"/>
    <w:rsid w:val="00174B0E"/>
    <w:rsid w:val="0017598B"/>
    <w:rsid w:val="00175BE9"/>
    <w:rsid w:val="00176139"/>
    <w:rsid w:val="00181457"/>
    <w:rsid w:val="001836F5"/>
    <w:rsid w:val="00183ACC"/>
    <w:rsid w:val="00184CA0"/>
    <w:rsid w:val="001850F9"/>
    <w:rsid w:val="001862C7"/>
    <w:rsid w:val="00190DE8"/>
    <w:rsid w:val="001910DA"/>
    <w:rsid w:val="00191751"/>
    <w:rsid w:val="00192C9E"/>
    <w:rsid w:val="00193AFC"/>
    <w:rsid w:val="00193DA2"/>
    <w:rsid w:val="001951A4"/>
    <w:rsid w:val="001A0561"/>
    <w:rsid w:val="001A43CA"/>
    <w:rsid w:val="001A5BBC"/>
    <w:rsid w:val="001A5FB1"/>
    <w:rsid w:val="001A69C6"/>
    <w:rsid w:val="001A6A7E"/>
    <w:rsid w:val="001B0197"/>
    <w:rsid w:val="001B1F0E"/>
    <w:rsid w:val="001B2038"/>
    <w:rsid w:val="001B2F02"/>
    <w:rsid w:val="001B33FD"/>
    <w:rsid w:val="001B38E2"/>
    <w:rsid w:val="001B49A7"/>
    <w:rsid w:val="001B52E9"/>
    <w:rsid w:val="001B740D"/>
    <w:rsid w:val="001C017C"/>
    <w:rsid w:val="001C0FDB"/>
    <w:rsid w:val="001C1884"/>
    <w:rsid w:val="001C395C"/>
    <w:rsid w:val="001C77F9"/>
    <w:rsid w:val="001D06ED"/>
    <w:rsid w:val="001D0E42"/>
    <w:rsid w:val="001D19BA"/>
    <w:rsid w:val="001D2A22"/>
    <w:rsid w:val="001D437A"/>
    <w:rsid w:val="001E202F"/>
    <w:rsid w:val="001E2221"/>
    <w:rsid w:val="001E34E7"/>
    <w:rsid w:val="001E3A46"/>
    <w:rsid w:val="001E5DA2"/>
    <w:rsid w:val="001E7BA4"/>
    <w:rsid w:val="001F018B"/>
    <w:rsid w:val="001F1C42"/>
    <w:rsid w:val="001F2282"/>
    <w:rsid w:val="001F308D"/>
    <w:rsid w:val="001F4C2D"/>
    <w:rsid w:val="001F69CF"/>
    <w:rsid w:val="00202760"/>
    <w:rsid w:val="002033B3"/>
    <w:rsid w:val="0020679D"/>
    <w:rsid w:val="00211499"/>
    <w:rsid w:val="00211B63"/>
    <w:rsid w:val="00212AFB"/>
    <w:rsid w:val="002144FC"/>
    <w:rsid w:val="0021492A"/>
    <w:rsid w:val="00215374"/>
    <w:rsid w:val="002205F4"/>
    <w:rsid w:val="00220D72"/>
    <w:rsid w:val="00221BE6"/>
    <w:rsid w:val="00224C62"/>
    <w:rsid w:val="002258EE"/>
    <w:rsid w:val="00226640"/>
    <w:rsid w:val="00226CC3"/>
    <w:rsid w:val="00230309"/>
    <w:rsid w:val="00231350"/>
    <w:rsid w:val="00231519"/>
    <w:rsid w:val="00233067"/>
    <w:rsid w:val="00233172"/>
    <w:rsid w:val="00236788"/>
    <w:rsid w:val="00240604"/>
    <w:rsid w:val="00240D80"/>
    <w:rsid w:val="00241400"/>
    <w:rsid w:val="00245097"/>
    <w:rsid w:val="00247C59"/>
    <w:rsid w:val="002533F2"/>
    <w:rsid w:val="002539E8"/>
    <w:rsid w:val="00253E0B"/>
    <w:rsid w:val="0025410D"/>
    <w:rsid w:val="0025487F"/>
    <w:rsid w:val="0025499F"/>
    <w:rsid w:val="00255248"/>
    <w:rsid w:val="0026094D"/>
    <w:rsid w:val="00260C2A"/>
    <w:rsid w:val="002639FE"/>
    <w:rsid w:val="002657AB"/>
    <w:rsid w:val="00270225"/>
    <w:rsid w:val="00270F16"/>
    <w:rsid w:val="002719BB"/>
    <w:rsid w:val="00272687"/>
    <w:rsid w:val="00273226"/>
    <w:rsid w:val="002742B4"/>
    <w:rsid w:val="00274740"/>
    <w:rsid w:val="00274C76"/>
    <w:rsid w:val="00275FC3"/>
    <w:rsid w:val="00280261"/>
    <w:rsid w:val="0028058F"/>
    <w:rsid w:val="00282AEC"/>
    <w:rsid w:val="00282C90"/>
    <w:rsid w:val="00284D6F"/>
    <w:rsid w:val="00285C79"/>
    <w:rsid w:val="00285DA3"/>
    <w:rsid w:val="002863C4"/>
    <w:rsid w:val="002901F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B7992"/>
    <w:rsid w:val="002C3F42"/>
    <w:rsid w:val="002D0B75"/>
    <w:rsid w:val="002D21CD"/>
    <w:rsid w:val="002D30E6"/>
    <w:rsid w:val="002D63B3"/>
    <w:rsid w:val="002D7B15"/>
    <w:rsid w:val="002D7BA5"/>
    <w:rsid w:val="002D7FA0"/>
    <w:rsid w:val="002E0F85"/>
    <w:rsid w:val="002E447F"/>
    <w:rsid w:val="002E48E2"/>
    <w:rsid w:val="002E52DF"/>
    <w:rsid w:val="002E68FB"/>
    <w:rsid w:val="002F069B"/>
    <w:rsid w:val="002F083C"/>
    <w:rsid w:val="002F4536"/>
    <w:rsid w:val="002F51CC"/>
    <w:rsid w:val="002F541D"/>
    <w:rsid w:val="00300366"/>
    <w:rsid w:val="003011BC"/>
    <w:rsid w:val="00301975"/>
    <w:rsid w:val="00302FF9"/>
    <w:rsid w:val="00304107"/>
    <w:rsid w:val="0030625A"/>
    <w:rsid w:val="003072E5"/>
    <w:rsid w:val="003111A0"/>
    <w:rsid w:val="003147D4"/>
    <w:rsid w:val="00315C55"/>
    <w:rsid w:val="00316745"/>
    <w:rsid w:val="003172E9"/>
    <w:rsid w:val="003172FD"/>
    <w:rsid w:val="00317744"/>
    <w:rsid w:val="00317EF9"/>
    <w:rsid w:val="0032257E"/>
    <w:rsid w:val="00323EC0"/>
    <w:rsid w:val="00326D5D"/>
    <w:rsid w:val="003305D5"/>
    <w:rsid w:val="00331067"/>
    <w:rsid w:val="00331E99"/>
    <w:rsid w:val="00333698"/>
    <w:rsid w:val="0033689E"/>
    <w:rsid w:val="00336BAC"/>
    <w:rsid w:val="00337BA8"/>
    <w:rsid w:val="00337BFF"/>
    <w:rsid w:val="00340ED9"/>
    <w:rsid w:val="00342683"/>
    <w:rsid w:val="0034275A"/>
    <w:rsid w:val="00345C30"/>
    <w:rsid w:val="00346E6A"/>
    <w:rsid w:val="00347892"/>
    <w:rsid w:val="0035096D"/>
    <w:rsid w:val="00352916"/>
    <w:rsid w:val="00352BEC"/>
    <w:rsid w:val="003534F4"/>
    <w:rsid w:val="00355A18"/>
    <w:rsid w:val="00356311"/>
    <w:rsid w:val="003569DD"/>
    <w:rsid w:val="00356BC7"/>
    <w:rsid w:val="003570BE"/>
    <w:rsid w:val="00357F3D"/>
    <w:rsid w:val="00357FE9"/>
    <w:rsid w:val="0036277B"/>
    <w:rsid w:val="0036524A"/>
    <w:rsid w:val="00365ACA"/>
    <w:rsid w:val="003676E3"/>
    <w:rsid w:val="003740EE"/>
    <w:rsid w:val="00376A84"/>
    <w:rsid w:val="003777DF"/>
    <w:rsid w:val="003800B4"/>
    <w:rsid w:val="00381165"/>
    <w:rsid w:val="0038147B"/>
    <w:rsid w:val="00384F2B"/>
    <w:rsid w:val="003871D4"/>
    <w:rsid w:val="00396255"/>
    <w:rsid w:val="00397F3C"/>
    <w:rsid w:val="003A57EF"/>
    <w:rsid w:val="003A6498"/>
    <w:rsid w:val="003A67D3"/>
    <w:rsid w:val="003A6B4B"/>
    <w:rsid w:val="003A6C5E"/>
    <w:rsid w:val="003B1799"/>
    <w:rsid w:val="003B19CC"/>
    <w:rsid w:val="003B2D18"/>
    <w:rsid w:val="003B2EA3"/>
    <w:rsid w:val="003B4896"/>
    <w:rsid w:val="003B4B60"/>
    <w:rsid w:val="003B547C"/>
    <w:rsid w:val="003B6BFD"/>
    <w:rsid w:val="003B7E8E"/>
    <w:rsid w:val="003C1C3D"/>
    <w:rsid w:val="003C3F29"/>
    <w:rsid w:val="003C3F58"/>
    <w:rsid w:val="003C566D"/>
    <w:rsid w:val="003C6426"/>
    <w:rsid w:val="003C64F3"/>
    <w:rsid w:val="003C740F"/>
    <w:rsid w:val="003D0DC8"/>
    <w:rsid w:val="003D4A9E"/>
    <w:rsid w:val="003D4B45"/>
    <w:rsid w:val="003D7613"/>
    <w:rsid w:val="003D7CFE"/>
    <w:rsid w:val="003E0A0B"/>
    <w:rsid w:val="003E0BC8"/>
    <w:rsid w:val="003E1C5F"/>
    <w:rsid w:val="003E2F0C"/>
    <w:rsid w:val="003E4CB5"/>
    <w:rsid w:val="003E69FC"/>
    <w:rsid w:val="003F0196"/>
    <w:rsid w:val="003F0481"/>
    <w:rsid w:val="003F44F5"/>
    <w:rsid w:val="003F4747"/>
    <w:rsid w:val="00400EA4"/>
    <w:rsid w:val="00403008"/>
    <w:rsid w:val="00403E7A"/>
    <w:rsid w:val="00406450"/>
    <w:rsid w:val="00410140"/>
    <w:rsid w:val="0041152C"/>
    <w:rsid w:val="004115EC"/>
    <w:rsid w:val="00413EE0"/>
    <w:rsid w:val="00415D4A"/>
    <w:rsid w:val="004168C6"/>
    <w:rsid w:val="00416F62"/>
    <w:rsid w:val="00417F4D"/>
    <w:rsid w:val="004225FB"/>
    <w:rsid w:val="0042346F"/>
    <w:rsid w:val="004246B0"/>
    <w:rsid w:val="00424D73"/>
    <w:rsid w:val="00425DD9"/>
    <w:rsid w:val="00433155"/>
    <w:rsid w:val="004338FF"/>
    <w:rsid w:val="00434831"/>
    <w:rsid w:val="00434A64"/>
    <w:rsid w:val="004356F4"/>
    <w:rsid w:val="00435D59"/>
    <w:rsid w:val="00435F9F"/>
    <w:rsid w:val="00436C08"/>
    <w:rsid w:val="00441C89"/>
    <w:rsid w:val="004422D3"/>
    <w:rsid w:val="00443161"/>
    <w:rsid w:val="00443AA3"/>
    <w:rsid w:val="0044426D"/>
    <w:rsid w:val="00446A43"/>
    <w:rsid w:val="004478A9"/>
    <w:rsid w:val="00450ADB"/>
    <w:rsid w:val="00451552"/>
    <w:rsid w:val="004516C5"/>
    <w:rsid w:val="00452F22"/>
    <w:rsid w:val="00456B5B"/>
    <w:rsid w:val="004570B8"/>
    <w:rsid w:val="004571EC"/>
    <w:rsid w:val="00457E3C"/>
    <w:rsid w:val="004602AA"/>
    <w:rsid w:val="00461563"/>
    <w:rsid w:val="004626A2"/>
    <w:rsid w:val="00462700"/>
    <w:rsid w:val="00462C8D"/>
    <w:rsid w:val="00462EDE"/>
    <w:rsid w:val="00463916"/>
    <w:rsid w:val="00464BAC"/>
    <w:rsid w:val="004675E8"/>
    <w:rsid w:val="00467754"/>
    <w:rsid w:val="004717DA"/>
    <w:rsid w:val="00472848"/>
    <w:rsid w:val="00475446"/>
    <w:rsid w:val="00477B8F"/>
    <w:rsid w:val="0048057E"/>
    <w:rsid w:val="0048173B"/>
    <w:rsid w:val="00481BCA"/>
    <w:rsid w:val="0048384E"/>
    <w:rsid w:val="00485B80"/>
    <w:rsid w:val="004860FC"/>
    <w:rsid w:val="00491411"/>
    <w:rsid w:val="004969B8"/>
    <w:rsid w:val="00497788"/>
    <w:rsid w:val="004A5542"/>
    <w:rsid w:val="004A5A20"/>
    <w:rsid w:val="004A7BD5"/>
    <w:rsid w:val="004B5ADB"/>
    <w:rsid w:val="004B7156"/>
    <w:rsid w:val="004B722B"/>
    <w:rsid w:val="004B7471"/>
    <w:rsid w:val="004B7852"/>
    <w:rsid w:val="004B7B50"/>
    <w:rsid w:val="004C39B6"/>
    <w:rsid w:val="004C521F"/>
    <w:rsid w:val="004C6D4B"/>
    <w:rsid w:val="004D0DC5"/>
    <w:rsid w:val="004D2193"/>
    <w:rsid w:val="004D5004"/>
    <w:rsid w:val="004D65DC"/>
    <w:rsid w:val="004E18C0"/>
    <w:rsid w:val="004E2C53"/>
    <w:rsid w:val="004E31E9"/>
    <w:rsid w:val="004E7499"/>
    <w:rsid w:val="004E788A"/>
    <w:rsid w:val="004F08D4"/>
    <w:rsid w:val="004F0FE0"/>
    <w:rsid w:val="004F1249"/>
    <w:rsid w:val="004F13B1"/>
    <w:rsid w:val="004F1C1D"/>
    <w:rsid w:val="004F6716"/>
    <w:rsid w:val="00501B4A"/>
    <w:rsid w:val="00502F4E"/>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29A9"/>
    <w:rsid w:val="005442E2"/>
    <w:rsid w:val="00547768"/>
    <w:rsid w:val="00547DF7"/>
    <w:rsid w:val="00550549"/>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90820"/>
    <w:rsid w:val="00592E4E"/>
    <w:rsid w:val="005A009A"/>
    <w:rsid w:val="005A5F49"/>
    <w:rsid w:val="005A7216"/>
    <w:rsid w:val="005A7337"/>
    <w:rsid w:val="005B14D6"/>
    <w:rsid w:val="005B557C"/>
    <w:rsid w:val="005B5BEA"/>
    <w:rsid w:val="005B7D57"/>
    <w:rsid w:val="005C026C"/>
    <w:rsid w:val="005C13D6"/>
    <w:rsid w:val="005C37CC"/>
    <w:rsid w:val="005C45C9"/>
    <w:rsid w:val="005C543F"/>
    <w:rsid w:val="005C5940"/>
    <w:rsid w:val="005C5A64"/>
    <w:rsid w:val="005C70D0"/>
    <w:rsid w:val="005D0C2E"/>
    <w:rsid w:val="005D0E06"/>
    <w:rsid w:val="005D5DC4"/>
    <w:rsid w:val="005D5E43"/>
    <w:rsid w:val="005D6952"/>
    <w:rsid w:val="005E4587"/>
    <w:rsid w:val="005E67D7"/>
    <w:rsid w:val="005E6DEC"/>
    <w:rsid w:val="005E6E39"/>
    <w:rsid w:val="005E6E48"/>
    <w:rsid w:val="005F024D"/>
    <w:rsid w:val="005F04E9"/>
    <w:rsid w:val="005F0ADA"/>
    <w:rsid w:val="005F2A1A"/>
    <w:rsid w:val="005F2C40"/>
    <w:rsid w:val="005F32C4"/>
    <w:rsid w:val="005F39FA"/>
    <w:rsid w:val="005F7470"/>
    <w:rsid w:val="00600E64"/>
    <w:rsid w:val="00601D11"/>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20C8"/>
    <w:rsid w:val="00633D94"/>
    <w:rsid w:val="006350AA"/>
    <w:rsid w:val="0063618A"/>
    <w:rsid w:val="00636E5E"/>
    <w:rsid w:val="00637C44"/>
    <w:rsid w:val="00643A38"/>
    <w:rsid w:val="00645E24"/>
    <w:rsid w:val="006460F4"/>
    <w:rsid w:val="006505CC"/>
    <w:rsid w:val="006512E1"/>
    <w:rsid w:val="00652F95"/>
    <w:rsid w:val="00653068"/>
    <w:rsid w:val="006532E1"/>
    <w:rsid w:val="00657240"/>
    <w:rsid w:val="0066002E"/>
    <w:rsid w:val="00662C16"/>
    <w:rsid w:val="00663C93"/>
    <w:rsid w:val="00664955"/>
    <w:rsid w:val="006654C2"/>
    <w:rsid w:val="0066591E"/>
    <w:rsid w:val="00666054"/>
    <w:rsid w:val="00666928"/>
    <w:rsid w:val="00667D08"/>
    <w:rsid w:val="00670264"/>
    <w:rsid w:val="0067034D"/>
    <w:rsid w:val="00672C12"/>
    <w:rsid w:val="00673C64"/>
    <w:rsid w:val="0067426A"/>
    <w:rsid w:val="00674530"/>
    <w:rsid w:val="0067470E"/>
    <w:rsid w:val="0067488E"/>
    <w:rsid w:val="00674942"/>
    <w:rsid w:val="006754BB"/>
    <w:rsid w:val="006775AC"/>
    <w:rsid w:val="00680113"/>
    <w:rsid w:val="0068071A"/>
    <w:rsid w:val="00680985"/>
    <w:rsid w:val="00680F98"/>
    <w:rsid w:val="00681AC8"/>
    <w:rsid w:val="00683F1B"/>
    <w:rsid w:val="00685A6B"/>
    <w:rsid w:val="0068657D"/>
    <w:rsid w:val="00686C0E"/>
    <w:rsid w:val="00686D9E"/>
    <w:rsid w:val="00687DF5"/>
    <w:rsid w:val="00687F30"/>
    <w:rsid w:val="00690BAA"/>
    <w:rsid w:val="00691090"/>
    <w:rsid w:val="006913C6"/>
    <w:rsid w:val="006918FA"/>
    <w:rsid w:val="00691A43"/>
    <w:rsid w:val="006941DB"/>
    <w:rsid w:val="00695053"/>
    <w:rsid w:val="00696B35"/>
    <w:rsid w:val="006972C6"/>
    <w:rsid w:val="00697B90"/>
    <w:rsid w:val="006A0287"/>
    <w:rsid w:val="006A1F41"/>
    <w:rsid w:val="006A2654"/>
    <w:rsid w:val="006A454A"/>
    <w:rsid w:val="006A55C0"/>
    <w:rsid w:val="006A5E23"/>
    <w:rsid w:val="006A6322"/>
    <w:rsid w:val="006A6AEC"/>
    <w:rsid w:val="006B126A"/>
    <w:rsid w:val="006B47F4"/>
    <w:rsid w:val="006B5776"/>
    <w:rsid w:val="006B6820"/>
    <w:rsid w:val="006C170C"/>
    <w:rsid w:val="006C2D94"/>
    <w:rsid w:val="006C4E91"/>
    <w:rsid w:val="006C638B"/>
    <w:rsid w:val="006D0175"/>
    <w:rsid w:val="006D1379"/>
    <w:rsid w:val="006D1AFF"/>
    <w:rsid w:val="006D40C4"/>
    <w:rsid w:val="006D4368"/>
    <w:rsid w:val="006D527F"/>
    <w:rsid w:val="006D73BC"/>
    <w:rsid w:val="006E2B35"/>
    <w:rsid w:val="006E3AA7"/>
    <w:rsid w:val="006E472E"/>
    <w:rsid w:val="006E5605"/>
    <w:rsid w:val="006E5984"/>
    <w:rsid w:val="006F55E9"/>
    <w:rsid w:val="007012CF"/>
    <w:rsid w:val="007013D8"/>
    <w:rsid w:val="00704B89"/>
    <w:rsid w:val="007053EE"/>
    <w:rsid w:val="00706545"/>
    <w:rsid w:val="007077DC"/>
    <w:rsid w:val="00711661"/>
    <w:rsid w:val="0071178D"/>
    <w:rsid w:val="007118C9"/>
    <w:rsid w:val="0071551E"/>
    <w:rsid w:val="00717D1B"/>
    <w:rsid w:val="0072045D"/>
    <w:rsid w:val="00720A83"/>
    <w:rsid w:val="007220F0"/>
    <w:rsid w:val="0072344A"/>
    <w:rsid w:val="00723D31"/>
    <w:rsid w:val="00723FEB"/>
    <w:rsid w:val="00726FEB"/>
    <w:rsid w:val="00727ABF"/>
    <w:rsid w:val="007321F5"/>
    <w:rsid w:val="00733199"/>
    <w:rsid w:val="00734975"/>
    <w:rsid w:val="0073623C"/>
    <w:rsid w:val="0073740C"/>
    <w:rsid w:val="007430BA"/>
    <w:rsid w:val="00744BFD"/>
    <w:rsid w:val="00745B70"/>
    <w:rsid w:val="00751F7B"/>
    <w:rsid w:val="007521EF"/>
    <w:rsid w:val="00753B73"/>
    <w:rsid w:val="00753D2B"/>
    <w:rsid w:val="00754B72"/>
    <w:rsid w:val="00755684"/>
    <w:rsid w:val="00755F1F"/>
    <w:rsid w:val="007564BC"/>
    <w:rsid w:val="00756E9B"/>
    <w:rsid w:val="00757C2B"/>
    <w:rsid w:val="00760793"/>
    <w:rsid w:val="00760845"/>
    <w:rsid w:val="007623AD"/>
    <w:rsid w:val="00762450"/>
    <w:rsid w:val="007649A8"/>
    <w:rsid w:val="00766517"/>
    <w:rsid w:val="00766BBE"/>
    <w:rsid w:val="007675CA"/>
    <w:rsid w:val="00770D8B"/>
    <w:rsid w:val="00772D85"/>
    <w:rsid w:val="007732E8"/>
    <w:rsid w:val="00773E01"/>
    <w:rsid w:val="00775FAB"/>
    <w:rsid w:val="00777310"/>
    <w:rsid w:val="00777C1C"/>
    <w:rsid w:val="007800DA"/>
    <w:rsid w:val="0078065A"/>
    <w:rsid w:val="00782D3C"/>
    <w:rsid w:val="00784A71"/>
    <w:rsid w:val="00786818"/>
    <w:rsid w:val="007876B0"/>
    <w:rsid w:val="007954C7"/>
    <w:rsid w:val="00795E38"/>
    <w:rsid w:val="007A1631"/>
    <w:rsid w:val="007A1D81"/>
    <w:rsid w:val="007A1D9C"/>
    <w:rsid w:val="007A2E1A"/>
    <w:rsid w:val="007A6C7D"/>
    <w:rsid w:val="007A7CCD"/>
    <w:rsid w:val="007B2F0A"/>
    <w:rsid w:val="007B5052"/>
    <w:rsid w:val="007B5544"/>
    <w:rsid w:val="007B5AC4"/>
    <w:rsid w:val="007B6284"/>
    <w:rsid w:val="007B6A0C"/>
    <w:rsid w:val="007B6A7D"/>
    <w:rsid w:val="007B7D24"/>
    <w:rsid w:val="007C1A67"/>
    <w:rsid w:val="007C33A1"/>
    <w:rsid w:val="007C3B20"/>
    <w:rsid w:val="007C41DE"/>
    <w:rsid w:val="007C506F"/>
    <w:rsid w:val="007C60A8"/>
    <w:rsid w:val="007C7FBC"/>
    <w:rsid w:val="007D5276"/>
    <w:rsid w:val="007D5A67"/>
    <w:rsid w:val="007D665F"/>
    <w:rsid w:val="007E2654"/>
    <w:rsid w:val="007E28CD"/>
    <w:rsid w:val="007E3044"/>
    <w:rsid w:val="007E359A"/>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094A"/>
    <w:rsid w:val="0080242A"/>
    <w:rsid w:val="008041D8"/>
    <w:rsid w:val="008067A0"/>
    <w:rsid w:val="00807AD4"/>
    <w:rsid w:val="00807BCD"/>
    <w:rsid w:val="00814594"/>
    <w:rsid w:val="00827191"/>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579AF"/>
    <w:rsid w:val="00861876"/>
    <w:rsid w:val="008618C7"/>
    <w:rsid w:val="008649AB"/>
    <w:rsid w:val="00864B6F"/>
    <w:rsid w:val="00865600"/>
    <w:rsid w:val="0086697E"/>
    <w:rsid w:val="00870F4D"/>
    <w:rsid w:val="00873DD9"/>
    <w:rsid w:val="00875E4B"/>
    <w:rsid w:val="00876316"/>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070F"/>
    <w:rsid w:val="008D5FC8"/>
    <w:rsid w:val="008D6912"/>
    <w:rsid w:val="008D6BF4"/>
    <w:rsid w:val="008D6D6A"/>
    <w:rsid w:val="008D792C"/>
    <w:rsid w:val="008E1E64"/>
    <w:rsid w:val="008E251D"/>
    <w:rsid w:val="008E5B01"/>
    <w:rsid w:val="008E5DEB"/>
    <w:rsid w:val="008E79DB"/>
    <w:rsid w:val="008F2F8D"/>
    <w:rsid w:val="008F3EC0"/>
    <w:rsid w:val="008F463D"/>
    <w:rsid w:val="008F46F0"/>
    <w:rsid w:val="008F48D9"/>
    <w:rsid w:val="008F59E5"/>
    <w:rsid w:val="008F72A0"/>
    <w:rsid w:val="00900F34"/>
    <w:rsid w:val="009035EA"/>
    <w:rsid w:val="00906526"/>
    <w:rsid w:val="00907BAF"/>
    <w:rsid w:val="00911167"/>
    <w:rsid w:val="009140A0"/>
    <w:rsid w:val="00914B87"/>
    <w:rsid w:val="00916187"/>
    <w:rsid w:val="00917E0E"/>
    <w:rsid w:val="00917F6D"/>
    <w:rsid w:val="0092045D"/>
    <w:rsid w:val="0092714F"/>
    <w:rsid w:val="00930946"/>
    <w:rsid w:val="00931ED5"/>
    <w:rsid w:val="009344B8"/>
    <w:rsid w:val="009361CF"/>
    <w:rsid w:val="009372E8"/>
    <w:rsid w:val="00942003"/>
    <w:rsid w:val="00942C4E"/>
    <w:rsid w:val="00942D51"/>
    <w:rsid w:val="0094364A"/>
    <w:rsid w:val="00943894"/>
    <w:rsid w:val="0094448D"/>
    <w:rsid w:val="00944B72"/>
    <w:rsid w:val="00951F9C"/>
    <w:rsid w:val="009537BC"/>
    <w:rsid w:val="00953E41"/>
    <w:rsid w:val="009547F3"/>
    <w:rsid w:val="00954B63"/>
    <w:rsid w:val="00955AE3"/>
    <w:rsid w:val="009571BA"/>
    <w:rsid w:val="00957B57"/>
    <w:rsid w:val="00957EAA"/>
    <w:rsid w:val="009645A3"/>
    <w:rsid w:val="00966C65"/>
    <w:rsid w:val="00967CEE"/>
    <w:rsid w:val="00970866"/>
    <w:rsid w:val="00971A81"/>
    <w:rsid w:val="00972D45"/>
    <w:rsid w:val="0097396C"/>
    <w:rsid w:val="00974080"/>
    <w:rsid w:val="00976851"/>
    <w:rsid w:val="009819B6"/>
    <w:rsid w:val="00981B3A"/>
    <w:rsid w:val="0098224F"/>
    <w:rsid w:val="00983099"/>
    <w:rsid w:val="00986E21"/>
    <w:rsid w:val="00990E89"/>
    <w:rsid w:val="00991097"/>
    <w:rsid w:val="00991623"/>
    <w:rsid w:val="0099203B"/>
    <w:rsid w:val="009947C9"/>
    <w:rsid w:val="00994832"/>
    <w:rsid w:val="00994CD1"/>
    <w:rsid w:val="0099684D"/>
    <w:rsid w:val="009968DD"/>
    <w:rsid w:val="009A0B29"/>
    <w:rsid w:val="009A24C0"/>
    <w:rsid w:val="009A24D0"/>
    <w:rsid w:val="009A3F86"/>
    <w:rsid w:val="009A5D77"/>
    <w:rsid w:val="009A602B"/>
    <w:rsid w:val="009A72CA"/>
    <w:rsid w:val="009B093A"/>
    <w:rsid w:val="009B0C9D"/>
    <w:rsid w:val="009B32D6"/>
    <w:rsid w:val="009B3DBF"/>
    <w:rsid w:val="009B5613"/>
    <w:rsid w:val="009C0429"/>
    <w:rsid w:val="009C1387"/>
    <w:rsid w:val="009C2A48"/>
    <w:rsid w:val="009C5054"/>
    <w:rsid w:val="009C5E19"/>
    <w:rsid w:val="009C623F"/>
    <w:rsid w:val="009C796F"/>
    <w:rsid w:val="009D09CA"/>
    <w:rsid w:val="009D0F40"/>
    <w:rsid w:val="009D2091"/>
    <w:rsid w:val="009D2D0D"/>
    <w:rsid w:val="009D4812"/>
    <w:rsid w:val="009D6880"/>
    <w:rsid w:val="009D760F"/>
    <w:rsid w:val="009D7EB4"/>
    <w:rsid w:val="009E0339"/>
    <w:rsid w:val="009E0A47"/>
    <w:rsid w:val="009E17B4"/>
    <w:rsid w:val="009E1C9E"/>
    <w:rsid w:val="009E26F8"/>
    <w:rsid w:val="009E28AA"/>
    <w:rsid w:val="009E301E"/>
    <w:rsid w:val="009E6C6B"/>
    <w:rsid w:val="009E7EBB"/>
    <w:rsid w:val="009F0D19"/>
    <w:rsid w:val="009F10DB"/>
    <w:rsid w:val="009F20EE"/>
    <w:rsid w:val="009F3E5A"/>
    <w:rsid w:val="009F513A"/>
    <w:rsid w:val="00A02C72"/>
    <w:rsid w:val="00A05C29"/>
    <w:rsid w:val="00A0714B"/>
    <w:rsid w:val="00A10142"/>
    <w:rsid w:val="00A115F8"/>
    <w:rsid w:val="00A1181E"/>
    <w:rsid w:val="00A11A38"/>
    <w:rsid w:val="00A12931"/>
    <w:rsid w:val="00A158DF"/>
    <w:rsid w:val="00A16AD7"/>
    <w:rsid w:val="00A17C4B"/>
    <w:rsid w:val="00A204FA"/>
    <w:rsid w:val="00A20A87"/>
    <w:rsid w:val="00A23BAD"/>
    <w:rsid w:val="00A2644F"/>
    <w:rsid w:val="00A2745F"/>
    <w:rsid w:val="00A27677"/>
    <w:rsid w:val="00A332A4"/>
    <w:rsid w:val="00A35CC8"/>
    <w:rsid w:val="00A36366"/>
    <w:rsid w:val="00A379A4"/>
    <w:rsid w:val="00A42036"/>
    <w:rsid w:val="00A43F31"/>
    <w:rsid w:val="00A45C89"/>
    <w:rsid w:val="00A464E4"/>
    <w:rsid w:val="00A4691A"/>
    <w:rsid w:val="00A47787"/>
    <w:rsid w:val="00A53FEC"/>
    <w:rsid w:val="00A54E27"/>
    <w:rsid w:val="00A613E1"/>
    <w:rsid w:val="00A62147"/>
    <w:rsid w:val="00A6374D"/>
    <w:rsid w:val="00A642AB"/>
    <w:rsid w:val="00A64FD8"/>
    <w:rsid w:val="00A659B7"/>
    <w:rsid w:val="00A65BDD"/>
    <w:rsid w:val="00A66330"/>
    <w:rsid w:val="00A67253"/>
    <w:rsid w:val="00A72AAA"/>
    <w:rsid w:val="00A72F88"/>
    <w:rsid w:val="00A74B1A"/>
    <w:rsid w:val="00A74CFD"/>
    <w:rsid w:val="00A753C8"/>
    <w:rsid w:val="00A75810"/>
    <w:rsid w:val="00A77806"/>
    <w:rsid w:val="00A8037A"/>
    <w:rsid w:val="00A80D4D"/>
    <w:rsid w:val="00A816D2"/>
    <w:rsid w:val="00A82B98"/>
    <w:rsid w:val="00A831C5"/>
    <w:rsid w:val="00A849E6"/>
    <w:rsid w:val="00A910D1"/>
    <w:rsid w:val="00A91AA9"/>
    <w:rsid w:val="00A92810"/>
    <w:rsid w:val="00A92906"/>
    <w:rsid w:val="00A94B92"/>
    <w:rsid w:val="00A95E12"/>
    <w:rsid w:val="00A96900"/>
    <w:rsid w:val="00A97DA5"/>
    <w:rsid w:val="00AA06F4"/>
    <w:rsid w:val="00AA0784"/>
    <w:rsid w:val="00AA0C8B"/>
    <w:rsid w:val="00AA156F"/>
    <w:rsid w:val="00AA1805"/>
    <w:rsid w:val="00AA19BD"/>
    <w:rsid w:val="00AA3F8E"/>
    <w:rsid w:val="00AB085F"/>
    <w:rsid w:val="00AB18FF"/>
    <w:rsid w:val="00AB23E8"/>
    <w:rsid w:val="00AB2572"/>
    <w:rsid w:val="00AB3130"/>
    <w:rsid w:val="00AB3461"/>
    <w:rsid w:val="00AB502B"/>
    <w:rsid w:val="00AB714D"/>
    <w:rsid w:val="00AB728D"/>
    <w:rsid w:val="00AB767F"/>
    <w:rsid w:val="00AC70B9"/>
    <w:rsid w:val="00AC70D7"/>
    <w:rsid w:val="00AD1492"/>
    <w:rsid w:val="00AD1881"/>
    <w:rsid w:val="00AD1ADC"/>
    <w:rsid w:val="00AD24A6"/>
    <w:rsid w:val="00AD2804"/>
    <w:rsid w:val="00AD2B2D"/>
    <w:rsid w:val="00AD60CF"/>
    <w:rsid w:val="00AD7BF3"/>
    <w:rsid w:val="00AE2A0F"/>
    <w:rsid w:val="00AE398C"/>
    <w:rsid w:val="00AE4078"/>
    <w:rsid w:val="00AE6B8E"/>
    <w:rsid w:val="00AF24E8"/>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4ACD"/>
    <w:rsid w:val="00B255EE"/>
    <w:rsid w:val="00B26013"/>
    <w:rsid w:val="00B30795"/>
    <w:rsid w:val="00B31323"/>
    <w:rsid w:val="00B31702"/>
    <w:rsid w:val="00B32E84"/>
    <w:rsid w:val="00B344FA"/>
    <w:rsid w:val="00B35B89"/>
    <w:rsid w:val="00B363BB"/>
    <w:rsid w:val="00B37206"/>
    <w:rsid w:val="00B40EB5"/>
    <w:rsid w:val="00B4569C"/>
    <w:rsid w:val="00B47C76"/>
    <w:rsid w:val="00B51AF9"/>
    <w:rsid w:val="00B51FC8"/>
    <w:rsid w:val="00B53056"/>
    <w:rsid w:val="00B547E6"/>
    <w:rsid w:val="00B55452"/>
    <w:rsid w:val="00B56C5F"/>
    <w:rsid w:val="00B62C34"/>
    <w:rsid w:val="00B63C32"/>
    <w:rsid w:val="00B64379"/>
    <w:rsid w:val="00B72467"/>
    <w:rsid w:val="00B73158"/>
    <w:rsid w:val="00B77050"/>
    <w:rsid w:val="00B7794A"/>
    <w:rsid w:val="00B85E0C"/>
    <w:rsid w:val="00B92AAE"/>
    <w:rsid w:val="00B93825"/>
    <w:rsid w:val="00B93855"/>
    <w:rsid w:val="00B95B67"/>
    <w:rsid w:val="00B95D6E"/>
    <w:rsid w:val="00B96872"/>
    <w:rsid w:val="00B97E99"/>
    <w:rsid w:val="00BA59F2"/>
    <w:rsid w:val="00BA6BA5"/>
    <w:rsid w:val="00BA6CA4"/>
    <w:rsid w:val="00BB1F20"/>
    <w:rsid w:val="00BB2A2E"/>
    <w:rsid w:val="00BB36EC"/>
    <w:rsid w:val="00BB44B1"/>
    <w:rsid w:val="00BB5CEE"/>
    <w:rsid w:val="00BB66F0"/>
    <w:rsid w:val="00BC0725"/>
    <w:rsid w:val="00BC0A56"/>
    <w:rsid w:val="00BC1402"/>
    <w:rsid w:val="00BC3494"/>
    <w:rsid w:val="00BC3BCD"/>
    <w:rsid w:val="00BC4115"/>
    <w:rsid w:val="00BC4D54"/>
    <w:rsid w:val="00BC5D54"/>
    <w:rsid w:val="00BC634D"/>
    <w:rsid w:val="00BD0279"/>
    <w:rsid w:val="00BD07D3"/>
    <w:rsid w:val="00BD25E2"/>
    <w:rsid w:val="00BD2D5A"/>
    <w:rsid w:val="00BD4163"/>
    <w:rsid w:val="00BD53D3"/>
    <w:rsid w:val="00BD6531"/>
    <w:rsid w:val="00BE1276"/>
    <w:rsid w:val="00BE1C79"/>
    <w:rsid w:val="00BE1D65"/>
    <w:rsid w:val="00BE4806"/>
    <w:rsid w:val="00BE58F6"/>
    <w:rsid w:val="00BE698A"/>
    <w:rsid w:val="00BE77DF"/>
    <w:rsid w:val="00BE7F12"/>
    <w:rsid w:val="00BF0C07"/>
    <w:rsid w:val="00BF1831"/>
    <w:rsid w:val="00BF36FD"/>
    <w:rsid w:val="00BF447E"/>
    <w:rsid w:val="00C001A4"/>
    <w:rsid w:val="00C011E5"/>
    <w:rsid w:val="00C03587"/>
    <w:rsid w:val="00C04057"/>
    <w:rsid w:val="00C1393F"/>
    <w:rsid w:val="00C175C1"/>
    <w:rsid w:val="00C216A9"/>
    <w:rsid w:val="00C23100"/>
    <w:rsid w:val="00C23A7C"/>
    <w:rsid w:val="00C23C2F"/>
    <w:rsid w:val="00C24041"/>
    <w:rsid w:val="00C24E68"/>
    <w:rsid w:val="00C25291"/>
    <w:rsid w:val="00C252A9"/>
    <w:rsid w:val="00C25605"/>
    <w:rsid w:val="00C261B5"/>
    <w:rsid w:val="00C266BF"/>
    <w:rsid w:val="00C310F5"/>
    <w:rsid w:val="00C35E02"/>
    <w:rsid w:val="00C35E8E"/>
    <w:rsid w:val="00C40B3F"/>
    <w:rsid w:val="00C41F09"/>
    <w:rsid w:val="00C42075"/>
    <w:rsid w:val="00C42462"/>
    <w:rsid w:val="00C45017"/>
    <w:rsid w:val="00C45725"/>
    <w:rsid w:val="00C45C2A"/>
    <w:rsid w:val="00C46E6E"/>
    <w:rsid w:val="00C50506"/>
    <w:rsid w:val="00C52052"/>
    <w:rsid w:val="00C522AA"/>
    <w:rsid w:val="00C525D0"/>
    <w:rsid w:val="00C55CE7"/>
    <w:rsid w:val="00C56B06"/>
    <w:rsid w:val="00C57393"/>
    <w:rsid w:val="00C57C4D"/>
    <w:rsid w:val="00C6281D"/>
    <w:rsid w:val="00C62FD0"/>
    <w:rsid w:val="00C63D25"/>
    <w:rsid w:val="00C6401D"/>
    <w:rsid w:val="00C66FA3"/>
    <w:rsid w:val="00C67FB2"/>
    <w:rsid w:val="00C74527"/>
    <w:rsid w:val="00C74F96"/>
    <w:rsid w:val="00C75E59"/>
    <w:rsid w:val="00C76BE9"/>
    <w:rsid w:val="00C77132"/>
    <w:rsid w:val="00C7717E"/>
    <w:rsid w:val="00C777C5"/>
    <w:rsid w:val="00C77E10"/>
    <w:rsid w:val="00C861A3"/>
    <w:rsid w:val="00C904C7"/>
    <w:rsid w:val="00C91386"/>
    <w:rsid w:val="00C9341C"/>
    <w:rsid w:val="00C93696"/>
    <w:rsid w:val="00C93707"/>
    <w:rsid w:val="00C93BE2"/>
    <w:rsid w:val="00C94B5F"/>
    <w:rsid w:val="00C97672"/>
    <w:rsid w:val="00C97D87"/>
    <w:rsid w:val="00CA1E85"/>
    <w:rsid w:val="00CA4DFD"/>
    <w:rsid w:val="00CA52A7"/>
    <w:rsid w:val="00CA5B98"/>
    <w:rsid w:val="00CA7777"/>
    <w:rsid w:val="00CA78A3"/>
    <w:rsid w:val="00CB0861"/>
    <w:rsid w:val="00CB196B"/>
    <w:rsid w:val="00CB5853"/>
    <w:rsid w:val="00CB76BB"/>
    <w:rsid w:val="00CB794D"/>
    <w:rsid w:val="00CC04A1"/>
    <w:rsid w:val="00CC1923"/>
    <w:rsid w:val="00CC20E9"/>
    <w:rsid w:val="00CC286C"/>
    <w:rsid w:val="00CC59E0"/>
    <w:rsid w:val="00CC7AB7"/>
    <w:rsid w:val="00CD2406"/>
    <w:rsid w:val="00CD3495"/>
    <w:rsid w:val="00CD6E5A"/>
    <w:rsid w:val="00CD72E1"/>
    <w:rsid w:val="00CD7845"/>
    <w:rsid w:val="00CE118A"/>
    <w:rsid w:val="00CE6177"/>
    <w:rsid w:val="00CE7EBD"/>
    <w:rsid w:val="00CF0A7F"/>
    <w:rsid w:val="00CF0EBB"/>
    <w:rsid w:val="00CF3F10"/>
    <w:rsid w:val="00CF747F"/>
    <w:rsid w:val="00D0272D"/>
    <w:rsid w:val="00D02BCE"/>
    <w:rsid w:val="00D03A44"/>
    <w:rsid w:val="00D04B0E"/>
    <w:rsid w:val="00D056CE"/>
    <w:rsid w:val="00D057BF"/>
    <w:rsid w:val="00D073F9"/>
    <w:rsid w:val="00D16262"/>
    <w:rsid w:val="00D1670A"/>
    <w:rsid w:val="00D16D63"/>
    <w:rsid w:val="00D176BB"/>
    <w:rsid w:val="00D2050D"/>
    <w:rsid w:val="00D20629"/>
    <w:rsid w:val="00D24D92"/>
    <w:rsid w:val="00D264EA"/>
    <w:rsid w:val="00D31742"/>
    <w:rsid w:val="00D31D1A"/>
    <w:rsid w:val="00D32ADB"/>
    <w:rsid w:val="00D33152"/>
    <w:rsid w:val="00D335B8"/>
    <w:rsid w:val="00D33FAA"/>
    <w:rsid w:val="00D35FF7"/>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5BA5"/>
    <w:rsid w:val="00D75C48"/>
    <w:rsid w:val="00D76148"/>
    <w:rsid w:val="00D826B8"/>
    <w:rsid w:val="00D82EF8"/>
    <w:rsid w:val="00D83A9B"/>
    <w:rsid w:val="00D8512E"/>
    <w:rsid w:val="00D85507"/>
    <w:rsid w:val="00D861F9"/>
    <w:rsid w:val="00D86965"/>
    <w:rsid w:val="00D90802"/>
    <w:rsid w:val="00D90840"/>
    <w:rsid w:val="00D90D6F"/>
    <w:rsid w:val="00D911A5"/>
    <w:rsid w:val="00D929AD"/>
    <w:rsid w:val="00D93B86"/>
    <w:rsid w:val="00D9595B"/>
    <w:rsid w:val="00D9680F"/>
    <w:rsid w:val="00DA585B"/>
    <w:rsid w:val="00DB049D"/>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1BD5"/>
    <w:rsid w:val="00DD72DD"/>
    <w:rsid w:val="00DE2B10"/>
    <w:rsid w:val="00DE43FB"/>
    <w:rsid w:val="00DE4737"/>
    <w:rsid w:val="00DE5F0F"/>
    <w:rsid w:val="00DE61E0"/>
    <w:rsid w:val="00DF1513"/>
    <w:rsid w:val="00DF2728"/>
    <w:rsid w:val="00E001C3"/>
    <w:rsid w:val="00E0049A"/>
    <w:rsid w:val="00E0186F"/>
    <w:rsid w:val="00E049B7"/>
    <w:rsid w:val="00E0577F"/>
    <w:rsid w:val="00E05D3B"/>
    <w:rsid w:val="00E05EED"/>
    <w:rsid w:val="00E07CD1"/>
    <w:rsid w:val="00E100D5"/>
    <w:rsid w:val="00E129A2"/>
    <w:rsid w:val="00E147A8"/>
    <w:rsid w:val="00E1546C"/>
    <w:rsid w:val="00E179DF"/>
    <w:rsid w:val="00E20D87"/>
    <w:rsid w:val="00E23F6F"/>
    <w:rsid w:val="00E247BE"/>
    <w:rsid w:val="00E24E58"/>
    <w:rsid w:val="00E274B1"/>
    <w:rsid w:val="00E302A5"/>
    <w:rsid w:val="00E3048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86"/>
    <w:rsid w:val="00E60EDA"/>
    <w:rsid w:val="00E61075"/>
    <w:rsid w:val="00E62282"/>
    <w:rsid w:val="00E6380C"/>
    <w:rsid w:val="00E63A37"/>
    <w:rsid w:val="00E65F33"/>
    <w:rsid w:val="00E72A92"/>
    <w:rsid w:val="00E73DF2"/>
    <w:rsid w:val="00E847BA"/>
    <w:rsid w:val="00E84AFB"/>
    <w:rsid w:val="00E855EF"/>
    <w:rsid w:val="00E90070"/>
    <w:rsid w:val="00E90814"/>
    <w:rsid w:val="00E94495"/>
    <w:rsid w:val="00E94942"/>
    <w:rsid w:val="00E94C2D"/>
    <w:rsid w:val="00E95F83"/>
    <w:rsid w:val="00EA2D86"/>
    <w:rsid w:val="00EA3CE3"/>
    <w:rsid w:val="00EA4C11"/>
    <w:rsid w:val="00EA755A"/>
    <w:rsid w:val="00EB14B3"/>
    <w:rsid w:val="00EB3291"/>
    <w:rsid w:val="00EB3DF8"/>
    <w:rsid w:val="00EB4F14"/>
    <w:rsid w:val="00EB5002"/>
    <w:rsid w:val="00EC0231"/>
    <w:rsid w:val="00EC2840"/>
    <w:rsid w:val="00EC2ADD"/>
    <w:rsid w:val="00EC371D"/>
    <w:rsid w:val="00EC5562"/>
    <w:rsid w:val="00EC6B3F"/>
    <w:rsid w:val="00ED3C72"/>
    <w:rsid w:val="00ED4847"/>
    <w:rsid w:val="00ED7554"/>
    <w:rsid w:val="00EE1709"/>
    <w:rsid w:val="00EE3DF6"/>
    <w:rsid w:val="00EF0AE0"/>
    <w:rsid w:val="00EF2395"/>
    <w:rsid w:val="00EF2A33"/>
    <w:rsid w:val="00EF2EE0"/>
    <w:rsid w:val="00EF3268"/>
    <w:rsid w:val="00EF475D"/>
    <w:rsid w:val="00EF6528"/>
    <w:rsid w:val="00EF7504"/>
    <w:rsid w:val="00F01CDD"/>
    <w:rsid w:val="00F02483"/>
    <w:rsid w:val="00F031C2"/>
    <w:rsid w:val="00F03615"/>
    <w:rsid w:val="00F04141"/>
    <w:rsid w:val="00F05A8C"/>
    <w:rsid w:val="00F05ECA"/>
    <w:rsid w:val="00F06EC7"/>
    <w:rsid w:val="00F10336"/>
    <w:rsid w:val="00F1358A"/>
    <w:rsid w:val="00F1474F"/>
    <w:rsid w:val="00F20DFF"/>
    <w:rsid w:val="00F22026"/>
    <w:rsid w:val="00F258ED"/>
    <w:rsid w:val="00F260DC"/>
    <w:rsid w:val="00F270D0"/>
    <w:rsid w:val="00F31839"/>
    <w:rsid w:val="00F33CBE"/>
    <w:rsid w:val="00F35CCD"/>
    <w:rsid w:val="00F3745C"/>
    <w:rsid w:val="00F37D47"/>
    <w:rsid w:val="00F37D74"/>
    <w:rsid w:val="00F41D31"/>
    <w:rsid w:val="00F423EC"/>
    <w:rsid w:val="00F426B4"/>
    <w:rsid w:val="00F42A0B"/>
    <w:rsid w:val="00F42B1E"/>
    <w:rsid w:val="00F44BB9"/>
    <w:rsid w:val="00F45938"/>
    <w:rsid w:val="00F4629E"/>
    <w:rsid w:val="00F50667"/>
    <w:rsid w:val="00F50AF5"/>
    <w:rsid w:val="00F51894"/>
    <w:rsid w:val="00F53375"/>
    <w:rsid w:val="00F54108"/>
    <w:rsid w:val="00F5687F"/>
    <w:rsid w:val="00F5739F"/>
    <w:rsid w:val="00F576A6"/>
    <w:rsid w:val="00F6074D"/>
    <w:rsid w:val="00F6282B"/>
    <w:rsid w:val="00F64977"/>
    <w:rsid w:val="00F65B31"/>
    <w:rsid w:val="00F67C00"/>
    <w:rsid w:val="00F71F9A"/>
    <w:rsid w:val="00F730FC"/>
    <w:rsid w:val="00F74A88"/>
    <w:rsid w:val="00F750C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51DC"/>
    <w:rsid w:val="00FD6359"/>
    <w:rsid w:val="00FE0969"/>
    <w:rsid w:val="00FE3251"/>
    <w:rsid w:val="00FE3841"/>
    <w:rsid w:val="00FE4304"/>
    <w:rsid w:val="00FE49B2"/>
    <w:rsid w:val="00FE6557"/>
    <w:rsid w:val="00FE7AE2"/>
    <w:rsid w:val="00FE7C00"/>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70D8B"/>
    <w:pPr>
      <w:keepNext/>
      <w:keepLines/>
      <w:spacing w:before="40" w:line="480" w:lineRule="auto"/>
      <w:ind w:firstLine="720"/>
      <w:jc w:val="both"/>
      <w:outlineLvl w:val="2"/>
    </w:pPr>
    <w:rPr>
      <w:rFonts w:asciiTheme="majorHAnsi" w:eastAsiaTheme="majorEastAsia" w:hAnsiTheme="majorHAnsi" w:cstheme="majorBidi"/>
      <w:color w:val="1F3763" w:themeColor="accent1" w:themeShade="7F"/>
      <w:lang w:val="es-PE" w:eastAsia="es-PE"/>
    </w:rPr>
  </w:style>
  <w:style w:type="paragraph" w:styleId="Ttulo4">
    <w:name w:val="heading 4"/>
    <w:basedOn w:val="Normal"/>
    <w:next w:val="Normal"/>
    <w:link w:val="Ttulo4Car"/>
    <w:uiPriority w:val="9"/>
    <w:semiHidden/>
    <w:unhideWhenUsed/>
    <w:qFormat/>
    <w:rsid w:val="00770D8B"/>
    <w:pPr>
      <w:keepNext/>
      <w:keepLines/>
      <w:spacing w:before="40" w:line="480" w:lineRule="auto"/>
      <w:ind w:firstLine="720"/>
      <w:jc w:val="both"/>
      <w:outlineLvl w:val="3"/>
    </w:pPr>
    <w:rPr>
      <w:rFonts w:asciiTheme="majorHAnsi" w:eastAsiaTheme="majorEastAsia" w:hAnsiTheme="majorHAnsi" w:cstheme="majorBidi"/>
      <w:i/>
      <w:iCs/>
      <w:color w:val="2F5496" w:themeColor="accent1" w:themeShade="BF"/>
      <w:szCs w:val="2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120219"/>
    <w:rPr>
      <w:color w:val="0563C1" w:themeColor="hyperlink"/>
      <w:u w:val="single"/>
    </w:rPr>
  </w:style>
  <w:style w:type="character" w:customStyle="1" w:styleId="Mencinsinresolver1">
    <w:name w:val="Mención sin resolver1"/>
    <w:basedOn w:val="Fuentedeprrafopredeter"/>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unhideWhenUsed/>
    <w:rsid w:val="003C3F58"/>
    <w:rPr>
      <w:sz w:val="20"/>
      <w:szCs w:val="20"/>
    </w:rPr>
  </w:style>
  <w:style w:type="character" w:customStyle="1" w:styleId="TextonotapieCar">
    <w:name w:val="Texto nota pie Car"/>
    <w:basedOn w:val="Fuentedeprrafopredeter"/>
    <w:link w:val="Textonotapie"/>
    <w:uiPriority w:val="99"/>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rsid w:val="00770D8B"/>
    <w:rPr>
      <w:rFonts w:asciiTheme="majorHAnsi" w:eastAsiaTheme="majorEastAsia" w:hAnsiTheme="majorHAnsi" w:cstheme="majorBidi"/>
      <w:color w:val="1F3763" w:themeColor="accent1" w:themeShade="7F"/>
      <w:lang w:val="es-PE" w:eastAsia="es-PE"/>
    </w:rPr>
  </w:style>
  <w:style w:type="character" w:customStyle="1" w:styleId="Ttulo4Car">
    <w:name w:val="Título 4 Car"/>
    <w:basedOn w:val="Fuentedeprrafopredeter"/>
    <w:link w:val="Ttulo4"/>
    <w:uiPriority w:val="9"/>
    <w:semiHidden/>
    <w:rsid w:val="00770D8B"/>
    <w:rPr>
      <w:rFonts w:asciiTheme="majorHAnsi" w:eastAsiaTheme="majorEastAsia" w:hAnsiTheme="majorHAnsi" w:cstheme="majorBidi"/>
      <w:i/>
      <w:iCs/>
      <w:color w:val="2F5496" w:themeColor="accent1" w:themeShade="BF"/>
      <w:szCs w:val="22"/>
      <w:lang w:val="es-PE" w:eastAsia="es-PE"/>
    </w:rPr>
  </w:style>
  <w:style w:type="numbering" w:customStyle="1" w:styleId="Sinlista1">
    <w:name w:val="Sin lista1"/>
    <w:next w:val="Sinlista"/>
    <w:uiPriority w:val="99"/>
    <w:semiHidden/>
    <w:unhideWhenUsed/>
    <w:rsid w:val="00770D8B"/>
  </w:style>
  <w:style w:type="paragraph" w:styleId="Descripcin">
    <w:name w:val="caption"/>
    <w:basedOn w:val="Normal"/>
    <w:next w:val="Normal"/>
    <w:uiPriority w:val="35"/>
    <w:unhideWhenUsed/>
    <w:qFormat/>
    <w:rsid w:val="00770D8B"/>
    <w:pPr>
      <w:spacing w:after="200"/>
      <w:ind w:firstLine="720"/>
      <w:jc w:val="both"/>
    </w:pPr>
    <w:rPr>
      <w:rFonts w:eastAsiaTheme="minorHAnsi" w:cstheme="minorBidi"/>
      <w:i/>
      <w:iCs/>
      <w:color w:val="44546A" w:themeColor="text2"/>
      <w:sz w:val="18"/>
      <w:szCs w:val="18"/>
      <w:lang w:val="es-PE" w:eastAsia="es-PE"/>
    </w:rPr>
  </w:style>
  <w:style w:type="table" w:styleId="Tablanormal2">
    <w:name w:val="Plain Table 2"/>
    <w:basedOn w:val="Tablanormal"/>
    <w:uiPriority w:val="42"/>
    <w:rsid w:val="00770D8B"/>
    <w:pPr>
      <w:ind w:firstLine="720"/>
      <w:jc w:val="both"/>
    </w:pPr>
    <w:rPr>
      <w:rFonts w:ascii="Times New Roman" w:hAnsi="Times New Roman"/>
      <w:szCs w:val="22"/>
      <w:lang w:val="es-PE"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770D8B"/>
    <w:pPr>
      <w:ind w:firstLine="720"/>
      <w:jc w:val="both"/>
    </w:pPr>
    <w:rPr>
      <w:rFonts w:ascii="Times New Roman" w:hAnsi="Times New Roman"/>
      <w:szCs w:val="22"/>
      <w:lang w:val="es-PE" w:eastAsia="es-P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Sinlista2">
    <w:name w:val="Sin lista2"/>
    <w:next w:val="Sinlista"/>
    <w:uiPriority w:val="99"/>
    <w:semiHidden/>
    <w:unhideWhenUsed/>
    <w:rsid w:val="00064C79"/>
  </w:style>
  <w:style w:type="character" w:customStyle="1" w:styleId="Ttulo10">
    <w:name w:val="Título1"/>
    <w:basedOn w:val="Fuentedeprrafopredeter"/>
    <w:rsid w:val="0006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17800084">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8504/pl3059-012-202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421E9-69B6-46C4-9C24-D5790D3DA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7001</Words>
  <Characters>38509</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2025-05-21T18:01:00Z</dcterms:created>
  <dcterms:modified xsi:type="dcterms:W3CDTF">2025-05-26T02:31:00Z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