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855BB" w14:textId="77777777" w:rsidR="007F4326" w:rsidRPr="007F4326" w:rsidRDefault="007F4326" w:rsidP="007F4326">
      <w:pPr>
        <w:pStyle w:val="NormalWeb"/>
        <w:spacing w:line="360" w:lineRule="auto"/>
        <w:jc w:val="center"/>
        <w:rPr>
          <w:rFonts w:ascii="Arial" w:hAnsi="Arial" w:cs="Arial"/>
          <w:b/>
          <w:bCs/>
          <w:color w:val="C45911" w:themeColor="accent2" w:themeShade="BF"/>
        </w:rPr>
      </w:pPr>
      <w:bookmarkStart w:id="0" w:name="_Hlk198997134"/>
      <w:bookmarkStart w:id="1" w:name="_Hlk198820249"/>
      <w:bookmarkStart w:id="2" w:name="_Hlk145952311"/>
      <w:r w:rsidRPr="007F4326">
        <w:rPr>
          <w:rFonts w:ascii="Arial" w:hAnsi="Arial" w:cs="Arial"/>
          <w:b/>
          <w:bCs/>
          <w:color w:val="C45911" w:themeColor="accent2" w:themeShade="BF"/>
        </w:rPr>
        <w:t>Construcción e implementación de una prueba diagnóstica para cursos de cálculo</w:t>
      </w:r>
    </w:p>
    <w:bookmarkEnd w:id="0"/>
    <w:p w14:paraId="09244543" w14:textId="1C0DBE9A" w:rsidR="007F4326" w:rsidRPr="007F4326" w:rsidRDefault="007F4326" w:rsidP="007F4326">
      <w:pPr>
        <w:pStyle w:val="NormalWeb"/>
        <w:spacing w:before="0" w:beforeAutospacing="0" w:after="0" w:afterAutospacing="0" w:line="360" w:lineRule="auto"/>
        <w:jc w:val="center"/>
        <w:rPr>
          <w:rFonts w:ascii="Arial" w:hAnsi="Arial" w:cs="Arial"/>
          <w:b/>
          <w:bCs/>
          <w:color w:val="C45911" w:themeColor="accent2" w:themeShade="BF"/>
          <w:lang w:val="en-US"/>
        </w:rPr>
      </w:pPr>
      <w:r w:rsidRPr="007F4326">
        <w:rPr>
          <w:rFonts w:ascii="Arial" w:hAnsi="Arial" w:cs="Arial"/>
          <w:b/>
          <w:bCs/>
          <w:color w:val="C45911" w:themeColor="accent2" w:themeShade="BF"/>
          <w:lang w:val="en-US"/>
        </w:rPr>
        <w:t>Development and implementation of a diagnostic test for calculus courses</w:t>
      </w:r>
    </w:p>
    <w:bookmarkEnd w:id="1"/>
    <w:bookmarkEnd w:id="2"/>
    <w:p w14:paraId="083D05ED" w14:textId="77777777" w:rsidR="006D67D9" w:rsidRPr="009E108D" w:rsidRDefault="006D67D9" w:rsidP="00A82B98">
      <w:pPr>
        <w:pStyle w:val="NormalWeb"/>
        <w:spacing w:before="0" w:beforeAutospacing="0" w:after="0" w:afterAutospacing="0" w:line="276" w:lineRule="auto"/>
        <w:jc w:val="right"/>
        <w:rPr>
          <w:rFonts w:ascii="Arial" w:hAnsi="Arial" w:cs="Arial"/>
          <w:lang w:val="en-US"/>
        </w:rPr>
      </w:pPr>
    </w:p>
    <w:p w14:paraId="15395EE9" w14:textId="63FD8F56" w:rsidR="00A82B98" w:rsidRPr="00457801" w:rsidRDefault="00D353E7" w:rsidP="00A82B98">
      <w:pPr>
        <w:pStyle w:val="NormalWeb"/>
        <w:spacing w:before="0" w:beforeAutospacing="0" w:after="0" w:afterAutospacing="0" w:line="276" w:lineRule="auto"/>
        <w:jc w:val="right"/>
        <w:rPr>
          <w:rFonts w:ascii="Arial" w:hAnsi="Arial" w:cs="Arial"/>
        </w:rPr>
      </w:pPr>
      <w:bookmarkStart w:id="3" w:name="_Hlk198997165"/>
      <w:r w:rsidRPr="00457801">
        <w:rPr>
          <w:rFonts w:ascii="Arial" w:hAnsi="Arial" w:cs="Arial"/>
          <w:lang w:val="es-MX"/>
        </w:rPr>
        <w:t>Luis Rojas-Torres</w:t>
      </w:r>
      <w:bookmarkEnd w:id="3"/>
      <w:r w:rsidR="00A82B98" w:rsidRPr="00457801">
        <w:rPr>
          <w:rStyle w:val="Refdenotaalpie"/>
          <w:rFonts w:ascii="Arial" w:eastAsia="Arial" w:hAnsi="Arial" w:cs="Arial"/>
        </w:rPr>
        <w:footnoteReference w:id="1"/>
      </w:r>
    </w:p>
    <w:p w14:paraId="54FACEFC" w14:textId="70CFCB7C" w:rsidR="00A82B98" w:rsidRPr="00457801" w:rsidRDefault="00A82B98" w:rsidP="00A82B98">
      <w:pPr>
        <w:pStyle w:val="NormalWeb"/>
        <w:spacing w:before="0" w:beforeAutospacing="0" w:after="0" w:afterAutospacing="0" w:line="276" w:lineRule="auto"/>
        <w:jc w:val="right"/>
        <w:rPr>
          <w:rFonts w:ascii="Arial" w:hAnsi="Arial" w:cs="Arial"/>
        </w:rPr>
      </w:pPr>
      <w:bookmarkStart w:id="12" w:name="_Hlk198996346"/>
      <w:r w:rsidRPr="00457801">
        <w:rPr>
          <w:rFonts w:ascii="Arial" w:hAnsi="Arial" w:cs="Arial"/>
        </w:rPr>
        <w:t xml:space="preserve">Universidad </w:t>
      </w:r>
      <w:r w:rsidR="004F6716" w:rsidRPr="00457801">
        <w:rPr>
          <w:rFonts w:ascii="Arial" w:hAnsi="Arial" w:cs="Arial"/>
        </w:rPr>
        <w:t>de Costa Rica</w:t>
      </w:r>
    </w:p>
    <w:p w14:paraId="34E3782F" w14:textId="755365CC" w:rsidR="00A82B98" w:rsidRPr="00457801" w:rsidRDefault="004F6716" w:rsidP="00A82B98">
      <w:pPr>
        <w:pStyle w:val="NormalWeb"/>
        <w:spacing w:before="0" w:beforeAutospacing="0" w:after="0" w:afterAutospacing="0" w:line="276" w:lineRule="auto"/>
        <w:jc w:val="right"/>
        <w:rPr>
          <w:rFonts w:ascii="Arial" w:hAnsi="Arial" w:cs="Arial"/>
        </w:rPr>
      </w:pPr>
      <w:r w:rsidRPr="00457801">
        <w:rPr>
          <w:rFonts w:ascii="Arial" w:hAnsi="Arial" w:cs="Arial"/>
        </w:rPr>
        <w:t>San José</w:t>
      </w:r>
      <w:r w:rsidR="00A82B98" w:rsidRPr="00457801">
        <w:rPr>
          <w:rFonts w:ascii="Arial" w:hAnsi="Arial" w:cs="Arial"/>
        </w:rPr>
        <w:t>, Costa Rica</w:t>
      </w:r>
    </w:p>
    <w:bookmarkEnd w:id="12"/>
    <w:p w14:paraId="1586665D" w14:textId="56B40543" w:rsidR="00A82B98" w:rsidRPr="002A140A" w:rsidRDefault="002A140A" w:rsidP="00215374">
      <w:pPr>
        <w:spacing w:line="240" w:lineRule="atLeast"/>
        <w:jc w:val="right"/>
        <w:rPr>
          <w:rFonts w:ascii="Arial" w:hAnsi="Arial" w:cs="Arial"/>
          <w:color w:val="002060"/>
          <w:u w:val="single"/>
          <w:lang w:val="es-MX" w:eastAsia="es-PE"/>
        </w:rPr>
      </w:pPr>
      <w:r w:rsidRPr="002A140A">
        <w:rPr>
          <w:rFonts w:ascii="Arial" w:hAnsi="Arial" w:cs="Arial"/>
          <w:color w:val="002060"/>
          <w:u w:val="single"/>
        </w:rPr>
        <w:t>luismiguel.rojas@ucr.ac.cr</w:t>
      </w:r>
      <w:r w:rsidR="00A82B98" w:rsidRPr="002A140A">
        <w:rPr>
          <w:rStyle w:val="Hipervnculo"/>
          <w:rFonts w:ascii="Arial" w:hAnsi="Arial" w:cs="Arial"/>
          <w:color w:val="002060"/>
        </w:rPr>
        <w:t xml:space="preserve"> </w:t>
      </w:r>
    </w:p>
    <w:p w14:paraId="6011B59B" w14:textId="7FDEB8A0" w:rsidR="00A82B98" w:rsidRDefault="00A82B98" w:rsidP="002A140A">
      <w:pPr>
        <w:pStyle w:val="NormalWeb"/>
        <w:spacing w:before="0" w:beforeAutospacing="0" w:after="0" w:afterAutospacing="0" w:line="276" w:lineRule="auto"/>
        <w:jc w:val="right"/>
        <w:rPr>
          <w:rFonts w:ascii="Arial" w:hAnsi="Arial" w:cs="Arial"/>
          <w:color w:val="002060"/>
        </w:rPr>
      </w:pPr>
      <w:r w:rsidRPr="000D7954">
        <w:rPr>
          <w:rFonts w:ascii="Arial" w:hAnsi="Arial" w:cs="Arial"/>
          <w:color w:val="002060"/>
        </w:rPr>
        <w:t xml:space="preserve">  </w:t>
      </w:r>
    </w:p>
    <w:p w14:paraId="1E5DDE3E" w14:textId="1DE94DDF" w:rsidR="002A140A" w:rsidRPr="00457801" w:rsidRDefault="002A140A" w:rsidP="002A140A">
      <w:pPr>
        <w:pStyle w:val="NormalWeb"/>
        <w:spacing w:before="0" w:beforeAutospacing="0" w:after="0" w:afterAutospacing="0" w:line="276" w:lineRule="auto"/>
        <w:jc w:val="right"/>
        <w:rPr>
          <w:rFonts w:ascii="Arial" w:hAnsi="Arial" w:cs="Arial"/>
        </w:rPr>
      </w:pPr>
      <w:bookmarkStart w:id="13" w:name="_Hlk198997193"/>
      <w:r w:rsidRPr="00457801">
        <w:rPr>
          <w:rFonts w:ascii="Arial" w:hAnsi="Arial" w:cs="Arial"/>
        </w:rPr>
        <w:t>Karol Jiménez</w:t>
      </w:r>
      <w:r w:rsidR="00ED1B3A">
        <w:rPr>
          <w:rFonts w:ascii="Arial" w:hAnsi="Arial" w:cs="Arial"/>
        </w:rPr>
        <w:t>-</w:t>
      </w:r>
      <w:r w:rsidRPr="00457801">
        <w:rPr>
          <w:rFonts w:ascii="Arial" w:hAnsi="Arial" w:cs="Arial"/>
        </w:rPr>
        <w:t>Alfaro</w:t>
      </w:r>
      <w:bookmarkEnd w:id="13"/>
      <w:r w:rsidR="00D777B7" w:rsidRPr="00457801">
        <w:rPr>
          <w:rStyle w:val="Refdenotaalpie"/>
          <w:rFonts w:ascii="Arial" w:hAnsi="Arial" w:cs="Arial"/>
        </w:rPr>
        <w:footnoteReference w:id="2"/>
      </w:r>
    </w:p>
    <w:p w14:paraId="7C1A65E7" w14:textId="77777777" w:rsidR="009F4158" w:rsidRPr="00457801" w:rsidRDefault="009F4158" w:rsidP="009F4158">
      <w:pPr>
        <w:pStyle w:val="NormalWeb"/>
        <w:spacing w:before="0" w:beforeAutospacing="0" w:after="0" w:afterAutospacing="0" w:line="276" w:lineRule="auto"/>
        <w:jc w:val="right"/>
        <w:rPr>
          <w:rFonts w:ascii="Arial" w:hAnsi="Arial" w:cs="Arial"/>
        </w:rPr>
      </w:pPr>
      <w:r w:rsidRPr="00457801">
        <w:rPr>
          <w:rFonts w:ascii="Arial" w:hAnsi="Arial" w:cs="Arial"/>
        </w:rPr>
        <w:t>Universidad de Costa Rica</w:t>
      </w:r>
    </w:p>
    <w:p w14:paraId="1BC43772" w14:textId="77777777" w:rsidR="009F4158" w:rsidRPr="00457801" w:rsidRDefault="009F4158" w:rsidP="009F4158">
      <w:pPr>
        <w:pStyle w:val="NormalWeb"/>
        <w:spacing w:before="0" w:beforeAutospacing="0" w:after="0" w:afterAutospacing="0" w:line="276" w:lineRule="auto"/>
        <w:jc w:val="right"/>
        <w:rPr>
          <w:rFonts w:ascii="Arial" w:hAnsi="Arial" w:cs="Arial"/>
        </w:rPr>
      </w:pPr>
      <w:r w:rsidRPr="00457801">
        <w:rPr>
          <w:rFonts w:ascii="Arial" w:hAnsi="Arial" w:cs="Arial"/>
        </w:rPr>
        <w:t>San José, Costa Rica</w:t>
      </w:r>
    </w:p>
    <w:p w14:paraId="7C12FB0E" w14:textId="0C2C0473" w:rsidR="009F4158" w:rsidRPr="009F4158" w:rsidRDefault="00564779" w:rsidP="002A140A">
      <w:pPr>
        <w:pStyle w:val="NormalWeb"/>
        <w:spacing w:before="0" w:beforeAutospacing="0" w:after="0" w:afterAutospacing="0" w:line="276" w:lineRule="auto"/>
        <w:jc w:val="right"/>
        <w:rPr>
          <w:rFonts w:ascii="Arial" w:hAnsi="Arial" w:cs="Arial"/>
          <w:color w:val="002060"/>
        </w:rPr>
      </w:pPr>
      <w:hyperlink r:id="rId11" w:history="1">
        <w:r w:rsidR="009F4158" w:rsidRPr="009F4158">
          <w:rPr>
            <w:rStyle w:val="Hipervnculo"/>
            <w:rFonts w:ascii="Arial" w:hAnsi="Arial" w:cs="Arial"/>
            <w:color w:val="002060"/>
            <w:lang w:val="es-MX"/>
          </w:rPr>
          <w:t>karol.jimenez@ucr.ac.cr</w:t>
        </w:r>
      </w:hyperlink>
    </w:p>
    <w:p w14:paraId="319F6C9B" w14:textId="77777777" w:rsidR="00A82B98" w:rsidRPr="009F4158" w:rsidRDefault="00A82B98" w:rsidP="00A82B98">
      <w:pPr>
        <w:pStyle w:val="NormalWeb"/>
        <w:spacing w:before="0" w:beforeAutospacing="0" w:after="0" w:afterAutospacing="0" w:line="360" w:lineRule="auto"/>
        <w:jc w:val="center"/>
        <w:rPr>
          <w:rFonts w:ascii="Arial" w:hAnsi="Arial" w:cs="Arial"/>
          <w:b/>
          <w:bCs/>
          <w:color w:val="002060"/>
        </w:rPr>
      </w:pPr>
    </w:p>
    <w:p w14:paraId="4C1650BF" w14:textId="3B571E29" w:rsidR="00A82B98" w:rsidRPr="009F4158" w:rsidRDefault="00A82B98" w:rsidP="00A82B98">
      <w:pPr>
        <w:tabs>
          <w:tab w:val="left" w:pos="5865"/>
        </w:tabs>
        <w:jc w:val="center"/>
        <w:rPr>
          <w:rFonts w:ascii="Arial" w:hAnsi="Arial" w:cs="Arial"/>
          <w:bCs/>
          <w:color w:val="002060"/>
          <w:u w:val="single"/>
          <w:lang w:val="en-US"/>
        </w:rPr>
      </w:pPr>
      <w:r w:rsidRPr="009F4158">
        <w:rPr>
          <w:rFonts w:ascii="Arial" w:hAnsi="Arial" w:cs="Arial"/>
          <w:bCs/>
          <w:color w:val="002060"/>
          <w:u w:val="single"/>
          <w:lang w:val="en-US"/>
        </w:rPr>
        <w:t>DOI: http://dx.doi.org/10.22458/caes.v1</w:t>
      </w:r>
      <w:r w:rsidR="00B344FA" w:rsidRPr="009F4158">
        <w:rPr>
          <w:rFonts w:ascii="Arial" w:hAnsi="Arial" w:cs="Arial"/>
          <w:bCs/>
          <w:color w:val="002060"/>
          <w:u w:val="single"/>
          <w:lang w:val="en-US"/>
        </w:rPr>
        <w:t>6</w:t>
      </w:r>
      <w:r w:rsidRPr="009F4158">
        <w:rPr>
          <w:rFonts w:ascii="Arial" w:hAnsi="Arial" w:cs="Arial"/>
          <w:bCs/>
          <w:color w:val="002060"/>
          <w:u w:val="single"/>
          <w:lang w:val="en-US"/>
        </w:rPr>
        <w:t>i</w:t>
      </w:r>
      <w:r w:rsidR="009B093A" w:rsidRPr="009F4158">
        <w:rPr>
          <w:rFonts w:ascii="Arial" w:hAnsi="Arial" w:cs="Arial"/>
          <w:bCs/>
          <w:color w:val="002060"/>
          <w:u w:val="single"/>
          <w:lang w:val="en-US"/>
        </w:rPr>
        <w:t>1</w:t>
      </w:r>
      <w:r w:rsidRPr="009F4158">
        <w:rPr>
          <w:rFonts w:ascii="Arial" w:hAnsi="Arial" w:cs="Arial"/>
          <w:bCs/>
          <w:color w:val="002060"/>
          <w:u w:val="single"/>
          <w:lang w:val="en-US"/>
        </w:rPr>
        <w:t>.</w:t>
      </w:r>
      <w:r w:rsidR="001D0E42" w:rsidRPr="009F4158">
        <w:rPr>
          <w:rFonts w:ascii="Arial" w:hAnsi="Arial" w:cs="Arial"/>
          <w:bCs/>
          <w:color w:val="002060"/>
          <w:u w:val="single"/>
          <w:lang w:val="en-US"/>
        </w:rPr>
        <w:t>5</w:t>
      </w:r>
      <w:r w:rsidR="00705009">
        <w:rPr>
          <w:rFonts w:ascii="Arial" w:hAnsi="Arial" w:cs="Arial"/>
          <w:bCs/>
          <w:color w:val="002060"/>
          <w:u w:val="single"/>
          <w:lang w:val="en-US"/>
        </w:rPr>
        <w:t>628</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156BB492"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B13F10">
        <w:rPr>
          <w:rFonts w:ascii="Arial" w:hAnsi="Arial" w:cs="Arial"/>
          <w:bCs/>
        </w:rPr>
        <w:t>376-</w:t>
      </w:r>
      <w:r w:rsidR="00D65F1C">
        <w:rPr>
          <w:rFonts w:ascii="Arial" w:hAnsi="Arial" w:cs="Arial"/>
          <w:bCs/>
        </w:rPr>
        <w:t>405</w:t>
      </w:r>
    </w:p>
    <w:p w14:paraId="2C811F73" w14:textId="77777777" w:rsidR="00063B82" w:rsidRDefault="00063B82" w:rsidP="0020679D">
      <w:pPr>
        <w:tabs>
          <w:tab w:val="left" w:pos="5865"/>
        </w:tabs>
        <w:spacing w:line="276" w:lineRule="auto"/>
        <w:rPr>
          <w:rFonts w:ascii="Arial" w:hAnsi="Arial" w:cs="Arial"/>
          <w:bCs/>
        </w:rPr>
      </w:pPr>
      <w:bookmarkStart w:id="14" w:name="_Hlk182838172"/>
    </w:p>
    <w:p w14:paraId="1591C2AD" w14:textId="13F34AF7"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 xml:space="preserve">Recibido: </w:t>
      </w:r>
      <w:r w:rsidR="00E71632">
        <w:rPr>
          <w:rFonts w:ascii="Arial" w:hAnsi="Arial" w:cs="Arial"/>
          <w:bCs/>
        </w:rPr>
        <w:t>19</w:t>
      </w:r>
      <w:r w:rsidRPr="004246B0">
        <w:rPr>
          <w:rFonts w:ascii="Arial" w:hAnsi="Arial" w:cs="Arial"/>
          <w:bCs/>
        </w:rPr>
        <w:t xml:space="preserve"> de </w:t>
      </w:r>
      <w:r w:rsidR="00E71632">
        <w:rPr>
          <w:rFonts w:ascii="Arial" w:hAnsi="Arial" w:cs="Arial"/>
          <w:bCs/>
        </w:rPr>
        <w:t>diciembre</w:t>
      </w:r>
      <w:r w:rsidRPr="004246B0">
        <w:rPr>
          <w:rFonts w:ascii="Arial" w:hAnsi="Arial" w:cs="Arial"/>
          <w:bCs/>
        </w:rPr>
        <w:t xml:space="preserve"> de 202</w:t>
      </w:r>
      <w:r w:rsidR="00A10142" w:rsidRPr="004246B0">
        <w:rPr>
          <w:rFonts w:ascii="Arial" w:hAnsi="Arial" w:cs="Arial"/>
          <w:bCs/>
        </w:rPr>
        <w:t>4</w:t>
      </w:r>
    </w:p>
    <w:p w14:paraId="13E62770" w14:textId="183DA1F9"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E71632">
        <w:rPr>
          <w:rFonts w:ascii="Arial" w:hAnsi="Arial" w:cs="Arial"/>
          <w:bCs/>
        </w:rPr>
        <w:t xml:space="preserve">28 </w:t>
      </w:r>
      <w:r w:rsidRPr="004246B0">
        <w:rPr>
          <w:rFonts w:ascii="Arial" w:hAnsi="Arial" w:cs="Arial"/>
          <w:bCs/>
        </w:rPr>
        <w:t xml:space="preserve">de </w:t>
      </w:r>
      <w:r w:rsidR="00E71632">
        <w:rPr>
          <w:rFonts w:ascii="Arial" w:hAnsi="Arial" w:cs="Arial"/>
          <w:bCs/>
        </w:rPr>
        <w:t>febrero</w:t>
      </w:r>
      <w:r w:rsidRPr="004246B0">
        <w:rPr>
          <w:rFonts w:ascii="Arial" w:hAnsi="Arial" w:cs="Arial"/>
          <w:bCs/>
        </w:rPr>
        <w:t xml:space="preserve"> de 202</w:t>
      </w:r>
      <w:r w:rsidR="004246B0" w:rsidRPr="004246B0">
        <w:rPr>
          <w:rFonts w:ascii="Arial" w:hAnsi="Arial" w:cs="Arial"/>
          <w:bCs/>
        </w:rPr>
        <w:t>5</w:t>
      </w:r>
    </w:p>
    <w:bookmarkEnd w:id="14"/>
    <w:p w14:paraId="594E40A1" w14:textId="5443D347" w:rsidR="008441A3" w:rsidRPr="008441A3" w:rsidRDefault="008441A3" w:rsidP="009032F2">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b/>
          <w:bCs/>
          <w:lang w:eastAsia="en-US"/>
        </w:rPr>
        <w:lastRenderedPageBreak/>
        <w:t>Resumen</w:t>
      </w:r>
      <w:r w:rsidR="00D67493">
        <w:rPr>
          <w:rFonts w:ascii="Arial" w:eastAsiaTheme="minorHAnsi" w:hAnsi="Arial" w:cs="Arial"/>
          <w:b/>
          <w:bCs/>
          <w:lang w:eastAsia="en-US"/>
        </w:rPr>
        <w:t xml:space="preserve">: </w:t>
      </w:r>
      <w:r w:rsidRPr="008441A3">
        <w:rPr>
          <w:rFonts w:ascii="Arial" w:eastAsiaTheme="minorHAnsi" w:hAnsi="Arial" w:cs="Arial"/>
          <w:lang w:eastAsia="en-US"/>
        </w:rPr>
        <w:t>El objetivo de este artículo es diseñar una prueba de diagnóstico de conocimientos previos de matemática requeridos para curso</w:t>
      </w:r>
      <w:r w:rsidRPr="008441A3">
        <w:rPr>
          <w:rFonts w:ascii="Arial" w:eastAsiaTheme="minorHAnsi" w:hAnsi="Arial" w:cs="Arial"/>
          <w:strike/>
          <w:lang w:eastAsia="en-US"/>
        </w:rPr>
        <w:t>s</w:t>
      </w:r>
      <w:r w:rsidRPr="008441A3">
        <w:rPr>
          <w:rFonts w:ascii="Arial" w:eastAsiaTheme="minorHAnsi" w:hAnsi="Arial" w:cs="Arial"/>
          <w:lang w:eastAsia="en-US"/>
        </w:rPr>
        <w:t xml:space="preserve"> de cálculo. La versión final de la prueba se aplicó a 2634 personas y presentó tres factores: álgebra, funciones y conocimientos específicos de matemática postsecundaria, cuyos alfas de Cronbach fueron de .88, .83 y .66, respectivamente. Los resultados en todos los factores fueron muy bajos (percentil 75 inferior a 5, en una escala de 0 a 10). En particular, las puntuaciones más bajas pertenecen a la sección de conocimientos de postsecundaria y álgebra. Se espera que los resultados encontrados sean utilizados para el diseño de políticas dirigidas a la nivelación de la población examinada.</w:t>
      </w:r>
    </w:p>
    <w:p w14:paraId="2A12556B" w14:textId="77777777" w:rsidR="008441A3" w:rsidRPr="008441A3" w:rsidRDefault="008441A3" w:rsidP="009032F2">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b/>
          <w:bCs/>
          <w:iCs/>
          <w:lang w:eastAsia="en-US"/>
        </w:rPr>
        <w:t>Palabras claves</w:t>
      </w:r>
      <w:r w:rsidRPr="008441A3">
        <w:rPr>
          <w:rFonts w:ascii="Arial" w:eastAsiaTheme="minorHAnsi" w:hAnsi="Arial" w:cs="Arial"/>
          <w:lang w:eastAsia="en-US"/>
        </w:rPr>
        <w:t>: evaluación diagnóstica, tabla de especificaciones, construcción de pruebas, Teoría Clásica de los Test, matemática universitaria, conocimientos previos</w:t>
      </w:r>
    </w:p>
    <w:p w14:paraId="36082073" w14:textId="2A92B979" w:rsidR="008441A3" w:rsidRPr="008441A3" w:rsidRDefault="008441A3" w:rsidP="009032F2">
      <w:pPr>
        <w:spacing w:before="100" w:beforeAutospacing="1" w:after="100" w:afterAutospacing="1" w:line="360" w:lineRule="auto"/>
        <w:jc w:val="both"/>
        <w:rPr>
          <w:rFonts w:ascii="Arial" w:eastAsiaTheme="minorHAnsi" w:hAnsi="Arial" w:cs="Arial"/>
          <w:lang w:val="en-US" w:eastAsia="en-US"/>
        </w:rPr>
      </w:pPr>
      <w:r w:rsidRPr="008441A3">
        <w:rPr>
          <w:rFonts w:ascii="Arial" w:eastAsiaTheme="minorHAnsi" w:hAnsi="Arial" w:cs="Arial"/>
          <w:b/>
          <w:bCs/>
          <w:lang w:val="en-US" w:eastAsia="en-US"/>
        </w:rPr>
        <w:t>Abstract</w:t>
      </w:r>
      <w:r w:rsidR="009032F2" w:rsidRPr="009032F2">
        <w:rPr>
          <w:rFonts w:ascii="Arial" w:eastAsiaTheme="minorHAnsi" w:hAnsi="Arial" w:cs="Arial"/>
          <w:b/>
          <w:bCs/>
          <w:lang w:val="en-US" w:eastAsia="en-US"/>
        </w:rPr>
        <w:t>:</w:t>
      </w:r>
      <w:r w:rsidR="009032F2">
        <w:rPr>
          <w:rFonts w:ascii="Arial" w:eastAsiaTheme="minorHAnsi" w:hAnsi="Arial" w:cs="Arial"/>
          <w:b/>
          <w:bCs/>
          <w:lang w:val="en-US" w:eastAsia="en-US"/>
        </w:rPr>
        <w:t xml:space="preserve"> </w:t>
      </w:r>
      <w:r w:rsidRPr="008441A3">
        <w:rPr>
          <w:rFonts w:ascii="Arial" w:eastAsiaTheme="minorHAnsi" w:hAnsi="Arial" w:cs="Arial"/>
          <w:lang w:val="en-US" w:eastAsia="en-US"/>
        </w:rPr>
        <w:t xml:space="preserve">The objective of this article is to describe the design of a diagnostic test of prior mathematics knowledge required for calculus courses. The test was administered to 2,634 people and presented a factorial structure of three factors: algebra, functions and specific knowledge of post-secondary mathematics, whose Cronbach's alphas were .88, .83 and .66, respectively. The results in all sections were very low (75th percentile less than 5, on a scale of 0 to 10). In particular, the lowest scores obtained belong to the postsecondary knowledge section and </w:t>
      </w:r>
      <w:r w:rsidRPr="008441A3">
        <w:rPr>
          <w:rFonts w:ascii="Arial" w:eastAsiaTheme="minorHAnsi" w:hAnsi="Arial" w:cs="Arial"/>
          <w:lang w:val="en-US" w:eastAsia="en-US"/>
        </w:rPr>
        <w:lastRenderedPageBreak/>
        <w:t>algebra. We expect these results will be of practical use in designing policies aimed to population examined.</w:t>
      </w:r>
    </w:p>
    <w:p w14:paraId="70D1BEC1" w14:textId="51A57FC0" w:rsidR="008441A3" w:rsidRPr="008441A3" w:rsidRDefault="008441A3" w:rsidP="0099762E">
      <w:pPr>
        <w:spacing w:before="100" w:beforeAutospacing="1" w:after="100" w:afterAutospacing="1" w:line="360" w:lineRule="auto"/>
        <w:jc w:val="both"/>
        <w:rPr>
          <w:rFonts w:ascii="Arial" w:eastAsiaTheme="minorHAnsi" w:hAnsi="Arial" w:cs="Arial"/>
          <w:b/>
          <w:bCs/>
          <w:lang w:val="en-US" w:eastAsia="en-US"/>
        </w:rPr>
      </w:pPr>
      <w:r w:rsidRPr="008441A3">
        <w:rPr>
          <w:rFonts w:ascii="Arial" w:eastAsiaTheme="minorHAnsi" w:hAnsi="Arial" w:cs="Arial"/>
          <w:b/>
          <w:lang w:val="en-US" w:eastAsia="en-US"/>
        </w:rPr>
        <w:t>Keywords:</w:t>
      </w:r>
      <w:r w:rsidRPr="008441A3">
        <w:rPr>
          <w:rFonts w:ascii="Arial" w:eastAsiaTheme="minorHAnsi" w:hAnsi="Arial" w:cs="Arial"/>
          <w:lang w:val="en-US" w:eastAsia="en-US"/>
        </w:rPr>
        <w:t xml:space="preserve"> diagnostic evaluation, table of specifications, test construction, Classical Test Theory, college mathematics, prior knowledge</w:t>
      </w:r>
      <w:r w:rsidR="009032F2">
        <w:rPr>
          <w:rFonts w:ascii="Arial" w:eastAsiaTheme="minorHAnsi" w:hAnsi="Arial" w:cs="Arial"/>
          <w:lang w:val="en-US" w:eastAsia="en-US"/>
        </w:rPr>
        <w:t>.</w:t>
      </w:r>
    </w:p>
    <w:p w14:paraId="398FF04B" w14:textId="6C6FE432" w:rsidR="008441A3" w:rsidRPr="008441A3" w:rsidRDefault="00010BE7" w:rsidP="0099762E">
      <w:pPr>
        <w:spacing w:before="100" w:beforeAutospacing="1" w:after="100" w:afterAutospacing="1" w:line="360" w:lineRule="auto"/>
        <w:jc w:val="both"/>
        <w:rPr>
          <w:rFonts w:ascii="Arial" w:eastAsiaTheme="minorHAnsi" w:hAnsi="Arial" w:cs="Arial"/>
          <w:b/>
          <w:bCs/>
          <w:lang w:eastAsia="en-US"/>
        </w:rPr>
      </w:pPr>
      <w:r>
        <w:rPr>
          <w:rFonts w:ascii="Arial" w:eastAsiaTheme="minorHAnsi" w:hAnsi="Arial" w:cs="Arial"/>
          <w:b/>
          <w:bCs/>
          <w:lang w:eastAsia="en-US"/>
        </w:rPr>
        <w:t>INTRODUCCIÓN</w:t>
      </w:r>
    </w:p>
    <w:p w14:paraId="62024296"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evaluación diagnóstica es un aspecto fundamental para la enseñanza, ya que permite determinar si las personas estudiantes poseen los conocimientos previos para los contenidos que se desean impartir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{"citationID":"dSDkGv5T","properties":{"formattedCitation":"(Zepeda, 2017a)","plainCitation":"(Zepeda, 2017a)","noteIndex":0},"citationItems":[{"id":2,"uris":["http://zotero.org/users/3781354/items/8RKUMDD9"],"itemData":{"id":2,"type":"chapter","container-title":"C. E. Förster (Ed.) El poder de la evaluación en el aula","publisher":"Ediciones UC","title":"El fin justifica los medios: Intencionalidades de la evaluación","author":[{"family":"Zepeda","given":"S."}],"issued":{"date-parts":[["2017"]]}}}],"schema":"https://github.com/citation-style-language/schema/raw/master/csl-citation.json"}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(Zepeda, 2017a)</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Obviar este tipo de evaluación es reflejo de suponer que todo el estudiantado posee los conocimientos previos requeridos, lo cual ignora los contextos y particularidades de cada estudiante. La ausencia de una evaluación diagnóstica apropiada provoca que el estudiantado no pueda acceder a la materia enseñada por la persona docente, lo cual repercute en resultados negativos tanto académicos como emocionales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{"citationID":"uFEdojYj","properties":{"formattedCitation":"(S\\uc0\\u225{}nchez &amp; Miguel, 2006)","plainCitation":"(Sánchez &amp; Miguel, 2006)","noteIndex":0},"citationItems":[{"id":3,"uris":["http://zotero.org/users/3781354/items/2TR6FP7R"],"itemData":{"id":3,"type":"article-journal","container-title":"Revista de la Facultad de Medicicna","issue":"2","page":"114-120","title":"Relación entre los conocimientos previos y el rendimiento en la asignatura bioquímica en estudiantes de medicina.","volume":"29","author":[{"family":"Sánchez","given":"M."},{"family":"Miguel","given":"V. C."}],"issued":{"date-parts":[["2006"]]}}}],"schema":"https://github.com/citation-style-language/schema/raw/master/csl-citation.json"}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(Sánchez &amp; Miguel, 2006)</w:t>
      </w:r>
      <w:r w:rsidRPr="008441A3">
        <w:rPr>
          <w:rFonts w:ascii="Arial" w:eastAsiaTheme="minorHAnsi" w:hAnsi="Arial" w:cs="Arial"/>
          <w:lang w:eastAsia="en-US"/>
        </w:rPr>
        <w:fldChar w:fldCharType="end"/>
      </w:r>
      <w:r w:rsidRPr="008441A3">
        <w:rPr>
          <w:rFonts w:ascii="Arial" w:eastAsiaTheme="minorHAnsi" w:hAnsi="Arial" w:cs="Arial"/>
          <w:lang w:eastAsia="en-US"/>
        </w:rPr>
        <w:t>.</w:t>
      </w:r>
    </w:p>
    <w:p w14:paraId="0BC1706D"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necesidad de la evaluación diagnóstica se hace evidente en los cursos universitarios de cálculo, los cuales inician generalmente con la enseñanza de los límites, que es un contenido que demanda un dominio profundo del álgebra y las funciones. Sin el conocimiento especificado, la persona estudiante puede comprender algunas nociones de los límites, pero no tendría las herramientas necesarias para poder realizar los cálculos requeridos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{"citationID":"KhaTXqIK","properties":{"formattedCitation":"(E. Rojas &amp; Toscano, 2022)","plainCitation":"(E. Rojas &amp; Toscano, 2022)","dontUpdate":true,"noteIndex":0},"citationItems":[{"id":219,"uris":["http://zotero.org/users/3781354/items/EL6JRMDB"],"itemData":{"id":219,"type":"article-journal","container-title":"Revista Iberoamericana para la Investigación y el Desarrollo Educativo","DOI":"10.23913/ride.v13i25.1315","issue":"25","title":"Análisis de la evaluación de los conocimientos matemáticos previos de los alumnos que ingresan al curso de Cálculo Diferencial durante la pandemia de covid-19","volume":"13","author":[{"family":"Rojas","given":"E."},{"family":"Toscano","given":"J."}],"issued":{"date-parts":[["2022"]]}}}],"schema":"https://github.com/citation-style-language/schema/raw/master/csl-citation.json"}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(Rojas &amp; Toscano, 2022)</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w:t>
      </w:r>
      <w:r w:rsidRPr="008441A3">
        <w:rPr>
          <w:rFonts w:ascii="Arial" w:eastAsiaTheme="minorHAnsi" w:hAnsi="Arial" w:cs="Arial"/>
          <w:lang w:eastAsia="en-US"/>
        </w:rPr>
        <w:lastRenderedPageBreak/>
        <w:t xml:space="preserve">Para evitar estas situaciones, es necesario la realización de una evaluación diagnóstica y la implementación de las medidas remediales requeridas. </w:t>
      </w:r>
    </w:p>
    <w:p w14:paraId="1702C9B6"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importancia de los conocimientos previos apropiados en cálculo se observó en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{"citationID":"OHUJwlVO","properties":{"formattedCitation":"(Encinas et\\uc0\\u160{}al., 2016)","plainCitation":"(Encinas et al., 2016)","dontUpdate":true,"noteIndex":0},"citationItems":[{"id":217,"uris":["http://zotero.org/users/3781354/items/HUHKFCHU"],"itemData":{"id":217,"type":"article-journal","container-title":"Revista de Sistemas y Gestión Educativa","issue":"7","page":"32-41","title":"El Cálculo y la importancia de los conocimientos previos en su aprendizaje","volume":"3","author":[{"family":"Encinas","given":"F."},{"family":"Osorio","given":"M."},{"family":"Ansaldo","given":"J."},{"family":"Peralta","given":"J."}],"issued":{"date-parts":[["2016"]]}}}],"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Encinas et al. (2016)</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en esta investigación, encontraron que el grupo estudiantes que llevaron un curso de fundamentos de matemática presentó una mediana en cálculo y un porcentaje de aprobación mayor que el grupo que no tomó el curso de fundamentos. En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{"citationID":"qd73gTAg","properties":{"formattedCitation":"(Hurdle &amp; Mogilsk, 2022)","plainCitation":"(Hurdle &amp; Mogilsk, 2022)","dontUpdate":true,"noteIndex":0},"citationItems":[{"id":220,"uris":["http://zotero.org/users/3781354/items/X2IQXI29"],"itemData":{"id":220,"type":"article-journal","container-title":"International Electronic Journal of Mathematics Education","DOI":"10.29333/iejme/12146","issue":"3","title":"The impact of prerequisites for undergraduate calculus I performance","volume":"17","author":[{"family":"Hurdle","given":"Z. B."},{"family":"Mogilsk","given":"W."}],"issued":{"date-parts":[["2022"]]}}}],"schema":"https://github.com/citation-style-language/schema/raw/master/csl-citation.json"}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Hurdle &amp; Mogilsk (2022)</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se obtuvo el mismo resultado, solo que en este estudio la diferencia observada fue en el promedio de cálculo a favor del grupo que había llevado un curso denominado precálculo. Por otro lado, en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{"citationID":"DSllSSSt","properties":{"formattedCitation":"(Kajander &amp; Lovric, 2005)","plainCitation":"(Kajander &amp; Lovric, 2005)","noteIndex":0},"citationItems":[{"id":230,"uris":["http://zotero.org/users/3781354/items/EB37ZGVH"],"itemData":{"id":230,"type":"article-journal","container-title":"International Journal of Mathematical Education in Science and Technology,","DOI":"10.1080/00207340412317040","issue":"2","page":"149-160","title":"Transition from secondary to tertiary mathematics: McMaster Universityexperience","volume":"36","author":[{"family":"Kajander","given":"A."},{"family":"Lovric","given":"M."}],"issued":{"date-parts":[["2005"]]}}}],"schema":"https://github.com/citation-style-language/schema/raw/master/csl-citation.json"}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Kajander &amp; Lovric (2005)</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se concluyó que la cantidad de tiempo dedicada a matemática en secundaria se asoció positivamente con la nota en el curso de cálculo.</w:t>
      </w:r>
    </w:p>
    <w:p w14:paraId="610102DD"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En el caso de estudiantes de primer ingreso de una universidad, la evaluación diagnóstica es trascendental, ya que permite realizar una revisión del dominio de conceptos básicos en matemática para cursos introductorios considerando que la población atendida proviene de distintas realidades educativas; por tanto, no se puede asegurar que todas las instituciones secundarias abarcaron los mismos temas. Por ejemplo, en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{"citationID":"hkoHyAes","properties":{"formattedCitation":"(Castillo-S\\uc0\\u225{}nchez et\\uc0\\u160{}al., 2016)","plainCitation":"(Castillo-Sánchez et al., 2016)","dontUpdate":true,"noteIndex":0},"citationItems":[{"id":221,"uris":["http://zotero.org/users/3781354/items/ZK5TUXKL"],"itemData":{"id":221,"type":"article-journal","container-title":"Uniciencia","DOI":"10.15359/ru.30-1.5","issue":"1","page":"85-97","title":"Rendimiento académico en las pruebas nacionales de matemática en colegios del área metropolitana y zonas alejadas de Costa Rica en 2013","volume":"30","author":[{"family":"Castillo-Sánchez","given":"M."},{"family":"Chavarría-Vásquez","given":"J."},{"family":"García-Borbón","given":"M."}],"issued":{"date-parts":[["2016"]]}}}],"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Castillo-Sánchez et al. (2016)</w:t>
      </w:r>
      <w:r w:rsidRPr="008441A3">
        <w:rPr>
          <w:rFonts w:ascii="Arial" w:eastAsiaTheme="minorHAnsi" w:hAnsi="Arial" w:cs="Arial"/>
          <w:lang w:eastAsia="en-US"/>
        </w:rPr>
        <w:fldChar w:fldCharType="end"/>
      </w:r>
      <w:r w:rsidRPr="008441A3">
        <w:rPr>
          <w:rFonts w:ascii="Arial" w:eastAsiaTheme="minorHAnsi" w:hAnsi="Arial" w:cs="Arial"/>
          <w:lang w:eastAsia="en-US"/>
        </w:rPr>
        <w:t>, se observó que las personas de colegios privados costarricenses presentaron mayores niveles de conocimiento en matemática que sus contrapartes de colegios públicos.</w:t>
      </w:r>
    </w:p>
    <w:p w14:paraId="7ED7B784"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lastRenderedPageBreak/>
        <w:t xml:space="preserve">Ahora bien, la evaluación diagnóstica no se limita a determinar cuáles conocimientos previos se poseen y cuáles no, debe considerar un plan remedial que le permita a la persona rezagada obtener el aprendizaje requerido antes de que inicie la enseñanza de la materia de interés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{"citationID":"86NloqTG","properties":{"formattedCitation":"(Zepeda, 2017b)","plainCitation":"(Zepeda, 2017b)","noteIndex":0},"citationItems":[{"id":211,"uris":["http://zotero.org/users/3781354/items/EUVX4UTV"],"itemData":{"id":211,"type":"chapter","container-title":"C. E. Förster (Ed.) El poder de la evaluación en el aula","publisher":"Ediciones UC","title":"La retroalimentación efectiva y su potencial para mejorar el aprendizaje","author":[{"family":"Zepeda","given":"S."}],"issued":{"date-parts":[["2017"]]}}}],"schema":"https://github.com/citation-style-language/schema/raw/master/csl-citation.json"}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(Zepeda, 2017b)</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Este plan remedial puede ser tan simple como unas tareas cortas de estudio individual, o tan complejo como el curso de un propedéutico. </w:t>
      </w:r>
    </w:p>
    <w:p w14:paraId="34A83DFD"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investigación presente tiene como objetivo el diseño de una prueba de diagnóstico de conocimientos previos de matemática requeridos para cursos de cálculo. Este proceso permitirá generar un instrumento de alta calidad, que indique las fortalezas y debilidades del estudiantado respecto a los conocimientos previos requeridos, y así poder realizar recomendaciones para que este grupo alcance los conocimientos previos esperados.  </w:t>
      </w:r>
    </w:p>
    <w:p w14:paraId="355ED047" w14:textId="77777777" w:rsidR="008441A3" w:rsidRPr="008441A3" w:rsidRDefault="008441A3" w:rsidP="0099762E">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t>Construcción de una prueba educativa</w:t>
      </w:r>
    </w:p>
    <w:p w14:paraId="11690492"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construcción de una prueba inicia con la definición de su propósito y del constructo por evaluar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{"citationID":"jugOIa9b","properties":{"formattedCitation":"(Rojas-Torres &amp; Ord\\uc0\\u243{}\\uc0\\u241{}ez, 2019)","plainCitation":"(Rojas-Torres &amp; Ordóñez, 2019)","noteIndex":0},"citationItems":[{"id":64,"uris":["http://zotero.org/users/3781354/items/DJ5X75HN"],"itemData":{"id":64,"type":"article-journal","container-title":"Evaluar","DOI":"10.35670/1667-4545.v19.n2.25080","issue":"2","page":"15-29","title":"Proceso de construcción de pruebas educativas: El caso de la Prueba de Habilidades Cuantitativas","volume":"19","author":[{"family":"Rojas-Torres","given":"L."},{"family":"Ordóñez","given":"G."}],"issued":{"date-parts":[["2019"]]}}}],"schema":"https://github.com/citation-style-language/schema/raw/master/csl-citation.json"}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(Moreira et al., 2022; Rojas-Torres &amp; Ordóñez, 2019)</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En el caso de una prueba educativa diagnóstica, el constructo de interés está conformado por los conocimientos previos requeridos para el curso en cuestión. </w:t>
      </w:r>
    </w:p>
    <w:p w14:paraId="04E1012D" w14:textId="3AE4D8D6"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El siguiente paso en la construcción de una prueba diagnóstica es determinar los contenidos a evaluar. La estructura precisa de los contenidos a evaluar en una prueba se denomina tabla de especificaciones, la cual permite clarificar cuáles </w:t>
      </w:r>
      <w:r w:rsidRPr="008441A3">
        <w:rPr>
          <w:rFonts w:ascii="Arial" w:eastAsiaTheme="minorHAnsi" w:hAnsi="Arial" w:cs="Arial"/>
          <w:lang w:eastAsia="en-US"/>
        </w:rPr>
        <w:lastRenderedPageBreak/>
        <w:t>contenidos se van a evaluar en la prueba y con cuántos ítems serán representados. La tabla de especificaciones abarca todos los contenidos relevantes que conforman el constructo de interés,</w:t>
      </w:r>
      <w:r w:rsidR="005827E8">
        <w:rPr>
          <w:rFonts w:ascii="Arial" w:eastAsiaTheme="minorHAnsi" w:hAnsi="Arial" w:cs="Arial"/>
          <w:lang w:eastAsia="en-US"/>
        </w:rPr>
        <w:t xml:space="preserve"> </w:t>
      </w:r>
      <w:r w:rsidRPr="008441A3">
        <w:rPr>
          <w:rFonts w:ascii="Arial" w:eastAsiaTheme="minorHAnsi" w:hAnsi="Arial" w:cs="Arial"/>
          <w:lang w:eastAsia="en-US"/>
        </w:rPr>
        <w:t>evita</w:t>
      </w:r>
      <w:r w:rsidR="005827E8">
        <w:rPr>
          <w:rFonts w:ascii="Arial" w:eastAsiaTheme="minorHAnsi" w:hAnsi="Arial" w:cs="Arial"/>
          <w:lang w:eastAsia="en-US"/>
        </w:rPr>
        <w:t>ndo</w:t>
      </w:r>
      <w:r w:rsidRPr="008441A3">
        <w:rPr>
          <w:rFonts w:ascii="Arial" w:eastAsiaTheme="minorHAnsi" w:hAnsi="Arial" w:cs="Arial"/>
          <w:lang w:eastAsia="en-US"/>
        </w:rPr>
        <w:t xml:space="preserve"> que haya una subrepresentación de contenidos en la prueba (Martínez et al., 2016). Por otro lado, la tabla permite trasladar el constructo de interés de una dimensión teórica a una dimensión operacionalizable ya que, con la guía brindada, se orienta la construcción de los ítems. Además, la caracterización del constructo dada por la tabla de especificaciones hace más plausible su definición teórica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{"citationID":"uv9HgP24","properties":{"formattedCitation":"(Franco et\\uc0\\u160{}al., 2018; Rojas-Torres, 2023)","plainCitation":"(Franco et al., 2018; Rojas-Torres, 2023)","noteIndex":0},"citationItems":[{"id":209,"uris":["http://zotero.org/users/3781354/items/7VYJ8WS4"],"itemData":{"id":209,"type":"article-journal","container-title":"Revista Enseñanza de Química","page":"30-47","title":"La Tabla de especificaciones en la evaluación de aprendizajes","volume":"2","author":[{"family":"Franco","given":"M."},{"family":"Nassi","given":"M."},{"family":"Nieto","given":"M."}],"issued":{"date-parts":[["2018"]]}}},{"id":222,"uris":["http://zotero.org/users/3781354/items/6KSUCPT5"],"itemData":{"id":222,"type":"article-journal","container-title":"Revista Panamericana De Pedagogía","DOI":"10.21555/rpp.vi36.2875","title":"Hacia una transformación en la aplicación de exámenes de aula","volume":"36","author":[{"family":"Rojas-Torres","given":"L."}],"issued":{"date-parts":[["2023"]]}}}],"schema":"https://github.com/citation-style-language/schema/raw/master/csl-citation.json"}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(Franco et al., 2018; Rojas-Torres, 2023)</w:t>
      </w:r>
      <w:r w:rsidRPr="008441A3">
        <w:rPr>
          <w:rFonts w:ascii="Arial" w:eastAsiaTheme="minorHAnsi" w:hAnsi="Arial" w:cs="Arial"/>
          <w:lang w:eastAsia="en-US"/>
        </w:rPr>
        <w:fldChar w:fldCharType="end"/>
      </w:r>
      <w:r w:rsidRPr="008441A3">
        <w:rPr>
          <w:rFonts w:ascii="Arial" w:eastAsiaTheme="minorHAnsi" w:hAnsi="Arial" w:cs="Arial"/>
          <w:lang w:eastAsia="en-US"/>
        </w:rPr>
        <w:t>.</w:t>
      </w:r>
    </w:p>
    <w:p w14:paraId="46F6CE4C"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Luego de la definición de la tabla de especificaciones, se pasa a la construcción y revisión de ítems. Este proceso demanda una capacitación de los constructores y un acompañamiento, para lograr que el constructo pretendido efectivamente sea reflejado en los reactivos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{"citationID":"VvhSNbRx","properties":{"formattedCitation":"(Haladyna &amp; Rodr\\uc0\\u237{}guez, 2013)","plainCitation":"(Haladyna &amp; Rodríguez, 2013)","noteIndex":0},"citationItems":[{"id":225,"uris":["http://zotero.org/users/3781354/items/MRXDGKY4"],"itemData":{"id":225,"type":"book","publisher":"Routledge","title":"Devoloping and validating test items","author":[{"family":"Haladyna","given":"T. M."},{"family":"Rodríguez","given":"M. C."}],"issued":{"date-parts":[["2013"]]}}}],"schema":"https://github.com/citation-style-language/schema/raw/master/csl-citation.json"}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(Haladyna &amp; Rodríguez, 2013)</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En particular, si los ítems son de selección de respuesta, se debe prestar atención al diseño de las opciones, ya que en muchos casos los distractores seleccionados son poco plausibles para la población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{"citationID":"aaHKP97m","properties":{"formattedCitation":"(Rodr\\uc0\\u237{}guez, 2005)","plainCitation":"(Rodríguez, 2005)","noteIndex":0},"citationItems":[{"id":224,"uris":["http://zotero.org/users/3781354/items/U697HI9U"],"itemData":{"id":224,"type":"article-journal","container-title":"Educational Measurement: Issues ad Practice","DOI":"10.1111/j.1745-3992.2005.00006.x","issue":"2","page":"3-13","title":"Three Options Are Optimal for Multiple-Choice Items: A Meta-Analysis of 80 Years of Research","volume":"24","author":[{"family":"Rodríguez","given":"M. C."}],"issued":{"date-parts":[["2005"]]}}}],"schema":"https://github.com/citation-style-language/schema/raw/master/csl-citation.json"}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(Rodríguez, 2005)</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w:t>
      </w:r>
    </w:p>
    <w:p w14:paraId="0555273C" w14:textId="7380E4E6"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Una vez elaboradas las versiones finales de los ítems se puede levantar el folleto de prueba; </w:t>
      </w:r>
      <w:r w:rsidR="003D4E2C">
        <w:rPr>
          <w:rFonts w:ascii="Arial" w:eastAsiaTheme="minorHAnsi" w:hAnsi="Arial" w:cs="Arial"/>
          <w:lang w:eastAsia="en-US"/>
        </w:rPr>
        <w:t>luego</w:t>
      </w:r>
      <w:r w:rsidRPr="008441A3">
        <w:rPr>
          <w:rFonts w:ascii="Arial" w:eastAsiaTheme="minorHAnsi" w:hAnsi="Arial" w:cs="Arial"/>
          <w:lang w:eastAsia="en-US"/>
        </w:rPr>
        <w:t xml:space="preserve">, lo ideal es que este folleto sea implementado en una aplicación piloto, para analizar si las preguntas seleccionadas presentan comportamientos estadísticos aceptables que sustenten su uso en una aplicación oficial. </w:t>
      </w:r>
    </w:p>
    <w:p w14:paraId="2ECED24F"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No obstante, muchas veces no se cuenta con la posibilidad de realizar un pilotaje previo, lo cual hace que las etapas previas del diseño de la prueba aumenten su </w:t>
      </w:r>
      <w:r w:rsidRPr="008441A3">
        <w:rPr>
          <w:rFonts w:ascii="Arial" w:eastAsiaTheme="minorHAnsi" w:hAnsi="Arial" w:cs="Arial"/>
          <w:lang w:eastAsia="en-US"/>
        </w:rPr>
        <w:lastRenderedPageBreak/>
        <w:t xml:space="preserve">relevancia. En esta etapa previa a la aplicación oficial se pueden realizar otros análisis cuantitativos y cualitativos dirigidos a obtener distintos tipos de evidencias de validez de los usos que se les dará a la prueba, como análisis de los procesos de respuesta o estudios de correlación con variables criterio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{"citationID":"EejnZHzB","properties":{"formattedCitation":"(AERA et\\uc0\\u160{}al., 2014)","plainCitation":"(AERA et al., 2014)","noteIndex":0},"citationItems":[{"id":127,"uris":["http://zotero.org/users/3781354/items/Z39WL4VA"],"itemData":{"id":127,"type":"book","event-place":"Washington","publisher":"Autor","publisher-place":"Washington","title":"Standards for educational and psychological testing","author":[{"family":"AERA","given":""},{"literal":"APA"},{"literal":"NCME"}],"issued":{"date-parts":[["2014"]]}}}],"schema":"https://github.com/citation-style-language/schema/raw/master/csl-citation.json"}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(AERA et al., 2014)</w:t>
      </w:r>
      <w:r w:rsidRPr="008441A3">
        <w:rPr>
          <w:rFonts w:ascii="Arial" w:eastAsiaTheme="minorHAnsi" w:hAnsi="Arial" w:cs="Arial"/>
          <w:lang w:eastAsia="en-US"/>
        </w:rPr>
        <w:fldChar w:fldCharType="end"/>
      </w:r>
      <w:r w:rsidRPr="008441A3">
        <w:rPr>
          <w:rFonts w:ascii="Arial" w:eastAsiaTheme="minorHAnsi" w:hAnsi="Arial" w:cs="Arial"/>
          <w:lang w:eastAsia="en-US"/>
        </w:rPr>
        <w:t>.</w:t>
      </w:r>
    </w:p>
    <w:p w14:paraId="4F66EC4D"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Finalmente, antes de sacar conclusiones con las puntuaciones obtenidas en la aplicación de la prueba, se debe realizar un análisis estadístico de las respuestas de la población a los ítems utilizados. En este análisis se debe determinar si la estructura factorial subyacente tiene sentido teórico y si los reactivos de estos factores presentan propiedades métricas aceptables, desde alguna teoría de medición como la Teoría Clásica de los Test (TCT) o la Teoría de Respuesta al Ítem (TRI). Posteriormente, se procede a realizar conclusiones de los conocimientos de la población con base en las puntuaciones de los factores configurados, derivadas de alguna teoría de medición pertinente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{"citationID":"L0yN0ynU","properties":{"formattedCitation":"(Mu\\uc0\\u241{}\\uc0\\u237{}z, 2010)","plainCitation":"(Muñíz, 2010)","noteIndex":0},"citationItems":[{"id":43,"uris":["http://zotero.org/users/3781354/items/7SZY972F"],"itemData":{"id":43,"type":"article-journal","container-title":"Papeles del psicólogo","issue":"1","page":"57-66","title":"Las teorías de los tests: Teoría clásica y teoría de respuesta a los ítems","volume":"31","author":[{"family":"Muñíz","given":"J."}],"issued":{"date-parts":[["2010"]]}}}],"schema":"https://github.com/citation-style-language/schema/raw/master/csl-citation.json"}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(Muñíz, 2010)</w:t>
      </w:r>
      <w:r w:rsidRPr="008441A3">
        <w:rPr>
          <w:rFonts w:ascii="Arial" w:eastAsiaTheme="minorHAnsi" w:hAnsi="Arial" w:cs="Arial"/>
          <w:lang w:eastAsia="en-US"/>
        </w:rPr>
        <w:fldChar w:fldCharType="end"/>
      </w:r>
      <w:r w:rsidRPr="008441A3">
        <w:rPr>
          <w:rFonts w:ascii="Arial" w:eastAsiaTheme="minorHAnsi" w:hAnsi="Arial" w:cs="Arial"/>
          <w:lang w:eastAsia="en-US"/>
        </w:rPr>
        <w:t>.</w:t>
      </w:r>
    </w:p>
    <w:p w14:paraId="3A842A61" w14:textId="17B9B6F3" w:rsidR="008441A3" w:rsidRPr="008441A3" w:rsidRDefault="000C1608" w:rsidP="000C1608">
      <w:pPr>
        <w:spacing w:before="100" w:beforeAutospacing="1" w:after="100" w:afterAutospacing="1" w:line="360" w:lineRule="auto"/>
        <w:rPr>
          <w:rFonts w:ascii="Arial" w:eastAsiaTheme="minorHAnsi" w:hAnsi="Arial" w:cs="Arial"/>
          <w:b/>
          <w:bCs/>
          <w:lang w:eastAsia="en-US"/>
        </w:rPr>
      </w:pPr>
      <w:r w:rsidRPr="008441A3">
        <w:rPr>
          <w:rFonts w:ascii="Arial" w:eastAsiaTheme="minorHAnsi" w:hAnsi="Arial" w:cs="Arial"/>
          <w:b/>
          <w:bCs/>
          <w:lang w:eastAsia="en-US"/>
        </w:rPr>
        <w:t>METODOLOGÍA</w:t>
      </w:r>
    </w:p>
    <w:p w14:paraId="7B5A8DFF" w14:textId="77777777" w:rsidR="008441A3" w:rsidRPr="008441A3" w:rsidRDefault="008441A3" w:rsidP="0099762E">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t>Participantes</w:t>
      </w:r>
    </w:p>
    <w:p w14:paraId="5C0669C5"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prueba de diagnóstico se aplicó a 2634 personas admitidas a carreras de la Universidad de Costa Rica, cuyos planes de estudio incluyen una materia de cálculo. La mayoría de las edades de las personas participantes estuvieron entre 17 y 18 años.  </w:t>
      </w:r>
    </w:p>
    <w:p w14:paraId="7D148766" w14:textId="77777777" w:rsidR="008441A3" w:rsidRPr="008441A3" w:rsidRDefault="008441A3" w:rsidP="0099762E">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lastRenderedPageBreak/>
        <w:t>Instrumento</w:t>
      </w:r>
    </w:p>
    <w:p w14:paraId="179B5648"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versión final de la </w:t>
      </w:r>
      <w:r w:rsidRPr="008441A3">
        <w:rPr>
          <w:rFonts w:ascii="Arial" w:eastAsiaTheme="minorHAnsi" w:hAnsi="Arial" w:cs="Arial"/>
          <w:i/>
          <w:iCs/>
          <w:lang w:eastAsia="en-US"/>
        </w:rPr>
        <w:t>prueba de diagnóstico para cálculo</w:t>
      </w:r>
      <w:r w:rsidRPr="008441A3">
        <w:rPr>
          <w:rFonts w:ascii="Arial" w:eastAsiaTheme="minorHAnsi" w:hAnsi="Arial" w:cs="Arial"/>
          <w:lang w:eastAsia="en-US"/>
        </w:rPr>
        <w:t xml:space="preserve"> estuvo conformada por 55 ítems de respuesta múltiple con cinco opciones. Una de las opciones fue la alternativa “no sé la respuesta”, cuyo propósito fue desmotivar el uso del azar. Esta práctica es pertinente debido a que, en una prueba de diagnóstico, no tiene sentido contestar una pregunta de un contenido que no se domina. La prueba se realizó de forma virtual, en un periodo de tiempo de 2 horas y 30 minutos.</w:t>
      </w:r>
    </w:p>
    <w:p w14:paraId="3D49D64F"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Los ítems de la prueba fueron de 10 áreas temáticas distintas: operaciones algebraicas I, transformaciones algebraicas I, ecuaciones I, conceptos básicos de funciones I, función exponencial, logarítmica e inversa, operaciones algebraicas II, transformaciones algebraicas II, ecuaciones II, conceptos básicos de funciones II y funciones trigonométricas. En las primeras 5 áreas se evaluaron conocimientos previos de secundaria y las otras 5 se evaluaron conocimientos previos del curso institucional preparatorio para Cálculo, denominado Precálculo (el número I y II de las áreas temáticas se refiere a que son contenidos de secundaria o del curso previo a Cálculo). Los contenidos de cada una de estas áreas se presentan en la tabla 1.</w:t>
      </w:r>
    </w:p>
    <w:p w14:paraId="54AF597C"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Este instrumento es necesario en la Universidad de Costa Rica debido a que muchas carreras no le exigen al estudiantado que lleve el curso de precálculo, por lo cual las personas estudiantes llegan a Cálculo sin los conocimientos requeridos para este curso.</w:t>
      </w:r>
    </w:p>
    <w:p w14:paraId="6608BA25" w14:textId="77777777" w:rsidR="008441A3" w:rsidRPr="008441A3" w:rsidRDefault="008441A3" w:rsidP="0099762E">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lastRenderedPageBreak/>
        <w:t>Procedimiento</w:t>
      </w:r>
    </w:p>
    <w:p w14:paraId="77D9FDF2" w14:textId="77777777" w:rsidR="008441A3" w:rsidRPr="0039451A" w:rsidRDefault="008441A3" w:rsidP="0099762E">
      <w:pPr>
        <w:spacing w:before="100" w:beforeAutospacing="1" w:after="100" w:afterAutospacing="1" w:line="360" w:lineRule="auto"/>
        <w:jc w:val="both"/>
        <w:rPr>
          <w:rFonts w:ascii="Arial" w:eastAsiaTheme="minorHAnsi" w:hAnsi="Arial" w:cs="Arial"/>
          <w:b/>
          <w:i/>
          <w:iCs/>
          <w:lang w:eastAsia="en-US"/>
        </w:rPr>
      </w:pPr>
      <w:r w:rsidRPr="0039451A">
        <w:rPr>
          <w:rFonts w:ascii="Arial" w:eastAsiaTheme="minorHAnsi" w:hAnsi="Arial" w:cs="Arial"/>
          <w:b/>
          <w:i/>
          <w:iCs/>
          <w:lang w:eastAsia="en-US"/>
        </w:rPr>
        <w:t>Construcción de la tabla de especificaciones</w:t>
      </w:r>
    </w:p>
    <w:p w14:paraId="00F02B53"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La primera etapa de la construcción de la prueba fue el diseño de la tabla de especificaciones. Para la elaboración de la tabla se levantó un listado de los contenidos previos requeridos para el curso de Cálculo. Esta lista se conformó por 64 contenidos de álgebra y funciones de 10 áreas temáticas del Programa de Secundaria de Costa Rica y del curso de Precálculo. Los nombres de estas áreas son las mencionadas previamente en la descripción del instrumento.</w:t>
      </w:r>
    </w:p>
    <w:p w14:paraId="18BAACC0"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Posteriormente, se consultó a nueve personas docentes del curso de Cálculo el nivel de relevancia de los contenidos considerados para la comprensión de la materia del curso, en una escala de 0 a 3. Luego de la consulta se determinó el nivel de relevancia con base en el promedio de las respuestas obtenidas. Los contenidos incluidos en la tabla de especificaciones fueron aquellos que presentaron un nivel de relevancia superior a 1. La cantidad de reactivos de cada tema se determinó a partir de la cantidad de contenidos muy relevantes (con puntuaciones mayores a 2), y a la cantidad de contenidos que debían evaluarse en cada área.</w:t>
      </w:r>
    </w:p>
    <w:p w14:paraId="4C8211ED"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Finalmente, luego de la construcción de la tabla de especificaciones, se entrevistó a un docente de secundaria para garantizar que los contenidos considerados de secundaria fueran pertinentes.</w:t>
      </w:r>
    </w:p>
    <w:p w14:paraId="34F67DB6" w14:textId="77777777" w:rsidR="008441A3" w:rsidRPr="008441A3" w:rsidRDefault="008441A3" w:rsidP="0099762E">
      <w:pPr>
        <w:spacing w:before="100" w:beforeAutospacing="1" w:after="100" w:afterAutospacing="1" w:line="360" w:lineRule="auto"/>
        <w:jc w:val="both"/>
        <w:rPr>
          <w:rFonts w:ascii="Arial" w:eastAsiaTheme="minorHAnsi" w:hAnsi="Arial" w:cs="Arial"/>
          <w:b/>
          <w:bCs/>
          <w:i/>
          <w:iCs/>
          <w:lang w:eastAsia="en-US"/>
        </w:rPr>
      </w:pPr>
      <w:r w:rsidRPr="008441A3">
        <w:rPr>
          <w:rFonts w:ascii="Arial" w:eastAsiaTheme="minorHAnsi" w:hAnsi="Arial" w:cs="Arial"/>
          <w:b/>
          <w:bCs/>
          <w:i/>
          <w:iCs/>
          <w:lang w:eastAsia="en-US"/>
        </w:rPr>
        <w:lastRenderedPageBreak/>
        <w:t>Construcción y aplicación de la prueba</w:t>
      </w:r>
    </w:p>
    <w:p w14:paraId="6F4191B8"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Posterior al diseño de la tabla de especificaciones, cuatro personas procedieron a construir la cantidad de ítems especificados por cada área temática. Luego de la construcción, los ítems fueron juzgados por un grupo de cinco jueces, el cual estuvo compuesto por los constructores y una persona experta en evaluación educativa. En el juzgamiento se analizó: a) que el ítem se concentrara en la evaluación del contenido estipulado, b) que las opciones representaran errores conceptuales del contenido evaluado, c) que el ítem fuera preciso a nivel matemático y d) que la redacción fuera apropiada. Por último, la prueba se conformó por las versiones finales de los ítems presentados.</w:t>
      </w:r>
    </w:p>
    <w:p w14:paraId="4180418B"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La prueba de diagnóstico se aplicó de forma virtual en 5 fechas, las personas examinadas recibieron un enlace con el sitio web y la hora en que debían completar la prueba, la cual se mantendría abierta únicamente en el tiempo de ejecución establecido.</w:t>
      </w:r>
    </w:p>
    <w:p w14:paraId="705F5B84" w14:textId="77777777" w:rsidR="008441A3" w:rsidRPr="008441A3" w:rsidRDefault="008441A3" w:rsidP="0099762E">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t>Análisis de datos</w:t>
      </w:r>
    </w:p>
    <w:p w14:paraId="1546D7FC"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En la primera etapa se analizó la estructura factorial de la prueba. Para este objetivo, se recurrió al análisis paralelo de la matriz de varianzas y covarianzas de los ítems, el cual permitió determinar la cantidad de factores que se configuraron en la prueba. Luego se realizó un análisis factorial exploratorio (AFE) para identificar los factores sugeridos. El AFE se realizó con el método de estimación de </w:t>
      </w:r>
      <w:r w:rsidRPr="008441A3">
        <w:rPr>
          <w:rFonts w:ascii="Arial" w:eastAsiaTheme="minorHAnsi" w:hAnsi="Arial" w:cs="Arial"/>
          <w:lang w:eastAsia="en-US"/>
        </w:rPr>
        <w:lastRenderedPageBreak/>
        <w:t xml:space="preserve">mínimos residuos cuadráticos, y los factores se identificaron con los ítems con cargas factoriales mayores o iguales a .30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{"citationID":"pMM7l4SA","properties":{"formattedCitation":"(Cea, 2002)","plainCitation":"(Cea, 2002)","noteIndex":0},"citationItems":[{"id":192,"uris":["http://zotero.org/users/3781354/items/4K533779"],"itemData":{"id":192,"type":"book","event-place":"Madrid","publisher":"Síntesis","publisher-place":"Madrid","title":"Análisis multivariable: Teoría y práctica en la investigación social","author":[{"family":"Cea","given":"M. A."}],"issued":{"date-parts":[["2002"]]}}}],"schema":"https://github.com/citation-style-language/schema/raw/master/csl-citation.json"}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(Cea, 2002)</w:t>
      </w:r>
      <w:r w:rsidRPr="008441A3">
        <w:rPr>
          <w:rFonts w:ascii="Arial" w:eastAsiaTheme="minorHAnsi" w:hAnsi="Arial" w:cs="Arial"/>
          <w:lang w:eastAsia="en-US"/>
        </w:rPr>
        <w:fldChar w:fldCharType="end"/>
      </w:r>
      <w:r w:rsidRPr="008441A3">
        <w:rPr>
          <w:rFonts w:ascii="Arial" w:eastAsiaTheme="minorHAnsi" w:hAnsi="Arial" w:cs="Arial"/>
          <w:lang w:eastAsia="en-US"/>
        </w:rPr>
        <w:t>.</w:t>
      </w:r>
    </w:p>
    <w:p w14:paraId="59D889EE" w14:textId="22B112EE"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Una vez identificados los factores subyacentes a la prueba, se definen sus secciones y se analizan las propiedades psicométricas de estas con base en la Teoría Clásica de los Test: alfa de Cronbach, dificultades y correlación ítem-total. Se consideró que los alfas de Cronbach y las correlaciones ítem-total aceptables fueron aquellas superiores a .80 y .20, respectivamente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{"citationID":"x0Z2hpc9","properties":{"formattedCitation":"(Mu\\uc0\\u241{}\\uc0\\u237{}z, 2000)","plainCitation":"(Muñíz, 2000)","noteIndex":0},"citationItems":[{"id":29,"uris":["http://zotero.org/users/3781354/items/UQ4TXCFH"],"itemData":{"id":29,"type":"book","event-place":"Madrid","publisher":"Editorial Pirámide","publisher-place":"Madrid","title":"Teoría Clásica de los Tests","author":[{"family":"Muñíz","given":"J."}],"issued":{"date-parts":[["2000"]]}}}],"schema":"https://github.com/citation-style-language/schema/raw/master/csl-citation.json"}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(Muñíz, 2000)</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Las dificultades de los ítems, </w:t>
      </w:r>
      <w:r w:rsidR="00E121A3">
        <w:rPr>
          <w:rFonts w:ascii="Arial" w:eastAsiaTheme="minorHAnsi" w:hAnsi="Arial" w:cs="Arial"/>
          <w:lang w:eastAsia="en-US"/>
        </w:rPr>
        <w:t>o</w:t>
      </w:r>
      <w:r w:rsidRPr="008441A3">
        <w:rPr>
          <w:rFonts w:ascii="Arial" w:eastAsiaTheme="minorHAnsi" w:hAnsi="Arial" w:cs="Arial"/>
          <w:lang w:eastAsia="en-US"/>
        </w:rPr>
        <w:t xml:space="preserve"> los porcentajes de acierto en cada pregunta</w:t>
      </w:r>
      <w:r w:rsidR="002059D6">
        <w:rPr>
          <w:rFonts w:ascii="Arial" w:eastAsiaTheme="minorHAnsi" w:hAnsi="Arial" w:cs="Arial"/>
          <w:lang w:eastAsia="en-US"/>
        </w:rPr>
        <w:t>,</w:t>
      </w:r>
      <w:r w:rsidRPr="008441A3">
        <w:rPr>
          <w:rFonts w:ascii="Arial" w:eastAsiaTheme="minorHAnsi" w:hAnsi="Arial" w:cs="Arial"/>
          <w:lang w:eastAsia="en-US"/>
        </w:rPr>
        <w:t xml:space="preserve"> determina</w:t>
      </w:r>
      <w:r w:rsidR="00E121A3">
        <w:rPr>
          <w:rFonts w:ascii="Arial" w:eastAsiaTheme="minorHAnsi" w:hAnsi="Arial" w:cs="Arial"/>
          <w:lang w:eastAsia="en-US"/>
        </w:rPr>
        <w:t>n</w:t>
      </w:r>
      <w:r w:rsidRPr="008441A3">
        <w:rPr>
          <w:rFonts w:ascii="Arial" w:eastAsiaTheme="minorHAnsi" w:hAnsi="Arial" w:cs="Arial"/>
          <w:lang w:eastAsia="en-US"/>
        </w:rPr>
        <w:t xml:space="preserve"> los contenidos en los que los sujetos presentaron fortalezas o debilidades.</w:t>
      </w:r>
    </w:p>
    <w:p w14:paraId="63304FD1"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última etapa del análisis fue un estudio descriptivo de las puntuaciones observadas en los ítems de cada sección, y en las áreas temáticas incluidas en estas secciones. El análisis descriptivo se basó en la información de las distribuciones de frecuencias y los cuartiles. Con base en esta información se determinaron las áreas temáticas más problemáticas en la población examinada. </w:t>
      </w:r>
    </w:p>
    <w:p w14:paraId="4F72F564" w14:textId="1CEF2F8E" w:rsidR="008441A3" w:rsidRPr="008441A3" w:rsidRDefault="003038BB" w:rsidP="003038BB">
      <w:pPr>
        <w:spacing w:before="100" w:beforeAutospacing="1" w:after="100" w:afterAutospacing="1" w:line="360" w:lineRule="auto"/>
        <w:rPr>
          <w:rFonts w:ascii="Arial" w:eastAsiaTheme="minorHAnsi" w:hAnsi="Arial" w:cs="Arial"/>
          <w:b/>
          <w:bCs/>
          <w:lang w:eastAsia="en-US"/>
        </w:rPr>
      </w:pPr>
      <w:r w:rsidRPr="008441A3">
        <w:rPr>
          <w:rFonts w:ascii="Arial" w:eastAsiaTheme="minorHAnsi" w:hAnsi="Arial" w:cs="Arial"/>
          <w:b/>
          <w:bCs/>
          <w:lang w:eastAsia="en-US"/>
        </w:rPr>
        <w:t>RESULTADOS</w:t>
      </w:r>
    </w:p>
    <w:p w14:paraId="083CEFD3" w14:textId="77777777" w:rsidR="008441A3" w:rsidRPr="008441A3" w:rsidRDefault="008441A3" w:rsidP="0099762E">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t>Construcción de la tabla de especificaciones</w:t>
      </w:r>
    </w:p>
    <w:p w14:paraId="24C913BF"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estructura final de la tabla de especificaciones de la prueba de diagnóstico se presenta en la tabla 1. De los 65 contenidos revisados, únicamente 11 fueron considerados como poco relevantes para el aprendizaje del cálculo, entre ellos </w:t>
      </w:r>
      <w:r w:rsidRPr="008441A3">
        <w:rPr>
          <w:rFonts w:ascii="Arial" w:eastAsiaTheme="minorHAnsi" w:hAnsi="Arial" w:cs="Arial"/>
          <w:lang w:eastAsia="en-US"/>
        </w:rPr>
        <w:lastRenderedPageBreak/>
        <w:t>estuvieron: resolución de ecuaciones exponenciales, resolución de ecuaciones logarítmicas, cálculo de ecuaciones de rectas paralelas y perpendiculares, o cálculo de razones trigonométricas a partir de la circunferencia trigonométrica.</w:t>
      </w:r>
    </w:p>
    <w:p w14:paraId="510752AA"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Cada área de la tabla de especificaciones quedó con una cantidad similar de ítems a la cantidad de contenidos relevantes obtenidos; de hecho, la diferencia máxima de estas cantidades fue 2 y se presentó en el área de operaciones algebraicas, esto se hizo debido a que esta área presentó 3 contenidos con una categorización de muy relevante, esto debía reflejarse en la prueba. A las áreas de ecuaciones I y transformaciones algebraicas II se les agregó un ítem más que la cantidad de contenidos, debido a que estas presentaron 2 contenidos muy relevantes. El área de conceptos básicos de funciones se le restó un ítem puesto que presentaba una gran cantidad de contenidos en comparación con el resto de las áreas (tuvo 10 contenidos relevantes).</w:t>
      </w:r>
    </w:p>
    <w:p w14:paraId="20FB1A27" w14:textId="77777777" w:rsidR="008441A3" w:rsidRPr="008441A3" w:rsidRDefault="008441A3" w:rsidP="0099762E">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La cantidad de ítems de las áreas operaciones algebraicas I, transformaciones algebraicas I, ecuaciones I, conceptos básicos de funciones I, función exponencial, logarítmica e inversa, operaciones algebraicas II, transformaciones algebraicas II, ecuaciones II, conceptos básicos de funciones II y funciones trigonométricas fueron 6, 4, 5, 9, 6, 5, 6, 4, 5 y 5, respectivamente, con lo cual la prueba quedó con un total de 55 ítems, 30 de conocimientos de secundaria y 25 de conocimientos de precálculo.</w:t>
      </w:r>
    </w:p>
    <w:p w14:paraId="227F9A73" w14:textId="77777777" w:rsidR="00577A92" w:rsidRDefault="00577A92" w:rsidP="008441A3">
      <w:pPr>
        <w:spacing w:after="160"/>
        <w:jc w:val="both"/>
        <w:rPr>
          <w:rFonts w:ascii="Arial" w:eastAsiaTheme="minorHAnsi" w:hAnsi="Arial" w:cs="Arial"/>
          <w:b/>
          <w:bCs/>
          <w:lang w:eastAsia="en-US"/>
        </w:rPr>
      </w:pPr>
    </w:p>
    <w:p w14:paraId="6158B808" w14:textId="621E5A56" w:rsidR="008441A3" w:rsidRPr="00E34BD0" w:rsidRDefault="008441A3" w:rsidP="00111BDA">
      <w:pPr>
        <w:spacing w:after="100" w:afterAutospacing="1"/>
        <w:jc w:val="center"/>
        <w:rPr>
          <w:rFonts w:ascii="Arial" w:eastAsiaTheme="minorHAnsi" w:hAnsi="Arial" w:cs="Arial"/>
          <w:b/>
          <w:iCs/>
          <w:sz w:val="20"/>
          <w:szCs w:val="20"/>
          <w:lang w:eastAsia="en-US"/>
        </w:rPr>
      </w:pPr>
      <w:r w:rsidRPr="00E34BD0">
        <w:rPr>
          <w:rFonts w:ascii="Arial" w:eastAsiaTheme="minorHAnsi" w:hAnsi="Arial" w:cs="Arial"/>
          <w:b/>
          <w:bCs/>
          <w:sz w:val="20"/>
          <w:szCs w:val="20"/>
          <w:lang w:eastAsia="en-US"/>
        </w:rPr>
        <w:lastRenderedPageBreak/>
        <w:t>Tabla 1</w:t>
      </w:r>
      <w:r w:rsidR="00E34BD0" w:rsidRPr="00E34BD0">
        <w:rPr>
          <w:rFonts w:ascii="Arial" w:eastAsiaTheme="minorHAnsi" w:hAnsi="Arial" w:cs="Arial"/>
          <w:b/>
          <w:bCs/>
          <w:sz w:val="20"/>
          <w:szCs w:val="20"/>
          <w:lang w:eastAsia="en-US"/>
        </w:rPr>
        <w:t xml:space="preserve">. </w:t>
      </w:r>
      <w:r w:rsidRPr="00E34BD0">
        <w:rPr>
          <w:rFonts w:ascii="Arial" w:eastAsiaTheme="minorHAnsi" w:hAnsi="Arial" w:cs="Arial"/>
          <w:b/>
          <w:iCs/>
          <w:sz w:val="20"/>
          <w:szCs w:val="20"/>
          <w:lang w:eastAsia="en-US"/>
        </w:rPr>
        <w:t>Tabla de especificaciones de la prueba de diagnóstico</w:t>
      </w:r>
    </w:p>
    <w:tbl>
      <w:tblPr>
        <w:tblW w:w="9809" w:type="dxa"/>
        <w:jc w:val="center"/>
        <w:tblLayout w:type="fixed"/>
        <w:tblCellMar>
          <w:left w:w="70" w:type="dxa"/>
          <w:right w:w="70" w:type="dxa"/>
        </w:tblCellMar>
        <w:tblLook w:val="04A0" w:firstRow="1" w:lastRow="0" w:firstColumn="1" w:lastColumn="0" w:noHBand="0" w:noVBand="1"/>
      </w:tblPr>
      <w:tblGrid>
        <w:gridCol w:w="1588"/>
        <w:gridCol w:w="7823"/>
        <w:gridCol w:w="371"/>
        <w:gridCol w:w="27"/>
      </w:tblGrid>
      <w:tr w:rsidR="008441A3" w:rsidRPr="009E108D" w14:paraId="1B27B516" w14:textId="77777777" w:rsidTr="009E108D">
        <w:trPr>
          <w:trHeight w:val="210"/>
          <w:jc w:val="center"/>
        </w:trPr>
        <w:tc>
          <w:tcPr>
            <w:tcW w:w="1588" w:type="dxa"/>
            <w:tcBorders>
              <w:top w:val="single" w:sz="4" w:space="0" w:color="auto"/>
              <w:left w:val="nil"/>
              <w:bottom w:val="single" w:sz="4" w:space="0" w:color="auto"/>
              <w:right w:val="nil"/>
            </w:tcBorders>
          </w:tcPr>
          <w:p w14:paraId="2398EE43" w14:textId="77777777" w:rsidR="008441A3" w:rsidRPr="009E108D" w:rsidRDefault="008441A3" w:rsidP="008441A3">
            <w:pPr>
              <w:rPr>
                <w:rFonts w:ascii="Arial" w:hAnsi="Arial" w:cs="Arial"/>
                <w:b/>
                <w:bCs/>
                <w:sz w:val="20"/>
                <w:szCs w:val="20"/>
                <w:lang w:eastAsia="es-CR"/>
              </w:rPr>
            </w:pPr>
            <w:bookmarkStart w:id="15" w:name="_Hlk168475543"/>
            <w:r w:rsidRPr="009E108D">
              <w:rPr>
                <w:rFonts w:ascii="Arial" w:hAnsi="Arial" w:cs="Arial"/>
                <w:b/>
                <w:bCs/>
                <w:sz w:val="20"/>
                <w:szCs w:val="20"/>
                <w:lang w:eastAsia="es-CR"/>
              </w:rPr>
              <w:t>Área</w:t>
            </w:r>
          </w:p>
        </w:tc>
        <w:tc>
          <w:tcPr>
            <w:tcW w:w="7823" w:type="dxa"/>
            <w:tcBorders>
              <w:top w:val="single" w:sz="4" w:space="0" w:color="auto"/>
              <w:left w:val="nil"/>
              <w:bottom w:val="single" w:sz="4" w:space="0" w:color="auto"/>
              <w:right w:val="nil"/>
            </w:tcBorders>
            <w:shd w:val="clear" w:color="auto" w:fill="auto"/>
            <w:noWrap/>
            <w:hideMark/>
          </w:tcPr>
          <w:p w14:paraId="3CF954A2" w14:textId="77777777" w:rsidR="008441A3" w:rsidRPr="009E108D" w:rsidRDefault="008441A3" w:rsidP="008441A3">
            <w:pPr>
              <w:rPr>
                <w:rFonts w:ascii="Arial" w:hAnsi="Arial" w:cs="Arial"/>
                <w:b/>
                <w:bCs/>
                <w:sz w:val="20"/>
                <w:szCs w:val="20"/>
                <w:lang w:eastAsia="es-CR"/>
              </w:rPr>
            </w:pPr>
            <w:r w:rsidRPr="009E108D">
              <w:rPr>
                <w:rFonts w:ascii="Arial" w:hAnsi="Arial" w:cs="Arial"/>
                <w:b/>
                <w:bCs/>
                <w:sz w:val="20"/>
                <w:szCs w:val="20"/>
                <w:lang w:eastAsia="es-CR"/>
              </w:rPr>
              <w:t>Contenidos</w:t>
            </w:r>
          </w:p>
        </w:tc>
        <w:tc>
          <w:tcPr>
            <w:tcW w:w="398" w:type="dxa"/>
            <w:gridSpan w:val="2"/>
            <w:tcBorders>
              <w:top w:val="single" w:sz="4" w:space="0" w:color="auto"/>
              <w:left w:val="nil"/>
              <w:bottom w:val="single" w:sz="4" w:space="0" w:color="auto"/>
              <w:right w:val="nil"/>
            </w:tcBorders>
            <w:shd w:val="clear" w:color="auto" w:fill="auto"/>
            <w:noWrap/>
            <w:hideMark/>
          </w:tcPr>
          <w:p w14:paraId="4430B1F4" w14:textId="77777777" w:rsidR="008441A3" w:rsidRPr="009E108D" w:rsidRDefault="008441A3" w:rsidP="008441A3">
            <w:pPr>
              <w:rPr>
                <w:rFonts w:ascii="Arial" w:hAnsi="Arial" w:cs="Arial"/>
                <w:b/>
                <w:bCs/>
                <w:sz w:val="20"/>
                <w:szCs w:val="20"/>
                <w:lang w:eastAsia="es-CR"/>
              </w:rPr>
            </w:pPr>
            <w:r w:rsidRPr="009E108D">
              <w:rPr>
                <w:rFonts w:ascii="Arial" w:hAnsi="Arial" w:cs="Arial"/>
                <w:b/>
                <w:bCs/>
                <w:sz w:val="20"/>
                <w:szCs w:val="20"/>
                <w:lang w:eastAsia="es-CR"/>
              </w:rPr>
              <w:t>n</w:t>
            </w:r>
          </w:p>
        </w:tc>
      </w:tr>
      <w:tr w:rsidR="008441A3" w:rsidRPr="009E108D" w14:paraId="2758AB4F" w14:textId="77777777" w:rsidTr="009E108D">
        <w:trPr>
          <w:trHeight w:val="210"/>
          <w:jc w:val="center"/>
        </w:trPr>
        <w:tc>
          <w:tcPr>
            <w:tcW w:w="1588" w:type="dxa"/>
            <w:vMerge w:val="restart"/>
            <w:tcBorders>
              <w:top w:val="single" w:sz="4" w:space="0" w:color="auto"/>
              <w:left w:val="nil"/>
              <w:bottom w:val="single" w:sz="4" w:space="0" w:color="auto"/>
              <w:right w:val="nil"/>
            </w:tcBorders>
          </w:tcPr>
          <w:p w14:paraId="5D5ABF7E"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Operaciones algebraicas I</w:t>
            </w:r>
          </w:p>
        </w:tc>
        <w:tc>
          <w:tcPr>
            <w:tcW w:w="7823" w:type="dxa"/>
            <w:tcBorders>
              <w:top w:val="nil"/>
              <w:left w:val="nil"/>
              <w:bottom w:val="nil"/>
              <w:right w:val="nil"/>
            </w:tcBorders>
            <w:shd w:val="clear" w:color="auto" w:fill="auto"/>
            <w:noWrap/>
            <w:hideMark/>
          </w:tcPr>
          <w:p w14:paraId="7D712EF2"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C1 Simplificar expresiones algebraicas utilizando las leyes de potencias con exponentes enteros*. </w:t>
            </w:r>
          </w:p>
        </w:tc>
        <w:tc>
          <w:tcPr>
            <w:tcW w:w="398" w:type="dxa"/>
            <w:gridSpan w:val="2"/>
            <w:vMerge w:val="restart"/>
            <w:tcBorders>
              <w:top w:val="single" w:sz="4" w:space="0" w:color="auto"/>
              <w:left w:val="nil"/>
              <w:bottom w:val="single" w:sz="4" w:space="0" w:color="auto"/>
              <w:right w:val="nil"/>
            </w:tcBorders>
            <w:shd w:val="clear" w:color="auto" w:fill="auto"/>
            <w:noWrap/>
          </w:tcPr>
          <w:p w14:paraId="7A22E28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6</w:t>
            </w:r>
          </w:p>
        </w:tc>
      </w:tr>
      <w:tr w:rsidR="008441A3" w:rsidRPr="009E108D" w14:paraId="2B478774" w14:textId="77777777" w:rsidTr="009E108D">
        <w:trPr>
          <w:trHeight w:val="210"/>
          <w:jc w:val="center"/>
        </w:trPr>
        <w:tc>
          <w:tcPr>
            <w:tcW w:w="1588" w:type="dxa"/>
            <w:vMerge/>
            <w:tcBorders>
              <w:left w:val="nil"/>
              <w:bottom w:val="single" w:sz="4" w:space="0" w:color="auto"/>
              <w:right w:val="nil"/>
            </w:tcBorders>
          </w:tcPr>
          <w:p w14:paraId="0FB0C8F3"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0C19BE30"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 Resolver operaciones con expresiones fraccionarias algebraicas*.</w:t>
            </w:r>
          </w:p>
        </w:tc>
        <w:tc>
          <w:tcPr>
            <w:tcW w:w="398" w:type="dxa"/>
            <w:gridSpan w:val="2"/>
            <w:vMerge/>
            <w:tcBorders>
              <w:left w:val="nil"/>
              <w:bottom w:val="single" w:sz="4" w:space="0" w:color="auto"/>
              <w:right w:val="nil"/>
            </w:tcBorders>
            <w:shd w:val="clear" w:color="auto" w:fill="auto"/>
            <w:noWrap/>
          </w:tcPr>
          <w:p w14:paraId="52A1FBD9" w14:textId="77777777" w:rsidR="008441A3" w:rsidRPr="009E108D" w:rsidRDefault="008441A3" w:rsidP="008441A3">
            <w:pPr>
              <w:rPr>
                <w:rFonts w:ascii="Arial" w:hAnsi="Arial" w:cs="Arial"/>
                <w:b/>
                <w:bCs/>
                <w:sz w:val="20"/>
                <w:szCs w:val="20"/>
                <w:lang w:eastAsia="es-CR"/>
              </w:rPr>
            </w:pPr>
          </w:p>
        </w:tc>
      </w:tr>
      <w:tr w:rsidR="008441A3" w:rsidRPr="009E108D" w14:paraId="451F184F" w14:textId="77777777" w:rsidTr="009E108D">
        <w:trPr>
          <w:trHeight w:val="210"/>
          <w:jc w:val="center"/>
        </w:trPr>
        <w:tc>
          <w:tcPr>
            <w:tcW w:w="1588" w:type="dxa"/>
            <w:vMerge/>
            <w:tcBorders>
              <w:left w:val="nil"/>
              <w:bottom w:val="single" w:sz="4" w:space="0" w:color="auto"/>
              <w:right w:val="nil"/>
            </w:tcBorders>
          </w:tcPr>
          <w:p w14:paraId="72243BE3"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731A6FFE"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C3 Calcular sumas, restas, multiplicaciones y divisiones de polinomios*. </w:t>
            </w:r>
          </w:p>
        </w:tc>
        <w:tc>
          <w:tcPr>
            <w:tcW w:w="398" w:type="dxa"/>
            <w:gridSpan w:val="2"/>
            <w:vMerge/>
            <w:tcBorders>
              <w:left w:val="nil"/>
              <w:bottom w:val="single" w:sz="4" w:space="0" w:color="auto"/>
              <w:right w:val="nil"/>
            </w:tcBorders>
            <w:shd w:val="clear" w:color="auto" w:fill="auto"/>
            <w:noWrap/>
          </w:tcPr>
          <w:p w14:paraId="58475F47" w14:textId="77777777" w:rsidR="008441A3" w:rsidRPr="009E108D" w:rsidRDefault="008441A3" w:rsidP="008441A3">
            <w:pPr>
              <w:rPr>
                <w:rFonts w:ascii="Arial" w:hAnsi="Arial" w:cs="Arial"/>
                <w:sz w:val="20"/>
                <w:szCs w:val="20"/>
                <w:lang w:eastAsia="es-CR"/>
              </w:rPr>
            </w:pPr>
          </w:p>
        </w:tc>
      </w:tr>
      <w:tr w:rsidR="008441A3" w:rsidRPr="009E108D" w14:paraId="4BAED98F" w14:textId="77777777" w:rsidTr="009E108D">
        <w:trPr>
          <w:trHeight w:val="210"/>
          <w:jc w:val="center"/>
        </w:trPr>
        <w:tc>
          <w:tcPr>
            <w:tcW w:w="1588" w:type="dxa"/>
            <w:vMerge/>
            <w:tcBorders>
              <w:left w:val="nil"/>
              <w:bottom w:val="single" w:sz="4" w:space="0" w:color="auto"/>
              <w:right w:val="nil"/>
            </w:tcBorders>
          </w:tcPr>
          <w:p w14:paraId="54F46FA8"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tcPr>
          <w:p w14:paraId="406C5B85"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C4 Determinar el valor numérico de expresiones algebraicas.</w:t>
            </w:r>
          </w:p>
        </w:tc>
        <w:tc>
          <w:tcPr>
            <w:tcW w:w="398" w:type="dxa"/>
            <w:gridSpan w:val="2"/>
            <w:vMerge/>
            <w:tcBorders>
              <w:left w:val="nil"/>
              <w:bottom w:val="single" w:sz="4" w:space="0" w:color="auto"/>
              <w:right w:val="nil"/>
            </w:tcBorders>
            <w:shd w:val="clear" w:color="auto" w:fill="auto"/>
            <w:noWrap/>
          </w:tcPr>
          <w:p w14:paraId="17FFCED7" w14:textId="77777777" w:rsidR="008441A3" w:rsidRPr="009E108D" w:rsidRDefault="008441A3" w:rsidP="008441A3">
            <w:pPr>
              <w:rPr>
                <w:rFonts w:ascii="Arial" w:hAnsi="Arial" w:cs="Arial"/>
                <w:sz w:val="20"/>
                <w:szCs w:val="20"/>
                <w:lang w:eastAsia="es-CR"/>
              </w:rPr>
            </w:pPr>
          </w:p>
        </w:tc>
      </w:tr>
      <w:tr w:rsidR="008441A3" w:rsidRPr="009E108D" w14:paraId="7810826B" w14:textId="77777777" w:rsidTr="009E108D">
        <w:trPr>
          <w:trHeight w:val="210"/>
          <w:jc w:val="center"/>
        </w:trPr>
        <w:tc>
          <w:tcPr>
            <w:tcW w:w="1588" w:type="dxa"/>
            <w:vMerge w:val="restart"/>
            <w:tcBorders>
              <w:top w:val="single" w:sz="4" w:space="0" w:color="auto"/>
              <w:left w:val="nil"/>
              <w:bottom w:val="single" w:sz="4" w:space="0" w:color="auto"/>
              <w:right w:val="nil"/>
            </w:tcBorders>
          </w:tcPr>
          <w:p w14:paraId="0DDD196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Transformaciones algebraicas I</w:t>
            </w:r>
          </w:p>
        </w:tc>
        <w:tc>
          <w:tcPr>
            <w:tcW w:w="7823" w:type="dxa"/>
            <w:tcBorders>
              <w:top w:val="single" w:sz="4" w:space="0" w:color="auto"/>
              <w:left w:val="nil"/>
              <w:bottom w:val="nil"/>
              <w:right w:val="nil"/>
            </w:tcBorders>
            <w:shd w:val="clear" w:color="auto" w:fill="auto"/>
            <w:noWrap/>
            <w:hideMark/>
          </w:tcPr>
          <w:p w14:paraId="7624E8DF"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C5 Determinar cuadrados de binomios*.</w:t>
            </w:r>
          </w:p>
        </w:tc>
        <w:tc>
          <w:tcPr>
            <w:tcW w:w="398" w:type="dxa"/>
            <w:gridSpan w:val="2"/>
            <w:vMerge w:val="restart"/>
            <w:tcBorders>
              <w:top w:val="single" w:sz="4" w:space="0" w:color="auto"/>
              <w:left w:val="nil"/>
              <w:bottom w:val="single" w:sz="4" w:space="0" w:color="auto"/>
              <w:right w:val="nil"/>
            </w:tcBorders>
            <w:shd w:val="clear" w:color="auto" w:fill="auto"/>
            <w:noWrap/>
          </w:tcPr>
          <w:p w14:paraId="0106AC66"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4</w:t>
            </w:r>
          </w:p>
        </w:tc>
      </w:tr>
      <w:tr w:rsidR="008441A3" w:rsidRPr="009E108D" w14:paraId="1C902D9A" w14:textId="77777777" w:rsidTr="009E108D">
        <w:trPr>
          <w:trHeight w:val="210"/>
          <w:jc w:val="center"/>
        </w:trPr>
        <w:tc>
          <w:tcPr>
            <w:tcW w:w="1588" w:type="dxa"/>
            <w:vMerge/>
            <w:tcBorders>
              <w:left w:val="nil"/>
              <w:bottom w:val="single" w:sz="4" w:space="0" w:color="auto"/>
              <w:right w:val="nil"/>
            </w:tcBorders>
          </w:tcPr>
          <w:p w14:paraId="2C683A03"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hideMark/>
          </w:tcPr>
          <w:p w14:paraId="35863CC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C6 Realizar racionalizaciones utilizando el tercer producto notable </w:t>
            </w:r>
            <m:oMath>
              <m:d>
                <m:dPr>
                  <m:ctrlPr>
                    <w:rPr>
                      <w:rFonts w:ascii="Cambria Math" w:hAnsi="Cambria Math" w:cs="Arial"/>
                      <w:i/>
                      <w:sz w:val="20"/>
                      <w:szCs w:val="20"/>
                      <w:lang w:eastAsia="es-CR"/>
                    </w:rPr>
                  </m:ctrlPr>
                </m:dPr>
                <m:e>
                  <m:r>
                    <w:rPr>
                      <w:rFonts w:ascii="Cambria Math" w:hAnsi="Cambria Math" w:cs="Arial"/>
                      <w:sz w:val="20"/>
                      <w:szCs w:val="20"/>
                      <w:lang w:eastAsia="es-CR"/>
                    </w:rPr>
                    <m:t>a-b</m:t>
                  </m:r>
                </m:e>
              </m:d>
              <m:d>
                <m:dPr>
                  <m:ctrlPr>
                    <w:rPr>
                      <w:rFonts w:ascii="Cambria Math" w:hAnsi="Cambria Math" w:cs="Arial"/>
                      <w:i/>
                      <w:sz w:val="20"/>
                      <w:szCs w:val="20"/>
                      <w:lang w:eastAsia="es-CR"/>
                    </w:rPr>
                  </m:ctrlPr>
                </m:dPr>
                <m:e>
                  <m:r>
                    <w:rPr>
                      <w:rFonts w:ascii="Cambria Math" w:hAnsi="Cambria Math" w:cs="Arial"/>
                      <w:sz w:val="20"/>
                      <w:szCs w:val="20"/>
                      <w:lang w:eastAsia="es-CR"/>
                    </w:rPr>
                    <m:t>a+b</m:t>
                  </m:r>
                </m:e>
              </m:d>
            </m:oMath>
            <w:r w:rsidRPr="009E108D">
              <w:rPr>
                <w:rFonts w:ascii="Arial" w:hAnsi="Arial" w:cs="Arial"/>
                <w:sz w:val="20"/>
                <w:szCs w:val="20"/>
                <w:lang w:eastAsia="es-CR"/>
              </w:rPr>
              <w:t>*.</w:t>
            </w:r>
          </w:p>
        </w:tc>
        <w:tc>
          <w:tcPr>
            <w:tcW w:w="398" w:type="dxa"/>
            <w:gridSpan w:val="2"/>
            <w:vMerge/>
            <w:tcBorders>
              <w:left w:val="nil"/>
              <w:bottom w:val="single" w:sz="4" w:space="0" w:color="auto"/>
              <w:right w:val="nil"/>
            </w:tcBorders>
            <w:shd w:val="clear" w:color="auto" w:fill="auto"/>
            <w:noWrap/>
          </w:tcPr>
          <w:p w14:paraId="79D5DD1A" w14:textId="77777777" w:rsidR="008441A3" w:rsidRPr="009E108D" w:rsidRDefault="008441A3" w:rsidP="008441A3">
            <w:pPr>
              <w:rPr>
                <w:rFonts w:ascii="Arial" w:hAnsi="Arial" w:cs="Arial"/>
                <w:b/>
                <w:bCs/>
                <w:sz w:val="20"/>
                <w:szCs w:val="20"/>
                <w:lang w:eastAsia="es-CR"/>
              </w:rPr>
            </w:pPr>
          </w:p>
        </w:tc>
      </w:tr>
      <w:tr w:rsidR="008441A3" w:rsidRPr="009E108D" w14:paraId="530FB742" w14:textId="77777777" w:rsidTr="009E108D">
        <w:trPr>
          <w:trHeight w:val="210"/>
          <w:jc w:val="center"/>
        </w:trPr>
        <w:tc>
          <w:tcPr>
            <w:tcW w:w="1588" w:type="dxa"/>
            <w:vMerge/>
            <w:tcBorders>
              <w:left w:val="nil"/>
              <w:right w:val="nil"/>
            </w:tcBorders>
          </w:tcPr>
          <w:p w14:paraId="623229DC"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hideMark/>
          </w:tcPr>
          <w:p w14:paraId="397CD09D" w14:textId="3636FD13"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C7 Factorizar polinomios con distintos métodos (factor común, fórmulas notables (1, 2 y 3 fórmula), inspección, agrupación o combinaciones de las anteriores</w:t>
            </w:r>
            <w:proofErr w:type="gramStart"/>
            <w:r w:rsidRPr="009E108D">
              <w:rPr>
                <w:rFonts w:ascii="Arial" w:hAnsi="Arial" w:cs="Arial"/>
                <w:sz w:val="20"/>
                <w:szCs w:val="20"/>
                <w:lang w:eastAsia="es-CR"/>
              </w:rPr>
              <w:t>)</w:t>
            </w:r>
            <w:r w:rsidR="007A786A">
              <w:rPr>
                <w:rFonts w:ascii="Arial" w:hAnsi="Arial" w:cs="Arial"/>
                <w:sz w:val="20"/>
                <w:szCs w:val="20"/>
                <w:lang w:eastAsia="es-CR"/>
              </w:rPr>
              <w:t>.</w:t>
            </w:r>
            <w:r w:rsidRPr="009E108D">
              <w:rPr>
                <w:rFonts w:ascii="Arial" w:hAnsi="Arial" w:cs="Arial"/>
                <w:sz w:val="20"/>
                <w:szCs w:val="20"/>
                <w:lang w:eastAsia="es-CR"/>
              </w:rPr>
              <w:t>*</w:t>
            </w:r>
            <w:proofErr w:type="gramEnd"/>
          </w:p>
        </w:tc>
        <w:tc>
          <w:tcPr>
            <w:tcW w:w="398" w:type="dxa"/>
            <w:gridSpan w:val="2"/>
            <w:vMerge/>
            <w:tcBorders>
              <w:left w:val="nil"/>
              <w:right w:val="nil"/>
            </w:tcBorders>
            <w:shd w:val="clear" w:color="auto" w:fill="auto"/>
            <w:noWrap/>
          </w:tcPr>
          <w:p w14:paraId="045BDBE6" w14:textId="77777777" w:rsidR="008441A3" w:rsidRPr="009E108D" w:rsidRDefault="008441A3" w:rsidP="008441A3">
            <w:pPr>
              <w:rPr>
                <w:rFonts w:ascii="Arial" w:hAnsi="Arial" w:cs="Arial"/>
                <w:sz w:val="20"/>
                <w:szCs w:val="20"/>
                <w:lang w:eastAsia="es-CR"/>
              </w:rPr>
            </w:pPr>
          </w:p>
        </w:tc>
      </w:tr>
      <w:tr w:rsidR="008441A3" w:rsidRPr="009E108D" w14:paraId="53C54693" w14:textId="77777777" w:rsidTr="009E108D">
        <w:trPr>
          <w:trHeight w:val="210"/>
          <w:jc w:val="center"/>
        </w:trPr>
        <w:tc>
          <w:tcPr>
            <w:tcW w:w="1588" w:type="dxa"/>
            <w:tcBorders>
              <w:left w:val="nil"/>
              <w:bottom w:val="single" w:sz="4" w:space="0" w:color="auto"/>
              <w:right w:val="nil"/>
            </w:tcBorders>
          </w:tcPr>
          <w:p w14:paraId="1CF63B5E"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tcPr>
          <w:p w14:paraId="2D503734"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C8 Representar un polinomio cuadrático como </w:t>
            </w:r>
            <m:oMath>
              <m:r>
                <w:rPr>
                  <w:rFonts w:ascii="Cambria Math" w:hAnsi="Cambria Math" w:cs="Arial"/>
                  <w:sz w:val="20"/>
                  <w:szCs w:val="20"/>
                  <w:lang w:eastAsia="es-CR"/>
                </w:rPr>
                <m:t>a</m:t>
              </m:r>
              <m:sSup>
                <m:sSupPr>
                  <m:ctrlPr>
                    <w:rPr>
                      <w:rFonts w:ascii="Cambria Math" w:hAnsi="Cambria Math" w:cs="Arial"/>
                      <w:i/>
                      <w:sz w:val="20"/>
                      <w:szCs w:val="20"/>
                      <w:lang w:eastAsia="es-CR"/>
                    </w:rPr>
                  </m:ctrlPr>
                </m:sSupPr>
                <m:e>
                  <m:d>
                    <m:dPr>
                      <m:ctrlPr>
                        <w:rPr>
                          <w:rFonts w:ascii="Cambria Math" w:hAnsi="Cambria Math" w:cs="Arial"/>
                          <w:i/>
                          <w:sz w:val="20"/>
                          <w:szCs w:val="20"/>
                          <w:lang w:eastAsia="es-CR"/>
                        </w:rPr>
                      </m:ctrlPr>
                    </m:dPr>
                    <m:e>
                      <m:r>
                        <w:rPr>
                          <w:rFonts w:ascii="Cambria Math" w:hAnsi="Cambria Math" w:cs="Arial"/>
                          <w:sz w:val="20"/>
                          <w:szCs w:val="20"/>
                          <w:lang w:eastAsia="es-CR"/>
                        </w:rPr>
                        <m:t>x-h</m:t>
                      </m:r>
                    </m:e>
                  </m:d>
                </m:e>
                <m:sup>
                  <m:r>
                    <w:rPr>
                      <w:rFonts w:ascii="Cambria Math" w:hAnsi="Cambria Math" w:cs="Arial"/>
                      <w:sz w:val="20"/>
                      <w:szCs w:val="20"/>
                      <w:lang w:eastAsia="es-CR"/>
                    </w:rPr>
                    <m:t>2</m:t>
                  </m:r>
                </m:sup>
              </m:sSup>
              <m:r>
                <w:rPr>
                  <w:rFonts w:ascii="Cambria Math" w:hAnsi="Cambria Math" w:cs="Arial"/>
                  <w:sz w:val="20"/>
                  <w:szCs w:val="20"/>
                  <w:lang w:eastAsia="es-CR"/>
                </w:rPr>
                <m:t>+k</m:t>
              </m:r>
            </m:oMath>
            <w:r w:rsidRPr="009E108D">
              <w:rPr>
                <w:rFonts w:ascii="Arial" w:hAnsi="Arial" w:cs="Arial"/>
                <w:sz w:val="20"/>
                <w:szCs w:val="20"/>
                <w:lang w:eastAsia="es-CR"/>
              </w:rPr>
              <w:t xml:space="preserve"> (completar cuadrados).</w:t>
            </w:r>
          </w:p>
        </w:tc>
        <w:tc>
          <w:tcPr>
            <w:tcW w:w="398" w:type="dxa"/>
            <w:gridSpan w:val="2"/>
            <w:tcBorders>
              <w:left w:val="nil"/>
              <w:bottom w:val="single" w:sz="4" w:space="0" w:color="auto"/>
              <w:right w:val="nil"/>
            </w:tcBorders>
            <w:shd w:val="clear" w:color="auto" w:fill="auto"/>
            <w:noWrap/>
          </w:tcPr>
          <w:p w14:paraId="79628640" w14:textId="77777777" w:rsidR="008441A3" w:rsidRPr="009E108D" w:rsidRDefault="008441A3" w:rsidP="008441A3">
            <w:pPr>
              <w:rPr>
                <w:rFonts w:ascii="Arial" w:hAnsi="Arial" w:cs="Arial"/>
                <w:sz w:val="20"/>
                <w:szCs w:val="20"/>
                <w:lang w:eastAsia="es-CR"/>
              </w:rPr>
            </w:pPr>
          </w:p>
        </w:tc>
      </w:tr>
      <w:tr w:rsidR="008441A3" w:rsidRPr="009E108D" w14:paraId="15D8ED58" w14:textId="77777777" w:rsidTr="009E108D">
        <w:trPr>
          <w:trHeight w:val="210"/>
          <w:jc w:val="center"/>
        </w:trPr>
        <w:tc>
          <w:tcPr>
            <w:tcW w:w="1588" w:type="dxa"/>
            <w:vMerge w:val="restart"/>
            <w:tcBorders>
              <w:top w:val="single" w:sz="4" w:space="0" w:color="auto"/>
              <w:left w:val="nil"/>
              <w:bottom w:val="single" w:sz="4" w:space="0" w:color="auto"/>
              <w:right w:val="nil"/>
            </w:tcBorders>
          </w:tcPr>
          <w:p w14:paraId="52316306"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Ecuaciones I</w:t>
            </w:r>
          </w:p>
        </w:tc>
        <w:tc>
          <w:tcPr>
            <w:tcW w:w="7823" w:type="dxa"/>
            <w:tcBorders>
              <w:top w:val="single" w:sz="4" w:space="0" w:color="auto"/>
              <w:left w:val="nil"/>
              <w:bottom w:val="nil"/>
              <w:right w:val="nil"/>
            </w:tcBorders>
            <w:shd w:val="clear" w:color="auto" w:fill="auto"/>
            <w:noWrap/>
            <w:hideMark/>
          </w:tcPr>
          <w:p w14:paraId="4BB0AD0E"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C9 Resolver ecuaciones lineales*.</w:t>
            </w:r>
          </w:p>
        </w:tc>
        <w:tc>
          <w:tcPr>
            <w:tcW w:w="398" w:type="dxa"/>
            <w:gridSpan w:val="2"/>
            <w:vMerge w:val="restart"/>
            <w:tcBorders>
              <w:top w:val="single" w:sz="4" w:space="0" w:color="auto"/>
              <w:left w:val="nil"/>
              <w:bottom w:val="single" w:sz="4" w:space="0" w:color="auto"/>
              <w:right w:val="nil"/>
            </w:tcBorders>
            <w:shd w:val="clear" w:color="auto" w:fill="auto"/>
            <w:noWrap/>
          </w:tcPr>
          <w:p w14:paraId="53EBBDB0"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5</w:t>
            </w:r>
          </w:p>
        </w:tc>
      </w:tr>
      <w:tr w:rsidR="008441A3" w:rsidRPr="009E108D" w14:paraId="449A2344" w14:textId="77777777" w:rsidTr="009E108D">
        <w:trPr>
          <w:trHeight w:val="210"/>
          <w:jc w:val="center"/>
        </w:trPr>
        <w:tc>
          <w:tcPr>
            <w:tcW w:w="1588" w:type="dxa"/>
            <w:vMerge/>
            <w:tcBorders>
              <w:left w:val="nil"/>
              <w:bottom w:val="single" w:sz="4" w:space="0" w:color="auto"/>
              <w:right w:val="nil"/>
            </w:tcBorders>
          </w:tcPr>
          <w:p w14:paraId="3E160BBB"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6ECCD8B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C10 Resolver ecuaciones cuadráticas*. </w:t>
            </w:r>
          </w:p>
        </w:tc>
        <w:tc>
          <w:tcPr>
            <w:tcW w:w="398" w:type="dxa"/>
            <w:gridSpan w:val="2"/>
            <w:vMerge/>
            <w:tcBorders>
              <w:left w:val="nil"/>
              <w:bottom w:val="single" w:sz="4" w:space="0" w:color="auto"/>
              <w:right w:val="nil"/>
            </w:tcBorders>
            <w:shd w:val="clear" w:color="auto" w:fill="auto"/>
            <w:noWrap/>
          </w:tcPr>
          <w:p w14:paraId="43A24E14" w14:textId="77777777" w:rsidR="008441A3" w:rsidRPr="009E108D" w:rsidRDefault="008441A3" w:rsidP="008441A3">
            <w:pPr>
              <w:rPr>
                <w:rFonts w:ascii="Arial" w:hAnsi="Arial" w:cs="Arial"/>
                <w:sz w:val="20"/>
                <w:szCs w:val="20"/>
                <w:lang w:eastAsia="es-CR"/>
              </w:rPr>
            </w:pPr>
          </w:p>
        </w:tc>
      </w:tr>
      <w:tr w:rsidR="008441A3" w:rsidRPr="009E108D" w14:paraId="0CC3B471" w14:textId="77777777" w:rsidTr="009E108D">
        <w:trPr>
          <w:trHeight w:val="210"/>
          <w:jc w:val="center"/>
        </w:trPr>
        <w:tc>
          <w:tcPr>
            <w:tcW w:w="1588" w:type="dxa"/>
            <w:vMerge/>
            <w:tcBorders>
              <w:left w:val="nil"/>
              <w:bottom w:val="single" w:sz="4" w:space="0" w:color="auto"/>
              <w:right w:val="nil"/>
            </w:tcBorders>
          </w:tcPr>
          <w:p w14:paraId="6847C4E9"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hideMark/>
          </w:tcPr>
          <w:p w14:paraId="245A1D5A"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C11 Resolver ecuaciones fraccionarias. </w:t>
            </w:r>
          </w:p>
        </w:tc>
        <w:tc>
          <w:tcPr>
            <w:tcW w:w="398" w:type="dxa"/>
            <w:gridSpan w:val="2"/>
            <w:vMerge/>
            <w:tcBorders>
              <w:left w:val="nil"/>
              <w:bottom w:val="single" w:sz="4" w:space="0" w:color="auto"/>
              <w:right w:val="nil"/>
            </w:tcBorders>
            <w:shd w:val="clear" w:color="auto" w:fill="auto"/>
            <w:noWrap/>
          </w:tcPr>
          <w:p w14:paraId="3024BF17" w14:textId="77777777" w:rsidR="008441A3" w:rsidRPr="009E108D" w:rsidRDefault="008441A3" w:rsidP="008441A3">
            <w:pPr>
              <w:rPr>
                <w:rFonts w:ascii="Arial" w:hAnsi="Arial" w:cs="Arial"/>
                <w:sz w:val="20"/>
                <w:szCs w:val="20"/>
                <w:lang w:eastAsia="es-CR"/>
              </w:rPr>
            </w:pPr>
          </w:p>
        </w:tc>
      </w:tr>
      <w:tr w:rsidR="008441A3" w:rsidRPr="009E108D" w14:paraId="46CE5859" w14:textId="77777777" w:rsidTr="009E108D">
        <w:trPr>
          <w:trHeight w:val="210"/>
          <w:jc w:val="center"/>
        </w:trPr>
        <w:tc>
          <w:tcPr>
            <w:tcW w:w="1588" w:type="dxa"/>
            <w:vMerge/>
            <w:tcBorders>
              <w:left w:val="nil"/>
              <w:bottom w:val="single" w:sz="4" w:space="0" w:color="auto"/>
              <w:right w:val="nil"/>
            </w:tcBorders>
          </w:tcPr>
          <w:p w14:paraId="4AEE19C8"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tcPr>
          <w:p w14:paraId="2B5FF97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C12 Resolver sistemas de ecuaciones lineales.</w:t>
            </w:r>
          </w:p>
        </w:tc>
        <w:tc>
          <w:tcPr>
            <w:tcW w:w="398" w:type="dxa"/>
            <w:gridSpan w:val="2"/>
            <w:vMerge/>
            <w:tcBorders>
              <w:left w:val="nil"/>
              <w:bottom w:val="single" w:sz="4" w:space="0" w:color="auto"/>
              <w:right w:val="nil"/>
            </w:tcBorders>
            <w:shd w:val="clear" w:color="auto" w:fill="auto"/>
            <w:noWrap/>
          </w:tcPr>
          <w:p w14:paraId="1BF2A5C6" w14:textId="77777777" w:rsidR="008441A3" w:rsidRPr="009E108D" w:rsidRDefault="008441A3" w:rsidP="008441A3">
            <w:pPr>
              <w:rPr>
                <w:rFonts w:ascii="Arial" w:hAnsi="Arial" w:cs="Arial"/>
                <w:sz w:val="20"/>
                <w:szCs w:val="20"/>
                <w:lang w:eastAsia="es-CR"/>
              </w:rPr>
            </w:pPr>
          </w:p>
        </w:tc>
      </w:tr>
      <w:tr w:rsidR="008441A3" w:rsidRPr="009E108D" w14:paraId="30B9D8AA" w14:textId="77777777" w:rsidTr="009E108D">
        <w:trPr>
          <w:trHeight w:val="210"/>
          <w:jc w:val="center"/>
        </w:trPr>
        <w:tc>
          <w:tcPr>
            <w:tcW w:w="1588" w:type="dxa"/>
            <w:vMerge w:val="restart"/>
            <w:tcBorders>
              <w:top w:val="single" w:sz="4" w:space="0" w:color="auto"/>
              <w:left w:val="nil"/>
              <w:right w:val="nil"/>
            </w:tcBorders>
          </w:tcPr>
          <w:p w14:paraId="752029BE" w14:textId="77777777" w:rsidR="008441A3" w:rsidRPr="009E108D" w:rsidRDefault="008441A3" w:rsidP="008441A3">
            <w:pPr>
              <w:rPr>
                <w:rFonts w:ascii="Arial" w:hAnsi="Arial" w:cs="Arial"/>
                <w:sz w:val="20"/>
                <w:szCs w:val="20"/>
                <w:lang w:eastAsia="es-CR"/>
              </w:rPr>
            </w:pPr>
            <w:r w:rsidRPr="009E108D">
              <w:rPr>
                <w:rFonts w:ascii="Arial" w:eastAsiaTheme="minorHAnsi" w:hAnsi="Arial" w:cs="Arial"/>
                <w:sz w:val="20"/>
                <w:szCs w:val="20"/>
                <w:lang w:eastAsia="en-US"/>
              </w:rPr>
              <w:t>Conceptos básicos de funciones I</w:t>
            </w:r>
          </w:p>
        </w:tc>
        <w:tc>
          <w:tcPr>
            <w:tcW w:w="7823" w:type="dxa"/>
            <w:tcBorders>
              <w:top w:val="single" w:sz="4" w:space="0" w:color="auto"/>
              <w:left w:val="nil"/>
              <w:bottom w:val="nil"/>
              <w:right w:val="nil"/>
            </w:tcBorders>
            <w:shd w:val="clear" w:color="auto" w:fill="auto"/>
            <w:noWrap/>
            <w:hideMark/>
          </w:tcPr>
          <w:p w14:paraId="6DEE4EF0"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C13 Identificar </w:t>
            </w:r>
            <w:proofErr w:type="spellStart"/>
            <w:r w:rsidRPr="009E108D">
              <w:rPr>
                <w:rFonts w:ascii="Arial" w:hAnsi="Arial" w:cs="Arial"/>
                <w:sz w:val="20"/>
                <w:szCs w:val="20"/>
                <w:lang w:eastAsia="es-CR"/>
              </w:rPr>
              <w:t>preimagen</w:t>
            </w:r>
            <w:proofErr w:type="spellEnd"/>
            <w:r w:rsidRPr="009E108D">
              <w:rPr>
                <w:rFonts w:ascii="Arial" w:hAnsi="Arial" w:cs="Arial"/>
                <w:sz w:val="20"/>
                <w:szCs w:val="20"/>
                <w:lang w:eastAsia="es-CR"/>
              </w:rPr>
              <w:t>, imagen, dominio, ámbito, intersecciones con los ejes e intervalos de monotonía en una gráfica de una función*.</w:t>
            </w:r>
          </w:p>
        </w:tc>
        <w:tc>
          <w:tcPr>
            <w:tcW w:w="398" w:type="dxa"/>
            <w:gridSpan w:val="2"/>
            <w:vMerge w:val="restart"/>
            <w:tcBorders>
              <w:top w:val="single" w:sz="4" w:space="0" w:color="auto"/>
              <w:left w:val="nil"/>
              <w:right w:val="nil"/>
            </w:tcBorders>
            <w:shd w:val="clear" w:color="auto" w:fill="auto"/>
            <w:noWrap/>
          </w:tcPr>
          <w:p w14:paraId="6A57433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9</w:t>
            </w:r>
          </w:p>
        </w:tc>
      </w:tr>
      <w:tr w:rsidR="008441A3" w:rsidRPr="009E108D" w14:paraId="7B4956AC" w14:textId="77777777" w:rsidTr="009E108D">
        <w:trPr>
          <w:trHeight w:val="210"/>
          <w:jc w:val="center"/>
        </w:trPr>
        <w:tc>
          <w:tcPr>
            <w:tcW w:w="1588" w:type="dxa"/>
            <w:vMerge/>
            <w:tcBorders>
              <w:left w:val="nil"/>
              <w:right w:val="nil"/>
            </w:tcBorders>
          </w:tcPr>
          <w:p w14:paraId="64B9C321"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457FACDE"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C14 Realizar composiciones de funciones*.</w:t>
            </w:r>
          </w:p>
        </w:tc>
        <w:tc>
          <w:tcPr>
            <w:tcW w:w="398" w:type="dxa"/>
            <w:gridSpan w:val="2"/>
            <w:vMerge/>
            <w:tcBorders>
              <w:left w:val="nil"/>
              <w:right w:val="nil"/>
            </w:tcBorders>
            <w:shd w:val="clear" w:color="auto" w:fill="auto"/>
            <w:noWrap/>
          </w:tcPr>
          <w:p w14:paraId="4E179F5B" w14:textId="77777777" w:rsidR="008441A3" w:rsidRPr="009E108D" w:rsidRDefault="008441A3" w:rsidP="008441A3">
            <w:pPr>
              <w:rPr>
                <w:rFonts w:ascii="Arial" w:hAnsi="Arial" w:cs="Arial"/>
                <w:sz w:val="20"/>
                <w:szCs w:val="20"/>
                <w:lang w:eastAsia="es-CR"/>
              </w:rPr>
            </w:pPr>
          </w:p>
        </w:tc>
      </w:tr>
      <w:tr w:rsidR="008441A3" w:rsidRPr="009E108D" w14:paraId="7B23976D" w14:textId="77777777" w:rsidTr="009E108D">
        <w:trPr>
          <w:trHeight w:val="210"/>
          <w:jc w:val="center"/>
        </w:trPr>
        <w:tc>
          <w:tcPr>
            <w:tcW w:w="1588" w:type="dxa"/>
            <w:vMerge/>
            <w:tcBorders>
              <w:left w:val="nil"/>
              <w:right w:val="nil"/>
            </w:tcBorders>
          </w:tcPr>
          <w:p w14:paraId="478F04E9"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54BC455F"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C15 Calcular de imágenes utilizando el criterio de una función algebraica.</w:t>
            </w:r>
          </w:p>
        </w:tc>
        <w:tc>
          <w:tcPr>
            <w:tcW w:w="398" w:type="dxa"/>
            <w:gridSpan w:val="2"/>
            <w:vMerge/>
            <w:tcBorders>
              <w:left w:val="nil"/>
              <w:right w:val="nil"/>
            </w:tcBorders>
            <w:shd w:val="clear" w:color="auto" w:fill="auto"/>
            <w:noWrap/>
          </w:tcPr>
          <w:p w14:paraId="55BE2879" w14:textId="77777777" w:rsidR="008441A3" w:rsidRPr="009E108D" w:rsidRDefault="008441A3" w:rsidP="008441A3">
            <w:pPr>
              <w:rPr>
                <w:rFonts w:ascii="Arial" w:hAnsi="Arial" w:cs="Arial"/>
                <w:sz w:val="20"/>
                <w:szCs w:val="20"/>
                <w:lang w:eastAsia="es-CR"/>
              </w:rPr>
            </w:pPr>
          </w:p>
        </w:tc>
      </w:tr>
      <w:tr w:rsidR="008441A3" w:rsidRPr="009E108D" w14:paraId="3A7666EC" w14:textId="77777777" w:rsidTr="009E108D">
        <w:trPr>
          <w:trHeight w:val="210"/>
          <w:jc w:val="center"/>
        </w:trPr>
        <w:tc>
          <w:tcPr>
            <w:tcW w:w="1588" w:type="dxa"/>
            <w:vMerge/>
            <w:tcBorders>
              <w:left w:val="nil"/>
              <w:right w:val="nil"/>
            </w:tcBorders>
          </w:tcPr>
          <w:p w14:paraId="1F7518E6"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6A490366"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C16 Representar una función lineal como una recta.</w:t>
            </w:r>
          </w:p>
        </w:tc>
        <w:tc>
          <w:tcPr>
            <w:tcW w:w="398" w:type="dxa"/>
            <w:gridSpan w:val="2"/>
            <w:vMerge/>
            <w:tcBorders>
              <w:left w:val="nil"/>
              <w:right w:val="nil"/>
            </w:tcBorders>
            <w:shd w:val="clear" w:color="auto" w:fill="auto"/>
            <w:noWrap/>
          </w:tcPr>
          <w:p w14:paraId="0E1443B6" w14:textId="77777777" w:rsidR="008441A3" w:rsidRPr="009E108D" w:rsidRDefault="008441A3" w:rsidP="008441A3">
            <w:pPr>
              <w:rPr>
                <w:rFonts w:ascii="Arial" w:hAnsi="Arial" w:cs="Arial"/>
                <w:sz w:val="20"/>
                <w:szCs w:val="20"/>
                <w:lang w:eastAsia="es-CR"/>
              </w:rPr>
            </w:pPr>
          </w:p>
        </w:tc>
      </w:tr>
      <w:tr w:rsidR="008441A3" w:rsidRPr="009E108D" w14:paraId="4B96D69F" w14:textId="77777777" w:rsidTr="009E108D">
        <w:trPr>
          <w:trHeight w:val="210"/>
          <w:jc w:val="center"/>
        </w:trPr>
        <w:tc>
          <w:tcPr>
            <w:tcW w:w="1588" w:type="dxa"/>
            <w:vMerge/>
            <w:tcBorders>
              <w:left w:val="nil"/>
              <w:right w:val="nil"/>
            </w:tcBorders>
          </w:tcPr>
          <w:p w14:paraId="6B574259"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0D994FA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C17 Calcular ámbito y dominio de una función lineal definida en un intervalo.</w:t>
            </w:r>
          </w:p>
        </w:tc>
        <w:tc>
          <w:tcPr>
            <w:tcW w:w="398" w:type="dxa"/>
            <w:gridSpan w:val="2"/>
            <w:vMerge/>
            <w:tcBorders>
              <w:left w:val="nil"/>
              <w:right w:val="nil"/>
            </w:tcBorders>
            <w:shd w:val="clear" w:color="auto" w:fill="auto"/>
            <w:noWrap/>
          </w:tcPr>
          <w:p w14:paraId="4D90EB11" w14:textId="77777777" w:rsidR="008441A3" w:rsidRPr="009E108D" w:rsidRDefault="008441A3" w:rsidP="008441A3">
            <w:pPr>
              <w:rPr>
                <w:rFonts w:ascii="Arial" w:hAnsi="Arial" w:cs="Arial"/>
                <w:b/>
                <w:bCs/>
                <w:sz w:val="20"/>
                <w:szCs w:val="20"/>
                <w:lang w:eastAsia="es-CR"/>
              </w:rPr>
            </w:pPr>
          </w:p>
        </w:tc>
      </w:tr>
      <w:tr w:rsidR="008441A3" w:rsidRPr="009E108D" w14:paraId="17D576AE" w14:textId="77777777" w:rsidTr="009E108D">
        <w:trPr>
          <w:trHeight w:val="210"/>
          <w:jc w:val="center"/>
        </w:trPr>
        <w:tc>
          <w:tcPr>
            <w:tcW w:w="1588" w:type="dxa"/>
            <w:vMerge/>
            <w:tcBorders>
              <w:left w:val="nil"/>
              <w:right w:val="nil"/>
            </w:tcBorders>
          </w:tcPr>
          <w:p w14:paraId="74B47DBB"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4B486552"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C18 Calcular el criterio de una función lineal a partir de dos puntos.</w:t>
            </w:r>
          </w:p>
        </w:tc>
        <w:tc>
          <w:tcPr>
            <w:tcW w:w="398" w:type="dxa"/>
            <w:gridSpan w:val="2"/>
            <w:vMerge/>
            <w:tcBorders>
              <w:left w:val="nil"/>
              <w:right w:val="nil"/>
            </w:tcBorders>
            <w:shd w:val="clear" w:color="auto" w:fill="auto"/>
            <w:noWrap/>
          </w:tcPr>
          <w:p w14:paraId="3363D454" w14:textId="77777777" w:rsidR="008441A3" w:rsidRPr="009E108D" w:rsidRDefault="008441A3" w:rsidP="008441A3">
            <w:pPr>
              <w:rPr>
                <w:rFonts w:ascii="Arial" w:hAnsi="Arial" w:cs="Arial"/>
                <w:sz w:val="20"/>
                <w:szCs w:val="20"/>
                <w:lang w:eastAsia="es-CR"/>
              </w:rPr>
            </w:pPr>
          </w:p>
        </w:tc>
      </w:tr>
      <w:tr w:rsidR="008441A3" w:rsidRPr="009E108D" w14:paraId="05C2FE6F" w14:textId="77777777" w:rsidTr="009E108D">
        <w:trPr>
          <w:trHeight w:val="54"/>
          <w:jc w:val="center"/>
        </w:trPr>
        <w:tc>
          <w:tcPr>
            <w:tcW w:w="1588" w:type="dxa"/>
            <w:vMerge/>
            <w:tcBorders>
              <w:left w:val="nil"/>
              <w:right w:val="nil"/>
            </w:tcBorders>
          </w:tcPr>
          <w:p w14:paraId="7336B4B8"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tcPr>
          <w:p w14:paraId="14BFE9F0" w14:textId="77777777" w:rsidR="008441A3" w:rsidRPr="009E108D" w:rsidRDefault="008441A3" w:rsidP="008441A3">
            <w:pPr>
              <w:rPr>
                <w:rFonts w:ascii="Arial" w:eastAsiaTheme="minorHAnsi" w:hAnsi="Arial" w:cs="Arial"/>
                <w:sz w:val="20"/>
                <w:szCs w:val="20"/>
                <w:lang w:eastAsia="en-US"/>
              </w:rPr>
            </w:pPr>
            <w:r w:rsidRPr="009E108D">
              <w:rPr>
                <w:rFonts w:ascii="Arial" w:hAnsi="Arial" w:cs="Arial"/>
                <w:sz w:val="20"/>
                <w:szCs w:val="20"/>
                <w:lang w:eastAsia="es-CR"/>
              </w:rPr>
              <w:t xml:space="preserve">C19 Determinar </w:t>
            </w:r>
            <w:proofErr w:type="spellStart"/>
            <w:r w:rsidRPr="009E108D">
              <w:rPr>
                <w:rFonts w:ascii="Arial" w:hAnsi="Arial" w:cs="Arial"/>
                <w:sz w:val="20"/>
                <w:szCs w:val="20"/>
                <w:lang w:eastAsia="es-CR"/>
              </w:rPr>
              <w:t>preimágenes</w:t>
            </w:r>
            <w:proofErr w:type="spellEnd"/>
            <w:r w:rsidRPr="009E108D">
              <w:rPr>
                <w:rFonts w:ascii="Arial" w:hAnsi="Arial" w:cs="Arial"/>
                <w:sz w:val="20"/>
                <w:szCs w:val="20"/>
                <w:lang w:eastAsia="es-CR"/>
              </w:rPr>
              <w:t>, intersecciones con los ejes y monotonía de una función lineal.</w:t>
            </w:r>
          </w:p>
        </w:tc>
        <w:tc>
          <w:tcPr>
            <w:tcW w:w="398" w:type="dxa"/>
            <w:gridSpan w:val="2"/>
            <w:vMerge/>
            <w:tcBorders>
              <w:left w:val="nil"/>
              <w:right w:val="nil"/>
            </w:tcBorders>
            <w:shd w:val="clear" w:color="auto" w:fill="auto"/>
            <w:noWrap/>
          </w:tcPr>
          <w:p w14:paraId="217E4FAA" w14:textId="77777777" w:rsidR="008441A3" w:rsidRPr="009E108D" w:rsidRDefault="008441A3" w:rsidP="008441A3">
            <w:pPr>
              <w:rPr>
                <w:rFonts w:ascii="Arial" w:hAnsi="Arial" w:cs="Arial"/>
                <w:sz w:val="20"/>
                <w:szCs w:val="20"/>
                <w:lang w:eastAsia="es-CR"/>
              </w:rPr>
            </w:pPr>
          </w:p>
        </w:tc>
      </w:tr>
      <w:tr w:rsidR="008441A3" w:rsidRPr="009E108D" w14:paraId="71588D62" w14:textId="77777777" w:rsidTr="009E108D">
        <w:trPr>
          <w:trHeight w:val="210"/>
          <w:jc w:val="center"/>
        </w:trPr>
        <w:tc>
          <w:tcPr>
            <w:tcW w:w="1588" w:type="dxa"/>
            <w:vMerge/>
            <w:tcBorders>
              <w:left w:val="nil"/>
              <w:right w:val="nil"/>
            </w:tcBorders>
          </w:tcPr>
          <w:p w14:paraId="24A79B5A"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4CFF99EC"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C20 Determinar </w:t>
            </w:r>
            <w:proofErr w:type="spellStart"/>
            <w:r w:rsidRPr="009E108D">
              <w:rPr>
                <w:rFonts w:ascii="Arial" w:hAnsi="Arial" w:cs="Arial"/>
                <w:sz w:val="20"/>
                <w:szCs w:val="20"/>
                <w:lang w:eastAsia="es-CR"/>
              </w:rPr>
              <w:t>preimágenes</w:t>
            </w:r>
            <w:proofErr w:type="spellEnd"/>
            <w:r w:rsidRPr="009E108D">
              <w:rPr>
                <w:rFonts w:ascii="Arial" w:hAnsi="Arial" w:cs="Arial"/>
                <w:sz w:val="20"/>
                <w:szCs w:val="20"/>
                <w:lang w:eastAsia="es-CR"/>
              </w:rPr>
              <w:t xml:space="preserve"> de una función cuadrática y de la función raíz cuadrada.</w:t>
            </w:r>
          </w:p>
        </w:tc>
        <w:tc>
          <w:tcPr>
            <w:tcW w:w="398" w:type="dxa"/>
            <w:gridSpan w:val="2"/>
            <w:vMerge/>
            <w:tcBorders>
              <w:left w:val="nil"/>
              <w:right w:val="nil"/>
            </w:tcBorders>
            <w:shd w:val="clear" w:color="auto" w:fill="auto"/>
            <w:noWrap/>
          </w:tcPr>
          <w:p w14:paraId="04C0BE7E" w14:textId="77777777" w:rsidR="008441A3" w:rsidRPr="009E108D" w:rsidRDefault="008441A3" w:rsidP="008441A3">
            <w:pPr>
              <w:rPr>
                <w:rFonts w:ascii="Arial" w:hAnsi="Arial" w:cs="Arial"/>
                <w:sz w:val="20"/>
                <w:szCs w:val="20"/>
                <w:lang w:eastAsia="es-CR"/>
              </w:rPr>
            </w:pPr>
          </w:p>
        </w:tc>
      </w:tr>
      <w:tr w:rsidR="008441A3" w:rsidRPr="009E108D" w14:paraId="7C2F7471" w14:textId="77777777" w:rsidTr="009E108D">
        <w:trPr>
          <w:trHeight w:val="210"/>
          <w:jc w:val="center"/>
        </w:trPr>
        <w:tc>
          <w:tcPr>
            <w:tcW w:w="1588" w:type="dxa"/>
            <w:vMerge/>
            <w:tcBorders>
              <w:left w:val="nil"/>
              <w:right w:val="nil"/>
            </w:tcBorders>
          </w:tcPr>
          <w:p w14:paraId="6D34EFD8"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22E22C6E"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C21 Determinar intersecciones con los ejes, intervalos de monotonía y vértice de una función cuadrática.</w:t>
            </w:r>
          </w:p>
        </w:tc>
        <w:tc>
          <w:tcPr>
            <w:tcW w:w="398" w:type="dxa"/>
            <w:gridSpan w:val="2"/>
            <w:vMerge/>
            <w:tcBorders>
              <w:left w:val="nil"/>
              <w:right w:val="nil"/>
            </w:tcBorders>
            <w:shd w:val="clear" w:color="auto" w:fill="auto"/>
            <w:noWrap/>
          </w:tcPr>
          <w:p w14:paraId="59CF2E48" w14:textId="77777777" w:rsidR="008441A3" w:rsidRPr="009E108D" w:rsidRDefault="008441A3" w:rsidP="008441A3">
            <w:pPr>
              <w:rPr>
                <w:rFonts w:ascii="Arial" w:hAnsi="Arial" w:cs="Arial"/>
                <w:sz w:val="20"/>
                <w:szCs w:val="20"/>
                <w:lang w:eastAsia="es-CR"/>
              </w:rPr>
            </w:pPr>
          </w:p>
        </w:tc>
      </w:tr>
      <w:tr w:rsidR="008441A3" w:rsidRPr="009E108D" w14:paraId="49A1C42D" w14:textId="77777777" w:rsidTr="009E108D">
        <w:trPr>
          <w:trHeight w:val="210"/>
          <w:jc w:val="center"/>
        </w:trPr>
        <w:tc>
          <w:tcPr>
            <w:tcW w:w="1588" w:type="dxa"/>
            <w:vMerge/>
            <w:tcBorders>
              <w:left w:val="nil"/>
              <w:bottom w:val="single" w:sz="4" w:space="0" w:color="auto"/>
              <w:right w:val="nil"/>
            </w:tcBorders>
          </w:tcPr>
          <w:p w14:paraId="43930FA8"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hideMark/>
          </w:tcPr>
          <w:p w14:paraId="7BCC7C90"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C22 Determinar el criterio de la transformación de la función cuadrática estándar o la función raíz cuadrada a partir del estudio de su gráfica.</w:t>
            </w:r>
          </w:p>
        </w:tc>
        <w:tc>
          <w:tcPr>
            <w:tcW w:w="398" w:type="dxa"/>
            <w:gridSpan w:val="2"/>
            <w:vMerge/>
            <w:tcBorders>
              <w:left w:val="nil"/>
              <w:bottom w:val="single" w:sz="4" w:space="0" w:color="auto"/>
              <w:right w:val="nil"/>
            </w:tcBorders>
            <w:shd w:val="clear" w:color="auto" w:fill="auto"/>
            <w:noWrap/>
          </w:tcPr>
          <w:p w14:paraId="6ED3AD06" w14:textId="77777777" w:rsidR="008441A3" w:rsidRPr="009E108D" w:rsidRDefault="008441A3" w:rsidP="008441A3">
            <w:pPr>
              <w:rPr>
                <w:rFonts w:ascii="Arial" w:hAnsi="Arial" w:cs="Arial"/>
                <w:b/>
                <w:bCs/>
                <w:sz w:val="20"/>
                <w:szCs w:val="20"/>
                <w:lang w:eastAsia="es-CR"/>
              </w:rPr>
            </w:pPr>
          </w:p>
        </w:tc>
      </w:tr>
      <w:tr w:rsidR="008441A3" w:rsidRPr="009E108D" w14:paraId="4A242386" w14:textId="77777777" w:rsidTr="009E108D">
        <w:trPr>
          <w:trHeight w:val="210"/>
          <w:jc w:val="center"/>
        </w:trPr>
        <w:tc>
          <w:tcPr>
            <w:tcW w:w="1588" w:type="dxa"/>
            <w:vMerge w:val="restart"/>
            <w:tcBorders>
              <w:top w:val="nil"/>
              <w:left w:val="nil"/>
              <w:right w:val="nil"/>
            </w:tcBorders>
          </w:tcPr>
          <w:p w14:paraId="5DEFDC12" w14:textId="77777777" w:rsidR="008441A3" w:rsidRPr="009E108D" w:rsidRDefault="008441A3" w:rsidP="008441A3">
            <w:pPr>
              <w:rPr>
                <w:rFonts w:ascii="Arial" w:hAnsi="Arial" w:cs="Arial"/>
                <w:sz w:val="20"/>
                <w:szCs w:val="20"/>
                <w:lang w:eastAsia="es-CR"/>
              </w:rPr>
            </w:pPr>
            <w:r w:rsidRPr="009E108D">
              <w:rPr>
                <w:rFonts w:ascii="Arial" w:eastAsiaTheme="minorHAnsi" w:hAnsi="Arial" w:cs="Arial"/>
                <w:sz w:val="20"/>
                <w:szCs w:val="20"/>
                <w:lang w:eastAsia="en-US"/>
              </w:rPr>
              <w:t>Función exponencial, logarítmica e inversa</w:t>
            </w:r>
          </w:p>
        </w:tc>
        <w:tc>
          <w:tcPr>
            <w:tcW w:w="7823" w:type="dxa"/>
            <w:tcBorders>
              <w:top w:val="nil"/>
              <w:left w:val="nil"/>
              <w:bottom w:val="nil"/>
              <w:right w:val="nil"/>
            </w:tcBorders>
            <w:shd w:val="clear" w:color="auto" w:fill="auto"/>
            <w:noWrap/>
            <w:hideMark/>
          </w:tcPr>
          <w:p w14:paraId="55DA83B1"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C23 Determinar imágenes, intersección con los ejes y monotonía de una función logarítmica o exponencial.</w:t>
            </w:r>
          </w:p>
        </w:tc>
        <w:tc>
          <w:tcPr>
            <w:tcW w:w="398" w:type="dxa"/>
            <w:gridSpan w:val="2"/>
            <w:vMerge w:val="restart"/>
            <w:tcBorders>
              <w:top w:val="nil"/>
              <w:left w:val="nil"/>
              <w:right w:val="nil"/>
            </w:tcBorders>
            <w:shd w:val="clear" w:color="auto" w:fill="auto"/>
            <w:noWrap/>
          </w:tcPr>
          <w:p w14:paraId="3AFAFF62"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6</w:t>
            </w:r>
          </w:p>
        </w:tc>
      </w:tr>
      <w:tr w:rsidR="008441A3" w:rsidRPr="009E108D" w14:paraId="7F99F10A" w14:textId="77777777" w:rsidTr="009E108D">
        <w:trPr>
          <w:trHeight w:val="210"/>
          <w:jc w:val="center"/>
        </w:trPr>
        <w:tc>
          <w:tcPr>
            <w:tcW w:w="1588" w:type="dxa"/>
            <w:vMerge/>
            <w:tcBorders>
              <w:left w:val="nil"/>
              <w:right w:val="nil"/>
            </w:tcBorders>
          </w:tcPr>
          <w:p w14:paraId="6773AC1C"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5B9EA59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C24 Determinar el criterio de la transformación de la función logarítmica o exponencial estándar, a partir del estudio de su gráfica.</w:t>
            </w:r>
          </w:p>
        </w:tc>
        <w:tc>
          <w:tcPr>
            <w:tcW w:w="398" w:type="dxa"/>
            <w:gridSpan w:val="2"/>
            <w:vMerge/>
            <w:tcBorders>
              <w:left w:val="nil"/>
              <w:right w:val="nil"/>
            </w:tcBorders>
            <w:shd w:val="clear" w:color="auto" w:fill="auto"/>
            <w:noWrap/>
          </w:tcPr>
          <w:p w14:paraId="704419AD" w14:textId="77777777" w:rsidR="008441A3" w:rsidRPr="009E108D" w:rsidRDefault="008441A3" w:rsidP="008441A3">
            <w:pPr>
              <w:rPr>
                <w:rFonts w:ascii="Arial" w:hAnsi="Arial" w:cs="Arial"/>
                <w:sz w:val="20"/>
                <w:szCs w:val="20"/>
                <w:lang w:eastAsia="es-CR"/>
              </w:rPr>
            </w:pPr>
          </w:p>
        </w:tc>
      </w:tr>
      <w:tr w:rsidR="008441A3" w:rsidRPr="009E108D" w14:paraId="51AAA770" w14:textId="77777777" w:rsidTr="009E108D">
        <w:trPr>
          <w:trHeight w:val="210"/>
          <w:jc w:val="center"/>
        </w:trPr>
        <w:tc>
          <w:tcPr>
            <w:tcW w:w="1588" w:type="dxa"/>
            <w:vMerge/>
            <w:tcBorders>
              <w:left w:val="nil"/>
              <w:right w:val="nil"/>
            </w:tcBorders>
          </w:tcPr>
          <w:p w14:paraId="4FC0FBC0"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3986DCFA"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C25 Aplicar las propiedades del logaritmo para expandir productos. </w:t>
            </w:r>
          </w:p>
        </w:tc>
        <w:tc>
          <w:tcPr>
            <w:tcW w:w="398" w:type="dxa"/>
            <w:gridSpan w:val="2"/>
            <w:vMerge/>
            <w:tcBorders>
              <w:left w:val="nil"/>
              <w:right w:val="nil"/>
            </w:tcBorders>
            <w:shd w:val="clear" w:color="auto" w:fill="auto"/>
            <w:noWrap/>
          </w:tcPr>
          <w:p w14:paraId="05D82FB3" w14:textId="77777777" w:rsidR="008441A3" w:rsidRPr="009E108D" w:rsidRDefault="008441A3" w:rsidP="008441A3">
            <w:pPr>
              <w:rPr>
                <w:rFonts w:ascii="Arial" w:hAnsi="Arial" w:cs="Arial"/>
                <w:b/>
                <w:bCs/>
                <w:sz w:val="20"/>
                <w:szCs w:val="20"/>
                <w:lang w:eastAsia="es-CR"/>
              </w:rPr>
            </w:pPr>
          </w:p>
        </w:tc>
      </w:tr>
      <w:tr w:rsidR="008441A3" w:rsidRPr="009E108D" w14:paraId="49DB02A6" w14:textId="77777777" w:rsidTr="009E108D">
        <w:trPr>
          <w:trHeight w:val="210"/>
          <w:jc w:val="center"/>
        </w:trPr>
        <w:tc>
          <w:tcPr>
            <w:tcW w:w="1588" w:type="dxa"/>
            <w:vMerge/>
            <w:tcBorders>
              <w:left w:val="nil"/>
              <w:right w:val="nil"/>
            </w:tcBorders>
          </w:tcPr>
          <w:p w14:paraId="1AE6637C"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13833FD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C26 Determinar la relación entre los pares ordenados, gráficas, </w:t>
            </w:r>
            <w:proofErr w:type="spellStart"/>
            <w:r w:rsidRPr="009E108D">
              <w:rPr>
                <w:rFonts w:ascii="Arial" w:hAnsi="Arial" w:cs="Arial"/>
                <w:sz w:val="20"/>
                <w:szCs w:val="20"/>
                <w:lang w:eastAsia="es-CR"/>
              </w:rPr>
              <w:t>codominio</w:t>
            </w:r>
            <w:proofErr w:type="spellEnd"/>
            <w:r w:rsidRPr="009E108D">
              <w:rPr>
                <w:rFonts w:ascii="Arial" w:hAnsi="Arial" w:cs="Arial"/>
                <w:sz w:val="20"/>
                <w:szCs w:val="20"/>
                <w:lang w:eastAsia="es-CR"/>
              </w:rPr>
              <w:t xml:space="preserve"> y dominio de dos funciones inversas.</w:t>
            </w:r>
          </w:p>
        </w:tc>
        <w:tc>
          <w:tcPr>
            <w:tcW w:w="398" w:type="dxa"/>
            <w:gridSpan w:val="2"/>
            <w:vMerge/>
            <w:tcBorders>
              <w:left w:val="nil"/>
              <w:right w:val="nil"/>
            </w:tcBorders>
            <w:shd w:val="clear" w:color="auto" w:fill="auto"/>
            <w:noWrap/>
          </w:tcPr>
          <w:p w14:paraId="2D3448D6" w14:textId="77777777" w:rsidR="008441A3" w:rsidRPr="009E108D" w:rsidRDefault="008441A3" w:rsidP="008441A3">
            <w:pPr>
              <w:rPr>
                <w:rFonts w:ascii="Arial" w:hAnsi="Arial" w:cs="Arial"/>
                <w:sz w:val="20"/>
                <w:szCs w:val="20"/>
                <w:lang w:eastAsia="es-CR"/>
              </w:rPr>
            </w:pPr>
          </w:p>
        </w:tc>
      </w:tr>
      <w:tr w:rsidR="008441A3" w:rsidRPr="009E108D" w14:paraId="6C34FCD1" w14:textId="77777777" w:rsidTr="009E108D">
        <w:trPr>
          <w:trHeight w:val="210"/>
          <w:jc w:val="center"/>
        </w:trPr>
        <w:tc>
          <w:tcPr>
            <w:tcW w:w="1588" w:type="dxa"/>
            <w:vMerge/>
            <w:tcBorders>
              <w:left w:val="nil"/>
              <w:right w:val="nil"/>
            </w:tcBorders>
          </w:tcPr>
          <w:p w14:paraId="72016A07"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3B4D729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C27 Determinar si una función sobreyectiva posee inversa, a partir del estudio de su gráfica.</w:t>
            </w:r>
          </w:p>
        </w:tc>
        <w:tc>
          <w:tcPr>
            <w:tcW w:w="398" w:type="dxa"/>
            <w:gridSpan w:val="2"/>
            <w:vMerge/>
            <w:tcBorders>
              <w:left w:val="nil"/>
              <w:right w:val="nil"/>
            </w:tcBorders>
            <w:shd w:val="clear" w:color="auto" w:fill="auto"/>
            <w:noWrap/>
          </w:tcPr>
          <w:p w14:paraId="253137C3" w14:textId="77777777" w:rsidR="008441A3" w:rsidRPr="009E108D" w:rsidRDefault="008441A3" w:rsidP="008441A3">
            <w:pPr>
              <w:rPr>
                <w:rFonts w:ascii="Arial" w:hAnsi="Arial" w:cs="Arial"/>
                <w:sz w:val="20"/>
                <w:szCs w:val="20"/>
                <w:lang w:eastAsia="es-CR"/>
              </w:rPr>
            </w:pPr>
          </w:p>
        </w:tc>
      </w:tr>
      <w:tr w:rsidR="008441A3" w:rsidRPr="009E108D" w14:paraId="47CE9B9E" w14:textId="77777777" w:rsidTr="009E108D">
        <w:trPr>
          <w:trHeight w:val="210"/>
          <w:jc w:val="center"/>
        </w:trPr>
        <w:tc>
          <w:tcPr>
            <w:tcW w:w="1588" w:type="dxa"/>
            <w:vMerge/>
            <w:tcBorders>
              <w:left w:val="nil"/>
              <w:bottom w:val="single" w:sz="4" w:space="0" w:color="auto"/>
              <w:right w:val="nil"/>
            </w:tcBorders>
          </w:tcPr>
          <w:p w14:paraId="47D3DAFB"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hideMark/>
          </w:tcPr>
          <w:p w14:paraId="2584AF2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C28 Calcular el criterio de la función inversa de una función lineal y de funciones específicas: cuadrática estándar definida en números positivos, raíz cuadrada, logarítmica y exponencial.</w:t>
            </w:r>
          </w:p>
        </w:tc>
        <w:tc>
          <w:tcPr>
            <w:tcW w:w="398" w:type="dxa"/>
            <w:gridSpan w:val="2"/>
            <w:vMerge/>
            <w:tcBorders>
              <w:left w:val="nil"/>
              <w:bottom w:val="single" w:sz="4" w:space="0" w:color="auto"/>
              <w:right w:val="nil"/>
            </w:tcBorders>
            <w:shd w:val="clear" w:color="auto" w:fill="auto"/>
            <w:noWrap/>
          </w:tcPr>
          <w:p w14:paraId="6E40D23F" w14:textId="77777777" w:rsidR="008441A3" w:rsidRPr="009E108D" w:rsidRDefault="008441A3" w:rsidP="008441A3">
            <w:pPr>
              <w:rPr>
                <w:rFonts w:ascii="Arial" w:hAnsi="Arial" w:cs="Arial"/>
                <w:sz w:val="20"/>
                <w:szCs w:val="20"/>
                <w:lang w:eastAsia="es-CR"/>
              </w:rPr>
            </w:pPr>
          </w:p>
        </w:tc>
      </w:tr>
      <w:tr w:rsidR="008441A3" w:rsidRPr="009E108D" w14:paraId="272C46C7" w14:textId="77777777" w:rsidTr="009E108D">
        <w:trPr>
          <w:gridAfter w:val="1"/>
          <w:wAfter w:w="27" w:type="dxa"/>
          <w:trHeight w:val="210"/>
          <w:jc w:val="center"/>
        </w:trPr>
        <w:tc>
          <w:tcPr>
            <w:tcW w:w="1588" w:type="dxa"/>
            <w:vMerge w:val="restart"/>
            <w:tcBorders>
              <w:top w:val="nil"/>
              <w:left w:val="nil"/>
              <w:right w:val="nil"/>
            </w:tcBorders>
            <w:shd w:val="clear" w:color="auto" w:fill="auto"/>
            <w:noWrap/>
            <w:hideMark/>
          </w:tcPr>
          <w:p w14:paraId="5C34E96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Operaciones algebraicas II</w:t>
            </w:r>
          </w:p>
        </w:tc>
        <w:tc>
          <w:tcPr>
            <w:tcW w:w="7823" w:type="dxa"/>
            <w:tcBorders>
              <w:top w:val="nil"/>
              <w:left w:val="nil"/>
              <w:bottom w:val="nil"/>
              <w:right w:val="nil"/>
            </w:tcBorders>
            <w:shd w:val="clear" w:color="auto" w:fill="auto"/>
            <w:noWrap/>
            <w:hideMark/>
          </w:tcPr>
          <w:p w14:paraId="74EB92B9"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C29 Aplicar leyes de potencias con exponentes fraccionarios*.</w:t>
            </w:r>
          </w:p>
        </w:tc>
        <w:tc>
          <w:tcPr>
            <w:tcW w:w="371" w:type="dxa"/>
            <w:vMerge w:val="restart"/>
            <w:tcBorders>
              <w:top w:val="nil"/>
              <w:left w:val="nil"/>
              <w:right w:val="nil"/>
            </w:tcBorders>
            <w:shd w:val="clear" w:color="auto" w:fill="auto"/>
            <w:noWrap/>
            <w:hideMark/>
          </w:tcPr>
          <w:p w14:paraId="0C68AFC8"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5</w:t>
            </w:r>
          </w:p>
        </w:tc>
      </w:tr>
      <w:tr w:rsidR="008441A3" w:rsidRPr="009E108D" w14:paraId="3230573F"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68A3FFD4"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769A696A"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C30 Determinar el valor absoluto de una expresión lineal en un intervalo*.</w:t>
            </w:r>
          </w:p>
        </w:tc>
        <w:tc>
          <w:tcPr>
            <w:tcW w:w="371" w:type="dxa"/>
            <w:vMerge/>
            <w:tcBorders>
              <w:left w:val="nil"/>
              <w:right w:val="nil"/>
            </w:tcBorders>
            <w:shd w:val="clear" w:color="auto" w:fill="auto"/>
            <w:noWrap/>
            <w:hideMark/>
          </w:tcPr>
          <w:p w14:paraId="1CCAFBF3" w14:textId="77777777" w:rsidR="008441A3" w:rsidRPr="009E108D" w:rsidRDefault="008441A3" w:rsidP="008441A3">
            <w:pPr>
              <w:rPr>
                <w:rFonts w:ascii="Arial" w:hAnsi="Arial" w:cs="Arial"/>
                <w:sz w:val="20"/>
                <w:szCs w:val="20"/>
                <w:lang w:eastAsia="es-CR"/>
              </w:rPr>
            </w:pPr>
          </w:p>
        </w:tc>
      </w:tr>
      <w:tr w:rsidR="008441A3" w:rsidRPr="009E108D" w14:paraId="393A66ED"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038FC7AF"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3DEC361A"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C31 Simplificar raíces cuadradas de expresiones algebraicas.</w:t>
            </w:r>
          </w:p>
        </w:tc>
        <w:tc>
          <w:tcPr>
            <w:tcW w:w="371" w:type="dxa"/>
            <w:vMerge/>
            <w:tcBorders>
              <w:left w:val="nil"/>
              <w:right w:val="nil"/>
            </w:tcBorders>
            <w:shd w:val="clear" w:color="auto" w:fill="auto"/>
            <w:noWrap/>
            <w:hideMark/>
          </w:tcPr>
          <w:p w14:paraId="29E45FC2" w14:textId="77777777" w:rsidR="008441A3" w:rsidRPr="009E108D" w:rsidRDefault="008441A3" w:rsidP="008441A3">
            <w:pPr>
              <w:rPr>
                <w:rFonts w:ascii="Arial" w:hAnsi="Arial" w:cs="Arial"/>
                <w:sz w:val="20"/>
                <w:szCs w:val="20"/>
                <w:lang w:eastAsia="es-CR"/>
              </w:rPr>
            </w:pPr>
          </w:p>
        </w:tc>
      </w:tr>
      <w:tr w:rsidR="008441A3" w:rsidRPr="009E108D" w14:paraId="20148D80" w14:textId="77777777" w:rsidTr="009E108D">
        <w:trPr>
          <w:gridAfter w:val="1"/>
          <w:wAfter w:w="27" w:type="dxa"/>
          <w:trHeight w:val="210"/>
          <w:jc w:val="center"/>
        </w:trPr>
        <w:tc>
          <w:tcPr>
            <w:tcW w:w="1588" w:type="dxa"/>
            <w:vMerge/>
            <w:tcBorders>
              <w:left w:val="nil"/>
              <w:bottom w:val="single" w:sz="4" w:space="0" w:color="auto"/>
              <w:right w:val="nil"/>
            </w:tcBorders>
            <w:shd w:val="clear" w:color="auto" w:fill="auto"/>
            <w:noWrap/>
            <w:hideMark/>
          </w:tcPr>
          <w:p w14:paraId="108B5696"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hideMark/>
          </w:tcPr>
          <w:p w14:paraId="4C856CB7"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C32 Realizar potencias de exponente natural de polinomios (distintas al cuadrado de un binomio).</w:t>
            </w:r>
          </w:p>
        </w:tc>
        <w:tc>
          <w:tcPr>
            <w:tcW w:w="371" w:type="dxa"/>
            <w:vMerge/>
            <w:tcBorders>
              <w:left w:val="nil"/>
              <w:bottom w:val="single" w:sz="4" w:space="0" w:color="auto"/>
              <w:right w:val="nil"/>
            </w:tcBorders>
            <w:shd w:val="clear" w:color="auto" w:fill="auto"/>
            <w:noWrap/>
            <w:hideMark/>
          </w:tcPr>
          <w:p w14:paraId="35A89979" w14:textId="77777777" w:rsidR="008441A3" w:rsidRPr="009E108D" w:rsidRDefault="008441A3" w:rsidP="008441A3">
            <w:pPr>
              <w:rPr>
                <w:rFonts w:ascii="Arial" w:hAnsi="Arial" w:cs="Arial"/>
                <w:sz w:val="20"/>
                <w:szCs w:val="20"/>
                <w:lang w:eastAsia="es-CR"/>
              </w:rPr>
            </w:pPr>
          </w:p>
        </w:tc>
      </w:tr>
      <w:tr w:rsidR="008441A3" w:rsidRPr="009E108D" w14:paraId="133B9503" w14:textId="77777777" w:rsidTr="009E108D">
        <w:trPr>
          <w:gridAfter w:val="1"/>
          <w:wAfter w:w="27" w:type="dxa"/>
          <w:trHeight w:val="210"/>
          <w:jc w:val="center"/>
        </w:trPr>
        <w:tc>
          <w:tcPr>
            <w:tcW w:w="1588" w:type="dxa"/>
            <w:vMerge w:val="restart"/>
            <w:tcBorders>
              <w:top w:val="single" w:sz="4" w:space="0" w:color="auto"/>
              <w:left w:val="nil"/>
              <w:right w:val="nil"/>
            </w:tcBorders>
            <w:shd w:val="clear" w:color="auto" w:fill="auto"/>
            <w:noWrap/>
          </w:tcPr>
          <w:p w14:paraId="4F853979"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Transformaciones algebraicas II</w:t>
            </w:r>
          </w:p>
        </w:tc>
        <w:tc>
          <w:tcPr>
            <w:tcW w:w="7823" w:type="dxa"/>
            <w:tcBorders>
              <w:top w:val="single" w:sz="4" w:space="0" w:color="auto"/>
              <w:left w:val="nil"/>
              <w:right w:val="nil"/>
            </w:tcBorders>
            <w:shd w:val="clear" w:color="auto" w:fill="auto"/>
            <w:noWrap/>
          </w:tcPr>
          <w:p w14:paraId="44FAA5D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C33 Racionalizar utilizando productos notables de suma o resta de cubos.</w:t>
            </w:r>
          </w:p>
        </w:tc>
        <w:tc>
          <w:tcPr>
            <w:tcW w:w="371" w:type="dxa"/>
            <w:vMerge w:val="restart"/>
            <w:tcBorders>
              <w:top w:val="single" w:sz="4" w:space="0" w:color="auto"/>
              <w:left w:val="nil"/>
              <w:right w:val="nil"/>
            </w:tcBorders>
            <w:shd w:val="clear" w:color="auto" w:fill="auto"/>
            <w:noWrap/>
          </w:tcPr>
          <w:p w14:paraId="5EB9A6A9"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6</w:t>
            </w:r>
          </w:p>
        </w:tc>
      </w:tr>
      <w:tr w:rsidR="008441A3" w:rsidRPr="009E108D" w14:paraId="501D557D"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6FD051FA" w14:textId="77777777" w:rsidR="008441A3" w:rsidRPr="009E108D" w:rsidRDefault="008441A3" w:rsidP="008441A3">
            <w:pPr>
              <w:rPr>
                <w:rFonts w:ascii="Arial" w:hAnsi="Arial" w:cs="Arial"/>
                <w:sz w:val="20"/>
                <w:szCs w:val="20"/>
                <w:lang w:eastAsia="es-CR"/>
              </w:rPr>
            </w:pPr>
          </w:p>
        </w:tc>
        <w:tc>
          <w:tcPr>
            <w:tcW w:w="7823" w:type="dxa"/>
            <w:tcBorders>
              <w:left w:val="nil"/>
              <w:bottom w:val="nil"/>
              <w:right w:val="nil"/>
            </w:tcBorders>
            <w:shd w:val="clear" w:color="auto" w:fill="auto"/>
            <w:noWrap/>
            <w:hideMark/>
          </w:tcPr>
          <w:p w14:paraId="25E5E560"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C34 Identificar factores de un polinomio utilizando el teorema del factor*.</w:t>
            </w:r>
          </w:p>
        </w:tc>
        <w:tc>
          <w:tcPr>
            <w:tcW w:w="371" w:type="dxa"/>
            <w:vMerge/>
            <w:tcBorders>
              <w:left w:val="nil"/>
              <w:right w:val="nil"/>
            </w:tcBorders>
            <w:shd w:val="clear" w:color="auto" w:fill="auto"/>
            <w:noWrap/>
            <w:hideMark/>
          </w:tcPr>
          <w:p w14:paraId="7F9D4998" w14:textId="77777777" w:rsidR="008441A3" w:rsidRPr="009E108D" w:rsidRDefault="008441A3" w:rsidP="008441A3">
            <w:pPr>
              <w:rPr>
                <w:rFonts w:ascii="Arial" w:hAnsi="Arial" w:cs="Arial"/>
                <w:sz w:val="20"/>
                <w:szCs w:val="20"/>
                <w:lang w:eastAsia="es-CR"/>
              </w:rPr>
            </w:pPr>
          </w:p>
        </w:tc>
      </w:tr>
      <w:tr w:rsidR="008441A3" w:rsidRPr="009E108D" w14:paraId="5784F284"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10656D43"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1E1D5671"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C35 Factorizar con el método de la división sintética o las fórmulas de cubos*.</w:t>
            </w:r>
          </w:p>
        </w:tc>
        <w:tc>
          <w:tcPr>
            <w:tcW w:w="371" w:type="dxa"/>
            <w:vMerge/>
            <w:tcBorders>
              <w:left w:val="nil"/>
              <w:right w:val="nil"/>
            </w:tcBorders>
            <w:shd w:val="clear" w:color="auto" w:fill="auto"/>
            <w:noWrap/>
            <w:hideMark/>
          </w:tcPr>
          <w:p w14:paraId="668A023E" w14:textId="77777777" w:rsidR="008441A3" w:rsidRPr="009E108D" w:rsidRDefault="008441A3" w:rsidP="008441A3">
            <w:pPr>
              <w:rPr>
                <w:rFonts w:ascii="Arial" w:hAnsi="Arial" w:cs="Arial"/>
                <w:b/>
                <w:bCs/>
                <w:sz w:val="20"/>
                <w:szCs w:val="20"/>
                <w:lang w:eastAsia="es-CR"/>
              </w:rPr>
            </w:pPr>
          </w:p>
        </w:tc>
      </w:tr>
      <w:tr w:rsidR="008441A3" w:rsidRPr="009E108D" w14:paraId="326791E2"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2258A4AC"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3DB2117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C36 Racionalizar utilizando la suma o resta de cubos*.</w:t>
            </w:r>
          </w:p>
        </w:tc>
        <w:tc>
          <w:tcPr>
            <w:tcW w:w="371" w:type="dxa"/>
            <w:vMerge/>
            <w:tcBorders>
              <w:left w:val="nil"/>
              <w:right w:val="nil"/>
            </w:tcBorders>
            <w:shd w:val="clear" w:color="auto" w:fill="auto"/>
            <w:noWrap/>
            <w:hideMark/>
          </w:tcPr>
          <w:p w14:paraId="735581F5" w14:textId="77777777" w:rsidR="008441A3" w:rsidRPr="009E108D" w:rsidRDefault="008441A3" w:rsidP="008441A3">
            <w:pPr>
              <w:rPr>
                <w:rFonts w:ascii="Arial" w:hAnsi="Arial" w:cs="Arial"/>
                <w:sz w:val="20"/>
                <w:szCs w:val="20"/>
                <w:lang w:eastAsia="es-CR"/>
              </w:rPr>
            </w:pPr>
          </w:p>
        </w:tc>
      </w:tr>
      <w:tr w:rsidR="008441A3" w:rsidRPr="009E108D" w14:paraId="3F2B8C87"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4A546AEF"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tcPr>
          <w:p w14:paraId="239738E1"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C37 Expresar un polinomio </w:t>
            </w:r>
            <m:oMath>
              <m:r>
                <w:rPr>
                  <w:rFonts w:ascii="Cambria Math" w:hAnsi="Cambria Math" w:cs="Arial"/>
                  <w:sz w:val="20"/>
                  <w:szCs w:val="20"/>
                  <w:lang w:eastAsia="es-CR"/>
                </w:rPr>
                <m:t>P</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en la forma </w:t>
            </w:r>
            <m:oMath>
              <m:r>
                <w:rPr>
                  <w:rFonts w:ascii="Cambria Math" w:hAnsi="Cambria Math" w:cs="Arial"/>
                  <w:sz w:val="20"/>
                  <w:szCs w:val="20"/>
                  <w:lang w:eastAsia="es-CR"/>
                </w:rPr>
                <m:t>P</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=C</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+R</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∙Q</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con </w:t>
            </w:r>
            <m:oMath>
              <m:r>
                <w:rPr>
                  <w:rFonts w:ascii="Cambria Math" w:hAnsi="Cambria Math" w:cs="Arial"/>
                  <w:sz w:val="20"/>
                  <w:szCs w:val="20"/>
                  <w:lang w:eastAsia="es-CR"/>
                </w:rPr>
                <m:t>C</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 R</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 Q</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polinomios y </w:t>
            </w:r>
            <m:oMath>
              <m:r>
                <w:rPr>
                  <w:rFonts w:ascii="Cambria Math" w:hAnsi="Cambria Math" w:cs="Arial"/>
                  <w:sz w:val="20"/>
                  <w:szCs w:val="20"/>
                  <w:lang w:eastAsia="es-CR"/>
                </w:rPr>
                <m:t>Q</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≠0</m:t>
              </m:r>
            </m:oMath>
            <w:r w:rsidRPr="009E108D">
              <w:rPr>
                <w:rFonts w:ascii="Arial" w:hAnsi="Arial" w:cs="Arial"/>
                <w:sz w:val="20"/>
                <w:szCs w:val="20"/>
                <w:lang w:eastAsia="es-CR"/>
              </w:rPr>
              <w:t>, haciendo uso de la división de polinomios.</w:t>
            </w:r>
          </w:p>
        </w:tc>
        <w:tc>
          <w:tcPr>
            <w:tcW w:w="371" w:type="dxa"/>
            <w:vMerge/>
            <w:tcBorders>
              <w:left w:val="nil"/>
              <w:right w:val="nil"/>
            </w:tcBorders>
            <w:shd w:val="clear" w:color="auto" w:fill="auto"/>
            <w:noWrap/>
            <w:hideMark/>
          </w:tcPr>
          <w:p w14:paraId="7B6DD259" w14:textId="77777777" w:rsidR="008441A3" w:rsidRPr="009E108D" w:rsidRDefault="008441A3" w:rsidP="008441A3">
            <w:pPr>
              <w:rPr>
                <w:rFonts w:ascii="Arial" w:hAnsi="Arial" w:cs="Arial"/>
                <w:sz w:val="20"/>
                <w:szCs w:val="20"/>
                <w:lang w:eastAsia="es-CR"/>
              </w:rPr>
            </w:pPr>
          </w:p>
        </w:tc>
      </w:tr>
      <w:tr w:rsidR="008441A3" w:rsidRPr="009E108D" w14:paraId="0468DE07" w14:textId="77777777" w:rsidTr="009E108D">
        <w:trPr>
          <w:gridAfter w:val="1"/>
          <w:wAfter w:w="27" w:type="dxa"/>
          <w:trHeight w:val="210"/>
          <w:jc w:val="center"/>
        </w:trPr>
        <w:tc>
          <w:tcPr>
            <w:tcW w:w="1588" w:type="dxa"/>
            <w:vMerge/>
            <w:tcBorders>
              <w:left w:val="nil"/>
              <w:bottom w:val="single" w:sz="4" w:space="0" w:color="auto"/>
              <w:right w:val="nil"/>
            </w:tcBorders>
            <w:shd w:val="clear" w:color="auto" w:fill="auto"/>
            <w:noWrap/>
            <w:hideMark/>
          </w:tcPr>
          <w:p w14:paraId="04BAFBFA"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tcPr>
          <w:p w14:paraId="14614CA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C38 Efectuar la descomposición de una expresión algebraica en fracciones parciales. </w:t>
            </w:r>
          </w:p>
        </w:tc>
        <w:tc>
          <w:tcPr>
            <w:tcW w:w="371" w:type="dxa"/>
            <w:vMerge/>
            <w:tcBorders>
              <w:left w:val="nil"/>
              <w:bottom w:val="single" w:sz="4" w:space="0" w:color="auto"/>
              <w:right w:val="nil"/>
            </w:tcBorders>
            <w:shd w:val="clear" w:color="auto" w:fill="auto"/>
            <w:noWrap/>
            <w:hideMark/>
          </w:tcPr>
          <w:p w14:paraId="73C5C022" w14:textId="77777777" w:rsidR="008441A3" w:rsidRPr="009E108D" w:rsidRDefault="008441A3" w:rsidP="008441A3">
            <w:pPr>
              <w:rPr>
                <w:rFonts w:ascii="Arial" w:hAnsi="Arial" w:cs="Arial"/>
                <w:b/>
                <w:bCs/>
                <w:sz w:val="20"/>
                <w:szCs w:val="20"/>
                <w:lang w:eastAsia="es-CR"/>
              </w:rPr>
            </w:pPr>
          </w:p>
        </w:tc>
      </w:tr>
      <w:tr w:rsidR="008441A3" w:rsidRPr="009E108D" w14:paraId="75ABA6A3" w14:textId="77777777" w:rsidTr="009E108D">
        <w:trPr>
          <w:gridAfter w:val="1"/>
          <w:wAfter w:w="27" w:type="dxa"/>
          <w:trHeight w:val="210"/>
          <w:jc w:val="center"/>
        </w:trPr>
        <w:tc>
          <w:tcPr>
            <w:tcW w:w="1588" w:type="dxa"/>
            <w:vMerge w:val="restart"/>
            <w:tcBorders>
              <w:top w:val="single" w:sz="4" w:space="0" w:color="auto"/>
              <w:left w:val="nil"/>
              <w:right w:val="nil"/>
            </w:tcBorders>
            <w:shd w:val="clear" w:color="auto" w:fill="auto"/>
            <w:noWrap/>
            <w:hideMark/>
          </w:tcPr>
          <w:p w14:paraId="461A67D1"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Ecuaciones II</w:t>
            </w:r>
          </w:p>
        </w:tc>
        <w:tc>
          <w:tcPr>
            <w:tcW w:w="7823" w:type="dxa"/>
            <w:tcBorders>
              <w:top w:val="single" w:sz="4" w:space="0" w:color="auto"/>
              <w:left w:val="nil"/>
              <w:bottom w:val="nil"/>
              <w:right w:val="nil"/>
            </w:tcBorders>
            <w:shd w:val="clear" w:color="auto" w:fill="auto"/>
            <w:noWrap/>
            <w:hideMark/>
          </w:tcPr>
          <w:p w14:paraId="7E0D9C62"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C39 Resolver inecuaciones lineales. </w:t>
            </w:r>
          </w:p>
        </w:tc>
        <w:tc>
          <w:tcPr>
            <w:tcW w:w="371" w:type="dxa"/>
            <w:vMerge w:val="restart"/>
            <w:tcBorders>
              <w:top w:val="single" w:sz="4" w:space="0" w:color="auto"/>
              <w:left w:val="nil"/>
              <w:bottom w:val="single" w:sz="4" w:space="0" w:color="auto"/>
              <w:right w:val="nil"/>
            </w:tcBorders>
            <w:shd w:val="clear" w:color="auto" w:fill="auto"/>
            <w:noWrap/>
            <w:hideMark/>
          </w:tcPr>
          <w:p w14:paraId="6B35452C"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4</w:t>
            </w:r>
          </w:p>
        </w:tc>
      </w:tr>
      <w:tr w:rsidR="008441A3" w:rsidRPr="009E108D" w14:paraId="10C1DE70"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5524AC95"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7AFDA339"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C40 Resolver ecuaciones con valor absoluto de la forma </w:t>
            </w:r>
            <m:oMath>
              <m:d>
                <m:dPr>
                  <m:begChr m:val="|"/>
                  <m:endChr m:val="|"/>
                  <m:ctrlPr>
                    <w:rPr>
                      <w:rFonts w:ascii="Cambria Math" w:hAnsi="Cambria Math" w:cs="Arial"/>
                      <w:i/>
                      <w:sz w:val="20"/>
                      <w:szCs w:val="20"/>
                      <w:lang w:eastAsia="es-CR"/>
                    </w:rPr>
                  </m:ctrlPr>
                </m:dPr>
                <m:e>
                  <m:r>
                    <w:rPr>
                      <w:rFonts w:ascii="Cambria Math" w:hAnsi="Cambria Math" w:cs="Arial"/>
                      <w:sz w:val="20"/>
                      <w:szCs w:val="20"/>
                      <w:lang w:eastAsia="es-CR"/>
                    </w:rPr>
                    <m:t>ax+b</m:t>
                  </m:r>
                </m:e>
              </m:d>
              <m:r>
                <w:rPr>
                  <w:rFonts w:ascii="Cambria Math" w:hAnsi="Cambria Math" w:cs="Arial"/>
                  <w:sz w:val="20"/>
                  <w:szCs w:val="20"/>
                  <w:lang w:eastAsia="es-CR"/>
                </w:rPr>
                <m:t>=0</m:t>
              </m:r>
            </m:oMath>
            <w:r w:rsidRPr="009E108D">
              <w:rPr>
                <w:rFonts w:ascii="Arial" w:hAnsi="Arial" w:cs="Arial"/>
                <w:sz w:val="20"/>
                <w:szCs w:val="20"/>
                <w:lang w:eastAsia="es-CR"/>
              </w:rPr>
              <w:t xml:space="preserve"> </w:t>
            </w:r>
          </w:p>
        </w:tc>
        <w:tc>
          <w:tcPr>
            <w:tcW w:w="371" w:type="dxa"/>
            <w:vMerge/>
            <w:tcBorders>
              <w:left w:val="nil"/>
              <w:bottom w:val="single" w:sz="4" w:space="0" w:color="auto"/>
              <w:right w:val="nil"/>
            </w:tcBorders>
            <w:shd w:val="clear" w:color="auto" w:fill="auto"/>
            <w:noWrap/>
            <w:hideMark/>
          </w:tcPr>
          <w:p w14:paraId="6F6BAC67" w14:textId="77777777" w:rsidR="008441A3" w:rsidRPr="009E108D" w:rsidRDefault="008441A3" w:rsidP="008441A3">
            <w:pPr>
              <w:rPr>
                <w:rFonts w:ascii="Arial" w:hAnsi="Arial" w:cs="Arial"/>
                <w:sz w:val="20"/>
                <w:szCs w:val="20"/>
                <w:lang w:eastAsia="es-CR"/>
              </w:rPr>
            </w:pPr>
          </w:p>
        </w:tc>
      </w:tr>
      <w:tr w:rsidR="008441A3" w:rsidRPr="009E108D" w14:paraId="7490A381"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787F1B44"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hideMark/>
          </w:tcPr>
          <w:p w14:paraId="3F4602D4"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C41 Resolver inecuaciones cuadráticas. </w:t>
            </w:r>
          </w:p>
        </w:tc>
        <w:tc>
          <w:tcPr>
            <w:tcW w:w="371" w:type="dxa"/>
            <w:vMerge/>
            <w:tcBorders>
              <w:left w:val="nil"/>
              <w:bottom w:val="single" w:sz="4" w:space="0" w:color="auto"/>
              <w:right w:val="nil"/>
            </w:tcBorders>
            <w:shd w:val="clear" w:color="auto" w:fill="auto"/>
            <w:noWrap/>
            <w:hideMark/>
          </w:tcPr>
          <w:p w14:paraId="7BE7540E" w14:textId="77777777" w:rsidR="008441A3" w:rsidRPr="009E108D" w:rsidRDefault="008441A3" w:rsidP="008441A3">
            <w:pPr>
              <w:rPr>
                <w:rFonts w:ascii="Arial" w:hAnsi="Arial" w:cs="Arial"/>
                <w:sz w:val="20"/>
                <w:szCs w:val="20"/>
                <w:lang w:eastAsia="es-CR"/>
              </w:rPr>
            </w:pPr>
          </w:p>
        </w:tc>
      </w:tr>
      <w:tr w:rsidR="008441A3" w:rsidRPr="009E108D" w14:paraId="52F53BE8" w14:textId="77777777" w:rsidTr="009E108D">
        <w:trPr>
          <w:gridAfter w:val="1"/>
          <w:wAfter w:w="27" w:type="dxa"/>
          <w:trHeight w:val="210"/>
          <w:jc w:val="center"/>
        </w:trPr>
        <w:tc>
          <w:tcPr>
            <w:tcW w:w="1588" w:type="dxa"/>
            <w:vMerge/>
            <w:tcBorders>
              <w:left w:val="nil"/>
              <w:bottom w:val="single" w:sz="4" w:space="0" w:color="auto"/>
              <w:right w:val="nil"/>
            </w:tcBorders>
            <w:shd w:val="clear" w:color="auto" w:fill="auto"/>
            <w:noWrap/>
          </w:tcPr>
          <w:p w14:paraId="6BDD86F8" w14:textId="77777777" w:rsidR="008441A3" w:rsidRPr="009E108D" w:rsidRDefault="008441A3" w:rsidP="008441A3">
            <w:pPr>
              <w:rPr>
                <w:rFonts w:ascii="Arial" w:hAnsi="Arial" w:cs="Arial"/>
                <w:sz w:val="20"/>
                <w:szCs w:val="20"/>
                <w:lang w:eastAsia="es-CR"/>
              </w:rPr>
            </w:pPr>
          </w:p>
        </w:tc>
        <w:tc>
          <w:tcPr>
            <w:tcW w:w="7823" w:type="dxa"/>
            <w:tcBorders>
              <w:top w:val="nil"/>
              <w:left w:val="nil"/>
              <w:right w:val="nil"/>
            </w:tcBorders>
            <w:shd w:val="clear" w:color="auto" w:fill="auto"/>
            <w:noWrap/>
          </w:tcPr>
          <w:p w14:paraId="2C8FC2B8" w14:textId="77777777" w:rsidR="008441A3" w:rsidRPr="009E108D" w:rsidRDefault="008441A3" w:rsidP="008441A3">
            <w:pPr>
              <w:rPr>
                <w:rFonts w:ascii="Arial" w:eastAsiaTheme="minorHAnsi" w:hAnsi="Arial" w:cs="Arial"/>
                <w:sz w:val="20"/>
                <w:szCs w:val="20"/>
                <w:lang w:eastAsia="en-US"/>
              </w:rPr>
            </w:pPr>
            <w:r w:rsidRPr="009E108D">
              <w:rPr>
                <w:rFonts w:ascii="Arial" w:hAnsi="Arial" w:cs="Arial"/>
                <w:sz w:val="20"/>
                <w:szCs w:val="20"/>
                <w:lang w:eastAsia="es-CR"/>
              </w:rPr>
              <w:t>C42 Resolver ecuaciones polinomiales con grado mayor o igual que 3.</w:t>
            </w:r>
            <w:r w:rsidRPr="009E108D">
              <w:rPr>
                <w:rFonts w:ascii="Arial" w:eastAsiaTheme="minorHAnsi" w:hAnsi="Arial" w:cs="Arial"/>
                <w:sz w:val="20"/>
                <w:szCs w:val="20"/>
                <w:lang w:eastAsia="en-US"/>
              </w:rPr>
              <w:t xml:space="preserve"> </w:t>
            </w:r>
          </w:p>
        </w:tc>
        <w:tc>
          <w:tcPr>
            <w:tcW w:w="371" w:type="dxa"/>
            <w:vMerge/>
            <w:tcBorders>
              <w:left w:val="nil"/>
              <w:bottom w:val="single" w:sz="4" w:space="0" w:color="auto"/>
              <w:right w:val="nil"/>
            </w:tcBorders>
            <w:shd w:val="clear" w:color="auto" w:fill="auto"/>
            <w:noWrap/>
          </w:tcPr>
          <w:p w14:paraId="222DD29B" w14:textId="77777777" w:rsidR="008441A3" w:rsidRPr="009E108D" w:rsidRDefault="008441A3" w:rsidP="008441A3">
            <w:pPr>
              <w:rPr>
                <w:rFonts w:ascii="Arial" w:hAnsi="Arial" w:cs="Arial"/>
                <w:sz w:val="20"/>
                <w:szCs w:val="20"/>
                <w:lang w:eastAsia="es-CR"/>
              </w:rPr>
            </w:pPr>
          </w:p>
        </w:tc>
      </w:tr>
      <w:tr w:rsidR="008441A3" w:rsidRPr="009E108D" w14:paraId="2626FE18" w14:textId="77777777" w:rsidTr="009E108D">
        <w:trPr>
          <w:gridAfter w:val="1"/>
          <w:wAfter w:w="27" w:type="dxa"/>
          <w:trHeight w:val="210"/>
          <w:jc w:val="center"/>
        </w:trPr>
        <w:tc>
          <w:tcPr>
            <w:tcW w:w="1588" w:type="dxa"/>
            <w:vMerge/>
            <w:tcBorders>
              <w:left w:val="nil"/>
              <w:bottom w:val="single" w:sz="4" w:space="0" w:color="auto"/>
              <w:right w:val="nil"/>
            </w:tcBorders>
            <w:shd w:val="clear" w:color="auto" w:fill="auto"/>
            <w:noWrap/>
            <w:hideMark/>
          </w:tcPr>
          <w:p w14:paraId="25080495" w14:textId="77777777" w:rsidR="008441A3" w:rsidRPr="009E108D" w:rsidRDefault="008441A3" w:rsidP="008441A3">
            <w:pPr>
              <w:rPr>
                <w:rFonts w:ascii="Arial" w:hAnsi="Arial" w:cs="Arial"/>
                <w:sz w:val="20"/>
                <w:szCs w:val="20"/>
                <w:lang w:eastAsia="es-CR"/>
              </w:rPr>
            </w:pPr>
          </w:p>
        </w:tc>
        <w:tc>
          <w:tcPr>
            <w:tcW w:w="7823" w:type="dxa"/>
            <w:tcBorders>
              <w:left w:val="nil"/>
              <w:bottom w:val="single" w:sz="4" w:space="0" w:color="auto"/>
              <w:right w:val="nil"/>
            </w:tcBorders>
            <w:shd w:val="clear" w:color="auto" w:fill="auto"/>
            <w:noWrap/>
            <w:hideMark/>
          </w:tcPr>
          <w:p w14:paraId="3FA47EAD"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C43 Resolver ecuaciones radicales de la forma </w:t>
            </w:r>
            <m:oMath>
              <m:rad>
                <m:radPr>
                  <m:degHide m:val="1"/>
                  <m:ctrlPr>
                    <w:rPr>
                      <w:rFonts w:ascii="Cambria Math" w:hAnsi="Cambria Math" w:cs="Arial"/>
                      <w:i/>
                      <w:sz w:val="20"/>
                      <w:szCs w:val="20"/>
                      <w:lang w:eastAsia="es-CR"/>
                    </w:rPr>
                  </m:ctrlPr>
                </m:radPr>
                <m:deg/>
                <m:e>
                  <m:r>
                    <w:rPr>
                      <w:rFonts w:ascii="Cambria Math" w:hAnsi="Cambria Math" w:cs="Arial"/>
                      <w:sz w:val="20"/>
                      <w:szCs w:val="20"/>
                      <w:lang w:eastAsia="es-CR"/>
                    </w:rPr>
                    <m:t>q</m:t>
                  </m:r>
                  <m:d>
                    <m:dPr>
                      <m:ctrlPr>
                        <w:rPr>
                          <w:rFonts w:ascii="Cambria Math" w:hAnsi="Cambria Math" w:cs="Arial"/>
                          <w:i/>
                          <w:sz w:val="20"/>
                          <w:szCs w:val="20"/>
                          <w:lang w:eastAsia="es-CR"/>
                        </w:rPr>
                      </m:ctrlPr>
                    </m:dPr>
                    <m:e>
                      <m:r>
                        <w:rPr>
                          <w:rFonts w:ascii="Cambria Math" w:hAnsi="Cambria Math" w:cs="Arial"/>
                          <w:sz w:val="20"/>
                          <w:szCs w:val="20"/>
                          <w:lang w:eastAsia="es-CR"/>
                        </w:rPr>
                        <m:t>x</m:t>
                      </m:r>
                    </m:e>
                  </m:d>
                </m:e>
              </m:rad>
              <m:r>
                <w:rPr>
                  <w:rFonts w:ascii="Cambria Math" w:hAnsi="Cambria Math" w:cs="Arial"/>
                  <w:sz w:val="20"/>
                  <w:szCs w:val="20"/>
                  <w:lang w:eastAsia="es-CR"/>
                </w:rPr>
                <m:t>=p</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con </w:t>
            </w:r>
            <m:oMath>
              <m:r>
                <w:rPr>
                  <w:rFonts w:ascii="Cambria Math" w:hAnsi="Cambria Math" w:cs="Arial"/>
                  <w:sz w:val="20"/>
                  <w:szCs w:val="20"/>
                  <w:lang w:eastAsia="es-CR"/>
                </w:rPr>
                <m:t>q</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de segundo grado y </w:t>
            </w:r>
            <m:oMath>
              <m:r>
                <w:rPr>
                  <w:rFonts w:ascii="Cambria Math" w:hAnsi="Cambria Math" w:cs="Arial"/>
                  <w:sz w:val="20"/>
                  <w:szCs w:val="20"/>
                  <w:lang w:eastAsia="es-CR"/>
                </w:rPr>
                <m:t>p</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de primer grado. </w:t>
            </w:r>
          </w:p>
        </w:tc>
        <w:tc>
          <w:tcPr>
            <w:tcW w:w="371" w:type="dxa"/>
            <w:vMerge/>
            <w:tcBorders>
              <w:left w:val="nil"/>
              <w:bottom w:val="single" w:sz="4" w:space="0" w:color="auto"/>
              <w:right w:val="nil"/>
            </w:tcBorders>
            <w:shd w:val="clear" w:color="auto" w:fill="auto"/>
            <w:noWrap/>
            <w:hideMark/>
          </w:tcPr>
          <w:p w14:paraId="249C95AE" w14:textId="77777777" w:rsidR="008441A3" w:rsidRPr="009E108D" w:rsidRDefault="008441A3" w:rsidP="008441A3">
            <w:pPr>
              <w:rPr>
                <w:rFonts w:ascii="Arial" w:hAnsi="Arial" w:cs="Arial"/>
                <w:sz w:val="20"/>
                <w:szCs w:val="20"/>
                <w:lang w:eastAsia="es-CR"/>
              </w:rPr>
            </w:pPr>
          </w:p>
        </w:tc>
      </w:tr>
      <w:tr w:rsidR="008441A3" w:rsidRPr="009E108D" w14:paraId="792AD0B6" w14:textId="77777777" w:rsidTr="009E108D">
        <w:trPr>
          <w:gridAfter w:val="1"/>
          <w:wAfter w:w="27" w:type="dxa"/>
          <w:trHeight w:val="210"/>
          <w:jc w:val="center"/>
        </w:trPr>
        <w:tc>
          <w:tcPr>
            <w:tcW w:w="1588" w:type="dxa"/>
            <w:vMerge w:val="restart"/>
            <w:tcBorders>
              <w:top w:val="nil"/>
              <w:left w:val="nil"/>
              <w:right w:val="nil"/>
            </w:tcBorders>
            <w:shd w:val="clear" w:color="auto" w:fill="auto"/>
            <w:noWrap/>
            <w:hideMark/>
          </w:tcPr>
          <w:p w14:paraId="40EE95F1"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Conceptos básicos de funciones II</w:t>
            </w:r>
          </w:p>
        </w:tc>
        <w:tc>
          <w:tcPr>
            <w:tcW w:w="7823" w:type="dxa"/>
            <w:tcBorders>
              <w:top w:val="nil"/>
              <w:left w:val="nil"/>
              <w:bottom w:val="nil"/>
              <w:right w:val="nil"/>
            </w:tcBorders>
            <w:shd w:val="clear" w:color="auto" w:fill="auto"/>
            <w:noWrap/>
            <w:hideMark/>
          </w:tcPr>
          <w:p w14:paraId="1BFB135F"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C44 Determinar puntos máximos y mínimos (locales y absolutos), puntos de inflexión, ecuaciones de asíntotas, intervalos de concavidad y convexidad y signo a partir de la gráfica de una función.</w:t>
            </w:r>
          </w:p>
        </w:tc>
        <w:tc>
          <w:tcPr>
            <w:tcW w:w="371" w:type="dxa"/>
            <w:vMerge w:val="restart"/>
            <w:tcBorders>
              <w:top w:val="nil"/>
              <w:left w:val="nil"/>
              <w:right w:val="nil"/>
            </w:tcBorders>
            <w:shd w:val="clear" w:color="auto" w:fill="auto"/>
            <w:noWrap/>
            <w:hideMark/>
          </w:tcPr>
          <w:p w14:paraId="0A22EEAB"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5</w:t>
            </w:r>
          </w:p>
        </w:tc>
      </w:tr>
      <w:tr w:rsidR="008441A3" w:rsidRPr="009E108D" w14:paraId="7EF8A96C"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7A95D7F7"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618B16B0" w14:textId="77777777" w:rsidR="008441A3" w:rsidRPr="009E108D" w:rsidRDefault="008441A3" w:rsidP="008441A3">
            <w:pPr>
              <w:rPr>
                <w:rFonts w:ascii="Arial" w:eastAsiaTheme="minorHAnsi" w:hAnsi="Arial" w:cs="Arial"/>
                <w:sz w:val="20"/>
                <w:szCs w:val="20"/>
                <w:lang w:eastAsia="en-US"/>
              </w:rPr>
            </w:pPr>
            <w:r w:rsidRPr="009E108D">
              <w:rPr>
                <w:rFonts w:ascii="Arial" w:hAnsi="Arial" w:cs="Arial"/>
                <w:sz w:val="20"/>
                <w:szCs w:val="20"/>
                <w:lang w:eastAsia="es-CR"/>
              </w:rPr>
              <w:t xml:space="preserve">C45 Determinar </w:t>
            </w:r>
            <w:proofErr w:type="spellStart"/>
            <w:r w:rsidRPr="009E108D">
              <w:rPr>
                <w:rFonts w:ascii="Arial" w:hAnsi="Arial" w:cs="Arial"/>
                <w:sz w:val="20"/>
                <w:szCs w:val="20"/>
                <w:lang w:eastAsia="es-CR"/>
              </w:rPr>
              <w:t>preimágenes</w:t>
            </w:r>
            <w:proofErr w:type="spellEnd"/>
            <w:r w:rsidRPr="009E108D">
              <w:rPr>
                <w:rFonts w:ascii="Arial" w:hAnsi="Arial" w:cs="Arial"/>
                <w:sz w:val="20"/>
                <w:szCs w:val="20"/>
                <w:lang w:eastAsia="es-CR"/>
              </w:rPr>
              <w:t>, intersecciones con los ejes y monotonía de la función cúbica, valor absoluto o la recíproca.</w:t>
            </w:r>
          </w:p>
        </w:tc>
        <w:tc>
          <w:tcPr>
            <w:tcW w:w="371" w:type="dxa"/>
            <w:vMerge/>
            <w:tcBorders>
              <w:left w:val="nil"/>
              <w:right w:val="nil"/>
            </w:tcBorders>
            <w:shd w:val="clear" w:color="auto" w:fill="auto"/>
            <w:noWrap/>
            <w:hideMark/>
          </w:tcPr>
          <w:p w14:paraId="2FF256CC" w14:textId="77777777" w:rsidR="008441A3" w:rsidRPr="009E108D" w:rsidRDefault="008441A3" w:rsidP="008441A3">
            <w:pPr>
              <w:rPr>
                <w:rFonts w:ascii="Arial" w:hAnsi="Arial" w:cs="Arial"/>
                <w:b/>
                <w:bCs/>
                <w:sz w:val="20"/>
                <w:szCs w:val="20"/>
                <w:lang w:eastAsia="es-CR"/>
              </w:rPr>
            </w:pPr>
          </w:p>
        </w:tc>
      </w:tr>
      <w:tr w:rsidR="008441A3" w:rsidRPr="009E108D" w14:paraId="15785965"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248881DB"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23EA7E82"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C46 Calcular el dominio de una función con base en su criterio.</w:t>
            </w:r>
          </w:p>
        </w:tc>
        <w:tc>
          <w:tcPr>
            <w:tcW w:w="371" w:type="dxa"/>
            <w:vMerge/>
            <w:tcBorders>
              <w:left w:val="nil"/>
              <w:right w:val="nil"/>
            </w:tcBorders>
            <w:shd w:val="clear" w:color="auto" w:fill="auto"/>
            <w:noWrap/>
            <w:hideMark/>
          </w:tcPr>
          <w:p w14:paraId="760413CB" w14:textId="77777777" w:rsidR="008441A3" w:rsidRPr="009E108D" w:rsidRDefault="008441A3" w:rsidP="008441A3">
            <w:pPr>
              <w:rPr>
                <w:rFonts w:ascii="Arial" w:hAnsi="Arial" w:cs="Arial"/>
                <w:sz w:val="20"/>
                <w:szCs w:val="20"/>
                <w:lang w:eastAsia="es-CR"/>
              </w:rPr>
            </w:pPr>
          </w:p>
        </w:tc>
      </w:tr>
      <w:tr w:rsidR="008441A3" w:rsidRPr="009E108D" w14:paraId="6E247605"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450A3AE7"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3482872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C47 Determinar el criterio o la gráfica de una transformación de la función cúbica, valor absoluto o inversa a partir del estudio de su gráfica o criterio.</w:t>
            </w:r>
          </w:p>
        </w:tc>
        <w:tc>
          <w:tcPr>
            <w:tcW w:w="371" w:type="dxa"/>
            <w:vMerge/>
            <w:tcBorders>
              <w:left w:val="nil"/>
              <w:right w:val="nil"/>
            </w:tcBorders>
            <w:shd w:val="clear" w:color="auto" w:fill="auto"/>
            <w:noWrap/>
            <w:hideMark/>
          </w:tcPr>
          <w:p w14:paraId="0E870DAE" w14:textId="77777777" w:rsidR="008441A3" w:rsidRPr="009E108D" w:rsidRDefault="008441A3" w:rsidP="008441A3">
            <w:pPr>
              <w:rPr>
                <w:rFonts w:ascii="Arial" w:hAnsi="Arial" w:cs="Arial"/>
                <w:sz w:val="20"/>
                <w:szCs w:val="20"/>
                <w:lang w:eastAsia="es-CR"/>
              </w:rPr>
            </w:pPr>
          </w:p>
        </w:tc>
      </w:tr>
      <w:tr w:rsidR="008441A3" w:rsidRPr="009E108D" w14:paraId="20BA40AE" w14:textId="77777777" w:rsidTr="009E108D">
        <w:trPr>
          <w:gridAfter w:val="1"/>
          <w:wAfter w:w="27" w:type="dxa"/>
          <w:trHeight w:val="210"/>
          <w:jc w:val="center"/>
        </w:trPr>
        <w:tc>
          <w:tcPr>
            <w:tcW w:w="1588" w:type="dxa"/>
            <w:vMerge/>
            <w:tcBorders>
              <w:left w:val="nil"/>
              <w:bottom w:val="nil"/>
              <w:right w:val="nil"/>
            </w:tcBorders>
            <w:shd w:val="clear" w:color="auto" w:fill="auto"/>
            <w:noWrap/>
            <w:hideMark/>
          </w:tcPr>
          <w:p w14:paraId="07D0854C"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6596623D"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C48 Determinar el signo de una función, dado el criterio. </w:t>
            </w:r>
          </w:p>
        </w:tc>
        <w:tc>
          <w:tcPr>
            <w:tcW w:w="371" w:type="dxa"/>
            <w:vMerge/>
            <w:tcBorders>
              <w:left w:val="nil"/>
              <w:bottom w:val="nil"/>
              <w:right w:val="nil"/>
            </w:tcBorders>
            <w:shd w:val="clear" w:color="auto" w:fill="auto"/>
            <w:noWrap/>
            <w:hideMark/>
          </w:tcPr>
          <w:p w14:paraId="5543AFC0" w14:textId="77777777" w:rsidR="008441A3" w:rsidRPr="009E108D" w:rsidRDefault="008441A3" w:rsidP="008441A3">
            <w:pPr>
              <w:rPr>
                <w:rFonts w:ascii="Arial" w:hAnsi="Arial" w:cs="Arial"/>
                <w:b/>
                <w:bCs/>
                <w:sz w:val="20"/>
                <w:szCs w:val="20"/>
                <w:lang w:eastAsia="es-CR"/>
              </w:rPr>
            </w:pPr>
          </w:p>
        </w:tc>
      </w:tr>
      <w:tr w:rsidR="008441A3" w:rsidRPr="009E108D" w14:paraId="67308658" w14:textId="77777777" w:rsidTr="009E108D">
        <w:trPr>
          <w:gridAfter w:val="1"/>
          <w:wAfter w:w="27" w:type="dxa"/>
          <w:trHeight w:val="210"/>
          <w:jc w:val="center"/>
        </w:trPr>
        <w:tc>
          <w:tcPr>
            <w:tcW w:w="1588" w:type="dxa"/>
            <w:tcBorders>
              <w:left w:val="nil"/>
              <w:bottom w:val="nil"/>
              <w:right w:val="nil"/>
            </w:tcBorders>
            <w:shd w:val="clear" w:color="auto" w:fill="auto"/>
            <w:noWrap/>
          </w:tcPr>
          <w:p w14:paraId="24500437"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tcPr>
          <w:p w14:paraId="2CBE83E1" w14:textId="77777777" w:rsidR="008441A3" w:rsidRPr="009E108D" w:rsidRDefault="008441A3" w:rsidP="008441A3">
            <w:pPr>
              <w:rPr>
                <w:rFonts w:ascii="Arial" w:eastAsiaTheme="minorHAnsi" w:hAnsi="Arial" w:cs="Arial"/>
                <w:sz w:val="20"/>
                <w:szCs w:val="20"/>
                <w:lang w:eastAsia="en-US"/>
              </w:rPr>
            </w:pPr>
            <w:r w:rsidRPr="009E108D">
              <w:rPr>
                <w:rFonts w:ascii="Arial" w:hAnsi="Arial" w:cs="Arial"/>
                <w:sz w:val="20"/>
                <w:szCs w:val="20"/>
                <w:lang w:eastAsia="es-CR"/>
              </w:rPr>
              <w:t>C49 Identificar los criterios de funciones involucradas en el criterio de una función compuesta.</w:t>
            </w:r>
          </w:p>
        </w:tc>
        <w:tc>
          <w:tcPr>
            <w:tcW w:w="371" w:type="dxa"/>
            <w:tcBorders>
              <w:left w:val="nil"/>
              <w:bottom w:val="nil"/>
              <w:right w:val="nil"/>
            </w:tcBorders>
            <w:shd w:val="clear" w:color="auto" w:fill="auto"/>
            <w:noWrap/>
          </w:tcPr>
          <w:p w14:paraId="23D616AC" w14:textId="77777777" w:rsidR="008441A3" w:rsidRPr="009E108D" w:rsidRDefault="008441A3" w:rsidP="008441A3">
            <w:pPr>
              <w:rPr>
                <w:rFonts w:ascii="Arial" w:hAnsi="Arial" w:cs="Arial"/>
                <w:b/>
                <w:bCs/>
                <w:sz w:val="20"/>
                <w:szCs w:val="20"/>
                <w:lang w:eastAsia="es-CR"/>
              </w:rPr>
            </w:pPr>
          </w:p>
        </w:tc>
      </w:tr>
      <w:tr w:rsidR="008441A3" w:rsidRPr="009E108D" w14:paraId="618BBF61" w14:textId="77777777" w:rsidTr="009E108D">
        <w:trPr>
          <w:gridAfter w:val="1"/>
          <w:wAfter w:w="27" w:type="dxa"/>
          <w:trHeight w:val="210"/>
          <w:jc w:val="center"/>
        </w:trPr>
        <w:tc>
          <w:tcPr>
            <w:tcW w:w="1588" w:type="dxa"/>
            <w:vMerge w:val="restart"/>
            <w:tcBorders>
              <w:top w:val="single" w:sz="4" w:space="0" w:color="auto"/>
              <w:left w:val="nil"/>
              <w:right w:val="nil"/>
            </w:tcBorders>
            <w:shd w:val="clear" w:color="auto" w:fill="auto"/>
            <w:noWrap/>
            <w:hideMark/>
          </w:tcPr>
          <w:p w14:paraId="4B9ED135"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Funciones trigonométricas</w:t>
            </w:r>
          </w:p>
        </w:tc>
        <w:tc>
          <w:tcPr>
            <w:tcW w:w="7823" w:type="dxa"/>
            <w:tcBorders>
              <w:top w:val="single" w:sz="4" w:space="0" w:color="auto"/>
              <w:left w:val="nil"/>
              <w:bottom w:val="nil"/>
              <w:right w:val="nil"/>
            </w:tcBorders>
            <w:shd w:val="clear" w:color="auto" w:fill="auto"/>
            <w:noWrap/>
            <w:hideMark/>
          </w:tcPr>
          <w:p w14:paraId="26CCC608"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C50 Determinar el dominio, ámbito, gráfica, intersecciones con los ejes, intervalos de monotonía de </w:t>
            </w:r>
            <m:oMath>
              <m:r>
                <w:rPr>
                  <w:rFonts w:ascii="Cambria Math" w:hAnsi="Cambria Math" w:cs="Arial"/>
                  <w:sz w:val="20"/>
                  <w:szCs w:val="20"/>
                  <w:lang w:eastAsia="es-CR"/>
                </w:rPr>
                <m:t>sen(x)</m:t>
              </m:r>
            </m:oMath>
            <w:r w:rsidRPr="009E108D">
              <w:rPr>
                <w:rFonts w:ascii="Arial" w:hAnsi="Arial" w:cs="Arial"/>
                <w:sz w:val="20"/>
                <w:szCs w:val="20"/>
                <w:lang w:eastAsia="es-CR"/>
              </w:rPr>
              <w:t xml:space="preserve">, </w:t>
            </w:r>
            <m:oMath>
              <m:r>
                <w:rPr>
                  <w:rFonts w:ascii="Cambria Math" w:hAnsi="Cambria Math" w:cs="Arial"/>
                  <w:sz w:val="20"/>
                  <w:szCs w:val="20"/>
                  <w:lang w:eastAsia="es-CR"/>
                </w:rPr>
                <m:t>cos(x)</m:t>
              </m:r>
            </m:oMath>
            <w:r w:rsidRPr="009E108D">
              <w:rPr>
                <w:rFonts w:ascii="Arial" w:hAnsi="Arial" w:cs="Arial"/>
                <w:sz w:val="20"/>
                <w:szCs w:val="20"/>
                <w:lang w:eastAsia="es-CR"/>
              </w:rPr>
              <w:t xml:space="preserve"> y </w:t>
            </w:r>
            <m:oMath>
              <m:r>
                <w:rPr>
                  <w:rFonts w:ascii="Cambria Math" w:hAnsi="Cambria Math" w:cs="Arial"/>
                  <w:sz w:val="20"/>
                  <w:szCs w:val="20"/>
                  <w:lang w:eastAsia="es-CR"/>
                </w:rPr>
                <m:t>tan(x)</m:t>
              </m:r>
            </m:oMath>
            <w:r w:rsidRPr="009E108D">
              <w:rPr>
                <w:rFonts w:ascii="Arial" w:hAnsi="Arial" w:cs="Arial"/>
                <w:sz w:val="20"/>
                <w:szCs w:val="20"/>
                <w:lang w:eastAsia="es-CR"/>
              </w:rPr>
              <w:t>.</w:t>
            </w:r>
          </w:p>
        </w:tc>
        <w:tc>
          <w:tcPr>
            <w:tcW w:w="371" w:type="dxa"/>
            <w:vMerge w:val="restart"/>
            <w:tcBorders>
              <w:top w:val="single" w:sz="4" w:space="0" w:color="auto"/>
              <w:left w:val="nil"/>
              <w:right w:val="nil"/>
            </w:tcBorders>
            <w:shd w:val="clear" w:color="auto" w:fill="auto"/>
            <w:noWrap/>
            <w:hideMark/>
          </w:tcPr>
          <w:p w14:paraId="18D5EA57"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5</w:t>
            </w:r>
          </w:p>
        </w:tc>
      </w:tr>
      <w:tr w:rsidR="008441A3" w:rsidRPr="009E108D" w14:paraId="7CF01F51"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4939D9C9"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4B64BCED"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C51 Aplicar identidades trigonométricas básicas en la simplificación de expresiones (definición de </w:t>
            </w:r>
            <m:oMath>
              <m:r>
                <w:rPr>
                  <w:rFonts w:ascii="Cambria Math" w:hAnsi="Cambria Math" w:cs="Arial"/>
                  <w:sz w:val="20"/>
                  <w:szCs w:val="20"/>
                  <w:lang w:eastAsia="es-CR"/>
                </w:rPr>
                <m:t xml:space="preserve">tan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w:t>
            </w:r>
            <m:oMath>
              <m:r>
                <w:rPr>
                  <w:rFonts w:ascii="Cambria Math" w:hAnsi="Cambria Math" w:cs="Arial"/>
                  <w:sz w:val="20"/>
                  <w:szCs w:val="20"/>
                  <w:lang w:eastAsia="es-CR"/>
                </w:rPr>
                <m:t xml:space="preserve">cot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w:t>
            </w:r>
            <m:oMath>
              <m:r>
                <w:rPr>
                  <w:rFonts w:ascii="Cambria Math" w:hAnsi="Cambria Math" w:cs="Arial"/>
                  <w:sz w:val="20"/>
                  <w:szCs w:val="20"/>
                  <w:lang w:eastAsia="es-CR"/>
                </w:rPr>
                <m:t xml:space="preserve">sec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y </w:t>
            </w:r>
            <m:oMath>
              <m:r>
                <w:rPr>
                  <w:rFonts w:ascii="Cambria Math" w:hAnsi="Cambria Math" w:cs="Arial"/>
                  <w:sz w:val="20"/>
                  <w:szCs w:val="20"/>
                  <w:lang w:eastAsia="es-CR"/>
                </w:rPr>
                <m:t xml:space="preserve">csc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en términos de </w:t>
            </w:r>
            <m:oMath>
              <m:r>
                <w:rPr>
                  <w:rFonts w:ascii="Cambria Math" w:hAnsi="Cambria Math" w:cs="Arial"/>
                  <w:sz w:val="20"/>
                  <w:szCs w:val="20"/>
                  <w:lang w:eastAsia="es-CR"/>
                </w:rPr>
                <m:t xml:space="preserve">sen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y </w:t>
            </w:r>
            <m:oMath>
              <m:r>
                <w:rPr>
                  <w:rFonts w:ascii="Cambria Math" w:hAnsi="Cambria Math" w:cs="Arial"/>
                  <w:sz w:val="20"/>
                  <w:szCs w:val="20"/>
                  <w:lang w:eastAsia="es-CR"/>
                </w:rPr>
                <m:t xml:space="preserve">cos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variantes de </w:t>
            </w:r>
            <m:oMath>
              <m:sSup>
                <m:sSupPr>
                  <m:ctrlPr>
                    <w:rPr>
                      <w:rFonts w:ascii="Cambria Math" w:hAnsi="Cambria Math" w:cs="Arial"/>
                      <w:i/>
                      <w:sz w:val="20"/>
                      <w:szCs w:val="20"/>
                      <w:lang w:eastAsia="es-CR"/>
                    </w:rPr>
                  </m:ctrlPr>
                </m:sSupPr>
                <m:e>
                  <m:r>
                    <w:rPr>
                      <w:rFonts w:ascii="Cambria Math" w:hAnsi="Cambria Math" w:cs="Arial"/>
                      <w:sz w:val="20"/>
                      <w:szCs w:val="20"/>
                      <w:lang w:eastAsia="es-CR"/>
                    </w:rPr>
                    <m:t>sen</m:t>
                  </m:r>
                </m:e>
                <m:sup>
                  <m:r>
                    <w:rPr>
                      <w:rFonts w:ascii="Cambria Math" w:hAnsi="Cambria Math" w:cs="Arial"/>
                      <w:sz w:val="20"/>
                      <w:szCs w:val="20"/>
                      <w:lang w:eastAsia="es-CR"/>
                    </w:rPr>
                    <m:t>2</m:t>
                  </m:r>
                </m:sup>
              </m:sSup>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m:t>
              </m:r>
              <m:sSup>
                <m:sSupPr>
                  <m:ctrlPr>
                    <w:rPr>
                      <w:rFonts w:ascii="Cambria Math" w:hAnsi="Cambria Math" w:cs="Arial"/>
                      <w:i/>
                      <w:sz w:val="20"/>
                      <w:szCs w:val="20"/>
                      <w:lang w:eastAsia="es-CR"/>
                    </w:rPr>
                  </m:ctrlPr>
                </m:sSupPr>
                <m:e>
                  <m:r>
                    <w:rPr>
                      <w:rFonts w:ascii="Cambria Math" w:hAnsi="Cambria Math" w:cs="Arial"/>
                      <w:sz w:val="20"/>
                      <w:szCs w:val="20"/>
                      <w:lang w:eastAsia="es-CR"/>
                    </w:rPr>
                    <m:t>cos</m:t>
                  </m:r>
                </m:e>
                <m:sup>
                  <m:r>
                    <w:rPr>
                      <w:rFonts w:ascii="Cambria Math" w:hAnsi="Cambria Math" w:cs="Arial"/>
                      <w:sz w:val="20"/>
                      <w:szCs w:val="20"/>
                      <w:lang w:eastAsia="es-CR"/>
                    </w:rPr>
                    <m:t>2</m:t>
                  </m:r>
                </m:sup>
              </m:sSup>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=1</m:t>
              </m:r>
            </m:oMath>
            <w:r w:rsidRPr="009E108D">
              <w:rPr>
                <w:rFonts w:ascii="Arial" w:hAnsi="Arial" w:cs="Arial"/>
                <w:sz w:val="20"/>
                <w:szCs w:val="20"/>
                <w:lang w:eastAsia="es-CR"/>
              </w:rPr>
              <w:t>.</w:t>
            </w:r>
          </w:p>
        </w:tc>
        <w:tc>
          <w:tcPr>
            <w:tcW w:w="371" w:type="dxa"/>
            <w:vMerge/>
            <w:tcBorders>
              <w:left w:val="nil"/>
              <w:right w:val="nil"/>
            </w:tcBorders>
            <w:shd w:val="clear" w:color="auto" w:fill="auto"/>
            <w:noWrap/>
            <w:hideMark/>
          </w:tcPr>
          <w:p w14:paraId="72B09FD2" w14:textId="77777777" w:rsidR="008441A3" w:rsidRPr="009E108D" w:rsidRDefault="008441A3" w:rsidP="008441A3">
            <w:pPr>
              <w:rPr>
                <w:rFonts w:ascii="Arial" w:hAnsi="Arial" w:cs="Arial"/>
                <w:sz w:val="20"/>
                <w:szCs w:val="20"/>
                <w:lang w:eastAsia="es-CR"/>
              </w:rPr>
            </w:pPr>
          </w:p>
        </w:tc>
      </w:tr>
      <w:tr w:rsidR="008441A3" w:rsidRPr="009E108D" w14:paraId="7C7AF9EA"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22EE5326"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2BF8A1DC"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C52 Aplicar identidades trigonométricas de suma y resta de ángulos en la simplificación de expresiones.</w:t>
            </w:r>
          </w:p>
        </w:tc>
        <w:tc>
          <w:tcPr>
            <w:tcW w:w="371" w:type="dxa"/>
            <w:vMerge/>
            <w:tcBorders>
              <w:left w:val="nil"/>
              <w:right w:val="nil"/>
            </w:tcBorders>
            <w:shd w:val="clear" w:color="auto" w:fill="auto"/>
            <w:noWrap/>
            <w:hideMark/>
          </w:tcPr>
          <w:p w14:paraId="7C665294" w14:textId="77777777" w:rsidR="008441A3" w:rsidRPr="009E108D" w:rsidRDefault="008441A3" w:rsidP="008441A3">
            <w:pPr>
              <w:rPr>
                <w:rFonts w:ascii="Arial" w:hAnsi="Arial" w:cs="Arial"/>
                <w:b/>
                <w:bCs/>
                <w:sz w:val="20"/>
                <w:szCs w:val="20"/>
                <w:lang w:eastAsia="es-CR"/>
              </w:rPr>
            </w:pPr>
          </w:p>
        </w:tc>
      </w:tr>
      <w:tr w:rsidR="008441A3" w:rsidRPr="009E108D" w14:paraId="136621DB" w14:textId="77777777" w:rsidTr="009E108D">
        <w:trPr>
          <w:gridAfter w:val="1"/>
          <w:wAfter w:w="27" w:type="dxa"/>
          <w:trHeight w:val="210"/>
          <w:jc w:val="center"/>
        </w:trPr>
        <w:tc>
          <w:tcPr>
            <w:tcW w:w="1588" w:type="dxa"/>
            <w:vMerge/>
            <w:tcBorders>
              <w:left w:val="nil"/>
              <w:right w:val="nil"/>
            </w:tcBorders>
            <w:shd w:val="clear" w:color="auto" w:fill="auto"/>
            <w:noWrap/>
            <w:hideMark/>
          </w:tcPr>
          <w:p w14:paraId="14D2737B"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nil"/>
              <w:right w:val="nil"/>
            </w:tcBorders>
            <w:shd w:val="clear" w:color="auto" w:fill="auto"/>
            <w:noWrap/>
            <w:hideMark/>
          </w:tcPr>
          <w:p w14:paraId="68A4F7B1"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C53 Identificar dominio, ámbito, gráfica, intersecciones con los ejes, intervalos de monotonía de </w:t>
            </w:r>
            <m:oMath>
              <m:r>
                <w:rPr>
                  <w:rFonts w:ascii="Cambria Math" w:hAnsi="Cambria Math" w:cs="Arial"/>
                  <w:sz w:val="20"/>
                  <w:szCs w:val="20"/>
                  <w:lang w:eastAsia="es-CR"/>
                </w:rPr>
                <m:t>arctan</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w:t>
            </w:r>
            <m:oMath>
              <m:r>
                <w:rPr>
                  <w:rFonts w:ascii="Cambria Math" w:hAnsi="Cambria Math" w:cs="Arial"/>
                  <w:sz w:val="20"/>
                  <w:szCs w:val="20"/>
                  <w:lang w:eastAsia="es-CR"/>
                </w:rPr>
                <m:t xml:space="preserve">arcsen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 xml:space="preserve"> y </w:t>
            </w:r>
            <m:oMath>
              <m:r>
                <w:rPr>
                  <w:rFonts w:ascii="Cambria Math" w:hAnsi="Cambria Math" w:cs="Arial"/>
                  <w:sz w:val="20"/>
                  <w:szCs w:val="20"/>
                  <w:lang w:eastAsia="es-CR"/>
                </w:rPr>
                <m:t xml:space="preserve">arccos </m:t>
              </m:r>
              <m:d>
                <m:dPr>
                  <m:ctrlPr>
                    <w:rPr>
                      <w:rFonts w:ascii="Cambria Math" w:hAnsi="Cambria Math" w:cs="Arial"/>
                      <w:i/>
                      <w:sz w:val="20"/>
                      <w:szCs w:val="20"/>
                      <w:lang w:eastAsia="es-CR"/>
                    </w:rPr>
                  </m:ctrlPr>
                </m:dPr>
                <m:e>
                  <m:r>
                    <w:rPr>
                      <w:rFonts w:ascii="Cambria Math" w:hAnsi="Cambria Math" w:cs="Arial"/>
                      <w:sz w:val="20"/>
                      <w:szCs w:val="20"/>
                      <w:lang w:eastAsia="es-CR"/>
                    </w:rPr>
                    <m:t>x</m:t>
                  </m:r>
                </m:e>
              </m:d>
            </m:oMath>
            <w:r w:rsidRPr="009E108D">
              <w:rPr>
                <w:rFonts w:ascii="Arial" w:hAnsi="Arial" w:cs="Arial"/>
                <w:sz w:val="20"/>
                <w:szCs w:val="20"/>
                <w:lang w:eastAsia="es-CR"/>
              </w:rPr>
              <w:t>.</w:t>
            </w:r>
          </w:p>
        </w:tc>
        <w:tc>
          <w:tcPr>
            <w:tcW w:w="371" w:type="dxa"/>
            <w:vMerge/>
            <w:tcBorders>
              <w:left w:val="nil"/>
              <w:right w:val="nil"/>
            </w:tcBorders>
            <w:shd w:val="clear" w:color="auto" w:fill="auto"/>
            <w:noWrap/>
            <w:hideMark/>
          </w:tcPr>
          <w:p w14:paraId="1BBF427B" w14:textId="77777777" w:rsidR="008441A3" w:rsidRPr="009E108D" w:rsidRDefault="008441A3" w:rsidP="008441A3">
            <w:pPr>
              <w:rPr>
                <w:rFonts w:ascii="Arial" w:hAnsi="Arial" w:cs="Arial"/>
                <w:b/>
                <w:bCs/>
                <w:sz w:val="20"/>
                <w:szCs w:val="20"/>
                <w:lang w:eastAsia="es-CR"/>
              </w:rPr>
            </w:pPr>
          </w:p>
        </w:tc>
      </w:tr>
      <w:tr w:rsidR="008441A3" w:rsidRPr="009E108D" w14:paraId="7565BB36" w14:textId="77777777" w:rsidTr="009E108D">
        <w:trPr>
          <w:gridAfter w:val="1"/>
          <w:wAfter w:w="27" w:type="dxa"/>
          <w:trHeight w:val="210"/>
          <w:jc w:val="center"/>
        </w:trPr>
        <w:tc>
          <w:tcPr>
            <w:tcW w:w="1588" w:type="dxa"/>
            <w:vMerge/>
            <w:tcBorders>
              <w:left w:val="nil"/>
              <w:bottom w:val="single" w:sz="4" w:space="0" w:color="auto"/>
              <w:right w:val="nil"/>
            </w:tcBorders>
            <w:shd w:val="clear" w:color="auto" w:fill="auto"/>
            <w:noWrap/>
            <w:hideMark/>
          </w:tcPr>
          <w:p w14:paraId="502D98BD" w14:textId="77777777" w:rsidR="008441A3" w:rsidRPr="009E108D" w:rsidRDefault="008441A3" w:rsidP="008441A3">
            <w:pPr>
              <w:rPr>
                <w:rFonts w:ascii="Arial" w:hAnsi="Arial" w:cs="Arial"/>
                <w:sz w:val="20"/>
                <w:szCs w:val="20"/>
                <w:lang w:eastAsia="es-CR"/>
              </w:rPr>
            </w:pPr>
          </w:p>
        </w:tc>
        <w:tc>
          <w:tcPr>
            <w:tcW w:w="7823" w:type="dxa"/>
            <w:tcBorders>
              <w:top w:val="nil"/>
              <w:left w:val="nil"/>
              <w:bottom w:val="single" w:sz="4" w:space="0" w:color="auto"/>
              <w:right w:val="nil"/>
            </w:tcBorders>
            <w:shd w:val="clear" w:color="auto" w:fill="auto"/>
            <w:noWrap/>
            <w:hideMark/>
          </w:tcPr>
          <w:p w14:paraId="00495DC3" w14:textId="77777777" w:rsidR="008441A3" w:rsidRPr="009E108D" w:rsidRDefault="008441A3" w:rsidP="008441A3">
            <w:pPr>
              <w:rPr>
                <w:rFonts w:ascii="Arial" w:hAnsi="Arial" w:cs="Arial"/>
                <w:sz w:val="20"/>
                <w:szCs w:val="20"/>
                <w:lang w:eastAsia="es-CR"/>
              </w:rPr>
            </w:pPr>
            <w:r w:rsidRPr="009E108D">
              <w:rPr>
                <w:rFonts w:ascii="Arial" w:hAnsi="Arial" w:cs="Arial"/>
                <w:sz w:val="20"/>
                <w:szCs w:val="20"/>
                <w:lang w:eastAsia="es-CR"/>
              </w:rPr>
              <w:t xml:space="preserve">C54 Resolver ecuaciones trigonométricas </w:t>
            </w:r>
            <m:oMath>
              <m:r>
                <w:rPr>
                  <w:rFonts w:ascii="Cambria Math" w:hAnsi="Cambria Math" w:cs="Arial"/>
                  <w:sz w:val="20"/>
                  <w:szCs w:val="20"/>
                  <w:lang w:eastAsia="es-CR"/>
                </w:rPr>
                <m:t>f</m:t>
              </m:r>
              <m:d>
                <m:dPr>
                  <m:ctrlPr>
                    <w:rPr>
                      <w:rFonts w:ascii="Cambria Math" w:hAnsi="Cambria Math" w:cs="Arial"/>
                      <w:i/>
                      <w:sz w:val="20"/>
                      <w:szCs w:val="20"/>
                      <w:lang w:eastAsia="es-CR"/>
                    </w:rPr>
                  </m:ctrlPr>
                </m:dPr>
                <m:e>
                  <m:r>
                    <w:rPr>
                      <w:rFonts w:ascii="Cambria Math" w:hAnsi="Cambria Math" w:cs="Arial"/>
                      <w:sz w:val="20"/>
                      <w:szCs w:val="20"/>
                      <w:lang w:eastAsia="es-CR"/>
                    </w:rPr>
                    <m:t>x</m:t>
                  </m:r>
                </m:e>
              </m:d>
              <m:r>
                <w:rPr>
                  <w:rFonts w:ascii="Cambria Math" w:hAnsi="Cambria Math" w:cs="Arial"/>
                  <w:sz w:val="20"/>
                  <w:szCs w:val="20"/>
                  <w:lang w:eastAsia="es-CR"/>
                </w:rPr>
                <m:t>=a</m:t>
              </m:r>
            </m:oMath>
            <w:r w:rsidRPr="009E108D">
              <w:rPr>
                <w:rFonts w:ascii="Arial" w:hAnsi="Arial" w:cs="Arial"/>
                <w:sz w:val="20"/>
                <w:szCs w:val="20"/>
                <w:lang w:eastAsia="es-CR"/>
              </w:rPr>
              <w:t xml:space="preserve">, con </w:t>
            </w:r>
            <m:oMath>
              <m:r>
                <w:rPr>
                  <w:rFonts w:ascii="Cambria Math" w:hAnsi="Cambria Math" w:cs="Arial"/>
                  <w:sz w:val="20"/>
                  <w:szCs w:val="20"/>
                  <w:lang w:eastAsia="es-CR"/>
                </w:rPr>
                <m:t>f(x)</m:t>
              </m:r>
            </m:oMath>
            <w:r w:rsidRPr="009E108D">
              <w:rPr>
                <w:rFonts w:ascii="Arial" w:hAnsi="Arial" w:cs="Arial"/>
                <w:sz w:val="20"/>
                <w:szCs w:val="20"/>
                <w:lang w:eastAsia="es-CR"/>
              </w:rPr>
              <w:t xml:space="preserve"> igual a </w:t>
            </w:r>
            <m:oMath>
              <m:r>
                <w:rPr>
                  <w:rFonts w:ascii="Cambria Math" w:hAnsi="Cambria Math" w:cs="Arial"/>
                  <w:sz w:val="20"/>
                  <w:szCs w:val="20"/>
                  <w:lang w:eastAsia="es-CR"/>
                </w:rPr>
                <m:t>sen(x)</m:t>
              </m:r>
            </m:oMath>
            <w:r w:rsidRPr="009E108D">
              <w:rPr>
                <w:rFonts w:ascii="Arial" w:hAnsi="Arial" w:cs="Arial"/>
                <w:sz w:val="20"/>
                <w:szCs w:val="20"/>
                <w:lang w:eastAsia="es-CR"/>
              </w:rPr>
              <w:t xml:space="preserve">, </w:t>
            </w:r>
            <m:oMath>
              <m:r>
                <w:rPr>
                  <w:rFonts w:ascii="Cambria Math" w:hAnsi="Cambria Math" w:cs="Arial"/>
                  <w:sz w:val="20"/>
                  <w:szCs w:val="20"/>
                  <w:lang w:eastAsia="es-CR"/>
                </w:rPr>
                <m:t>cos(x)</m:t>
              </m:r>
            </m:oMath>
            <w:r w:rsidRPr="009E108D">
              <w:rPr>
                <w:rFonts w:ascii="Arial" w:hAnsi="Arial" w:cs="Arial"/>
                <w:sz w:val="20"/>
                <w:szCs w:val="20"/>
                <w:lang w:eastAsia="es-CR"/>
              </w:rPr>
              <w:t xml:space="preserve"> o </w:t>
            </w:r>
            <m:oMath>
              <m:r>
                <w:rPr>
                  <w:rFonts w:ascii="Cambria Math" w:hAnsi="Cambria Math" w:cs="Arial"/>
                  <w:sz w:val="20"/>
                  <w:szCs w:val="20"/>
                  <w:lang w:eastAsia="es-CR"/>
                </w:rPr>
                <m:t>tan(x).</m:t>
              </m:r>
            </m:oMath>
          </w:p>
        </w:tc>
        <w:tc>
          <w:tcPr>
            <w:tcW w:w="371" w:type="dxa"/>
            <w:vMerge/>
            <w:tcBorders>
              <w:left w:val="nil"/>
              <w:bottom w:val="single" w:sz="4" w:space="0" w:color="auto"/>
              <w:right w:val="nil"/>
            </w:tcBorders>
            <w:shd w:val="clear" w:color="auto" w:fill="auto"/>
            <w:noWrap/>
            <w:hideMark/>
          </w:tcPr>
          <w:p w14:paraId="199E9FD0" w14:textId="77777777" w:rsidR="008441A3" w:rsidRPr="009E108D" w:rsidRDefault="008441A3" w:rsidP="008441A3">
            <w:pPr>
              <w:rPr>
                <w:rFonts w:ascii="Arial" w:hAnsi="Arial" w:cs="Arial"/>
                <w:b/>
                <w:bCs/>
                <w:sz w:val="20"/>
                <w:szCs w:val="20"/>
                <w:lang w:eastAsia="es-CR"/>
              </w:rPr>
            </w:pPr>
          </w:p>
        </w:tc>
      </w:tr>
    </w:tbl>
    <w:bookmarkEnd w:id="15"/>
    <w:p w14:paraId="5ACC0E38" w14:textId="77777777" w:rsidR="008441A3" w:rsidRPr="00E34BD0" w:rsidRDefault="008441A3" w:rsidP="008441A3">
      <w:pPr>
        <w:spacing w:after="160" w:line="480" w:lineRule="auto"/>
        <w:jc w:val="both"/>
        <w:rPr>
          <w:rFonts w:ascii="Arial" w:eastAsiaTheme="minorHAnsi" w:hAnsi="Arial" w:cs="Arial"/>
          <w:sz w:val="20"/>
          <w:szCs w:val="20"/>
          <w:lang w:eastAsia="en-US"/>
        </w:rPr>
      </w:pPr>
      <w:r w:rsidRPr="00E34BD0">
        <w:rPr>
          <w:rFonts w:ascii="Arial" w:eastAsiaTheme="minorHAnsi" w:hAnsi="Arial" w:cs="Arial"/>
          <w:iCs/>
          <w:sz w:val="20"/>
          <w:szCs w:val="20"/>
          <w:lang w:eastAsia="en-US"/>
        </w:rPr>
        <w:t>Nota</w:t>
      </w:r>
      <w:r w:rsidRPr="00E34BD0">
        <w:rPr>
          <w:rFonts w:ascii="Arial" w:eastAsiaTheme="minorHAnsi" w:hAnsi="Arial" w:cs="Arial"/>
          <w:sz w:val="20"/>
          <w:szCs w:val="20"/>
          <w:lang w:eastAsia="en-US"/>
        </w:rPr>
        <w:t>. * Contenidos clasificados como muy relevantes por los jueces.</w:t>
      </w:r>
    </w:p>
    <w:p w14:paraId="614A5348" w14:textId="77777777" w:rsidR="008441A3" w:rsidRPr="008441A3" w:rsidRDefault="008441A3" w:rsidP="004C4CD9">
      <w:pPr>
        <w:spacing w:before="100" w:beforeAutospacing="1" w:after="100" w:afterAutospacing="1" w:line="360" w:lineRule="auto"/>
        <w:jc w:val="both"/>
        <w:rPr>
          <w:rFonts w:ascii="Arial" w:eastAsiaTheme="minorHAnsi" w:hAnsi="Arial" w:cs="Arial"/>
          <w:b/>
          <w:bCs/>
          <w:lang w:eastAsia="en-US"/>
        </w:rPr>
      </w:pPr>
      <w:r w:rsidRPr="008441A3">
        <w:rPr>
          <w:rFonts w:ascii="Arial" w:eastAsiaTheme="minorHAnsi" w:hAnsi="Arial" w:cs="Arial"/>
          <w:b/>
          <w:bCs/>
          <w:lang w:eastAsia="en-US"/>
        </w:rPr>
        <w:t>Estructura factorial de la prueba</w:t>
      </w:r>
    </w:p>
    <w:p w14:paraId="7B69E24B" w14:textId="77777777" w:rsidR="008441A3" w:rsidRPr="008441A3" w:rsidRDefault="008441A3" w:rsidP="004C4CD9">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El análisis paralelo de la matriz de varianzas de los ítems sugirió la presencia de tres factores. A partir de lo anterior, se realizó un análisis factorial con 3 factores, con el método de estimación de mínimos residuos cuadráticos. </w:t>
      </w:r>
    </w:p>
    <w:p w14:paraId="281B6217" w14:textId="77777777" w:rsidR="008441A3" w:rsidRPr="008441A3" w:rsidRDefault="008441A3" w:rsidP="004C4CD9">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En el factor 1 quedó identificado por 23 ítems, 19 de ellos fueron reactivos de las áreas de operaciones algebraicas I y II, transformaciones algebraicas I y ecuaciones I y II. Por otra parte, hubo 17 ítems que presentaron cargas factoriales superiores a .30 en el segundo factor, 16 de ellos fueron de las áreas de conocimientos básicos de funciones I y II, y funciones exponencial, logarítmica e inversa. Con base en lo anterior, los factores 1 y 2 se asociaron a </w:t>
      </w:r>
      <w:r w:rsidRPr="008441A3">
        <w:rPr>
          <w:rFonts w:ascii="Arial" w:eastAsiaTheme="minorHAnsi" w:hAnsi="Arial" w:cs="Arial"/>
          <w:i/>
          <w:iCs/>
          <w:lang w:eastAsia="en-US"/>
        </w:rPr>
        <w:t>conocimientos de álgebra</w:t>
      </w:r>
      <w:r w:rsidRPr="008441A3">
        <w:rPr>
          <w:rFonts w:ascii="Arial" w:eastAsiaTheme="minorHAnsi" w:hAnsi="Arial" w:cs="Arial"/>
          <w:lang w:eastAsia="en-US"/>
        </w:rPr>
        <w:t xml:space="preserve"> y </w:t>
      </w:r>
      <w:r w:rsidRPr="008441A3">
        <w:rPr>
          <w:rFonts w:ascii="Arial" w:eastAsiaTheme="minorHAnsi" w:hAnsi="Arial" w:cs="Arial"/>
          <w:i/>
          <w:iCs/>
          <w:lang w:eastAsia="en-US"/>
        </w:rPr>
        <w:t>conocimientos de funciones</w:t>
      </w:r>
      <w:r w:rsidRPr="008441A3">
        <w:rPr>
          <w:rFonts w:ascii="Arial" w:eastAsiaTheme="minorHAnsi" w:hAnsi="Arial" w:cs="Arial"/>
          <w:lang w:eastAsia="en-US"/>
        </w:rPr>
        <w:t xml:space="preserve">, respectivamente. </w:t>
      </w:r>
    </w:p>
    <w:p w14:paraId="3D8ED629" w14:textId="77777777" w:rsidR="008441A3" w:rsidRPr="008441A3" w:rsidRDefault="008441A3" w:rsidP="004C4CD9">
      <w:pPr>
        <w:spacing w:before="100" w:beforeAutospacing="1" w:after="100" w:afterAutospacing="1" w:line="360" w:lineRule="auto"/>
        <w:jc w:val="both"/>
        <w:rPr>
          <w:rFonts w:ascii="Arial" w:eastAsiaTheme="minorHAnsi" w:hAnsi="Arial" w:cs="Arial"/>
          <w:i/>
          <w:iCs/>
          <w:lang w:eastAsia="en-US"/>
        </w:rPr>
      </w:pPr>
      <w:r w:rsidRPr="008441A3">
        <w:rPr>
          <w:rFonts w:ascii="Arial" w:eastAsiaTheme="minorHAnsi" w:hAnsi="Arial" w:cs="Arial"/>
          <w:lang w:eastAsia="en-US"/>
        </w:rPr>
        <w:t xml:space="preserve">El factor 3 presentó cargas factoriales muy bajas, de hecho, la carga máxima fue de .35, debido a lo anterior se adaptó el punto de corte de identificación de este factor a .20 </w:t>
      </w:r>
      <w:r w:rsidRPr="008441A3">
        <w:rPr>
          <w:rFonts w:ascii="Arial" w:eastAsiaTheme="minorHAnsi" w:hAnsi="Arial" w:cs="Arial"/>
          <w:lang w:eastAsia="en-US"/>
        </w:rPr>
        <w:fldChar w:fldCharType="begin"/>
      </w:r>
      <w:r w:rsidRPr="008441A3">
        <w:rPr>
          <w:rFonts w:ascii="Arial" w:eastAsiaTheme="minorHAnsi" w:hAnsi="Arial" w:cs="Arial"/>
          <w:lang w:eastAsia="en-US"/>
        </w:rPr>
        <w:instrText xml:space="preserve"> ADDIN ZOTERO_ITEM CSL_CITATION {"citationID":"iu3QicZR","properties":{"formattedCitation":"(L. Rojas, 2021)","plainCitation":"(L. Rojas, 2021)","dontUpdate":true,"noteIndex":0},"citationItems":[{"id":21,"uris":["http://zotero.org/users/3781354/items/PSAEQ46T"],"itemData":{"id":21,"type":"thesis","genre":"Tesis para optar por el grado de Doctorado en Educación","publisher":"Universidad de Costa Rica","title":"Mecanismos subaycentes a la asociación de la ansiedad ante los exámenes con el rendimiento en pruebas","author":[{"family":"Rojas","given":"L."}],"issued":{"date-parts":[["2021"]]}}}],"schema":"https://github.com/citation-style-language/schema/raw/master/csl-citation.json"} </w:instrText>
      </w:r>
      <w:r w:rsidRPr="008441A3">
        <w:rPr>
          <w:rFonts w:ascii="Arial" w:eastAsiaTheme="minorHAnsi" w:hAnsi="Arial" w:cs="Arial"/>
          <w:lang w:eastAsia="en-US"/>
        </w:rPr>
        <w:fldChar w:fldCharType="separate"/>
      </w:r>
      <w:r w:rsidRPr="008441A3">
        <w:rPr>
          <w:rFonts w:ascii="Arial" w:eastAsiaTheme="minorHAnsi" w:hAnsi="Arial" w:cs="Arial"/>
          <w:lang w:eastAsia="en-US"/>
        </w:rPr>
        <w:t>(Rojas, 2021)</w:t>
      </w:r>
      <w:r w:rsidRPr="008441A3">
        <w:rPr>
          <w:rFonts w:ascii="Arial" w:eastAsiaTheme="minorHAnsi" w:hAnsi="Arial" w:cs="Arial"/>
          <w:lang w:eastAsia="en-US"/>
        </w:rPr>
        <w:fldChar w:fldCharType="end"/>
      </w:r>
      <w:r w:rsidRPr="008441A3">
        <w:rPr>
          <w:rFonts w:ascii="Arial" w:eastAsiaTheme="minorHAnsi" w:hAnsi="Arial" w:cs="Arial"/>
          <w:lang w:eastAsia="en-US"/>
        </w:rPr>
        <w:t xml:space="preserve">. De los 10 ítems que cargaron en este factor, 9 fueron de las áreas de funciones trigonométricas y de transformaciones algebraicas II, ambas de temáticas de precálculo. A partir de esta información, se concluyó que este factor se asoció a </w:t>
      </w:r>
      <w:r w:rsidRPr="008441A3">
        <w:rPr>
          <w:rFonts w:ascii="Arial" w:eastAsiaTheme="minorHAnsi" w:hAnsi="Arial" w:cs="Arial"/>
          <w:i/>
          <w:iCs/>
          <w:lang w:eastAsia="en-US"/>
        </w:rPr>
        <w:t>conocimientos específicos de precálculo.</w:t>
      </w:r>
    </w:p>
    <w:p w14:paraId="356BAF88" w14:textId="20773FED" w:rsidR="008441A3" w:rsidRPr="001D0D80" w:rsidRDefault="008441A3" w:rsidP="001D0D80">
      <w:pPr>
        <w:spacing w:after="100" w:afterAutospacing="1"/>
        <w:jc w:val="center"/>
        <w:rPr>
          <w:rFonts w:ascii="Arial" w:eastAsiaTheme="minorHAnsi" w:hAnsi="Arial" w:cs="Arial"/>
          <w:b/>
          <w:iCs/>
          <w:sz w:val="20"/>
          <w:szCs w:val="20"/>
          <w:lang w:val="es-ES" w:eastAsia="en-US"/>
        </w:rPr>
      </w:pPr>
      <w:r w:rsidRPr="001D0D80">
        <w:rPr>
          <w:rFonts w:ascii="Arial" w:eastAsiaTheme="minorHAnsi" w:hAnsi="Arial" w:cs="Arial"/>
          <w:b/>
          <w:bCs/>
          <w:sz w:val="20"/>
          <w:szCs w:val="20"/>
          <w:lang w:val="es-ES" w:eastAsia="en-US"/>
        </w:rPr>
        <w:lastRenderedPageBreak/>
        <w:t>Tabla 2</w:t>
      </w:r>
      <w:r w:rsidR="00B53A7B" w:rsidRPr="001D0D80">
        <w:rPr>
          <w:rFonts w:ascii="Arial" w:eastAsiaTheme="minorHAnsi" w:hAnsi="Arial" w:cs="Arial"/>
          <w:b/>
          <w:bCs/>
          <w:sz w:val="20"/>
          <w:szCs w:val="20"/>
          <w:lang w:val="es-ES" w:eastAsia="en-US"/>
        </w:rPr>
        <w:t xml:space="preserve">. </w:t>
      </w:r>
      <w:r w:rsidRPr="001D0D80">
        <w:rPr>
          <w:rFonts w:ascii="Arial" w:eastAsiaTheme="minorHAnsi" w:hAnsi="Arial" w:cs="Arial"/>
          <w:b/>
          <w:iCs/>
          <w:sz w:val="20"/>
          <w:szCs w:val="20"/>
          <w:lang w:val="es-ES" w:eastAsia="en-US"/>
        </w:rPr>
        <w:t>Estadísticas de los ítems de la prueba de diagnóstico, según secciones y áreas</w:t>
      </w:r>
    </w:p>
    <w:tbl>
      <w:tblPr>
        <w:tblW w:w="9031" w:type="dxa"/>
        <w:jc w:val="center"/>
        <w:tblCellMar>
          <w:left w:w="70" w:type="dxa"/>
          <w:right w:w="70" w:type="dxa"/>
        </w:tblCellMar>
        <w:tblLook w:val="04A0" w:firstRow="1" w:lastRow="0" w:firstColumn="1" w:lastColumn="0" w:noHBand="0" w:noVBand="1"/>
      </w:tblPr>
      <w:tblGrid>
        <w:gridCol w:w="705"/>
        <w:gridCol w:w="705"/>
        <w:gridCol w:w="705"/>
        <w:gridCol w:w="708"/>
        <w:gridCol w:w="281"/>
        <w:gridCol w:w="705"/>
        <w:gridCol w:w="705"/>
        <w:gridCol w:w="705"/>
        <w:gridCol w:w="708"/>
        <w:gridCol w:w="281"/>
        <w:gridCol w:w="705"/>
        <w:gridCol w:w="705"/>
        <w:gridCol w:w="705"/>
        <w:gridCol w:w="708"/>
      </w:tblGrid>
      <w:tr w:rsidR="008441A3" w:rsidRPr="001D0D80" w14:paraId="073B37DA" w14:textId="77777777" w:rsidTr="00AE1E2A">
        <w:trPr>
          <w:trHeight w:val="310"/>
          <w:jc w:val="center"/>
        </w:trPr>
        <w:tc>
          <w:tcPr>
            <w:tcW w:w="705" w:type="dxa"/>
            <w:tcBorders>
              <w:top w:val="single" w:sz="4" w:space="0" w:color="auto"/>
              <w:left w:val="nil"/>
              <w:bottom w:val="single" w:sz="4" w:space="0" w:color="auto"/>
              <w:right w:val="nil"/>
            </w:tcBorders>
            <w:shd w:val="clear" w:color="auto" w:fill="auto"/>
            <w:noWrap/>
            <w:vAlign w:val="center"/>
            <w:hideMark/>
          </w:tcPr>
          <w:p w14:paraId="7F39BF2E"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ítem</w:t>
            </w:r>
          </w:p>
        </w:tc>
        <w:tc>
          <w:tcPr>
            <w:tcW w:w="705" w:type="dxa"/>
            <w:tcBorders>
              <w:top w:val="single" w:sz="4" w:space="0" w:color="auto"/>
              <w:left w:val="nil"/>
              <w:bottom w:val="single" w:sz="4" w:space="0" w:color="auto"/>
              <w:right w:val="nil"/>
            </w:tcBorders>
            <w:shd w:val="clear" w:color="auto" w:fill="auto"/>
            <w:noWrap/>
            <w:vAlign w:val="center"/>
            <w:hideMark/>
          </w:tcPr>
          <w:p w14:paraId="6568528D" w14:textId="77777777" w:rsidR="008441A3" w:rsidRPr="001D0D80" w:rsidRDefault="008441A3" w:rsidP="008441A3">
            <w:pPr>
              <w:jc w:val="right"/>
              <w:rPr>
                <w:rFonts w:ascii="Arial" w:hAnsi="Arial" w:cs="Arial"/>
                <w:b/>
                <w:bCs/>
                <w:sz w:val="20"/>
                <w:szCs w:val="20"/>
                <w:lang w:val="es-419" w:eastAsia="es-419"/>
              </w:rPr>
            </w:pPr>
            <w:proofErr w:type="spellStart"/>
            <w:r w:rsidRPr="001D0D80">
              <w:rPr>
                <w:rFonts w:ascii="Arial" w:hAnsi="Arial" w:cs="Arial"/>
                <w:b/>
                <w:bCs/>
                <w:sz w:val="20"/>
                <w:szCs w:val="20"/>
                <w:lang w:eastAsia="es-419"/>
              </w:rPr>
              <w:t>Cont</w:t>
            </w:r>
            <w:proofErr w:type="spellEnd"/>
          </w:p>
        </w:tc>
        <w:tc>
          <w:tcPr>
            <w:tcW w:w="705" w:type="dxa"/>
            <w:tcBorders>
              <w:top w:val="single" w:sz="4" w:space="0" w:color="auto"/>
              <w:left w:val="nil"/>
              <w:bottom w:val="single" w:sz="4" w:space="0" w:color="auto"/>
              <w:right w:val="nil"/>
            </w:tcBorders>
            <w:shd w:val="clear" w:color="auto" w:fill="auto"/>
            <w:noWrap/>
            <w:vAlign w:val="center"/>
            <w:hideMark/>
          </w:tcPr>
          <w:p w14:paraId="6E33DB63"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 ac.</w:t>
            </w:r>
          </w:p>
        </w:tc>
        <w:tc>
          <w:tcPr>
            <w:tcW w:w="705" w:type="dxa"/>
            <w:tcBorders>
              <w:top w:val="single" w:sz="4" w:space="0" w:color="auto"/>
              <w:left w:val="nil"/>
              <w:bottom w:val="single" w:sz="4" w:space="0" w:color="auto"/>
              <w:right w:val="nil"/>
            </w:tcBorders>
            <w:shd w:val="clear" w:color="auto" w:fill="auto"/>
            <w:noWrap/>
            <w:vAlign w:val="center"/>
            <w:hideMark/>
          </w:tcPr>
          <w:p w14:paraId="567461F2"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 xml:space="preserve"> </w:t>
            </w:r>
            <w:proofErr w:type="spellStart"/>
            <w:r w:rsidRPr="001D0D80">
              <w:rPr>
                <w:rFonts w:ascii="Arial" w:hAnsi="Arial" w:cs="Arial"/>
                <w:b/>
                <w:bCs/>
                <w:sz w:val="20"/>
                <w:szCs w:val="20"/>
                <w:lang w:eastAsia="es-419"/>
              </w:rPr>
              <w:t>It-tot</w:t>
            </w:r>
            <w:proofErr w:type="spellEnd"/>
          </w:p>
        </w:tc>
        <w:tc>
          <w:tcPr>
            <w:tcW w:w="281" w:type="dxa"/>
            <w:tcBorders>
              <w:top w:val="single" w:sz="4" w:space="0" w:color="auto"/>
              <w:left w:val="nil"/>
              <w:bottom w:val="nil"/>
              <w:right w:val="nil"/>
            </w:tcBorders>
            <w:shd w:val="clear" w:color="auto" w:fill="auto"/>
            <w:noWrap/>
            <w:vAlign w:val="center"/>
            <w:hideMark/>
          </w:tcPr>
          <w:p w14:paraId="49DE59DB"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 </w:t>
            </w:r>
          </w:p>
        </w:tc>
        <w:tc>
          <w:tcPr>
            <w:tcW w:w="705" w:type="dxa"/>
            <w:tcBorders>
              <w:top w:val="single" w:sz="4" w:space="0" w:color="auto"/>
              <w:left w:val="nil"/>
              <w:bottom w:val="single" w:sz="4" w:space="0" w:color="auto"/>
              <w:right w:val="nil"/>
            </w:tcBorders>
            <w:shd w:val="clear" w:color="auto" w:fill="auto"/>
            <w:noWrap/>
            <w:vAlign w:val="center"/>
            <w:hideMark/>
          </w:tcPr>
          <w:p w14:paraId="7229F156"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ítem</w:t>
            </w:r>
          </w:p>
        </w:tc>
        <w:tc>
          <w:tcPr>
            <w:tcW w:w="705" w:type="dxa"/>
            <w:tcBorders>
              <w:top w:val="single" w:sz="4" w:space="0" w:color="auto"/>
              <w:left w:val="nil"/>
              <w:bottom w:val="single" w:sz="4" w:space="0" w:color="auto"/>
              <w:right w:val="nil"/>
            </w:tcBorders>
            <w:shd w:val="clear" w:color="auto" w:fill="auto"/>
            <w:noWrap/>
            <w:vAlign w:val="center"/>
            <w:hideMark/>
          </w:tcPr>
          <w:p w14:paraId="4E1C54B8" w14:textId="77777777" w:rsidR="008441A3" w:rsidRPr="001D0D80" w:rsidRDefault="008441A3" w:rsidP="008441A3">
            <w:pPr>
              <w:jc w:val="right"/>
              <w:rPr>
                <w:rFonts w:ascii="Arial" w:hAnsi="Arial" w:cs="Arial"/>
                <w:b/>
                <w:bCs/>
                <w:sz w:val="20"/>
                <w:szCs w:val="20"/>
                <w:lang w:val="es-419" w:eastAsia="es-419"/>
              </w:rPr>
            </w:pPr>
            <w:proofErr w:type="spellStart"/>
            <w:r w:rsidRPr="001D0D80">
              <w:rPr>
                <w:rFonts w:ascii="Arial" w:hAnsi="Arial" w:cs="Arial"/>
                <w:b/>
                <w:bCs/>
                <w:sz w:val="20"/>
                <w:szCs w:val="20"/>
                <w:lang w:eastAsia="es-419"/>
              </w:rPr>
              <w:t>Cont</w:t>
            </w:r>
            <w:proofErr w:type="spellEnd"/>
          </w:p>
        </w:tc>
        <w:tc>
          <w:tcPr>
            <w:tcW w:w="705" w:type="dxa"/>
            <w:tcBorders>
              <w:top w:val="single" w:sz="4" w:space="0" w:color="auto"/>
              <w:left w:val="nil"/>
              <w:bottom w:val="single" w:sz="4" w:space="0" w:color="auto"/>
              <w:right w:val="nil"/>
            </w:tcBorders>
            <w:shd w:val="clear" w:color="auto" w:fill="auto"/>
            <w:noWrap/>
            <w:vAlign w:val="center"/>
            <w:hideMark/>
          </w:tcPr>
          <w:p w14:paraId="2FEB0703"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 ac.</w:t>
            </w:r>
          </w:p>
        </w:tc>
        <w:tc>
          <w:tcPr>
            <w:tcW w:w="705" w:type="dxa"/>
            <w:tcBorders>
              <w:top w:val="single" w:sz="4" w:space="0" w:color="auto"/>
              <w:left w:val="nil"/>
              <w:bottom w:val="single" w:sz="4" w:space="0" w:color="auto"/>
              <w:right w:val="nil"/>
            </w:tcBorders>
            <w:shd w:val="clear" w:color="auto" w:fill="auto"/>
            <w:noWrap/>
            <w:vAlign w:val="center"/>
            <w:hideMark/>
          </w:tcPr>
          <w:p w14:paraId="6678D4B4"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 xml:space="preserve"> </w:t>
            </w:r>
            <w:proofErr w:type="spellStart"/>
            <w:r w:rsidRPr="001D0D80">
              <w:rPr>
                <w:rFonts w:ascii="Arial" w:hAnsi="Arial" w:cs="Arial"/>
                <w:b/>
                <w:bCs/>
                <w:sz w:val="20"/>
                <w:szCs w:val="20"/>
                <w:lang w:eastAsia="es-419"/>
              </w:rPr>
              <w:t>It-tot</w:t>
            </w:r>
            <w:proofErr w:type="spellEnd"/>
          </w:p>
        </w:tc>
        <w:tc>
          <w:tcPr>
            <w:tcW w:w="281" w:type="dxa"/>
            <w:tcBorders>
              <w:top w:val="single" w:sz="4" w:space="0" w:color="auto"/>
              <w:left w:val="nil"/>
              <w:bottom w:val="nil"/>
              <w:right w:val="nil"/>
            </w:tcBorders>
            <w:shd w:val="clear" w:color="auto" w:fill="auto"/>
            <w:noWrap/>
            <w:vAlign w:val="bottom"/>
            <w:hideMark/>
          </w:tcPr>
          <w:p w14:paraId="4484FCB2"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single" w:sz="4" w:space="0" w:color="auto"/>
              <w:left w:val="nil"/>
              <w:bottom w:val="single" w:sz="4" w:space="0" w:color="auto"/>
              <w:right w:val="nil"/>
            </w:tcBorders>
            <w:shd w:val="clear" w:color="auto" w:fill="auto"/>
            <w:noWrap/>
            <w:vAlign w:val="center"/>
            <w:hideMark/>
          </w:tcPr>
          <w:p w14:paraId="3CDF0371"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ítem</w:t>
            </w:r>
          </w:p>
        </w:tc>
        <w:tc>
          <w:tcPr>
            <w:tcW w:w="705" w:type="dxa"/>
            <w:tcBorders>
              <w:top w:val="single" w:sz="4" w:space="0" w:color="auto"/>
              <w:left w:val="nil"/>
              <w:bottom w:val="single" w:sz="4" w:space="0" w:color="auto"/>
              <w:right w:val="nil"/>
            </w:tcBorders>
            <w:shd w:val="clear" w:color="auto" w:fill="auto"/>
            <w:noWrap/>
            <w:vAlign w:val="center"/>
            <w:hideMark/>
          </w:tcPr>
          <w:p w14:paraId="5293EA87" w14:textId="77777777" w:rsidR="008441A3" w:rsidRPr="001D0D80" w:rsidRDefault="008441A3" w:rsidP="008441A3">
            <w:pPr>
              <w:jc w:val="right"/>
              <w:rPr>
                <w:rFonts w:ascii="Arial" w:hAnsi="Arial" w:cs="Arial"/>
                <w:b/>
                <w:bCs/>
                <w:sz w:val="20"/>
                <w:szCs w:val="20"/>
                <w:lang w:val="es-419" w:eastAsia="es-419"/>
              </w:rPr>
            </w:pPr>
            <w:proofErr w:type="spellStart"/>
            <w:r w:rsidRPr="001D0D80">
              <w:rPr>
                <w:rFonts w:ascii="Arial" w:hAnsi="Arial" w:cs="Arial"/>
                <w:b/>
                <w:bCs/>
                <w:sz w:val="20"/>
                <w:szCs w:val="20"/>
                <w:lang w:eastAsia="es-419"/>
              </w:rPr>
              <w:t>Cont</w:t>
            </w:r>
            <w:proofErr w:type="spellEnd"/>
          </w:p>
        </w:tc>
        <w:tc>
          <w:tcPr>
            <w:tcW w:w="705" w:type="dxa"/>
            <w:tcBorders>
              <w:top w:val="single" w:sz="4" w:space="0" w:color="auto"/>
              <w:left w:val="nil"/>
              <w:bottom w:val="single" w:sz="4" w:space="0" w:color="auto"/>
              <w:right w:val="nil"/>
            </w:tcBorders>
            <w:shd w:val="clear" w:color="auto" w:fill="auto"/>
            <w:noWrap/>
            <w:vAlign w:val="center"/>
            <w:hideMark/>
          </w:tcPr>
          <w:p w14:paraId="0F992D24"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 ac.</w:t>
            </w:r>
          </w:p>
        </w:tc>
        <w:tc>
          <w:tcPr>
            <w:tcW w:w="705" w:type="dxa"/>
            <w:tcBorders>
              <w:top w:val="single" w:sz="4" w:space="0" w:color="auto"/>
              <w:left w:val="nil"/>
              <w:bottom w:val="single" w:sz="4" w:space="0" w:color="auto"/>
              <w:right w:val="nil"/>
            </w:tcBorders>
            <w:shd w:val="clear" w:color="auto" w:fill="auto"/>
            <w:noWrap/>
            <w:vAlign w:val="center"/>
            <w:hideMark/>
          </w:tcPr>
          <w:p w14:paraId="0265675E"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 xml:space="preserve"> </w:t>
            </w:r>
            <w:proofErr w:type="spellStart"/>
            <w:r w:rsidRPr="001D0D80">
              <w:rPr>
                <w:rFonts w:ascii="Arial" w:hAnsi="Arial" w:cs="Arial"/>
                <w:b/>
                <w:bCs/>
                <w:sz w:val="20"/>
                <w:szCs w:val="20"/>
                <w:lang w:eastAsia="es-419"/>
              </w:rPr>
              <w:t>It-tot</w:t>
            </w:r>
            <w:proofErr w:type="spellEnd"/>
          </w:p>
        </w:tc>
      </w:tr>
      <w:tr w:rsidR="008441A3" w:rsidRPr="001D0D80" w14:paraId="1ED06B1D" w14:textId="77777777" w:rsidTr="00AE1E2A">
        <w:trPr>
          <w:trHeight w:val="310"/>
          <w:jc w:val="center"/>
        </w:trPr>
        <w:tc>
          <w:tcPr>
            <w:tcW w:w="2823" w:type="dxa"/>
            <w:gridSpan w:val="4"/>
            <w:tcBorders>
              <w:top w:val="single" w:sz="4" w:space="0" w:color="auto"/>
              <w:left w:val="nil"/>
              <w:bottom w:val="nil"/>
              <w:right w:val="nil"/>
            </w:tcBorders>
            <w:shd w:val="clear" w:color="auto" w:fill="auto"/>
            <w:noWrap/>
            <w:vAlign w:val="center"/>
            <w:hideMark/>
          </w:tcPr>
          <w:p w14:paraId="05DA4A3E"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Cont. de Álgebra</w:t>
            </w:r>
          </w:p>
        </w:tc>
        <w:tc>
          <w:tcPr>
            <w:tcW w:w="281" w:type="dxa"/>
            <w:tcBorders>
              <w:top w:val="nil"/>
              <w:left w:val="nil"/>
              <w:bottom w:val="nil"/>
              <w:right w:val="nil"/>
            </w:tcBorders>
            <w:shd w:val="clear" w:color="auto" w:fill="auto"/>
            <w:noWrap/>
            <w:vAlign w:val="bottom"/>
            <w:hideMark/>
          </w:tcPr>
          <w:p w14:paraId="225EDECB" w14:textId="77777777" w:rsidR="008441A3" w:rsidRPr="001D0D80" w:rsidRDefault="008441A3" w:rsidP="008441A3">
            <w:pPr>
              <w:rPr>
                <w:rFonts w:ascii="Arial" w:hAnsi="Arial" w:cs="Arial"/>
                <w:b/>
                <w:bCs/>
                <w:sz w:val="20"/>
                <w:szCs w:val="20"/>
                <w:lang w:val="es-419" w:eastAsia="es-419"/>
              </w:rPr>
            </w:pPr>
          </w:p>
        </w:tc>
        <w:tc>
          <w:tcPr>
            <w:tcW w:w="2823" w:type="dxa"/>
            <w:gridSpan w:val="4"/>
            <w:tcBorders>
              <w:top w:val="single" w:sz="4" w:space="0" w:color="auto"/>
              <w:left w:val="nil"/>
              <w:bottom w:val="nil"/>
              <w:right w:val="nil"/>
            </w:tcBorders>
            <w:shd w:val="clear" w:color="auto" w:fill="auto"/>
            <w:noWrap/>
            <w:vAlign w:val="center"/>
            <w:hideMark/>
          </w:tcPr>
          <w:p w14:paraId="2C95D7C2" w14:textId="77777777" w:rsidR="008441A3" w:rsidRPr="001D0D80" w:rsidRDefault="008441A3" w:rsidP="008441A3">
            <w:pPr>
              <w:rPr>
                <w:rFonts w:ascii="Arial" w:hAnsi="Arial" w:cs="Arial"/>
                <w:i/>
                <w:iCs/>
                <w:sz w:val="20"/>
                <w:szCs w:val="20"/>
                <w:lang w:val="es-419" w:eastAsia="es-419"/>
              </w:rPr>
            </w:pPr>
            <w:r w:rsidRPr="001D0D80">
              <w:rPr>
                <w:rFonts w:ascii="Arial" w:hAnsi="Arial" w:cs="Arial"/>
                <w:i/>
                <w:iCs/>
                <w:sz w:val="20"/>
                <w:szCs w:val="20"/>
                <w:lang w:eastAsia="es-419"/>
              </w:rPr>
              <w:t>Ecuaciones II</w:t>
            </w:r>
          </w:p>
        </w:tc>
        <w:tc>
          <w:tcPr>
            <w:tcW w:w="281" w:type="dxa"/>
            <w:tcBorders>
              <w:top w:val="nil"/>
              <w:left w:val="nil"/>
              <w:bottom w:val="nil"/>
              <w:right w:val="nil"/>
            </w:tcBorders>
            <w:shd w:val="clear" w:color="auto" w:fill="auto"/>
            <w:noWrap/>
            <w:vAlign w:val="bottom"/>
            <w:hideMark/>
          </w:tcPr>
          <w:p w14:paraId="0B830166" w14:textId="77777777" w:rsidR="008441A3" w:rsidRPr="001D0D80" w:rsidRDefault="008441A3" w:rsidP="008441A3">
            <w:pPr>
              <w:rPr>
                <w:rFonts w:ascii="Arial" w:hAnsi="Arial" w:cs="Arial"/>
                <w:i/>
                <w:iCs/>
                <w:sz w:val="20"/>
                <w:szCs w:val="20"/>
                <w:lang w:val="es-419" w:eastAsia="es-419"/>
              </w:rPr>
            </w:pPr>
          </w:p>
        </w:tc>
        <w:tc>
          <w:tcPr>
            <w:tcW w:w="2823" w:type="dxa"/>
            <w:gridSpan w:val="4"/>
            <w:tcBorders>
              <w:top w:val="nil"/>
              <w:left w:val="nil"/>
              <w:bottom w:val="nil"/>
              <w:right w:val="nil"/>
            </w:tcBorders>
            <w:shd w:val="clear" w:color="auto" w:fill="auto"/>
            <w:noWrap/>
            <w:vAlign w:val="center"/>
            <w:hideMark/>
          </w:tcPr>
          <w:p w14:paraId="3BD96A51" w14:textId="77777777" w:rsidR="008441A3" w:rsidRPr="001D0D80" w:rsidRDefault="008441A3" w:rsidP="008441A3">
            <w:pPr>
              <w:rPr>
                <w:rFonts w:ascii="Arial" w:hAnsi="Arial" w:cs="Arial"/>
                <w:i/>
                <w:iCs/>
                <w:sz w:val="20"/>
                <w:szCs w:val="20"/>
                <w:lang w:val="es-419" w:eastAsia="es-419"/>
              </w:rPr>
            </w:pPr>
            <w:proofErr w:type="spellStart"/>
            <w:r w:rsidRPr="001D0D80">
              <w:rPr>
                <w:rFonts w:ascii="Arial" w:hAnsi="Arial" w:cs="Arial"/>
                <w:i/>
                <w:iCs/>
                <w:sz w:val="20"/>
                <w:szCs w:val="20"/>
                <w:lang w:eastAsia="es-419"/>
              </w:rPr>
              <w:t>Conc</w:t>
            </w:r>
            <w:proofErr w:type="spellEnd"/>
            <w:r w:rsidRPr="001D0D80">
              <w:rPr>
                <w:rFonts w:ascii="Arial" w:hAnsi="Arial" w:cs="Arial"/>
                <w:i/>
                <w:iCs/>
                <w:sz w:val="20"/>
                <w:szCs w:val="20"/>
                <w:lang w:eastAsia="es-419"/>
              </w:rPr>
              <w:t xml:space="preserve">. básicos de </w:t>
            </w:r>
            <w:proofErr w:type="spellStart"/>
            <w:r w:rsidRPr="001D0D80">
              <w:rPr>
                <w:rFonts w:ascii="Arial" w:hAnsi="Arial" w:cs="Arial"/>
                <w:i/>
                <w:iCs/>
                <w:sz w:val="20"/>
                <w:szCs w:val="20"/>
                <w:lang w:eastAsia="es-419"/>
              </w:rPr>
              <w:t>func</w:t>
            </w:r>
            <w:proofErr w:type="spellEnd"/>
            <w:r w:rsidRPr="001D0D80">
              <w:rPr>
                <w:rFonts w:ascii="Arial" w:hAnsi="Arial" w:cs="Arial"/>
                <w:i/>
                <w:iCs/>
                <w:sz w:val="20"/>
                <w:szCs w:val="20"/>
                <w:lang w:eastAsia="es-419"/>
              </w:rPr>
              <w:t>. II</w:t>
            </w:r>
          </w:p>
        </w:tc>
      </w:tr>
      <w:tr w:rsidR="008441A3" w:rsidRPr="001D0D80" w14:paraId="29225B64" w14:textId="77777777" w:rsidTr="00AE1E2A">
        <w:trPr>
          <w:trHeight w:val="310"/>
          <w:jc w:val="center"/>
        </w:trPr>
        <w:tc>
          <w:tcPr>
            <w:tcW w:w="2823" w:type="dxa"/>
            <w:gridSpan w:val="4"/>
            <w:tcBorders>
              <w:top w:val="nil"/>
              <w:left w:val="nil"/>
              <w:bottom w:val="nil"/>
              <w:right w:val="nil"/>
            </w:tcBorders>
            <w:shd w:val="clear" w:color="auto" w:fill="auto"/>
            <w:noWrap/>
            <w:vAlign w:val="center"/>
            <w:hideMark/>
          </w:tcPr>
          <w:p w14:paraId="3CA9E82A" w14:textId="77777777" w:rsidR="008441A3" w:rsidRPr="001D0D80" w:rsidRDefault="008441A3" w:rsidP="008441A3">
            <w:pPr>
              <w:rPr>
                <w:rFonts w:ascii="Arial" w:hAnsi="Arial" w:cs="Arial"/>
                <w:i/>
                <w:iCs/>
                <w:sz w:val="20"/>
                <w:szCs w:val="20"/>
                <w:lang w:val="es-419" w:eastAsia="es-419"/>
              </w:rPr>
            </w:pPr>
            <w:r w:rsidRPr="001D0D80">
              <w:rPr>
                <w:rFonts w:ascii="Arial" w:hAnsi="Arial" w:cs="Arial"/>
                <w:i/>
                <w:iCs/>
                <w:sz w:val="20"/>
                <w:szCs w:val="20"/>
                <w:lang w:eastAsia="es-419"/>
              </w:rPr>
              <w:t>Operaciones algebraicas I</w:t>
            </w:r>
          </w:p>
        </w:tc>
        <w:tc>
          <w:tcPr>
            <w:tcW w:w="281" w:type="dxa"/>
            <w:tcBorders>
              <w:top w:val="nil"/>
              <w:left w:val="nil"/>
              <w:bottom w:val="nil"/>
              <w:right w:val="nil"/>
            </w:tcBorders>
            <w:shd w:val="clear" w:color="auto" w:fill="auto"/>
            <w:noWrap/>
            <w:vAlign w:val="center"/>
            <w:hideMark/>
          </w:tcPr>
          <w:p w14:paraId="5D3C68AD" w14:textId="77777777" w:rsidR="008441A3" w:rsidRPr="001D0D80" w:rsidRDefault="008441A3" w:rsidP="008441A3">
            <w:pPr>
              <w:rPr>
                <w:rFonts w:ascii="Arial" w:hAnsi="Arial" w:cs="Arial"/>
                <w:i/>
                <w:iCs/>
                <w:sz w:val="20"/>
                <w:szCs w:val="20"/>
                <w:lang w:val="es-419" w:eastAsia="es-419"/>
              </w:rPr>
            </w:pPr>
          </w:p>
        </w:tc>
        <w:tc>
          <w:tcPr>
            <w:tcW w:w="705" w:type="dxa"/>
            <w:tcBorders>
              <w:top w:val="nil"/>
              <w:left w:val="nil"/>
              <w:bottom w:val="nil"/>
              <w:right w:val="nil"/>
            </w:tcBorders>
            <w:shd w:val="clear" w:color="auto" w:fill="auto"/>
            <w:noWrap/>
            <w:vAlign w:val="center"/>
            <w:hideMark/>
          </w:tcPr>
          <w:p w14:paraId="71889162"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P42</w:t>
            </w:r>
          </w:p>
        </w:tc>
        <w:tc>
          <w:tcPr>
            <w:tcW w:w="705" w:type="dxa"/>
            <w:tcBorders>
              <w:top w:val="nil"/>
              <w:left w:val="nil"/>
              <w:bottom w:val="nil"/>
              <w:right w:val="nil"/>
            </w:tcBorders>
            <w:shd w:val="clear" w:color="auto" w:fill="auto"/>
            <w:noWrap/>
            <w:vAlign w:val="center"/>
            <w:hideMark/>
          </w:tcPr>
          <w:p w14:paraId="1F3E42F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C39</w:t>
            </w:r>
          </w:p>
        </w:tc>
        <w:tc>
          <w:tcPr>
            <w:tcW w:w="705" w:type="dxa"/>
            <w:tcBorders>
              <w:top w:val="nil"/>
              <w:left w:val="nil"/>
              <w:bottom w:val="nil"/>
              <w:right w:val="nil"/>
            </w:tcBorders>
            <w:shd w:val="clear" w:color="auto" w:fill="auto"/>
            <w:noWrap/>
            <w:vAlign w:val="center"/>
            <w:hideMark/>
          </w:tcPr>
          <w:p w14:paraId="329B694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30.6</w:t>
            </w:r>
          </w:p>
        </w:tc>
        <w:tc>
          <w:tcPr>
            <w:tcW w:w="705" w:type="dxa"/>
            <w:tcBorders>
              <w:top w:val="nil"/>
              <w:left w:val="nil"/>
              <w:bottom w:val="nil"/>
              <w:right w:val="nil"/>
            </w:tcBorders>
            <w:shd w:val="clear" w:color="auto" w:fill="auto"/>
            <w:noWrap/>
            <w:vAlign w:val="center"/>
            <w:hideMark/>
          </w:tcPr>
          <w:p w14:paraId="0F228C1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0.62</w:t>
            </w:r>
          </w:p>
        </w:tc>
        <w:tc>
          <w:tcPr>
            <w:tcW w:w="281" w:type="dxa"/>
            <w:tcBorders>
              <w:top w:val="nil"/>
              <w:left w:val="nil"/>
              <w:bottom w:val="nil"/>
              <w:right w:val="nil"/>
            </w:tcBorders>
            <w:shd w:val="clear" w:color="auto" w:fill="auto"/>
            <w:noWrap/>
            <w:vAlign w:val="bottom"/>
            <w:hideMark/>
          </w:tcPr>
          <w:p w14:paraId="3B64B973"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222B56FB"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P46</w:t>
            </w:r>
          </w:p>
        </w:tc>
        <w:tc>
          <w:tcPr>
            <w:tcW w:w="705" w:type="dxa"/>
            <w:tcBorders>
              <w:top w:val="nil"/>
              <w:left w:val="nil"/>
              <w:bottom w:val="nil"/>
              <w:right w:val="nil"/>
            </w:tcBorders>
            <w:shd w:val="clear" w:color="auto" w:fill="auto"/>
            <w:noWrap/>
            <w:vAlign w:val="center"/>
            <w:hideMark/>
          </w:tcPr>
          <w:p w14:paraId="73B4ABB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C44</w:t>
            </w:r>
          </w:p>
        </w:tc>
        <w:tc>
          <w:tcPr>
            <w:tcW w:w="705" w:type="dxa"/>
            <w:tcBorders>
              <w:top w:val="nil"/>
              <w:left w:val="nil"/>
              <w:bottom w:val="nil"/>
              <w:right w:val="nil"/>
            </w:tcBorders>
            <w:shd w:val="clear" w:color="auto" w:fill="auto"/>
            <w:noWrap/>
            <w:vAlign w:val="center"/>
            <w:hideMark/>
          </w:tcPr>
          <w:p w14:paraId="752D08E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72.7</w:t>
            </w:r>
          </w:p>
        </w:tc>
        <w:tc>
          <w:tcPr>
            <w:tcW w:w="705" w:type="dxa"/>
            <w:tcBorders>
              <w:top w:val="nil"/>
              <w:left w:val="nil"/>
              <w:bottom w:val="nil"/>
              <w:right w:val="nil"/>
            </w:tcBorders>
            <w:shd w:val="clear" w:color="auto" w:fill="auto"/>
            <w:noWrap/>
            <w:vAlign w:val="center"/>
            <w:hideMark/>
          </w:tcPr>
          <w:p w14:paraId="5BBAD24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0.33</w:t>
            </w:r>
          </w:p>
        </w:tc>
      </w:tr>
      <w:tr w:rsidR="008441A3" w:rsidRPr="001D0D80" w14:paraId="3FDEA80B"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2618E47F"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w:t>
            </w:r>
          </w:p>
        </w:tc>
        <w:tc>
          <w:tcPr>
            <w:tcW w:w="705" w:type="dxa"/>
            <w:tcBorders>
              <w:top w:val="nil"/>
              <w:left w:val="nil"/>
              <w:bottom w:val="nil"/>
              <w:right w:val="nil"/>
            </w:tcBorders>
            <w:shd w:val="clear" w:color="auto" w:fill="auto"/>
            <w:noWrap/>
            <w:vAlign w:val="center"/>
            <w:hideMark/>
          </w:tcPr>
          <w:p w14:paraId="2402957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w:t>
            </w:r>
          </w:p>
        </w:tc>
        <w:tc>
          <w:tcPr>
            <w:tcW w:w="705" w:type="dxa"/>
            <w:tcBorders>
              <w:top w:val="nil"/>
              <w:left w:val="nil"/>
              <w:bottom w:val="nil"/>
              <w:right w:val="nil"/>
            </w:tcBorders>
            <w:shd w:val="clear" w:color="auto" w:fill="auto"/>
            <w:noWrap/>
            <w:vAlign w:val="center"/>
            <w:hideMark/>
          </w:tcPr>
          <w:p w14:paraId="122C819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59.9</w:t>
            </w:r>
          </w:p>
        </w:tc>
        <w:tc>
          <w:tcPr>
            <w:tcW w:w="705" w:type="dxa"/>
            <w:tcBorders>
              <w:top w:val="nil"/>
              <w:left w:val="nil"/>
              <w:bottom w:val="nil"/>
              <w:right w:val="nil"/>
            </w:tcBorders>
            <w:shd w:val="clear" w:color="auto" w:fill="auto"/>
            <w:noWrap/>
            <w:vAlign w:val="center"/>
            <w:hideMark/>
          </w:tcPr>
          <w:p w14:paraId="50757B9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0.45</w:t>
            </w:r>
          </w:p>
        </w:tc>
        <w:tc>
          <w:tcPr>
            <w:tcW w:w="281" w:type="dxa"/>
            <w:tcBorders>
              <w:top w:val="nil"/>
              <w:left w:val="nil"/>
              <w:bottom w:val="nil"/>
              <w:right w:val="nil"/>
            </w:tcBorders>
            <w:shd w:val="clear" w:color="auto" w:fill="auto"/>
            <w:noWrap/>
            <w:vAlign w:val="bottom"/>
            <w:hideMark/>
          </w:tcPr>
          <w:p w14:paraId="4614217B"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0D5557A9"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P43</w:t>
            </w:r>
          </w:p>
        </w:tc>
        <w:tc>
          <w:tcPr>
            <w:tcW w:w="705" w:type="dxa"/>
            <w:tcBorders>
              <w:top w:val="nil"/>
              <w:left w:val="nil"/>
              <w:bottom w:val="nil"/>
              <w:right w:val="nil"/>
            </w:tcBorders>
            <w:shd w:val="clear" w:color="auto" w:fill="auto"/>
            <w:noWrap/>
            <w:vAlign w:val="center"/>
            <w:hideMark/>
          </w:tcPr>
          <w:p w14:paraId="1E10980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C40</w:t>
            </w:r>
          </w:p>
        </w:tc>
        <w:tc>
          <w:tcPr>
            <w:tcW w:w="705" w:type="dxa"/>
            <w:tcBorders>
              <w:top w:val="nil"/>
              <w:left w:val="nil"/>
              <w:bottom w:val="nil"/>
              <w:right w:val="nil"/>
            </w:tcBorders>
            <w:shd w:val="clear" w:color="auto" w:fill="auto"/>
            <w:noWrap/>
            <w:vAlign w:val="center"/>
            <w:hideMark/>
          </w:tcPr>
          <w:p w14:paraId="7DA62A9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26.2</w:t>
            </w:r>
          </w:p>
        </w:tc>
        <w:tc>
          <w:tcPr>
            <w:tcW w:w="705" w:type="dxa"/>
            <w:tcBorders>
              <w:top w:val="nil"/>
              <w:left w:val="nil"/>
              <w:bottom w:val="nil"/>
              <w:right w:val="nil"/>
            </w:tcBorders>
            <w:shd w:val="clear" w:color="auto" w:fill="auto"/>
            <w:noWrap/>
            <w:vAlign w:val="center"/>
            <w:hideMark/>
          </w:tcPr>
          <w:p w14:paraId="6ABE184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0.63</w:t>
            </w:r>
          </w:p>
        </w:tc>
        <w:tc>
          <w:tcPr>
            <w:tcW w:w="281" w:type="dxa"/>
            <w:tcBorders>
              <w:top w:val="nil"/>
              <w:left w:val="nil"/>
              <w:bottom w:val="nil"/>
              <w:right w:val="nil"/>
            </w:tcBorders>
            <w:shd w:val="clear" w:color="auto" w:fill="auto"/>
            <w:noWrap/>
            <w:vAlign w:val="bottom"/>
            <w:hideMark/>
          </w:tcPr>
          <w:p w14:paraId="19B6928C"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0C20B92A"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P47</w:t>
            </w:r>
          </w:p>
        </w:tc>
        <w:tc>
          <w:tcPr>
            <w:tcW w:w="705" w:type="dxa"/>
            <w:tcBorders>
              <w:top w:val="nil"/>
              <w:left w:val="nil"/>
              <w:bottom w:val="nil"/>
              <w:right w:val="nil"/>
            </w:tcBorders>
            <w:shd w:val="clear" w:color="auto" w:fill="auto"/>
            <w:noWrap/>
            <w:vAlign w:val="center"/>
            <w:hideMark/>
          </w:tcPr>
          <w:p w14:paraId="5E6C2B7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C44</w:t>
            </w:r>
          </w:p>
        </w:tc>
        <w:tc>
          <w:tcPr>
            <w:tcW w:w="705" w:type="dxa"/>
            <w:tcBorders>
              <w:top w:val="nil"/>
              <w:left w:val="nil"/>
              <w:bottom w:val="nil"/>
              <w:right w:val="nil"/>
            </w:tcBorders>
            <w:shd w:val="clear" w:color="auto" w:fill="auto"/>
            <w:noWrap/>
            <w:vAlign w:val="center"/>
            <w:hideMark/>
          </w:tcPr>
          <w:p w14:paraId="76CD5331"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19.7</w:t>
            </w:r>
          </w:p>
        </w:tc>
        <w:tc>
          <w:tcPr>
            <w:tcW w:w="705" w:type="dxa"/>
            <w:tcBorders>
              <w:top w:val="nil"/>
              <w:left w:val="nil"/>
              <w:bottom w:val="nil"/>
              <w:right w:val="nil"/>
            </w:tcBorders>
            <w:shd w:val="clear" w:color="auto" w:fill="auto"/>
            <w:noWrap/>
            <w:vAlign w:val="center"/>
            <w:hideMark/>
          </w:tcPr>
          <w:p w14:paraId="3DFD778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0.45</w:t>
            </w:r>
          </w:p>
        </w:tc>
      </w:tr>
      <w:tr w:rsidR="008441A3" w:rsidRPr="001D0D80" w14:paraId="47E836CE"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5BE18476"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w:t>
            </w:r>
          </w:p>
        </w:tc>
        <w:tc>
          <w:tcPr>
            <w:tcW w:w="705" w:type="dxa"/>
            <w:tcBorders>
              <w:top w:val="nil"/>
              <w:left w:val="nil"/>
              <w:bottom w:val="nil"/>
              <w:right w:val="nil"/>
            </w:tcBorders>
            <w:shd w:val="clear" w:color="auto" w:fill="auto"/>
            <w:noWrap/>
            <w:vAlign w:val="center"/>
            <w:hideMark/>
          </w:tcPr>
          <w:p w14:paraId="75A3943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w:t>
            </w:r>
          </w:p>
        </w:tc>
        <w:tc>
          <w:tcPr>
            <w:tcW w:w="705" w:type="dxa"/>
            <w:tcBorders>
              <w:top w:val="nil"/>
              <w:left w:val="nil"/>
              <w:bottom w:val="nil"/>
              <w:right w:val="nil"/>
            </w:tcBorders>
            <w:shd w:val="clear" w:color="auto" w:fill="auto"/>
            <w:noWrap/>
            <w:vAlign w:val="center"/>
            <w:hideMark/>
          </w:tcPr>
          <w:p w14:paraId="1F7A94D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24.5</w:t>
            </w:r>
          </w:p>
        </w:tc>
        <w:tc>
          <w:tcPr>
            <w:tcW w:w="705" w:type="dxa"/>
            <w:tcBorders>
              <w:top w:val="nil"/>
              <w:left w:val="nil"/>
              <w:bottom w:val="nil"/>
              <w:right w:val="nil"/>
            </w:tcBorders>
            <w:shd w:val="clear" w:color="auto" w:fill="auto"/>
            <w:noWrap/>
            <w:vAlign w:val="center"/>
            <w:hideMark/>
          </w:tcPr>
          <w:p w14:paraId="3CABF9A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0.58</w:t>
            </w:r>
          </w:p>
        </w:tc>
        <w:tc>
          <w:tcPr>
            <w:tcW w:w="281" w:type="dxa"/>
            <w:tcBorders>
              <w:top w:val="nil"/>
              <w:left w:val="nil"/>
              <w:bottom w:val="nil"/>
              <w:right w:val="nil"/>
            </w:tcBorders>
            <w:shd w:val="clear" w:color="auto" w:fill="auto"/>
            <w:noWrap/>
            <w:vAlign w:val="bottom"/>
            <w:hideMark/>
          </w:tcPr>
          <w:p w14:paraId="2C9572CE"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7C621B54"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P44</w:t>
            </w:r>
          </w:p>
        </w:tc>
        <w:tc>
          <w:tcPr>
            <w:tcW w:w="705" w:type="dxa"/>
            <w:tcBorders>
              <w:top w:val="nil"/>
              <w:left w:val="nil"/>
              <w:bottom w:val="nil"/>
              <w:right w:val="nil"/>
            </w:tcBorders>
            <w:shd w:val="clear" w:color="auto" w:fill="auto"/>
            <w:noWrap/>
            <w:vAlign w:val="center"/>
            <w:hideMark/>
          </w:tcPr>
          <w:p w14:paraId="5ABF653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C41</w:t>
            </w:r>
          </w:p>
        </w:tc>
        <w:tc>
          <w:tcPr>
            <w:tcW w:w="705" w:type="dxa"/>
            <w:tcBorders>
              <w:top w:val="nil"/>
              <w:left w:val="nil"/>
              <w:bottom w:val="nil"/>
              <w:right w:val="nil"/>
            </w:tcBorders>
            <w:shd w:val="clear" w:color="auto" w:fill="auto"/>
            <w:noWrap/>
            <w:vAlign w:val="center"/>
            <w:hideMark/>
          </w:tcPr>
          <w:p w14:paraId="7B99F66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28.5</w:t>
            </w:r>
          </w:p>
        </w:tc>
        <w:tc>
          <w:tcPr>
            <w:tcW w:w="705" w:type="dxa"/>
            <w:tcBorders>
              <w:top w:val="nil"/>
              <w:left w:val="nil"/>
              <w:bottom w:val="nil"/>
              <w:right w:val="nil"/>
            </w:tcBorders>
            <w:shd w:val="clear" w:color="auto" w:fill="auto"/>
            <w:noWrap/>
            <w:vAlign w:val="center"/>
            <w:hideMark/>
          </w:tcPr>
          <w:p w14:paraId="5C8F5D1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0.55</w:t>
            </w:r>
          </w:p>
        </w:tc>
        <w:tc>
          <w:tcPr>
            <w:tcW w:w="281" w:type="dxa"/>
            <w:tcBorders>
              <w:top w:val="nil"/>
              <w:left w:val="nil"/>
              <w:bottom w:val="nil"/>
              <w:right w:val="nil"/>
            </w:tcBorders>
            <w:shd w:val="clear" w:color="auto" w:fill="auto"/>
            <w:noWrap/>
            <w:vAlign w:val="bottom"/>
            <w:hideMark/>
          </w:tcPr>
          <w:p w14:paraId="02F3C6EE"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5D233E13"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P48</w:t>
            </w:r>
          </w:p>
        </w:tc>
        <w:tc>
          <w:tcPr>
            <w:tcW w:w="705" w:type="dxa"/>
            <w:tcBorders>
              <w:top w:val="nil"/>
              <w:left w:val="nil"/>
              <w:bottom w:val="nil"/>
              <w:right w:val="nil"/>
            </w:tcBorders>
            <w:shd w:val="clear" w:color="auto" w:fill="auto"/>
            <w:noWrap/>
            <w:vAlign w:val="center"/>
            <w:hideMark/>
          </w:tcPr>
          <w:p w14:paraId="2C113FC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C46</w:t>
            </w:r>
          </w:p>
        </w:tc>
        <w:tc>
          <w:tcPr>
            <w:tcW w:w="705" w:type="dxa"/>
            <w:tcBorders>
              <w:top w:val="nil"/>
              <w:left w:val="nil"/>
              <w:bottom w:val="nil"/>
              <w:right w:val="nil"/>
            </w:tcBorders>
            <w:shd w:val="clear" w:color="auto" w:fill="auto"/>
            <w:noWrap/>
            <w:vAlign w:val="center"/>
            <w:hideMark/>
          </w:tcPr>
          <w:p w14:paraId="2CC8ED8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37.4</w:t>
            </w:r>
          </w:p>
        </w:tc>
        <w:tc>
          <w:tcPr>
            <w:tcW w:w="705" w:type="dxa"/>
            <w:tcBorders>
              <w:top w:val="nil"/>
              <w:left w:val="nil"/>
              <w:bottom w:val="nil"/>
              <w:right w:val="nil"/>
            </w:tcBorders>
            <w:shd w:val="clear" w:color="auto" w:fill="auto"/>
            <w:noWrap/>
            <w:vAlign w:val="center"/>
            <w:hideMark/>
          </w:tcPr>
          <w:p w14:paraId="334DBA1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0.40</w:t>
            </w:r>
          </w:p>
        </w:tc>
      </w:tr>
      <w:tr w:rsidR="008441A3" w:rsidRPr="001D0D80" w14:paraId="5C9418AE"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328B56C0"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w:t>
            </w:r>
          </w:p>
        </w:tc>
        <w:tc>
          <w:tcPr>
            <w:tcW w:w="705" w:type="dxa"/>
            <w:tcBorders>
              <w:top w:val="nil"/>
              <w:left w:val="nil"/>
              <w:bottom w:val="nil"/>
              <w:right w:val="nil"/>
            </w:tcBorders>
            <w:shd w:val="clear" w:color="auto" w:fill="auto"/>
            <w:noWrap/>
            <w:vAlign w:val="center"/>
            <w:hideMark/>
          </w:tcPr>
          <w:p w14:paraId="268BDC6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w:t>
            </w:r>
          </w:p>
        </w:tc>
        <w:tc>
          <w:tcPr>
            <w:tcW w:w="705" w:type="dxa"/>
            <w:tcBorders>
              <w:top w:val="nil"/>
              <w:left w:val="nil"/>
              <w:bottom w:val="nil"/>
              <w:right w:val="nil"/>
            </w:tcBorders>
            <w:shd w:val="clear" w:color="auto" w:fill="auto"/>
            <w:noWrap/>
            <w:vAlign w:val="center"/>
            <w:hideMark/>
          </w:tcPr>
          <w:p w14:paraId="5E92BD9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32.7</w:t>
            </w:r>
          </w:p>
        </w:tc>
        <w:tc>
          <w:tcPr>
            <w:tcW w:w="705" w:type="dxa"/>
            <w:tcBorders>
              <w:top w:val="nil"/>
              <w:left w:val="nil"/>
              <w:bottom w:val="nil"/>
              <w:right w:val="nil"/>
            </w:tcBorders>
            <w:shd w:val="clear" w:color="auto" w:fill="auto"/>
            <w:noWrap/>
            <w:vAlign w:val="center"/>
            <w:hideMark/>
          </w:tcPr>
          <w:p w14:paraId="3E80652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0.62</w:t>
            </w:r>
          </w:p>
        </w:tc>
        <w:tc>
          <w:tcPr>
            <w:tcW w:w="281" w:type="dxa"/>
            <w:tcBorders>
              <w:top w:val="nil"/>
              <w:left w:val="nil"/>
              <w:bottom w:val="nil"/>
              <w:right w:val="nil"/>
            </w:tcBorders>
            <w:shd w:val="clear" w:color="auto" w:fill="auto"/>
            <w:noWrap/>
            <w:vAlign w:val="bottom"/>
            <w:hideMark/>
          </w:tcPr>
          <w:p w14:paraId="5EB6844E"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single" w:sz="4" w:space="0" w:color="auto"/>
              <w:right w:val="nil"/>
            </w:tcBorders>
            <w:shd w:val="clear" w:color="auto" w:fill="auto"/>
            <w:noWrap/>
            <w:vAlign w:val="center"/>
            <w:hideMark/>
          </w:tcPr>
          <w:p w14:paraId="1AFE8213"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P45</w:t>
            </w:r>
          </w:p>
        </w:tc>
        <w:tc>
          <w:tcPr>
            <w:tcW w:w="705" w:type="dxa"/>
            <w:tcBorders>
              <w:top w:val="nil"/>
              <w:left w:val="nil"/>
              <w:bottom w:val="single" w:sz="4" w:space="0" w:color="auto"/>
              <w:right w:val="nil"/>
            </w:tcBorders>
            <w:shd w:val="clear" w:color="auto" w:fill="auto"/>
            <w:noWrap/>
            <w:vAlign w:val="center"/>
            <w:hideMark/>
          </w:tcPr>
          <w:p w14:paraId="30D0CF4C"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C43</w:t>
            </w:r>
          </w:p>
        </w:tc>
        <w:tc>
          <w:tcPr>
            <w:tcW w:w="705" w:type="dxa"/>
            <w:tcBorders>
              <w:top w:val="nil"/>
              <w:left w:val="nil"/>
              <w:bottom w:val="single" w:sz="4" w:space="0" w:color="auto"/>
              <w:right w:val="nil"/>
            </w:tcBorders>
            <w:shd w:val="clear" w:color="auto" w:fill="auto"/>
            <w:noWrap/>
            <w:vAlign w:val="center"/>
            <w:hideMark/>
          </w:tcPr>
          <w:p w14:paraId="55AD598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31.5</w:t>
            </w:r>
          </w:p>
        </w:tc>
        <w:tc>
          <w:tcPr>
            <w:tcW w:w="705" w:type="dxa"/>
            <w:tcBorders>
              <w:top w:val="nil"/>
              <w:left w:val="nil"/>
              <w:bottom w:val="single" w:sz="4" w:space="0" w:color="auto"/>
              <w:right w:val="nil"/>
            </w:tcBorders>
            <w:shd w:val="clear" w:color="auto" w:fill="auto"/>
            <w:noWrap/>
            <w:vAlign w:val="center"/>
            <w:hideMark/>
          </w:tcPr>
          <w:p w14:paraId="7650250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0.51</w:t>
            </w:r>
          </w:p>
        </w:tc>
        <w:tc>
          <w:tcPr>
            <w:tcW w:w="281" w:type="dxa"/>
            <w:tcBorders>
              <w:top w:val="nil"/>
              <w:left w:val="nil"/>
              <w:bottom w:val="nil"/>
              <w:right w:val="nil"/>
            </w:tcBorders>
            <w:shd w:val="clear" w:color="auto" w:fill="auto"/>
            <w:noWrap/>
            <w:vAlign w:val="bottom"/>
            <w:hideMark/>
          </w:tcPr>
          <w:p w14:paraId="7BA92B9F"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23FB67E0"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P49</w:t>
            </w:r>
          </w:p>
        </w:tc>
        <w:tc>
          <w:tcPr>
            <w:tcW w:w="705" w:type="dxa"/>
            <w:tcBorders>
              <w:top w:val="nil"/>
              <w:left w:val="nil"/>
              <w:bottom w:val="nil"/>
              <w:right w:val="nil"/>
            </w:tcBorders>
            <w:shd w:val="clear" w:color="auto" w:fill="auto"/>
            <w:noWrap/>
            <w:vAlign w:val="center"/>
            <w:hideMark/>
          </w:tcPr>
          <w:p w14:paraId="7ECCD29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C47</w:t>
            </w:r>
          </w:p>
        </w:tc>
        <w:tc>
          <w:tcPr>
            <w:tcW w:w="705" w:type="dxa"/>
            <w:tcBorders>
              <w:top w:val="nil"/>
              <w:left w:val="nil"/>
              <w:bottom w:val="nil"/>
              <w:right w:val="nil"/>
            </w:tcBorders>
            <w:shd w:val="clear" w:color="auto" w:fill="auto"/>
            <w:noWrap/>
            <w:vAlign w:val="center"/>
            <w:hideMark/>
          </w:tcPr>
          <w:p w14:paraId="12B8D3D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23.2</w:t>
            </w:r>
          </w:p>
        </w:tc>
        <w:tc>
          <w:tcPr>
            <w:tcW w:w="705" w:type="dxa"/>
            <w:tcBorders>
              <w:top w:val="nil"/>
              <w:left w:val="nil"/>
              <w:bottom w:val="nil"/>
              <w:right w:val="nil"/>
            </w:tcBorders>
            <w:shd w:val="clear" w:color="auto" w:fill="auto"/>
            <w:noWrap/>
            <w:vAlign w:val="center"/>
            <w:hideMark/>
          </w:tcPr>
          <w:p w14:paraId="57A47E7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0.52</w:t>
            </w:r>
          </w:p>
        </w:tc>
      </w:tr>
      <w:tr w:rsidR="008441A3" w:rsidRPr="001D0D80" w14:paraId="6C1AE334" w14:textId="77777777" w:rsidTr="00AE1E2A">
        <w:trPr>
          <w:trHeight w:val="326"/>
          <w:jc w:val="center"/>
        </w:trPr>
        <w:tc>
          <w:tcPr>
            <w:tcW w:w="705" w:type="dxa"/>
            <w:tcBorders>
              <w:top w:val="nil"/>
              <w:left w:val="nil"/>
              <w:bottom w:val="nil"/>
              <w:right w:val="nil"/>
            </w:tcBorders>
            <w:shd w:val="clear" w:color="auto" w:fill="auto"/>
            <w:noWrap/>
            <w:vAlign w:val="center"/>
            <w:hideMark/>
          </w:tcPr>
          <w:p w14:paraId="3883C4AC"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w:t>
            </w:r>
          </w:p>
        </w:tc>
        <w:tc>
          <w:tcPr>
            <w:tcW w:w="705" w:type="dxa"/>
            <w:tcBorders>
              <w:top w:val="nil"/>
              <w:left w:val="nil"/>
              <w:bottom w:val="nil"/>
              <w:right w:val="nil"/>
            </w:tcBorders>
            <w:shd w:val="clear" w:color="auto" w:fill="auto"/>
            <w:noWrap/>
            <w:vAlign w:val="center"/>
            <w:hideMark/>
          </w:tcPr>
          <w:p w14:paraId="321CBED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w:t>
            </w:r>
          </w:p>
        </w:tc>
        <w:tc>
          <w:tcPr>
            <w:tcW w:w="705" w:type="dxa"/>
            <w:tcBorders>
              <w:top w:val="nil"/>
              <w:left w:val="nil"/>
              <w:bottom w:val="nil"/>
              <w:right w:val="nil"/>
            </w:tcBorders>
            <w:shd w:val="clear" w:color="auto" w:fill="auto"/>
            <w:noWrap/>
            <w:vAlign w:val="center"/>
            <w:hideMark/>
          </w:tcPr>
          <w:p w14:paraId="13D14AF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46.2</w:t>
            </w:r>
          </w:p>
        </w:tc>
        <w:tc>
          <w:tcPr>
            <w:tcW w:w="705" w:type="dxa"/>
            <w:tcBorders>
              <w:top w:val="nil"/>
              <w:left w:val="nil"/>
              <w:bottom w:val="nil"/>
              <w:right w:val="nil"/>
            </w:tcBorders>
            <w:shd w:val="clear" w:color="auto" w:fill="auto"/>
            <w:noWrap/>
            <w:vAlign w:val="center"/>
            <w:hideMark/>
          </w:tcPr>
          <w:p w14:paraId="5F34D26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0.61</w:t>
            </w:r>
          </w:p>
        </w:tc>
        <w:tc>
          <w:tcPr>
            <w:tcW w:w="281" w:type="dxa"/>
            <w:tcBorders>
              <w:top w:val="nil"/>
              <w:left w:val="nil"/>
              <w:bottom w:val="nil"/>
              <w:right w:val="nil"/>
            </w:tcBorders>
            <w:shd w:val="clear" w:color="auto" w:fill="auto"/>
            <w:noWrap/>
            <w:vAlign w:val="bottom"/>
            <w:hideMark/>
          </w:tcPr>
          <w:p w14:paraId="08794F08"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single" w:sz="8" w:space="0" w:color="auto"/>
              <w:right w:val="nil"/>
            </w:tcBorders>
            <w:shd w:val="clear" w:color="auto" w:fill="auto"/>
            <w:noWrap/>
            <w:vAlign w:val="center"/>
            <w:hideMark/>
          </w:tcPr>
          <w:p w14:paraId="30D9988F" w14:textId="77777777" w:rsidR="008441A3" w:rsidRPr="001D0D80" w:rsidRDefault="008441A3" w:rsidP="008441A3">
            <w:pPr>
              <w:rPr>
                <w:rFonts w:ascii="Arial" w:hAnsi="Arial" w:cs="Arial"/>
                <w:sz w:val="20"/>
                <w:szCs w:val="20"/>
                <w:lang w:val="es-419" w:eastAsia="es-419"/>
              </w:rPr>
            </w:pPr>
            <w:proofErr w:type="spellStart"/>
            <w:r w:rsidRPr="001D0D80">
              <w:rPr>
                <w:rFonts w:ascii="Arial" w:hAnsi="Arial" w:cs="Arial"/>
                <w:sz w:val="20"/>
                <w:szCs w:val="20"/>
                <w:lang w:eastAsia="es-419"/>
              </w:rPr>
              <w:t>Prom</w:t>
            </w:r>
            <w:proofErr w:type="spellEnd"/>
            <w:r w:rsidRPr="001D0D80">
              <w:rPr>
                <w:rFonts w:ascii="Arial" w:hAnsi="Arial" w:cs="Arial"/>
                <w:sz w:val="20"/>
                <w:szCs w:val="20"/>
                <w:lang w:eastAsia="es-419"/>
              </w:rPr>
              <w:t>.</w:t>
            </w:r>
          </w:p>
        </w:tc>
        <w:tc>
          <w:tcPr>
            <w:tcW w:w="705" w:type="dxa"/>
            <w:tcBorders>
              <w:top w:val="nil"/>
              <w:left w:val="nil"/>
              <w:bottom w:val="single" w:sz="8" w:space="0" w:color="auto"/>
              <w:right w:val="nil"/>
            </w:tcBorders>
            <w:shd w:val="clear" w:color="auto" w:fill="auto"/>
            <w:noWrap/>
            <w:vAlign w:val="center"/>
            <w:hideMark/>
          </w:tcPr>
          <w:p w14:paraId="26BE77B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bottom w:val="single" w:sz="8" w:space="0" w:color="auto"/>
              <w:right w:val="nil"/>
            </w:tcBorders>
            <w:shd w:val="clear" w:color="auto" w:fill="auto"/>
            <w:noWrap/>
            <w:vAlign w:val="center"/>
            <w:hideMark/>
          </w:tcPr>
          <w:p w14:paraId="7402C80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33.9</w:t>
            </w:r>
          </w:p>
        </w:tc>
        <w:tc>
          <w:tcPr>
            <w:tcW w:w="705" w:type="dxa"/>
            <w:tcBorders>
              <w:top w:val="nil"/>
              <w:left w:val="nil"/>
              <w:bottom w:val="single" w:sz="8" w:space="0" w:color="auto"/>
              <w:right w:val="nil"/>
            </w:tcBorders>
            <w:shd w:val="clear" w:color="auto" w:fill="auto"/>
            <w:noWrap/>
            <w:vAlign w:val="center"/>
            <w:hideMark/>
          </w:tcPr>
          <w:p w14:paraId="29C0584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0.53</w:t>
            </w:r>
          </w:p>
        </w:tc>
        <w:tc>
          <w:tcPr>
            <w:tcW w:w="281" w:type="dxa"/>
            <w:tcBorders>
              <w:top w:val="nil"/>
              <w:left w:val="nil"/>
              <w:bottom w:val="nil"/>
              <w:right w:val="nil"/>
            </w:tcBorders>
            <w:shd w:val="clear" w:color="auto" w:fill="auto"/>
            <w:noWrap/>
            <w:vAlign w:val="bottom"/>
            <w:hideMark/>
          </w:tcPr>
          <w:p w14:paraId="5307B4B9"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69ACECA1"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P50</w:t>
            </w:r>
          </w:p>
        </w:tc>
        <w:tc>
          <w:tcPr>
            <w:tcW w:w="705" w:type="dxa"/>
            <w:tcBorders>
              <w:top w:val="nil"/>
              <w:left w:val="nil"/>
              <w:bottom w:val="nil"/>
              <w:right w:val="nil"/>
            </w:tcBorders>
            <w:shd w:val="clear" w:color="auto" w:fill="auto"/>
            <w:noWrap/>
            <w:vAlign w:val="center"/>
            <w:hideMark/>
          </w:tcPr>
          <w:p w14:paraId="29FECB0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C48</w:t>
            </w:r>
          </w:p>
        </w:tc>
        <w:tc>
          <w:tcPr>
            <w:tcW w:w="705" w:type="dxa"/>
            <w:tcBorders>
              <w:top w:val="nil"/>
              <w:left w:val="nil"/>
              <w:bottom w:val="nil"/>
              <w:right w:val="nil"/>
            </w:tcBorders>
            <w:shd w:val="clear" w:color="auto" w:fill="auto"/>
            <w:noWrap/>
            <w:vAlign w:val="center"/>
            <w:hideMark/>
          </w:tcPr>
          <w:p w14:paraId="2EBEE27F"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19.1</w:t>
            </w:r>
          </w:p>
        </w:tc>
        <w:tc>
          <w:tcPr>
            <w:tcW w:w="705" w:type="dxa"/>
            <w:tcBorders>
              <w:top w:val="nil"/>
              <w:left w:val="nil"/>
              <w:bottom w:val="nil"/>
              <w:right w:val="nil"/>
            </w:tcBorders>
            <w:shd w:val="clear" w:color="auto" w:fill="auto"/>
            <w:noWrap/>
            <w:vAlign w:val="center"/>
            <w:hideMark/>
          </w:tcPr>
          <w:p w14:paraId="6C03E2A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0.41</w:t>
            </w:r>
          </w:p>
        </w:tc>
      </w:tr>
      <w:tr w:rsidR="008441A3" w:rsidRPr="001D0D80" w14:paraId="76995825" w14:textId="77777777" w:rsidTr="00AE1E2A">
        <w:trPr>
          <w:trHeight w:val="326"/>
          <w:jc w:val="center"/>
        </w:trPr>
        <w:tc>
          <w:tcPr>
            <w:tcW w:w="705" w:type="dxa"/>
            <w:tcBorders>
              <w:top w:val="nil"/>
              <w:left w:val="nil"/>
              <w:bottom w:val="nil"/>
              <w:right w:val="nil"/>
            </w:tcBorders>
            <w:shd w:val="clear" w:color="auto" w:fill="auto"/>
            <w:noWrap/>
            <w:vAlign w:val="center"/>
            <w:hideMark/>
          </w:tcPr>
          <w:p w14:paraId="5E8B271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w:t>
            </w:r>
          </w:p>
        </w:tc>
        <w:tc>
          <w:tcPr>
            <w:tcW w:w="705" w:type="dxa"/>
            <w:tcBorders>
              <w:top w:val="nil"/>
              <w:left w:val="nil"/>
              <w:bottom w:val="nil"/>
              <w:right w:val="nil"/>
            </w:tcBorders>
            <w:shd w:val="clear" w:color="auto" w:fill="auto"/>
            <w:noWrap/>
            <w:vAlign w:val="center"/>
            <w:hideMark/>
          </w:tcPr>
          <w:p w14:paraId="1B68930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w:t>
            </w:r>
          </w:p>
        </w:tc>
        <w:tc>
          <w:tcPr>
            <w:tcW w:w="705" w:type="dxa"/>
            <w:tcBorders>
              <w:top w:val="nil"/>
              <w:left w:val="nil"/>
              <w:bottom w:val="nil"/>
              <w:right w:val="nil"/>
            </w:tcBorders>
            <w:shd w:val="clear" w:color="auto" w:fill="auto"/>
            <w:noWrap/>
            <w:vAlign w:val="center"/>
            <w:hideMark/>
          </w:tcPr>
          <w:p w14:paraId="15DD20F4"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18.6</w:t>
            </w:r>
          </w:p>
        </w:tc>
        <w:tc>
          <w:tcPr>
            <w:tcW w:w="705" w:type="dxa"/>
            <w:tcBorders>
              <w:top w:val="nil"/>
              <w:left w:val="nil"/>
              <w:bottom w:val="nil"/>
              <w:right w:val="nil"/>
            </w:tcBorders>
            <w:shd w:val="clear" w:color="auto" w:fill="auto"/>
            <w:noWrap/>
            <w:vAlign w:val="center"/>
            <w:hideMark/>
          </w:tcPr>
          <w:p w14:paraId="5F45E6F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0.38</w:t>
            </w:r>
          </w:p>
        </w:tc>
        <w:tc>
          <w:tcPr>
            <w:tcW w:w="281" w:type="dxa"/>
            <w:tcBorders>
              <w:top w:val="nil"/>
              <w:left w:val="nil"/>
              <w:bottom w:val="nil"/>
              <w:right w:val="nil"/>
            </w:tcBorders>
            <w:shd w:val="clear" w:color="auto" w:fill="auto"/>
            <w:noWrap/>
            <w:vAlign w:val="bottom"/>
            <w:hideMark/>
          </w:tcPr>
          <w:p w14:paraId="17BA5FA9"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63F48646"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36D007E4"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65CB9536"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4E281B39" w14:textId="77777777" w:rsidR="008441A3" w:rsidRPr="001D0D80" w:rsidRDefault="008441A3" w:rsidP="008441A3">
            <w:pPr>
              <w:rPr>
                <w:rFonts w:ascii="Arial" w:hAnsi="Arial" w:cs="Arial"/>
                <w:sz w:val="20"/>
                <w:szCs w:val="20"/>
                <w:lang w:val="es-419" w:eastAsia="es-419"/>
              </w:rPr>
            </w:pPr>
          </w:p>
        </w:tc>
        <w:tc>
          <w:tcPr>
            <w:tcW w:w="281" w:type="dxa"/>
            <w:tcBorders>
              <w:top w:val="nil"/>
              <w:left w:val="nil"/>
              <w:bottom w:val="nil"/>
              <w:right w:val="nil"/>
            </w:tcBorders>
            <w:shd w:val="clear" w:color="auto" w:fill="auto"/>
            <w:noWrap/>
            <w:vAlign w:val="bottom"/>
            <w:hideMark/>
          </w:tcPr>
          <w:p w14:paraId="73A9350B" w14:textId="77777777" w:rsidR="008441A3" w:rsidRPr="001D0D80" w:rsidRDefault="008441A3" w:rsidP="008441A3">
            <w:pPr>
              <w:rPr>
                <w:rFonts w:ascii="Arial" w:hAnsi="Arial" w:cs="Arial"/>
                <w:sz w:val="20"/>
                <w:szCs w:val="20"/>
                <w:lang w:val="es-419" w:eastAsia="es-419"/>
              </w:rPr>
            </w:pPr>
          </w:p>
        </w:tc>
        <w:tc>
          <w:tcPr>
            <w:tcW w:w="705" w:type="dxa"/>
            <w:tcBorders>
              <w:top w:val="single" w:sz="4" w:space="0" w:color="auto"/>
              <w:left w:val="nil"/>
              <w:bottom w:val="single" w:sz="8" w:space="0" w:color="auto"/>
              <w:right w:val="nil"/>
            </w:tcBorders>
            <w:shd w:val="clear" w:color="auto" w:fill="auto"/>
            <w:noWrap/>
            <w:vAlign w:val="center"/>
            <w:hideMark/>
          </w:tcPr>
          <w:p w14:paraId="3D64D0F2" w14:textId="77777777" w:rsidR="008441A3" w:rsidRPr="001D0D80" w:rsidRDefault="008441A3" w:rsidP="008441A3">
            <w:pPr>
              <w:rPr>
                <w:rFonts w:ascii="Arial" w:hAnsi="Arial" w:cs="Arial"/>
                <w:sz w:val="20"/>
                <w:szCs w:val="20"/>
                <w:lang w:val="es-419" w:eastAsia="es-419"/>
              </w:rPr>
            </w:pPr>
            <w:proofErr w:type="spellStart"/>
            <w:r w:rsidRPr="001D0D80">
              <w:rPr>
                <w:rFonts w:ascii="Arial" w:hAnsi="Arial" w:cs="Arial"/>
                <w:sz w:val="20"/>
                <w:szCs w:val="20"/>
                <w:lang w:eastAsia="es-419"/>
              </w:rPr>
              <w:t>Prom</w:t>
            </w:r>
            <w:proofErr w:type="spellEnd"/>
            <w:r w:rsidRPr="001D0D80">
              <w:rPr>
                <w:rFonts w:ascii="Arial" w:hAnsi="Arial" w:cs="Arial"/>
                <w:sz w:val="20"/>
                <w:szCs w:val="20"/>
                <w:lang w:eastAsia="es-419"/>
              </w:rPr>
              <w:t>.</w:t>
            </w:r>
          </w:p>
        </w:tc>
        <w:tc>
          <w:tcPr>
            <w:tcW w:w="705" w:type="dxa"/>
            <w:tcBorders>
              <w:top w:val="single" w:sz="4" w:space="0" w:color="auto"/>
              <w:left w:val="nil"/>
              <w:bottom w:val="single" w:sz="8" w:space="0" w:color="auto"/>
              <w:right w:val="nil"/>
            </w:tcBorders>
            <w:shd w:val="clear" w:color="auto" w:fill="auto"/>
            <w:noWrap/>
            <w:vAlign w:val="center"/>
            <w:hideMark/>
          </w:tcPr>
          <w:p w14:paraId="5FB0A7C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single" w:sz="4" w:space="0" w:color="auto"/>
              <w:left w:val="nil"/>
              <w:bottom w:val="single" w:sz="8" w:space="0" w:color="auto"/>
              <w:right w:val="nil"/>
            </w:tcBorders>
            <w:shd w:val="clear" w:color="auto" w:fill="auto"/>
            <w:noWrap/>
            <w:vAlign w:val="center"/>
            <w:hideMark/>
          </w:tcPr>
          <w:p w14:paraId="1720A12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35.5</w:t>
            </w:r>
          </w:p>
        </w:tc>
        <w:tc>
          <w:tcPr>
            <w:tcW w:w="705" w:type="dxa"/>
            <w:tcBorders>
              <w:top w:val="single" w:sz="4" w:space="0" w:color="auto"/>
              <w:left w:val="nil"/>
              <w:bottom w:val="single" w:sz="8" w:space="0" w:color="auto"/>
              <w:right w:val="nil"/>
            </w:tcBorders>
            <w:shd w:val="clear" w:color="auto" w:fill="auto"/>
            <w:noWrap/>
            <w:vAlign w:val="center"/>
            <w:hideMark/>
          </w:tcPr>
          <w:p w14:paraId="59D25F2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 0.49</w:t>
            </w:r>
          </w:p>
        </w:tc>
      </w:tr>
      <w:tr w:rsidR="008441A3" w:rsidRPr="001D0D80" w14:paraId="5EBC284C"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73D782B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P6</w:t>
            </w:r>
          </w:p>
        </w:tc>
        <w:tc>
          <w:tcPr>
            <w:tcW w:w="705" w:type="dxa"/>
            <w:tcBorders>
              <w:top w:val="nil"/>
              <w:left w:val="nil"/>
              <w:bottom w:val="nil"/>
              <w:right w:val="nil"/>
            </w:tcBorders>
            <w:shd w:val="clear" w:color="auto" w:fill="auto"/>
            <w:noWrap/>
            <w:vAlign w:val="center"/>
            <w:hideMark/>
          </w:tcPr>
          <w:p w14:paraId="2DBFA43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C4</w:t>
            </w:r>
          </w:p>
        </w:tc>
        <w:tc>
          <w:tcPr>
            <w:tcW w:w="705" w:type="dxa"/>
            <w:tcBorders>
              <w:top w:val="nil"/>
              <w:left w:val="nil"/>
              <w:bottom w:val="nil"/>
              <w:right w:val="nil"/>
            </w:tcBorders>
            <w:shd w:val="clear" w:color="auto" w:fill="auto"/>
            <w:noWrap/>
            <w:vAlign w:val="center"/>
            <w:hideMark/>
          </w:tcPr>
          <w:p w14:paraId="2C0CA3A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30.9</w:t>
            </w:r>
          </w:p>
        </w:tc>
        <w:tc>
          <w:tcPr>
            <w:tcW w:w="705" w:type="dxa"/>
            <w:tcBorders>
              <w:top w:val="nil"/>
              <w:left w:val="nil"/>
              <w:bottom w:val="nil"/>
              <w:right w:val="nil"/>
            </w:tcBorders>
            <w:shd w:val="clear" w:color="auto" w:fill="auto"/>
            <w:noWrap/>
            <w:vAlign w:val="center"/>
            <w:hideMark/>
          </w:tcPr>
          <w:p w14:paraId="7BF03D2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0.51</w:t>
            </w:r>
          </w:p>
        </w:tc>
        <w:tc>
          <w:tcPr>
            <w:tcW w:w="281" w:type="dxa"/>
            <w:tcBorders>
              <w:top w:val="nil"/>
              <w:left w:val="nil"/>
              <w:bottom w:val="nil"/>
              <w:right w:val="nil"/>
            </w:tcBorders>
            <w:shd w:val="clear" w:color="auto" w:fill="auto"/>
            <w:noWrap/>
            <w:vAlign w:val="bottom"/>
            <w:hideMark/>
          </w:tcPr>
          <w:p w14:paraId="4A66CD12" w14:textId="77777777" w:rsidR="008441A3" w:rsidRPr="001D0D80" w:rsidRDefault="008441A3" w:rsidP="008441A3">
            <w:pPr>
              <w:jc w:val="right"/>
              <w:rPr>
                <w:rFonts w:ascii="Arial" w:hAnsi="Arial" w:cs="Arial"/>
                <w:sz w:val="20"/>
                <w:szCs w:val="20"/>
                <w:lang w:val="es-419" w:eastAsia="es-419"/>
              </w:rPr>
            </w:pPr>
          </w:p>
        </w:tc>
        <w:tc>
          <w:tcPr>
            <w:tcW w:w="2823" w:type="dxa"/>
            <w:gridSpan w:val="4"/>
            <w:tcBorders>
              <w:top w:val="nil"/>
              <w:left w:val="nil"/>
              <w:bottom w:val="nil"/>
              <w:right w:val="nil"/>
            </w:tcBorders>
            <w:shd w:val="clear" w:color="auto" w:fill="auto"/>
            <w:noWrap/>
            <w:vAlign w:val="center"/>
            <w:hideMark/>
          </w:tcPr>
          <w:p w14:paraId="64D60587"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Cont. de Funciones</w:t>
            </w:r>
          </w:p>
        </w:tc>
        <w:tc>
          <w:tcPr>
            <w:tcW w:w="281" w:type="dxa"/>
            <w:tcBorders>
              <w:top w:val="nil"/>
              <w:left w:val="nil"/>
              <w:bottom w:val="nil"/>
              <w:right w:val="nil"/>
            </w:tcBorders>
            <w:shd w:val="clear" w:color="auto" w:fill="auto"/>
            <w:noWrap/>
            <w:vAlign w:val="bottom"/>
            <w:hideMark/>
          </w:tcPr>
          <w:p w14:paraId="019EEBA8" w14:textId="77777777" w:rsidR="008441A3" w:rsidRPr="001D0D80" w:rsidRDefault="008441A3" w:rsidP="008441A3">
            <w:pPr>
              <w:rPr>
                <w:rFonts w:ascii="Arial" w:hAnsi="Arial" w:cs="Arial"/>
                <w:b/>
                <w:bCs/>
                <w:sz w:val="20"/>
                <w:szCs w:val="20"/>
                <w:lang w:val="es-419" w:eastAsia="es-419"/>
              </w:rPr>
            </w:pPr>
          </w:p>
        </w:tc>
        <w:tc>
          <w:tcPr>
            <w:tcW w:w="705" w:type="dxa"/>
            <w:tcBorders>
              <w:top w:val="nil"/>
              <w:left w:val="nil"/>
              <w:bottom w:val="nil"/>
              <w:right w:val="nil"/>
            </w:tcBorders>
            <w:shd w:val="clear" w:color="auto" w:fill="auto"/>
            <w:noWrap/>
            <w:vAlign w:val="bottom"/>
            <w:hideMark/>
          </w:tcPr>
          <w:p w14:paraId="48C336D1"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041ABEE8"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111A7418"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bottom"/>
            <w:hideMark/>
          </w:tcPr>
          <w:p w14:paraId="3EE47DD5" w14:textId="77777777" w:rsidR="008441A3" w:rsidRPr="001D0D80" w:rsidRDefault="008441A3" w:rsidP="008441A3">
            <w:pPr>
              <w:rPr>
                <w:rFonts w:ascii="Arial" w:hAnsi="Arial" w:cs="Arial"/>
                <w:sz w:val="20"/>
                <w:szCs w:val="20"/>
                <w:lang w:val="es-419" w:eastAsia="es-419"/>
              </w:rPr>
            </w:pPr>
          </w:p>
        </w:tc>
      </w:tr>
      <w:tr w:rsidR="008441A3" w:rsidRPr="001D0D80" w14:paraId="000A5FEC" w14:textId="77777777" w:rsidTr="00AE1E2A">
        <w:trPr>
          <w:trHeight w:val="310"/>
          <w:jc w:val="center"/>
        </w:trPr>
        <w:tc>
          <w:tcPr>
            <w:tcW w:w="2823" w:type="dxa"/>
            <w:gridSpan w:val="4"/>
            <w:tcBorders>
              <w:top w:val="nil"/>
              <w:left w:val="nil"/>
              <w:bottom w:val="nil"/>
              <w:right w:val="nil"/>
            </w:tcBorders>
            <w:shd w:val="clear" w:color="auto" w:fill="auto"/>
            <w:noWrap/>
            <w:vAlign w:val="center"/>
            <w:hideMark/>
          </w:tcPr>
          <w:p w14:paraId="7362D63B"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 xml:space="preserve">Transformaciones </w:t>
            </w:r>
            <w:proofErr w:type="spellStart"/>
            <w:r w:rsidRPr="001D0D80">
              <w:rPr>
                <w:rFonts w:ascii="Arial" w:hAnsi="Arial" w:cs="Arial"/>
                <w:sz w:val="20"/>
                <w:szCs w:val="20"/>
                <w:lang w:eastAsia="es-419"/>
              </w:rPr>
              <w:t>algebr</w:t>
            </w:r>
            <w:proofErr w:type="spellEnd"/>
            <w:r w:rsidRPr="001D0D80">
              <w:rPr>
                <w:rFonts w:ascii="Arial" w:hAnsi="Arial" w:cs="Arial"/>
                <w:sz w:val="20"/>
                <w:szCs w:val="20"/>
                <w:lang w:eastAsia="es-419"/>
              </w:rPr>
              <w:t>. I</w:t>
            </w:r>
          </w:p>
        </w:tc>
        <w:tc>
          <w:tcPr>
            <w:tcW w:w="281" w:type="dxa"/>
            <w:tcBorders>
              <w:top w:val="nil"/>
              <w:left w:val="nil"/>
              <w:bottom w:val="nil"/>
              <w:right w:val="nil"/>
            </w:tcBorders>
            <w:shd w:val="clear" w:color="auto" w:fill="auto"/>
            <w:noWrap/>
            <w:vAlign w:val="bottom"/>
            <w:hideMark/>
          </w:tcPr>
          <w:p w14:paraId="31C1817B" w14:textId="77777777" w:rsidR="008441A3" w:rsidRPr="001D0D80" w:rsidRDefault="008441A3" w:rsidP="008441A3">
            <w:pPr>
              <w:rPr>
                <w:rFonts w:ascii="Arial" w:hAnsi="Arial" w:cs="Arial"/>
                <w:sz w:val="20"/>
                <w:szCs w:val="20"/>
                <w:lang w:val="es-419" w:eastAsia="es-419"/>
              </w:rPr>
            </w:pPr>
          </w:p>
        </w:tc>
        <w:tc>
          <w:tcPr>
            <w:tcW w:w="2823" w:type="dxa"/>
            <w:gridSpan w:val="4"/>
            <w:tcBorders>
              <w:top w:val="nil"/>
              <w:left w:val="nil"/>
              <w:bottom w:val="nil"/>
              <w:right w:val="nil"/>
            </w:tcBorders>
            <w:shd w:val="clear" w:color="auto" w:fill="auto"/>
            <w:noWrap/>
            <w:vAlign w:val="center"/>
            <w:hideMark/>
          </w:tcPr>
          <w:p w14:paraId="679122D3" w14:textId="77777777" w:rsidR="008441A3" w:rsidRPr="001D0D80" w:rsidRDefault="008441A3" w:rsidP="008441A3">
            <w:pPr>
              <w:rPr>
                <w:rFonts w:ascii="Arial" w:hAnsi="Arial" w:cs="Arial"/>
                <w:i/>
                <w:iCs/>
                <w:sz w:val="20"/>
                <w:szCs w:val="20"/>
                <w:lang w:val="pt-BR" w:eastAsia="es-419"/>
              </w:rPr>
            </w:pPr>
            <w:r w:rsidRPr="001D0D80">
              <w:rPr>
                <w:rFonts w:ascii="Arial" w:hAnsi="Arial" w:cs="Arial"/>
                <w:i/>
                <w:iCs/>
                <w:sz w:val="20"/>
                <w:szCs w:val="20"/>
                <w:lang w:val="pt-BR" w:eastAsia="es-419"/>
              </w:rPr>
              <w:t xml:space="preserve">Conceptos básicos de </w:t>
            </w:r>
            <w:proofErr w:type="spellStart"/>
            <w:r w:rsidRPr="001D0D80">
              <w:rPr>
                <w:rFonts w:ascii="Arial" w:hAnsi="Arial" w:cs="Arial"/>
                <w:i/>
                <w:iCs/>
                <w:sz w:val="20"/>
                <w:szCs w:val="20"/>
                <w:lang w:val="pt-BR" w:eastAsia="es-419"/>
              </w:rPr>
              <w:t>func</w:t>
            </w:r>
            <w:proofErr w:type="spellEnd"/>
            <w:r w:rsidRPr="001D0D80">
              <w:rPr>
                <w:rFonts w:ascii="Arial" w:hAnsi="Arial" w:cs="Arial"/>
                <w:i/>
                <w:iCs/>
                <w:sz w:val="20"/>
                <w:szCs w:val="20"/>
                <w:lang w:val="pt-BR" w:eastAsia="es-419"/>
              </w:rPr>
              <w:t>. I</w:t>
            </w:r>
          </w:p>
        </w:tc>
        <w:tc>
          <w:tcPr>
            <w:tcW w:w="281" w:type="dxa"/>
            <w:tcBorders>
              <w:top w:val="nil"/>
              <w:left w:val="nil"/>
              <w:bottom w:val="nil"/>
              <w:right w:val="nil"/>
            </w:tcBorders>
            <w:shd w:val="clear" w:color="auto" w:fill="auto"/>
            <w:noWrap/>
            <w:vAlign w:val="bottom"/>
            <w:hideMark/>
          </w:tcPr>
          <w:p w14:paraId="45F1DC02" w14:textId="77777777" w:rsidR="008441A3" w:rsidRPr="001D0D80" w:rsidRDefault="008441A3" w:rsidP="008441A3">
            <w:pPr>
              <w:rPr>
                <w:rFonts w:ascii="Arial" w:hAnsi="Arial" w:cs="Arial"/>
                <w:i/>
                <w:iCs/>
                <w:sz w:val="20"/>
                <w:szCs w:val="20"/>
                <w:lang w:val="pt-BR" w:eastAsia="es-419"/>
              </w:rPr>
            </w:pPr>
          </w:p>
        </w:tc>
        <w:tc>
          <w:tcPr>
            <w:tcW w:w="2823" w:type="dxa"/>
            <w:gridSpan w:val="4"/>
            <w:tcBorders>
              <w:top w:val="nil"/>
              <w:left w:val="nil"/>
              <w:bottom w:val="nil"/>
              <w:right w:val="nil"/>
            </w:tcBorders>
            <w:shd w:val="clear" w:color="auto" w:fill="auto"/>
            <w:noWrap/>
            <w:vAlign w:val="center"/>
            <w:hideMark/>
          </w:tcPr>
          <w:p w14:paraId="6A920D05" w14:textId="77777777" w:rsidR="008441A3" w:rsidRPr="001D0D80" w:rsidRDefault="008441A3" w:rsidP="008441A3">
            <w:pPr>
              <w:rPr>
                <w:rFonts w:ascii="Arial" w:hAnsi="Arial" w:cs="Arial"/>
                <w:b/>
                <w:bCs/>
                <w:sz w:val="20"/>
                <w:szCs w:val="20"/>
                <w:lang w:val="es-419" w:eastAsia="es-419"/>
              </w:rPr>
            </w:pPr>
            <w:r w:rsidRPr="001D0D80">
              <w:rPr>
                <w:rFonts w:ascii="Arial" w:hAnsi="Arial" w:cs="Arial"/>
                <w:b/>
                <w:bCs/>
                <w:sz w:val="20"/>
                <w:szCs w:val="20"/>
                <w:lang w:eastAsia="es-419"/>
              </w:rPr>
              <w:t>Cont. esp. de precálculo</w:t>
            </w:r>
          </w:p>
        </w:tc>
      </w:tr>
      <w:tr w:rsidR="008441A3" w:rsidRPr="001D0D80" w14:paraId="0E701588"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290E91D0"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P7</w:t>
            </w:r>
          </w:p>
        </w:tc>
        <w:tc>
          <w:tcPr>
            <w:tcW w:w="705" w:type="dxa"/>
            <w:tcBorders>
              <w:top w:val="nil"/>
              <w:left w:val="nil"/>
              <w:bottom w:val="nil"/>
              <w:right w:val="nil"/>
            </w:tcBorders>
            <w:shd w:val="clear" w:color="auto" w:fill="auto"/>
            <w:noWrap/>
            <w:vAlign w:val="center"/>
            <w:hideMark/>
          </w:tcPr>
          <w:p w14:paraId="2EFCB16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C5</w:t>
            </w:r>
          </w:p>
        </w:tc>
        <w:tc>
          <w:tcPr>
            <w:tcW w:w="705" w:type="dxa"/>
            <w:tcBorders>
              <w:top w:val="nil"/>
              <w:left w:val="nil"/>
              <w:bottom w:val="nil"/>
              <w:right w:val="nil"/>
            </w:tcBorders>
            <w:shd w:val="clear" w:color="auto" w:fill="auto"/>
            <w:noWrap/>
            <w:vAlign w:val="center"/>
            <w:hideMark/>
          </w:tcPr>
          <w:p w14:paraId="2F2F9A6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34.1</w:t>
            </w:r>
          </w:p>
        </w:tc>
        <w:tc>
          <w:tcPr>
            <w:tcW w:w="705" w:type="dxa"/>
            <w:tcBorders>
              <w:top w:val="nil"/>
              <w:left w:val="nil"/>
              <w:bottom w:val="nil"/>
              <w:right w:val="nil"/>
            </w:tcBorders>
            <w:shd w:val="clear" w:color="auto" w:fill="auto"/>
            <w:noWrap/>
            <w:vAlign w:val="center"/>
            <w:hideMark/>
          </w:tcPr>
          <w:p w14:paraId="504372A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0.66</w:t>
            </w:r>
          </w:p>
        </w:tc>
        <w:tc>
          <w:tcPr>
            <w:tcW w:w="281" w:type="dxa"/>
            <w:tcBorders>
              <w:top w:val="nil"/>
              <w:left w:val="nil"/>
              <w:bottom w:val="nil"/>
              <w:right w:val="nil"/>
            </w:tcBorders>
            <w:shd w:val="clear" w:color="auto" w:fill="auto"/>
            <w:noWrap/>
            <w:vAlign w:val="bottom"/>
            <w:hideMark/>
          </w:tcPr>
          <w:p w14:paraId="46916514"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52DF7AE5"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P16</w:t>
            </w:r>
          </w:p>
        </w:tc>
        <w:tc>
          <w:tcPr>
            <w:tcW w:w="705" w:type="dxa"/>
            <w:tcBorders>
              <w:top w:val="nil"/>
              <w:left w:val="nil"/>
              <w:bottom w:val="nil"/>
              <w:right w:val="nil"/>
            </w:tcBorders>
            <w:shd w:val="clear" w:color="auto" w:fill="auto"/>
            <w:noWrap/>
            <w:vAlign w:val="center"/>
            <w:hideMark/>
          </w:tcPr>
          <w:p w14:paraId="627A79B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C13</w:t>
            </w:r>
          </w:p>
        </w:tc>
        <w:tc>
          <w:tcPr>
            <w:tcW w:w="705" w:type="dxa"/>
            <w:tcBorders>
              <w:top w:val="nil"/>
              <w:left w:val="nil"/>
              <w:bottom w:val="nil"/>
              <w:right w:val="nil"/>
            </w:tcBorders>
            <w:shd w:val="clear" w:color="auto" w:fill="auto"/>
            <w:noWrap/>
            <w:vAlign w:val="center"/>
            <w:hideMark/>
          </w:tcPr>
          <w:p w14:paraId="0F9CF34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63.9</w:t>
            </w:r>
          </w:p>
        </w:tc>
        <w:tc>
          <w:tcPr>
            <w:tcW w:w="705" w:type="dxa"/>
            <w:tcBorders>
              <w:top w:val="nil"/>
              <w:left w:val="nil"/>
              <w:bottom w:val="nil"/>
              <w:right w:val="nil"/>
            </w:tcBorders>
            <w:shd w:val="clear" w:color="auto" w:fill="auto"/>
            <w:noWrap/>
            <w:vAlign w:val="center"/>
            <w:hideMark/>
          </w:tcPr>
          <w:p w14:paraId="132D6CF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0.43</w:t>
            </w:r>
          </w:p>
        </w:tc>
        <w:tc>
          <w:tcPr>
            <w:tcW w:w="281" w:type="dxa"/>
            <w:tcBorders>
              <w:top w:val="nil"/>
              <w:left w:val="nil"/>
              <w:bottom w:val="nil"/>
              <w:right w:val="nil"/>
            </w:tcBorders>
            <w:shd w:val="clear" w:color="auto" w:fill="auto"/>
            <w:noWrap/>
            <w:vAlign w:val="bottom"/>
            <w:hideMark/>
          </w:tcPr>
          <w:p w14:paraId="50BA23D5" w14:textId="77777777" w:rsidR="008441A3" w:rsidRPr="001D0D80" w:rsidRDefault="008441A3" w:rsidP="008441A3">
            <w:pPr>
              <w:jc w:val="right"/>
              <w:rPr>
                <w:rFonts w:ascii="Arial" w:hAnsi="Arial" w:cs="Arial"/>
                <w:sz w:val="20"/>
                <w:szCs w:val="20"/>
                <w:lang w:val="es-419" w:eastAsia="es-419"/>
              </w:rPr>
            </w:pPr>
          </w:p>
        </w:tc>
        <w:tc>
          <w:tcPr>
            <w:tcW w:w="2823" w:type="dxa"/>
            <w:gridSpan w:val="4"/>
            <w:tcBorders>
              <w:top w:val="nil"/>
              <w:left w:val="nil"/>
              <w:bottom w:val="nil"/>
              <w:right w:val="nil"/>
            </w:tcBorders>
            <w:shd w:val="clear" w:color="auto" w:fill="auto"/>
            <w:noWrap/>
            <w:vAlign w:val="center"/>
            <w:hideMark/>
          </w:tcPr>
          <w:p w14:paraId="0FFD95FF" w14:textId="77777777" w:rsidR="008441A3" w:rsidRPr="001D0D80" w:rsidRDefault="008441A3" w:rsidP="008441A3">
            <w:pPr>
              <w:rPr>
                <w:rFonts w:ascii="Arial" w:hAnsi="Arial" w:cs="Arial"/>
                <w:i/>
                <w:iCs/>
                <w:sz w:val="20"/>
                <w:szCs w:val="20"/>
                <w:lang w:val="es-419" w:eastAsia="es-419"/>
              </w:rPr>
            </w:pPr>
            <w:r w:rsidRPr="001D0D80">
              <w:rPr>
                <w:rFonts w:ascii="Arial" w:hAnsi="Arial" w:cs="Arial"/>
                <w:i/>
                <w:iCs/>
                <w:sz w:val="20"/>
                <w:szCs w:val="20"/>
                <w:lang w:eastAsia="es-419"/>
              </w:rPr>
              <w:t xml:space="preserve">Transformaciones </w:t>
            </w:r>
            <w:proofErr w:type="spellStart"/>
            <w:r w:rsidRPr="001D0D80">
              <w:rPr>
                <w:rFonts w:ascii="Arial" w:hAnsi="Arial" w:cs="Arial"/>
                <w:i/>
                <w:iCs/>
                <w:sz w:val="20"/>
                <w:szCs w:val="20"/>
                <w:lang w:eastAsia="es-419"/>
              </w:rPr>
              <w:t>algebr</w:t>
            </w:r>
            <w:proofErr w:type="spellEnd"/>
            <w:r w:rsidRPr="001D0D80">
              <w:rPr>
                <w:rFonts w:ascii="Arial" w:hAnsi="Arial" w:cs="Arial"/>
                <w:i/>
                <w:iCs/>
                <w:sz w:val="20"/>
                <w:szCs w:val="20"/>
                <w:lang w:eastAsia="es-419"/>
              </w:rPr>
              <w:t>. II</w:t>
            </w:r>
          </w:p>
        </w:tc>
      </w:tr>
      <w:tr w:rsidR="008441A3" w:rsidRPr="001D0D80" w14:paraId="11ED738B"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7CF6B73A"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P8</w:t>
            </w:r>
          </w:p>
        </w:tc>
        <w:tc>
          <w:tcPr>
            <w:tcW w:w="705" w:type="dxa"/>
            <w:tcBorders>
              <w:top w:val="nil"/>
              <w:left w:val="nil"/>
              <w:bottom w:val="nil"/>
              <w:right w:val="nil"/>
            </w:tcBorders>
            <w:shd w:val="clear" w:color="auto" w:fill="auto"/>
            <w:noWrap/>
            <w:vAlign w:val="center"/>
            <w:hideMark/>
          </w:tcPr>
          <w:p w14:paraId="1FE02E7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C6</w:t>
            </w:r>
          </w:p>
        </w:tc>
        <w:tc>
          <w:tcPr>
            <w:tcW w:w="705" w:type="dxa"/>
            <w:tcBorders>
              <w:top w:val="nil"/>
              <w:left w:val="nil"/>
              <w:bottom w:val="nil"/>
              <w:right w:val="nil"/>
            </w:tcBorders>
            <w:shd w:val="clear" w:color="auto" w:fill="auto"/>
            <w:noWrap/>
            <w:vAlign w:val="center"/>
            <w:hideMark/>
          </w:tcPr>
          <w:p w14:paraId="7662A759"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15.0</w:t>
            </w:r>
          </w:p>
        </w:tc>
        <w:tc>
          <w:tcPr>
            <w:tcW w:w="705" w:type="dxa"/>
            <w:tcBorders>
              <w:top w:val="nil"/>
              <w:left w:val="nil"/>
              <w:bottom w:val="nil"/>
              <w:right w:val="nil"/>
            </w:tcBorders>
            <w:shd w:val="clear" w:color="auto" w:fill="auto"/>
            <w:noWrap/>
            <w:vAlign w:val="center"/>
            <w:hideMark/>
          </w:tcPr>
          <w:p w14:paraId="41BAFCA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0.43</w:t>
            </w:r>
          </w:p>
        </w:tc>
        <w:tc>
          <w:tcPr>
            <w:tcW w:w="281" w:type="dxa"/>
            <w:tcBorders>
              <w:top w:val="nil"/>
              <w:left w:val="nil"/>
              <w:bottom w:val="nil"/>
              <w:right w:val="nil"/>
            </w:tcBorders>
            <w:shd w:val="clear" w:color="auto" w:fill="auto"/>
            <w:noWrap/>
            <w:vAlign w:val="bottom"/>
            <w:hideMark/>
          </w:tcPr>
          <w:p w14:paraId="3D7BDEFF"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5426C34A"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P17</w:t>
            </w:r>
          </w:p>
        </w:tc>
        <w:tc>
          <w:tcPr>
            <w:tcW w:w="705" w:type="dxa"/>
            <w:tcBorders>
              <w:top w:val="nil"/>
              <w:left w:val="nil"/>
              <w:bottom w:val="nil"/>
              <w:right w:val="nil"/>
            </w:tcBorders>
            <w:shd w:val="clear" w:color="auto" w:fill="auto"/>
            <w:noWrap/>
            <w:vAlign w:val="center"/>
            <w:hideMark/>
          </w:tcPr>
          <w:p w14:paraId="6E1EC1E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C14</w:t>
            </w:r>
          </w:p>
        </w:tc>
        <w:tc>
          <w:tcPr>
            <w:tcW w:w="705" w:type="dxa"/>
            <w:tcBorders>
              <w:top w:val="nil"/>
              <w:left w:val="nil"/>
              <w:bottom w:val="nil"/>
              <w:right w:val="nil"/>
            </w:tcBorders>
            <w:shd w:val="clear" w:color="auto" w:fill="auto"/>
            <w:noWrap/>
            <w:vAlign w:val="center"/>
            <w:hideMark/>
          </w:tcPr>
          <w:p w14:paraId="2D009FF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32.8</w:t>
            </w:r>
          </w:p>
        </w:tc>
        <w:tc>
          <w:tcPr>
            <w:tcW w:w="705" w:type="dxa"/>
            <w:tcBorders>
              <w:top w:val="nil"/>
              <w:left w:val="nil"/>
              <w:bottom w:val="nil"/>
              <w:right w:val="nil"/>
            </w:tcBorders>
            <w:shd w:val="clear" w:color="auto" w:fill="auto"/>
            <w:noWrap/>
            <w:vAlign w:val="center"/>
            <w:hideMark/>
          </w:tcPr>
          <w:p w14:paraId="0C05AEA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0.45</w:t>
            </w:r>
          </w:p>
        </w:tc>
        <w:tc>
          <w:tcPr>
            <w:tcW w:w="281" w:type="dxa"/>
            <w:tcBorders>
              <w:top w:val="nil"/>
              <w:left w:val="nil"/>
              <w:bottom w:val="nil"/>
              <w:right w:val="nil"/>
            </w:tcBorders>
            <w:shd w:val="clear" w:color="auto" w:fill="auto"/>
            <w:noWrap/>
            <w:vAlign w:val="bottom"/>
            <w:hideMark/>
          </w:tcPr>
          <w:p w14:paraId="510A3A66"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106F2CF4"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P36</w:t>
            </w:r>
          </w:p>
        </w:tc>
        <w:tc>
          <w:tcPr>
            <w:tcW w:w="705" w:type="dxa"/>
            <w:tcBorders>
              <w:top w:val="nil"/>
              <w:left w:val="nil"/>
              <w:bottom w:val="nil"/>
              <w:right w:val="nil"/>
            </w:tcBorders>
            <w:shd w:val="clear" w:color="auto" w:fill="auto"/>
            <w:noWrap/>
            <w:vAlign w:val="center"/>
            <w:hideMark/>
          </w:tcPr>
          <w:p w14:paraId="141C549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C34</w:t>
            </w:r>
          </w:p>
        </w:tc>
        <w:tc>
          <w:tcPr>
            <w:tcW w:w="705" w:type="dxa"/>
            <w:tcBorders>
              <w:top w:val="nil"/>
              <w:left w:val="nil"/>
              <w:bottom w:val="nil"/>
              <w:right w:val="nil"/>
            </w:tcBorders>
            <w:shd w:val="clear" w:color="auto" w:fill="auto"/>
            <w:noWrap/>
            <w:vAlign w:val="center"/>
            <w:hideMark/>
          </w:tcPr>
          <w:p w14:paraId="1DE54D4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25.7</w:t>
            </w:r>
          </w:p>
        </w:tc>
        <w:tc>
          <w:tcPr>
            <w:tcW w:w="705" w:type="dxa"/>
            <w:tcBorders>
              <w:top w:val="nil"/>
              <w:left w:val="nil"/>
              <w:bottom w:val="nil"/>
              <w:right w:val="nil"/>
            </w:tcBorders>
            <w:shd w:val="clear" w:color="auto" w:fill="auto"/>
            <w:noWrap/>
            <w:vAlign w:val="center"/>
            <w:hideMark/>
          </w:tcPr>
          <w:p w14:paraId="00D1F69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0.52</w:t>
            </w:r>
          </w:p>
        </w:tc>
      </w:tr>
      <w:tr w:rsidR="008441A3" w:rsidRPr="001D0D80" w14:paraId="4D094B08"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5D7664ED"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P9</w:t>
            </w:r>
          </w:p>
        </w:tc>
        <w:tc>
          <w:tcPr>
            <w:tcW w:w="705" w:type="dxa"/>
            <w:tcBorders>
              <w:top w:val="nil"/>
              <w:left w:val="nil"/>
              <w:bottom w:val="nil"/>
              <w:right w:val="nil"/>
            </w:tcBorders>
            <w:shd w:val="clear" w:color="auto" w:fill="auto"/>
            <w:noWrap/>
            <w:vAlign w:val="center"/>
            <w:hideMark/>
          </w:tcPr>
          <w:p w14:paraId="220ABDB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C7</w:t>
            </w:r>
          </w:p>
        </w:tc>
        <w:tc>
          <w:tcPr>
            <w:tcW w:w="705" w:type="dxa"/>
            <w:tcBorders>
              <w:top w:val="nil"/>
              <w:left w:val="nil"/>
              <w:bottom w:val="nil"/>
              <w:right w:val="nil"/>
            </w:tcBorders>
            <w:shd w:val="clear" w:color="auto" w:fill="auto"/>
            <w:noWrap/>
            <w:vAlign w:val="center"/>
            <w:hideMark/>
          </w:tcPr>
          <w:p w14:paraId="111DD18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43.1</w:t>
            </w:r>
          </w:p>
        </w:tc>
        <w:tc>
          <w:tcPr>
            <w:tcW w:w="705" w:type="dxa"/>
            <w:tcBorders>
              <w:top w:val="nil"/>
              <w:left w:val="nil"/>
              <w:bottom w:val="nil"/>
              <w:right w:val="nil"/>
            </w:tcBorders>
            <w:shd w:val="clear" w:color="auto" w:fill="auto"/>
            <w:noWrap/>
            <w:vAlign w:val="center"/>
            <w:hideMark/>
          </w:tcPr>
          <w:p w14:paraId="3FFC080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0.59</w:t>
            </w:r>
          </w:p>
        </w:tc>
        <w:tc>
          <w:tcPr>
            <w:tcW w:w="281" w:type="dxa"/>
            <w:tcBorders>
              <w:top w:val="nil"/>
              <w:left w:val="nil"/>
              <w:bottom w:val="nil"/>
              <w:right w:val="nil"/>
            </w:tcBorders>
            <w:shd w:val="clear" w:color="auto" w:fill="auto"/>
            <w:noWrap/>
            <w:vAlign w:val="bottom"/>
            <w:hideMark/>
          </w:tcPr>
          <w:p w14:paraId="42CCC22B"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4441CC5B"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P18</w:t>
            </w:r>
          </w:p>
        </w:tc>
        <w:tc>
          <w:tcPr>
            <w:tcW w:w="705" w:type="dxa"/>
            <w:tcBorders>
              <w:top w:val="nil"/>
              <w:left w:val="nil"/>
              <w:bottom w:val="nil"/>
              <w:right w:val="nil"/>
            </w:tcBorders>
            <w:shd w:val="clear" w:color="auto" w:fill="auto"/>
            <w:noWrap/>
            <w:vAlign w:val="center"/>
            <w:hideMark/>
          </w:tcPr>
          <w:p w14:paraId="2B4985A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C15</w:t>
            </w:r>
          </w:p>
        </w:tc>
        <w:tc>
          <w:tcPr>
            <w:tcW w:w="705" w:type="dxa"/>
            <w:tcBorders>
              <w:top w:val="nil"/>
              <w:left w:val="nil"/>
              <w:bottom w:val="nil"/>
              <w:right w:val="nil"/>
            </w:tcBorders>
            <w:shd w:val="clear" w:color="auto" w:fill="auto"/>
            <w:noWrap/>
            <w:vAlign w:val="center"/>
            <w:hideMark/>
          </w:tcPr>
          <w:p w14:paraId="3E98C27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30.8</w:t>
            </w:r>
          </w:p>
        </w:tc>
        <w:tc>
          <w:tcPr>
            <w:tcW w:w="705" w:type="dxa"/>
            <w:tcBorders>
              <w:top w:val="nil"/>
              <w:left w:val="nil"/>
              <w:bottom w:val="nil"/>
              <w:right w:val="nil"/>
            </w:tcBorders>
            <w:shd w:val="clear" w:color="auto" w:fill="auto"/>
            <w:noWrap/>
            <w:vAlign w:val="center"/>
            <w:hideMark/>
          </w:tcPr>
          <w:p w14:paraId="0569199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0.56</w:t>
            </w:r>
          </w:p>
        </w:tc>
        <w:tc>
          <w:tcPr>
            <w:tcW w:w="281" w:type="dxa"/>
            <w:tcBorders>
              <w:top w:val="nil"/>
              <w:left w:val="nil"/>
              <w:bottom w:val="nil"/>
              <w:right w:val="nil"/>
            </w:tcBorders>
            <w:shd w:val="clear" w:color="auto" w:fill="auto"/>
            <w:noWrap/>
            <w:vAlign w:val="bottom"/>
            <w:hideMark/>
          </w:tcPr>
          <w:p w14:paraId="2C0663FC"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0C3676A5"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P37</w:t>
            </w:r>
          </w:p>
        </w:tc>
        <w:tc>
          <w:tcPr>
            <w:tcW w:w="705" w:type="dxa"/>
            <w:tcBorders>
              <w:top w:val="nil"/>
              <w:left w:val="nil"/>
              <w:bottom w:val="nil"/>
              <w:right w:val="nil"/>
            </w:tcBorders>
            <w:shd w:val="clear" w:color="auto" w:fill="auto"/>
            <w:noWrap/>
            <w:vAlign w:val="center"/>
            <w:hideMark/>
          </w:tcPr>
          <w:p w14:paraId="20723EF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C35</w:t>
            </w:r>
          </w:p>
        </w:tc>
        <w:tc>
          <w:tcPr>
            <w:tcW w:w="705" w:type="dxa"/>
            <w:tcBorders>
              <w:top w:val="nil"/>
              <w:left w:val="nil"/>
              <w:bottom w:val="nil"/>
              <w:right w:val="nil"/>
            </w:tcBorders>
            <w:shd w:val="clear" w:color="auto" w:fill="auto"/>
            <w:noWrap/>
            <w:vAlign w:val="center"/>
            <w:hideMark/>
          </w:tcPr>
          <w:p w14:paraId="59E6EF03"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16.7</w:t>
            </w:r>
          </w:p>
        </w:tc>
        <w:tc>
          <w:tcPr>
            <w:tcW w:w="705" w:type="dxa"/>
            <w:tcBorders>
              <w:top w:val="nil"/>
              <w:left w:val="nil"/>
              <w:bottom w:val="nil"/>
              <w:right w:val="nil"/>
            </w:tcBorders>
            <w:shd w:val="clear" w:color="auto" w:fill="auto"/>
            <w:noWrap/>
            <w:vAlign w:val="center"/>
            <w:hideMark/>
          </w:tcPr>
          <w:p w14:paraId="0B6C190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0.44</w:t>
            </w:r>
          </w:p>
        </w:tc>
      </w:tr>
      <w:tr w:rsidR="008441A3" w:rsidRPr="001D0D80" w14:paraId="778FE2B4"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789046CC"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P10</w:t>
            </w:r>
          </w:p>
        </w:tc>
        <w:tc>
          <w:tcPr>
            <w:tcW w:w="705" w:type="dxa"/>
            <w:tcBorders>
              <w:top w:val="nil"/>
              <w:left w:val="nil"/>
              <w:bottom w:val="nil"/>
              <w:right w:val="nil"/>
            </w:tcBorders>
            <w:shd w:val="clear" w:color="auto" w:fill="auto"/>
            <w:noWrap/>
            <w:vAlign w:val="center"/>
            <w:hideMark/>
          </w:tcPr>
          <w:p w14:paraId="51F8F89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C7</w:t>
            </w:r>
          </w:p>
        </w:tc>
        <w:tc>
          <w:tcPr>
            <w:tcW w:w="705" w:type="dxa"/>
            <w:tcBorders>
              <w:top w:val="nil"/>
              <w:left w:val="nil"/>
              <w:bottom w:val="nil"/>
              <w:right w:val="nil"/>
            </w:tcBorders>
            <w:shd w:val="clear" w:color="auto" w:fill="auto"/>
            <w:noWrap/>
            <w:vAlign w:val="center"/>
            <w:hideMark/>
          </w:tcPr>
          <w:p w14:paraId="5765BC0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37.7</w:t>
            </w:r>
          </w:p>
        </w:tc>
        <w:tc>
          <w:tcPr>
            <w:tcW w:w="705" w:type="dxa"/>
            <w:tcBorders>
              <w:top w:val="nil"/>
              <w:left w:val="nil"/>
              <w:bottom w:val="nil"/>
              <w:right w:val="nil"/>
            </w:tcBorders>
            <w:shd w:val="clear" w:color="auto" w:fill="auto"/>
            <w:noWrap/>
            <w:vAlign w:val="center"/>
            <w:hideMark/>
          </w:tcPr>
          <w:p w14:paraId="74EC40F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0.58</w:t>
            </w:r>
          </w:p>
        </w:tc>
        <w:tc>
          <w:tcPr>
            <w:tcW w:w="281" w:type="dxa"/>
            <w:tcBorders>
              <w:top w:val="nil"/>
              <w:left w:val="nil"/>
              <w:bottom w:val="nil"/>
              <w:right w:val="nil"/>
            </w:tcBorders>
            <w:shd w:val="clear" w:color="auto" w:fill="auto"/>
            <w:noWrap/>
            <w:vAlign w:val="bottom"/>
            <w:hideMark/>
          </w:tcPr>
          <w:p w14:paraId="26847848"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43071914"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P19</w:t>
            </w:r>
          </w:p>
        </w:tc>
        <w:tc>
          <w:tcPr>
            <w:tcW w:w="705" w:type="dxa"/>
            <w:tcBorders>
              <w:top w:val="nil"/>
              <w:left w:val="nil"/>
              <w:bottom w:val="nil"/>
              <w:right w:val="nil"/>
            </w:tcBorders>
            <w:shd w:val="clear" w:color="auto" w:fill="auto"/>
            <w:noWrap/>
            <w:vAlign w:val="center"/>
            <w:hideMark/>
          </w:tcPr>
          <w:p w14:paraId="0259F39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C16</w:t>
            </w:r>
          </w:p>
        </w:tc>
        <w:tc>
          <w:tcPr>
            <w:tcW w:w="705" w:type="dxa"/>
            <w:tcBorders>
              <w:top w:val="nil"/>
              <w:left w:val="nil"/>
              <w:bottom w:val="nil"/>
              <w:right w:val="nil"/>
            </w:tcBorders>
            <w:shd w:val="clear" w:color="auto" w:fill="auto"/>
            <w:noWrap/>
            <w:vAlign w:val="center"/>
            <w:hideMark/>
          </w:tcPr>
          <w:p w14:paraId="4FE22A0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35.9</w:t>
            </w:r>
          </w:p>
        </w:tc>
        <w:tc>
          <w:tcPr>
            <w:tcW w:w="705" w:type="dxa"/>
            <w:tcBorders>
              <w:top w:val="nil"/>
              <w:left w:val="nil"/>
              <w:bottom w:val="nil"/>
              <w:right w:val="nil"/>
            </w:tcBorders>
            <w:shd w:val="clear" w:color="auto" w:fill="auto"/>
            <w:noWrap/>
            <w:vAlign w:val="center"/>
            <w:hideMark/>
          </w:tcPr>
          <w:p w14:paraId="3273A11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0.57</w:t>
            </w:r>
          </w:p>
        </w:tc>
        <w:tc>
          <w:tcPr>
            <w:tcW w:w="281" w:type="dxa"/>
            <w:tcBorders>
              <w:top w:val="nil"/>
              <w:left w:val="nil"/>
              <w:bottom w:val="nil"/>
              <w:right w:val="nil"/>
            </w:tcBorders>
            <w:shd w:val="clear" w:color="auto" w:fill="auto"/>
            <w:noWrap/>
            <w:vAlign w:val="bottom"/>
            <w:hideMark/>
          </w:tcPr>
          <w:p w14:paraId="18F7EFEF"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7ABC71F9"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P38</w:t>
            </w:r>
          </w:p>
        </w:tc>
        <w:tc>
          <w:tcPr>
            <w:tcW w:w="705" w:type="dxa"/>
            <w:tcBorders>
              <w:top w:val="nil"/>
              <w:left w:val="nil"/>
              <w:bottom w:val="nil"/>
              <w:right w:val="nil"/>
            </w:tcBorders>
            <w:shd w:val="clear" w:color="auto" w:fill="auto"/>
            <w:noWrap/>
            <w:vAlign w:val="center"/>
            <w:hideMark/>
          </w:tcPr>
          <w:p w14:paraId="2A6D489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C35</w:t>
            </w:r>
          </w:p>
        </w:tc>
        <w:tc>
          <w:tcPr>
            <w:tcW w:w="705" w:type="dxa"/>
            <w:tcBorders>
              <w:top w:val="nil"/>
              <w:left w:val="nil"/>
              <w:bottom w:val="nil"/>
              <w:right w:val="nil"/>
            </w:tcBorders>
            <w:shd w:val="clear" w:color="auto" w:fill="auto"/>
            <w:noWrap/>
            <w:vAlign w:val="center"/>
            <w:hideMark/>
          </w:tcPr>
          <w:p w14:paraId="3D87328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36.3</w:t>
            </w:r>
          </w:p>
        </w:tc>
        <w:tc>
          <w:tcPr>
            <w:tcW w:w="705" w:type="dxa"/>
            <w:tcBorders>
              <w:top w:val="nil"/>
              <w:left w:val="nil"/>
              <w:bottom w:val="nil"/>
              <w:right w:val="nil"/>
            </w:tcBorders>
            <w:shd w:val="clear" w:color="auto" w:fill="auto"/>
            <w:noWrap/>
            <w:vAlign w:val="center"/>
            <w:hideMark/>
          </w:tcPr>
          <w:p w14:paraId="06AB600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0.54</w:t>
            </w:r>
          </w:p>
        </w:tc>
      </w:tr>
      <w:tr w:rsidR="008441A3" w:rsidRPr="001D0D80" w14:paraId="79857874" w14:textId="77777777" w:rsidTr="00AE1E2A">
        <w:trPr>
          <w:trHeight w:val="310"/>
          <w:jc w:val="center"/>
        </w:trPr>
        <w:tc>
          <w:tcPr>
            <w:tcW w:w="2823" w:type="dxa"/>
            <w:gridSpan w:val="4"/>
            <w:tcBorders>
              <w:top w:val="nil"/>
              <w:left w:val="nil"/>
              <w:bottom w:val="nil"/>
              <w:right w:val="nil"/>
            </w:tcBorders>
            <w:shd w:val="clear" w:color="auto" w:fill="auto"/>
            <w:noWrap/>
            <w:vAlign w:val="center"/>
            <w:hideMark/>
          </w:tcPr>
          <w:p w14:paraId="65F8FE63" w14:textId="77777777" w:rsidR="008441A3" w:rsidRPr="001D0D80" w:rsidRDefault="008441A3" w:rsidP="008441A3">
            <w:pPr>
              <w:rPr>
                <w:rFonts w:ascii="Arial" w:hAnsi="Arial" w:cs="Arial"/>
                <w:i/>
                <w:iCs/>
                <w:sz w:val="20"/>
                <w:szCs w:val="20"/>
                <w:lang w:val="es-419" w:eastAsia="es-419"/>
              </w:rPr>
            </w:pPr>
            <w:r w:rsidRPr="001D0D80">
              <w:rPr>
                <w:rFonts w:ascii="Arial" w:hAnsi="Arial" w:cs="Arial"/>
                <w:i/>
                <w:iCs/>
                <w:sz w:val="20"/>
                <w:szCs w:val="20"/>
                <w:lang w:eastAsia="es-419"/>
              </w:rPr>
              <w:t>Ecuaciones I</w:t>
            </w:r>
          </w:p>
        </w:tc>
        <w:tc>
          <w:tcPr>
            <w:tcW w:w="281" w:type="dxa"/>
            <w:tcBorders>
              <w:top w:val="nil"/>
              <w:left w:val="nil"/>
              <w:bottom w:val="nil"/>
              <w:right w:val="nil"/>
            </w:tcBorders>
            <w:shd w:val="clear" w:color="auto" w:fill="auto"/>
            <w:noWrap/>
            <w:vAlign w:val="bottom"/>
            <w:hideMark/>
          </w:tcPr>
          <w:p w14:paraId="1C44047E" w14:textId="77777777" w:rsidR="008441A3" w:rsidRPr="001D0D80" w:rsidRDefault="008441A3" w:rsidP="008441A3">
            <w:pPr>
              <w:rPr>
                <w:rFonts w:ascii="Arial" w:hAnsi="Arial" w:cs="Arial"/>
                <w:i/>
                <w:iCs/>
                <w:sz w:val="20"/>
                <w:szCs w:val="20"/>
                <w:lang w:val="es-419" w:eastAsia="es-419"/>
              </w:rPr>
            </w:pPr>
          </w:p>
        </w:tc>
        <w:tc>
          <w:tcPr>
            <w:tcW w:w="705" w:type="dxa"/>
            <w:tcBorders>
              <w:top w:val="nil"/>
              <w:left w:val="nil"/>
              <w:bottom w:val="nil"/>
              <w:right w:val="nil"/>
            </w:tcBorders>
            <w:shd w:val="clear" w:color="auto" w:fill="auto"/>
            <w:noWrap/>
            <w:vAlign w:val="center"/>
            <w:hideMark/>
          </w:tcPr>
          <w:p w14:paraId="786D1828"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P20</w:t>
            </w:r>
          </w:p>
        </w:tc>
        <w:tc>
          <w:tcPr>
            <w:tcW w:w="705" w:type="dxa"/>
            <w:tcBorders>
              <w:top w:val="nil"/>
              <w:left w:val="nil"/>
              <w:bottom w:val="nil"/>
              <w:right w:val="nil"/>
            </w:tcBorders>
            <w:shd w:val="clear" w:color="auto" w:fill="auto"/>
            <w:noWrap/>
            <w:vAlign w:val="center"/>
            <w:hideMark/>
          </w:tcPr>
          <w:p w14:paraId="0C44B43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C17</w:t>
            </w:r>
          </w:p>
        </w:tc>
        <w:tc>
          <w:tcPr>
            <w:tcW w:w="705" w:type="dxa"/>
            <w:tcBorders>
              <w:top w:val="nil"/>
              <w:left w:val="nil"/>
              <w:bottom w:val="nil"/>
              <w:right w:val="nil"/>
            </w:tcBorders>
            <w:shd w:val="clear" w:color="auto" w:fill="auto"/>
            <w:noWrap/>
            <w:vAlign w:val="center"/>
            <w:hideMark/>
          </w:tcPr>
          <w:p w14:paraId="42C1607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23.7</w:t>
            </w:r>
          </w:p>
        </w:tc>
        <w:tc>
          <w:tcPr>
            <w:tcW w:w="705" w:type="dxa"/>
            <w:tcBorders>
              <w:top w:val="nil"/>
              <w:left w:val="nil"/>
              <w:bottom w:val="nil"/>
              <w:right w:val="nil"/>
            </w:tcBorders>
            <w:shd w:val="clear" w:color="auto" w:fill="auto"/>
            <w:noWrap/>
            <w:vAlign w:val="center"/>
            <w:hideMark/>
          </w:tcPr>
          <w:p w14:paraId="0F9DA21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0.52</w:t>
            </w:r>
          </w:p>
        </w:tc>
        <w:tc>
          <w:tcPr>
            <w:tcW w:w="281" w:type="dxa"/>
            <w:tcBorders>
              <w:top w:val="nil"/>
              <w:left w:val="nil"/>
              <w:bottom w:val="nil"/>
              <w:right w:val="nil"/>
            </w:tcBorders>
            <w:shd w:val="clear" w:color="auto" w:fill="auto"/>
            <w:noWrap/>
            <w:vAlign w:val="bottom"/>
            <w:hideMark/>
          </w:tcPr>
          <w:p w14:paraId="2D5F7045"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4162D7D7"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P39</w:t>
            </w:r>
          </w:p>
        </w:tc>
        <w:tc>
          <w:tcPr>
            <w:tcW w:w="705" w:type="dxa"/>
            <w:tcBorders>
              <w:top w:val="nil"/>
              <w:left w:val="nil"/>
              <w:bottom w:val="nil"/>
              <w:right w:val="nil"/>
            </w:tcBorders>
            <w:shd w:val="clear" w:color="auto" w:fill="auto"/>
            <w:noWrap/>
            <w:vAlign w:val="center"/>
            <w:hideMark/>
          </w:tcPr>
          <w:p w14:paraId="07FF259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C35</w:t>
            </w:r>
          </w:p>
        </w:tc>
        <w:tc>
          <w:tcPr>
            <w:tcW w:w="705" w:type="dxa"/>
            <w:tcBorders>
              <w:top w:val="nil"/>
              <w:left w:val="nil"/>
              <w:bottom w:val="nil"/>
              <w:right w:val="nil"/>
            </w:tcBorders>
            <w:shd w:val="clear" w:color="auto" w:fill="auto"/>
            <w:noWrap/>
            <w:vAlign w:val="center"/>
            <w:hideMark/>
          </w:tcPr>
          <w:p w14:paraId="62525E4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39.3</w:t>
            </w:r>
          </w:p>
        </w:tc>
        <w:tc>
          <w:tcPr>
            <w:tcW w:w="705" w:type="dxa"/>
            <w:tcBorders>
              <w:top w:val="nil"/>
              <w:left w:val="nil"/>
              <w:bottom w:val="nil"/>
              <w:right w:val="nil"/>
            </w:tcBorders>
            <w:shd w:val="clear" w:color="auto" w:fill="auto"/>
            <w:noWrap/>
            <w:vAlign w:val="center"/>
            <w:hideMark/>
          </w:tcPr>
          <w:p w14:paraId="0CF6F79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0.53</w:t>
            </w:r>
          </w:p>
        </w:tc>
      </w:tr>
      <w:tr w:rsidR="008441A3" w:rsidRPr="001D0D80" w14:paraId="161C93D2"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106AEC1C"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P11</w:t>
            </w:r>
          </w:p>
        </w:tc>
        <w:tc>
          <w:tcPr>
            <w:tcW w:w="705" w:type="dxa"/>
            <w:tcBorders>
              <w:top w:val="nil"/>
              <w:left w:val="nil"/>
              <w:bottom w:val="nil"/>
              <w:right w:val="nil"/>
            </w:tcBorders>
            <w:shd w:val="clear" w:color="auto" w:fill="auto"/>
            <w:noWrap/>
            <w:vAlign w:val="center"/>
            <w:hideMark/>
          </w:tcPr>
          <w:p w14:paraId="70F0AC4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C9</w:t>
            </w:r>
          </w:p>
        </w:tc>
        <w:tc>
          <w:tcPr>
            <w:tcW w:w="705" w:type="dxa"/>
            <w:tcBorders>
              <w:top w:val="nil"/>
              <w:left w:val="nil"/>
              <w:bottom w:val="nil"/>
              <w:right w:val="nil"/>
            </w:tcBorders>
            <w:shd w:val="clear" w:color="auto" w:fill="auto"/>
            <w:noWrap/>
            <w:vAlign w:val="center"/>
            <w:hideMark/>
          </w:tcPr>
          <w:p w14:paraId="5C0E5C9C"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33.6</w:t>
            </w:r>
          </w:p>
        </w:tc>
        <w:tc>
          <w:tcPr>
            <w:tcW w:w="705" w:type="dxa"/>
            <w:tcBorders>
              <w:top w:val="nil"/>
              <w:left w:val="nil"/>
              <w:bottom w:val="nil"/>
              <w:right w:val="nil"/>
            </w:tcBorders>
            <w:shd w:val="clear" w:color="auto" w:fill="auto"/>
            <w:noWrap/>
            <w:vAlign w:val="center"/>
            <w:hideMark/>
          </w:tcPr>
          <w:p w14:paraId="2E03C2A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0.61</w:t>
            </w:r>
          </w:p>
        </w:tc>
        <w:tc>
          <w:tcPr>
            <w:tcW w:w="281" w:type="dxa"/>
            <w:tcBorders>
              <w:top w:val="nil"/>
              <w:left w:val="nil"/>
              <w:bottom w:val="nil"/>
              <w:right w:val="nil"/>
            </w:tcBorders>
            <w:shd w:val="clear" w:color="auto" w:fill="auto"/>
            <w:noWrap/>
            <w:vAlign w:val="bottom"/>
            <w:hideMark/>
          </w:tcPr>
          <w:p w14:paraId="615090A2"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6AC9879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P21</w:t>
            </w:r>
          </w:p>
        </w:tc>
        <w:tc>
          <w:tcPr>
            <w:tcW w:w="705" w:type="dxa"/>
            <w:tcBorders>
              <w:top w:val="nil"/>
              <w:left w:val="nil"/>
              <w:bottom w:val="nil"/>
              <w:right w:val="nil"/>
            </w:tcBorders>
            <w:shd w:val="clear" w:color="auto" w:fill="auto"/>
            <w:noWrap/>
            <w:vAlign w:val="center"/>
            <w:hideMark/>
          </w:tcPr>
          <w:p w14:paraId="5064A06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C18</w:t>
            </w:r>
          </w:p>
        </w:tc>
        <w:tc>
          <w:tcPr>
            <w:tcW w:w="705" w:type="dxa"/>
            <w:tcBorders>
              <w:top w:val="nil"/>
              <w:left w:val="nil"/>
              <w:bottom w:val="nil"/>
              <w:right w:val="nil"/>
            </w:tcBorders>
            <w:shd w:val="clear" w:color="auto" w:fill="auto"/>
            <w:noWrap/>
            <w:vAlign w:val="center"/>
            <w:hideMark/>
          </w:tcPr>
          <w:p w14:paraId="3F6A476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37.5</w:t>
            </w:r>
          </w:p>
        </w:tc>
        <w:tc>
          <w:tcPr>
            <w:tcW w:w="705" w:type="dxa"/>
            <w:tcBorders>
              <w:top w:val="nil"/>
              <w:left w:val="nil"/>
              <w:bottom w:val="nil"/>
              <w:right w:val="nil"/>
            </w:tcBorders>
            <w:shd w:val="clear" w:color="auto" w:fill="auto"/>
            <w:noWrap/>
            <w:vAlign w:val="center"/>
            <w:hideMark/>
          </w:tcPr>
          <w:p w14:paraId="6B41951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0.56</w:t>
            </w:r>
          </w:p>
        </w:tc>
        <w:tc>
          <w:tcPr>
            <w:tcW w:w="281" w:type="dxa"/>
            <w:tcBorders>
              <w:top w:val="nil"/>
              <w:left w:val="nil"/>
              <w:bottom w:val="nil"/>
              <w:right w:val="nil"/>
            </w:tcBorders>
            <w:shd w:val="clear" w:color="auto" w:fill="auto"/>
            <w:noWrap/>
            <w:vAlign w:val="bottom"/>
            <w:hideMark/>
          </w:tcPr>
          <w:p w14:paraId="4E01F51D"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3C253E50"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P40</w:t>
            </w:r>
          </w:p>
        </w:tc>
        <w:tc>
          <w:tcPr>
            <w:tcW w:w="705" w:type="dxa"/>
            <w:tcBorders>
              <w:top w:val="nil"/>
              <w:left w:val="nil"/>
              <w:bottom w:val="nil"/>
              <w:right w:val="nil"/>
            </w:tcBorders>
            <w:shd w:val="clear" w:color="auto" w:fill="auto"/>
            <w:noWrap/>
            <w:vAlign w:val="center"/>
            <w:hideMark/>
          </w:tcPr>
          <w:p w14:paraId="7BD468A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C37</w:t>
            </w:r>
          </w:p>
        </w:tc>
        <w:tc>
          <w:tcPr>
            <w:tcW w:w="705" w:type="dxa"/>
            <w:tcBorders>
              <w:top w:val="nil"/>
              <w:left w:val="nil"/>
              <w:bottom w:val="nil"/>
              <w:right w:val="nil"/>
            </w:tcBorders>
            <w:shd w:val="clear" w:color="auto" w:fill="auto"/>
            <w:noWrap/>
            <w:vAlign w:val="center"/>
            <w:hideMark/>
          </w:tcPr>
          <w:p w14:paraId="1EC0274A"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11.4</w:t>
            </w:r>
          </w:p>
        </w:tc>
        <w:tc>
          <w:tcPr>
            <w:tcW w:w="705" w:type="dxa"/>
            <w:tcBorders>
              <w:top w:val="nil"/>
              <w:left w:val="nil"/>
              <w:bottom w:val="nil"/>
              <w:right w:val="nil"/>
            </w:tcBorders>
            <w:shd w:val="clear" w:color="auto" w:fill="auto"/>
            <w:noWrap/>
            <w:vAlign w:val="center"/>
            <w:hideMark/>
          </w:tcPr>
          <w:p w14:paraId="4CAFFA2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0.41</w:t>
            </w:r>
          </w:p>
        </w:tc>
      </w:tr>
      <w:tr w:rsidR="008441A3" w:rsidRPr="001D0D80" w14:paraId="5698D7ED"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615F971C"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P12</w:t>
            </w:r>
          </w:p>
        </w:tc>
        <w:tc>
          <w:tcPr>
            <w:tcW w:w="705" w:type="dxa"/>
            <w:tcBorders>
              <w:top w:val="nil"/>
              <w:left w:val="nil"/>
              <w:bottom w:val="nil"/>
              <w:right w:val="nil"/>
            </w:tcBorders>
            <w:shd w:val="clear" w:color="auto" w:fill="auto"/>
            <w:noWrap/>
            <w:vAlign w:val="center"/>
            <w:hideMark/>
          </w:tcPr>
          <w:p w14:paraId="2B34F36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C10</w:t>
            </w:r>
          </w:p>
        </w:tc>
        <w:tc>
          <w:tcPr>
            <w:tcW w:w="705" w:type="dxa"/>
            <w:tcBorders>
              <w:top w:val="nil"/>
              <w:left w:val="nil"/>
              <w:bottom w:val="nil"/>
              <w:right w:val="nil"/>
            </w:tcBorders>
            <w:shd w:val="clear" w:color="auto" w:fill="auto"/>
            <w:noWrap/>
            <w:vAlign w:val="center"/>
            <w:hideMark/>
          </w:tcPr>
          <w:p w14:paraId="29697A6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46.2</w:t>
            </w:r>
          </w:p>
        </w:tc>
        <w:tc>
          <w:tcPr>
            <w:tcW w:w="705" w:type="dxa"/>
            <w:tcBorders>
              <w:top w:val="nil"/>
              <w:left w:val="nil"/>
              <w:bottom w:val="nil"/>
              <w:right w:val="nil"/>
            </w:tcBorders>
            <w:shd w:val="clear" w:color="auto" w:fill="auto"/>
            <w:noWrap/>
            <w:vAlign w:val="center"/>
            <w:hideMark/>
          </w:tcPr>
          <w:p w14:paraId="4E8A653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0.53</w:t>
            </w:r>
          </w:p>
        </w:tc>
        <w:tc>
          <w:tcPr>
            <w:tcW w:w="281" w:type="dxa"/>
            <w:tcBorders>
              <w:top w:val="nil"/>
              <w:left w:val="nil"/>
              <w:bottom w:val="nil"/>
              <w:right w:val="nil"/>
            </w:tcBorders>
            <w:shd w:val="clear" w:color="auto" w:fill="auto"/>
            <w:noWrap/>
            <w:vAlign w:val="bottom"/>
            <w:hideMark/>
          </w:tcPr>
          <w:p w14:paraId="2E58C81E"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1F01ED09"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P22</w:t>
            </w:r>
          </w:p>
        </w:tc>
        <w:tc>
          <w:tcPr>
            <w:tcW w:w="705" w:type="dxa"/>
            <w:tcBorders>
              <w:top w:val="nil"/>
              <w:left w:val="nil"/>
              <w:bottom w:val="nil"/>
              <w:right w:val="nil"/>
            </w:tcBorders>
            <w:shd w:val="clear" w:color="auto" w:fill="auto"/>
            <w:noWrap/>
            <w:vAlign w:val="center"/>
            <w:hideMark/>
          </w:tcPr>
          <w:p w14:paraId="27EF265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C20</w:t>
            </w:r>
          </w:p>
        </w:tc>
        <w:tc>
          <w:tcPr>
            <w:tcW w:w="705" w:type="dxa"/>
            <w:tcBorders>
              <w:top w:val="nil"/>
              <w:left w:val="nil"/>
              <w:bottom w:val="nil"/>
              <w:right w:val="nil"/>
            </w:tcBorders>
            <w:shd w:val="clear" w:color="auto" w:fill="auto"/>
            <w:noWrap/>
            <w:vAlign w:val="center"/>
            <w:hideMark/>
          </w:tcPr>
          <w:p w14:paraId="1C9EE10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31.4</w:t>
            </w:r>
          </w:p>
        </w:tc>
        <w:tc>
          <w:tcPr>
            <w:tcW w:w="705" w:type="dxa"/>
            <w:tcBorders>
              <w:top w:val="nil"/>
              <w:left w:val="nil"/>
              <w:bottom w:val="nil"/>
              <w:right w:val="nil"/>
            </w:tcBorders>
            <w:shd w:val="clear" w:color="auto" w:fill="auto"/>
            <w:noWrap/>
            <w:vAlign w:val="center"/>
            <w:hideMark/>
          </w:tcPr>
          <w:p w14:paraId="162B81F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0.51</w:t>
            </w:r>
          </w:p>
        </w:tc>
        <w:tc>
          <w:tcPr>
            <w:tcW w:w="281" w:type="dxa"/>
            <w:tcBorders>
              <w:top w:val="nil"/>
              <w:left w:val="nil"/>
              <w:bottom w:val="nil"/>
              <w:right w:val="nil"/>
            </w:tcBorders>
            <w:shd w:val="clear" w:color="auto" w:fill="auto"/>
            <w:noWrap/>
            <w:vAlign w:val="bottom"/>
            <w:hideMark/>
          </w:tcPr>
          <w:p w14:paraId="1E25B1F5"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2728B396"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P41</w:t>
            </w:r>
          </w:p>
        </w:tc>
        <w:tc>
          <w:tcPr>
            <w:tcW w:w="705" w:type="dxa"/>
            <w:tcBorders>
              <w:top w:val="nil"/>
              <w:left w:val="nil"/>
              <w:bottom w:val="nil"/>
              <w:right w:val="nil"/>
            </w:tcBorders>
            <w:shd w:val="clear" w:color="auto" w:fill="auto"/>
            <w:noWrap/>
            <w:vAlign w:val="center"/>
            <w:hideMark/>
          </w:tcPr>
          <w:p w14:paraId="5F7E421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C38</w:t>
            </w:r>
          </w:p>
        </w:tc>
        <w:tc>
          <w:tcPr>
            <w:tcW w:w="705" w:type="dxa"/>
            <w:tcBorders>
              <w:top w:val="nil"/>
              <w:left w:val="nil"/>
              <w:bottom w:val="nil"/>
              <w:right w:val="nil"/>
            </w:tcBorders>
            <w:shd w:val="clear" w:color="auto" w:fill="auto"/>
            <w:noWrap/>
            <w:vAlign w:val="center"/>
            <w:hideMark/>
          </w:tcPr>
          <w:p w14:paraId="09B9E923"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12.8</w:t>
            </w:r>
          </w:p>
        </w:tc>
        <w:tc>
          <w:tcPr>
            <w:tcW w:w="705" w:type="dxa"/>
            <w:tcBorders>
              <w:top w:val="nil"/>
              <w:left w:val="nil"/>
              <w:bottom w:val="nil"/>
              <w:right w:val="nil"/>
            </w:tcBorders>
            <w:shd w:val="clear" w:color="auto" w:fill="auto"/>
            <w:noWrap/>
            <w:vAlign w:val="center"/>
            <w:hideMark/>
          </w:tcPr>
          <w:p w14:paraId="3C319E7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0.41</w:t>
            </w:r>
          </w:p>
        </w:tc>
      </w:tr>
      <w:tr w:rsidR="008441A3" w:rsidRPr="001D0D80" w14:paraId="7ED34D5C"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40A08EB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P13</w:t>
            </w:r>
          </w:p>
        </w:tc>
        <w:tc>
          <w:tcPr>
            <w:tcW w:w="705" w:type="dxa"/>
            <w:tcBorders>
              <w:top w:val="nil"/>
              <w:left w:val="nil"/>
              <w:bottom w:val="nil"/>
              <w:right w:val="nil"/>
            </w:tcBorders>
            <w:shd w:val="clear" w:color="auto" w:fill="auto"/>
            <w:noWrap/>
            <w:vAlign w:val="center"/>
            <w:hideMark/>
          </w:tcPr>
          <w:p w14:paraId="6A90DB3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C10</w:t>
            </w:r>
          </w:p>
        </w:tc>
        <w:tc>
          <w:tcPr>
            <w:tcW w:w="705" w:type="dxa"/>
            <w:tcBorders>
              <w:top w:val="nil"/>
              <w:left w:val="nil"/>
              <w:bottom w:val="nil"/>
              <w:right w:val="nil"/>
            </w:tcBorders>
            <w:shd w:val="clear" w:color="auto" w:fill="auto"/>
            <w:noWrap/>
            <w:vAlign w:val="center"/>
            <w:hideMark/>
          </w:tcPr>
          <w:p w14:paraId="52370F7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29.7</w:t>
            </w:r>
          </w:p>
        </w:tc>
        <w:tc>
          <w:tcPr>
            <w:tcW w:w="705" w:type="dxa"/>
            <w:tcBorders>
              <w:top w:val="nil"/>
              <w:left w:val="nil"/>
              <w:bottom w:val="nil"/>
              <w:right w:val="nil"/>
            </w:tcBorders>
            <w:shd w:val="clear" w:color="auto" w:fill="auto"/>
            <w:noWrap/>
            <w:vAlign w:val="center"/>
            <w:hideMark/>
          </w:tcPr>
          <w:p w14:paraId="255A434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0.36</w:t>
            </w:r>
          </w:p>
        </w:tc>
        <w:tc>
          <w:tcPr>
            <w:tcW w:w="281" w:type="dxa"/>
            <w:tcBorders>
              <w:top w:val="nil"/>
              <w:left w:val="nil"/>
              <w:bottom w:val="nil"/>
              <w:right w:val="nil"/>
            </w:tcBorders>
            <w:shd w:val="clear" w:color="auto" w:fill="auto"/>
            <w:noWrap/>
            <w:vAlign w:val="bottom"/>
            <w:hideMark/>
          </w:tcPr>
          <w:p w14:paraId="12D46B04"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7A1A38F7"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P23</w:t>
            </w:r>
          </w:p>
        </w:tc>
        <w:tc>
          <w:tcPr>
            <w:tcW w:w="705" w:type="dxa"/>
            <w:tcBorders>
              <w:top w:val="nil"/>
              <w:left w:val="nil"/>
              <w:bottom w:val="nil"/>
              <w:right w:val="nil"/>
            </w:tcBorders>
            <w:shd w:val="clear" w:color="auto" w:fill="auto"/>
            <w:noWrap/>
            <w:vAlign w:val="center"/>
            <w:hideMark/>
          </w:tcPr>
          <w:p w14:paraId="5B0844A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C21</w:t>
            </w:r>
          </w:p>
        </w:tc>
        <w:tc>
          <w:tcPr>
            <w:tcW w:w="705" w:type="dxa"/>
            <w:tcBorders>
              <w:top w:val="nil"/>
              <w:left w:val="nil"/>
              <w:bottom w:val="nil"/>
              <w:right w:val="nil"/>
            </w:tcBorders>
            <w:shd w:val="clear" w:color="auto" w:fill="auto"/>
            <w:noWrap/>
            <w:vAlign w:val="center"/>
            <w:hideMark/>
          </w:tcPr>
          <w:p w14:paraId="673DB9B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43.6</w:t>
            </w:r>
          </w:p>
        </w:tc>
        <w:tc>
          <w:tcPr>
            <w:tcW w:w="705" w:type="dxa"/>
            <w:tcBorders>
              <w:top w:val="nil"/>
              <w:left w:val="nil"/>
              <w:bottom w:val="nil"/>
              <w:right w:val="nil"/>
            </w:tcBorders>
            <w:shd w:val="clear" w:color="auto" w:fill="auto"/>
            <w:noWrap/>
            <w:vAlign w:val="center"/>
            <w:hideMark/>
          </w:tcPr>
          <w:p w14:paraId="460A8A8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0.59</w:t>
            </w:r>
          </w:p>
        </w:tc>
        <w:tc>
          <w:tcPr>
            <w:tcW w:w="281" w:type="dxa"/>
            <w:tcBorders>
              <w:top w:val="nil"/>
              <w:left w:val="nil"/>
              <w:bottom w:val="nil"/>
              <w:right w:val="nil"/>
            </w:tcBorders>
            <w:shd w:val="clear" w:color="auto" w:fill="auto"/>
            <w:noWrap/>
            <w:vAlign w:val="bottom"/>
            <w:hideMark/>
          </w:tcPr>
          <w:p w14:paraId="1D715036" w14:textId="77777777" w:rsidR="008441A3" w:rsidRPr="001D0D80" w:rsidRDefault="008441A3" w:rsidP="008441A3">
            <w:pPr>
              <w:jc w:val="right"/>
              <w:rPr>
                <w:rFonts w:ascii="Arial" w:hAnsi="Arial" w:cs="Arial"/>
                <w:sz w:val="20"/>
                <w:szCs w:val="20"/>
                <w:lang w:val="es-419" w:eastAsia="es-419"/>
              </w:rPr>
            </w:pPr>
          </w:p>
        </w:tc>
        <w:tc>
          <w:tcPr>
            <w:tcW w:w="2823" w:type="dxa"/>
            <w:gridSpan w:val="4"/>
            <w:tcBorders>
              <w:top w:val="nil"/>
              <w:left w:val="nil"/>
              <w:bottom w:val="nil"/>
              <w:right w:val="nil"/>
            </w:tcBorders>
            <w:shd w:val="clear" w:color="auto" w:fill="auto"/>
            <w:noWrap/>
            <w:vAlign w:val="center"/>
            <w:hideMark/>
          </w:tcPr>
          <w:p w14:paraId="1F1EE210" w14:textId="77777777" w:rsidR="008441A3" w:rsidRPr="001D0D80" w:rsidRDefault="008441A3" w:rsidP="008441A3">
            <w:pPr>
              <w:rPr>
                <w:rFonts w:ascii="Arial" w:hAnsi="Arial" w:cs="Arial"/>
                <w:i/>
                <w:iCs/>
                <w:sz w:val="20"/>
                <w:szCs w:val="20"/>
                <w:lang w:val="es-419" w:eastAsia="es-419"/>
              </w:rPr>
            </w:pPr>
            <w:r w:rsidRPr="001D0D80">
              <w:rPr>
                <w:rFonts w:ascii="Arial" w:hAnsi="Arial" w:cs="Arial"/>
                <w:i/>
                <w:iCs/>
                <w:sz w:val="20"/>
                <w:szCs w:val="20"/>
                <w:lang w:eastAsia="es-419"/>
              </w:rPr>
              <w:t>Funciones trigonométricas</w:t>
            </w:r>
          </w:p>
        </w:tc>
      </w:tr>
      <w:tr w:rsidR="008441A3" w:rsidRPr="001D0D80" w14:paraId="4401C1FB"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0B4BC28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P14</w:t>
            </w:r>
          </w:p>
        </w:tc>
        <w:tc>
          <w:tcPr>
            <w:tcW w:w="705" w:type="dxa"/>
            <w:tcBorders>
              <w:top w:val="nil"/>
              <w:left w:val="nil"/>
              <w:bottom w:val="nil"/>
              <w:right w:val="nil"/>
            </w:tcBorders>
            <w:shd w:val="clear" w:color="auto" w:fill="auto"/>
            <w:noWrap/>
            <w:vAlign w:val="center"/>
            <w:hideMark/>
          </w:tcPr>
          <w:p w14:paraId="7473661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C11</w:t>
            </w:r>
          </w:p>
        </w:tc>
        <w:tc>
          <w:tcPr>
            <w:tcW w:w="705" w:type="dxa"/>
            <w:tcBorders>
              <w:top w:val="nil"/>
              <w:left w:val="nil"/>
              <w:bottom w:val="nil"/>
              <w:right w:val="nil"/>
            </w:tcBorders>
            <w:shd w:val="clear" w:color="auto" w:fill="auto"/>
            <w:noWrap/>
            <w:vAlign w:val="center"/>
            <w:hideMark/>
          </w:tcPr>
          <w:p w14:paraId="0A1FD25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49.7</w:t>
            </w:r>
          </w:p>
        </w:tc>
        <w:tc>
          <w:tcPr>
            <w:tcW w:w="705" w:type="dxa"/>
            <w:tcBorders>
              <w:top w:val="nil"/>
              <w:left w:val="nil"/>
              <w:bottom w:val="nil"/>
              <w:right w:val="nil"/>
            </w:tcBorders>
            <w:shd w:val="clear" w:color="auto" w:fill="auto"/>
            <w:noWrap/>
            <w:vAlign w:val="center"/>
            <w:hideMark/>
          </w:tcPr>
          <w:p w14:paraId="01D58C7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0.54</w:t>
            </w:r>
          </w:p>
        </w:tc>
        <w:tc>
          <w:tcPr>
            <w:tcW w:w="281" w:type="dxa"/>
            <w:tcBorders>
              <w:top w:val="nil"/>
              <w:left w:val="nil"/>
              <w:bottom w:val="nil"/>
              <w:right w:val="nil"/>
            </w:tcBorders>
            <w:shd w:val="clear" w:color="auto" w:fill="auto"/>
            <w:noWrap/>
            <w:vAlign w:val="bottom"/>
            <w:hideMark/>
          </w:tcPr>
          <w:p w14:paraId="787A1C19"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7F94E2B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P24</w:t>
            </w:r>
          </w:p>
        </w:tc>
        <w:tc>
          <w:tcPr>
            <w:tcW w:w="705" w:type="dxa"/>
            <w:tcBorders>
              <w:top w:val="nil"/>
              <w:left w:val="nil"/>
              <w:bottom w:val="nil"/>
              <w:right w:val="nil"/>
            </w:tcBorders>
            <w:shd w:val="clear" w:color="auto" w:fill="auto"/>
            <w:noWrap/>
            <w:vAlign w:val="center"/>
            <w:hideMark/>
          </w:tcPr>
          <w:p w14:paraId="0DCB86F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C22</w:t>
            </w:r>
          </w:p>
        </w:tc>
        <w:tc>
          <w:tcPr>
            <w:tcW w:w="705" w:type="dxa"/>
            <w:tcBorders>
              <w:top w:val="nil"/>
              <w:left w:val="nil"/>
              <w:bottom w:val="nil"/>
              <w:right w:val="nil"/>
            </w:tcBorders>
            <w:shd w:val="clear" w:color="auto" w:fill="auto"/>
            <w:noWrap/>
            <w:vAlign w:val="center"/>
            <w:hideMark/>
          </w:tcPr>
          <w:p w14:paraId="54047F0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21.7</w:t>
            </w:r>
          </w:p>
        </w:tc>
        <w:tc>
          <w:tcPr>
            <w:tcW w:w="705" w:type="dxa"/>
            <w:tcBorders>
              <w:top w:val="nil"/>
              <w:left w:val="nil"/>
              <w:bottom w:val="nil"/>
              <w:right w:val="nil"/>
            </w:tcBorders>
            <w:shd w:val="clear" w:color="auto" w:fill="auto"/>
            <w:noWrap/>
            <w:vAlign w:val="center"/>
            <w:hideMark/>
          </w:tcPr>
          <w:p w14:paraId="4B8A013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0.44</w:t>
            </w:r>
          </w:p>
        </w:tc>
        <w:tc>
          <w:tcPr>
            <w:tcW w:w="281" w:type="dxa"/>
            <w:tcBorders>
              <w:top w:val="nil"/>
              <w:left w:val="nil"/>
              <w:bottom w:val="nil"/>
              <w:right w:val="nil"/>
            </w:tcBorders>
            <w:shd w:val="clear" w:color="auto" w:fill="auto"/>
            <w:noWrap/>
            <w:vAlign w:val="bottom"/>
            <w:hideMark/>
          </w:tcPr>
          <w:p w14:paraId="085D7460"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04462EB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P51</w:t>
            </w:r>
          </w:p>
        </w:tc>
        <w:tc>
          <w:tcPr>
            <w:tcW w:w="705" w:type="dxa"/>
            <w:tcBorders>
              <w:top w:val="nil"/>
              <w:left w:val="nil"/>
              <w:bottom w:val="nil"/>
              <w:right w:val="nil"/>
            </w:tcBorders>
            <w:shd w:val="clear" w:color="auto" w:fill="auto"/>
            <w:noWrap/>
            <w:vAlign w:val="center"/>
            <w:hideMark/>
          </w:tcPr>
          <w:p w14:paraId="137BD46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C50</w:t>
            </w:r>
          </w:p>
        </w:tc>
        <w:tc>
          <w:tcPr>
            <w:tcW w:w="705" w:type="dxa"/>
            <w:tcBorders>
              <w:top w:val="nil"/>
              <w:left w:val="nil"/>
              <w:bottom w:val="nil"/>
              <w:right w:val="nil"/>
            </w:tcBorders>
            <w:shd w:val="clear" w:color="auto" w:fill="auto"/>
            <w:noWrap/>
            <w:vAlign w:val="center"/>
            <w:hideMark/>
          </w:tcPr>
          <w:p w14:paraId="1090B27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28.1</w:t>
            </w:r>
          </w:p>
        </w:tc>
        <w:tc>
          <w:tcPr>
            <w:tcW w:w="705" w:type="dxa"/>
            <w:tcBorders>
              <w:top w:val="nil"/>
              <w:left w:val="nil"/>
              <w:bottom w:val="nil"/>
              <w:right w:val="nil"/>
            </w:tcBorders>
            <w:shd w:val="clear" w:color="auto" w:fill="auto"/>
            <w:noWrap/>
            <w:vAlign w:val="center"/>
            <w:hideMark/>
          </w:tcPr>
          <w:p w14:paraId="1A1C1FE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0.52</w:t>
            </w:r>
          </w:p>
        </w:tc>
      </w:tr>
      <w:tr w:rsidR="008441A3" w:rsidRPr="001D0D80" w14:paraId="1DC78087"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127B8FD4"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P15</w:t>
            </w:r>
          </w:p>
        </w:tc>
        <w:tc>
          <w:tcPr>
            <w:tcW w:w="705" w:type="dxa"/>
            <w:tcBorders>
              <w:top w:val="nil"/>
              <w:left w:val="nil"/>
              <w:bottom w:val="nil"/>
              <w:right w:val="nil"/>
            </w:tcBorders>
            <w:shd w:val="clear" w:color="auto" w:fill="auto"/>
            <w:noWrap/>
            <w:vAlign w:val="center"/>
            <w:hideMark/>
          </w:tcPr>
          <w:p w14:paraId="2949831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C12</w:t>
            </w:r>
          </w:p>
        </w:tc>
        <w:tc>
          <w:tcPr>
            <w:tcW w:w="705" w:type="dxa"/>
            <w:tcBorders>
              <w:top w:val="nil"/>
              <w:left w:val="nil"/>
              <w:bottom w:val="nil"/>
              <w:right w:val="nil"/>
            </w:tcBorders>
            <w:shd w:val="clear" w:color="auto" w:fill="auto"/>
            <w:noWrap/>
            <w:vAlign w:val="center"/>
            <w:hideMark/>
          </w:tcPr>
          <w:p w14:paraId="043709B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33.6</w:t>
            </w:r>
          </w:p>
        </w:tc>
        <w:tc>
          <w:tcPr>
            <w:tcW w:w="705" w:type="dxa"/>
            <w:tcBorders>
              <w:top w:val="nil"/>
              <w:left w:val="nil"/>
              <w:bottom w:val="nil"/>
              <w:right w:val="nil"/>
            </w:tcBorders>
            <w:shd w:val="clear" w:color="auto" w:fill="auto"/>
            <w:noWrap/>
            <w:vAlign w:val="center"/>
            <w:hideMark/>
          </w:tcPr>
          <w:p w14:paraId="4E7C445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0.61</w:t>
            </w:r>
          </w:p>
        </w:tc>
        <w:tc>
          <w:tcPr>
            <w:tcW w:w="281" w:type="dxa"/>
            <w:tcBorders>
              <w:top w:val="nil"/>
              <w:left w:val="nil"/>
              <w:bottom w:val="nil"/>
              <w:right w:val="nil"/>
            </w:tcBorders>
            <w:shd w:val="clear" w:color="auto" w:fill="auto"/>
            <w:noWrap/>
            <w:vAlign w:val="bottom"/>
            <w:hideMark/>
          </w:tcPr>
          <w:p w14:paraId="105774F0" w14:textId="77777777" w:rsidR="008441A3" w:rsidRPr="001D0D80" w:rsidRDefault="008441A3" w:rsidP="008441A3">
            <w:pPr>
              <w:jc w:val="right"/>
              <w:rPr>
                <w:rFonts w:ascii="Arial" w:hAnsi="Arial" w:cs="Arial"/>
                <w:sz w:val="20"/>
                <w:szCs w:val="20"/>
                <w:lang w:val="es-419" w:eastAsia="es-419"/>
              </w:rPr>
            </w:pPr>
          </w:p>
        </w:tc>
        <w:tc>
          <w:tcPr>
            <w:tcW w:w="2823" w:type="dxa"/>
            <w:gridSpan w:val="4"/>
            <w:tcBorders>
              <w:top w:val="nil"/>
              <w:left w:val="nil"/>
              <w:bottom w:val="nil"/>
              <w:right w:val="nil"/>
            </w:tcBorders>
            <w:shd w:val="clear" w:color="auto" w:fill="auto"/>
            <w:noWrap/>
            <w:vAlign w:val="center"/>
            <w:hideMark/>
          </w:tcPr>
          <w:p w14:paraId="062DC3CD" w14:textId="77777777" w:rsidR="008441A3" w:rsidRPr="001D0D80" w:rsidRDefault="008441A3" w:rsidP="008441A3">
            <w:pPr>
              <w:rPr>
                <w:rFonts w:ascii="Arial" w:hAnsi="Arial" w:cs="Arial"/>
                <w:i/>
                <w:iCs/>
                <w:sz w:val="20"/>
                <w:szCs w:val="20"/>
                <w:lang w:val="pt-BR" w:eastAsia="es-419"/>
              </w:rPr>
            </w:pPr>
            <w:proofErr w:type="spellStart"/>
            <w:r w:rsidRPr="001D0D80">
              <w:rPr>
                <w:rFonts w:ascii="Arial" w:hAnsi="Arial" w:cs="Arial"/>
                <w:i/>
                <w:iCs/>
                <w:sz w:val="20"/>
                <w:szCs w:val="20"/>
                <w:lang w:val="pt-BR" w:eastAsia="es-419"/>
              </w:rPr>
              <w:t>Func</w:t>
            </w:r>
            <w:proofErr w:type="spellEnd"/>
            <w:r w:rsidRPr="001D0D80">
              <w:rPr>
                <w:rFonts w:ascii="Arial" w:hAnsi="Arial" w:cs="Arial"/>
                <w:i/>
                <w:iCs/>
                <w:sz w:val="20"/>
                <w:szCs w:val="20"/>
                <w:lang w:val="pt-BR" w:eastAsia="es-419"/>
              </w:rPr>
              <w:t>. exp., log. e inversa</w:t>
            </w:r>
          </w:p>
        </w:tc>
        <w:tc>
          <w:tcPr>
            <w:tcW w:w="281" w:type="dxa"/>
            <w:tcBorders>
              <w:top w:val="nil"/>
              <w:left w:val="nil"/>
              <w:bottom w:val="nil"/>
              <w:right w:val="nil"/>
            </w:tcBorders>
            <w:shd w:val="clear" w:color="auto" w:fill="auto"/>
            <w:noWrap/>
            <w:vAlign w:val="bottom"/>
            <w:hideMark/>
          </w:tcPr>
          <w:p w14:paraId="24BD542F" w14:textId="77777777" w:rsidR="008441A3" w:rsidRPr="001D0D80" w:rsidRDefault="008441A3" w:rsidP="008441A3">
            <w:pPr>
              <w:rPr>
                <w:rFonts w:ascii="Arial" w:hAnsi="Arial" w:cs="Arial"/>
                <w:i/>
                <w:iCs/>
                <w:sz w:val="20"/>
                <w:szCs w:val="20"/>
                <w:lang w:val="pt-BR" w:eastAsia="es-419"/>
              </w:rPr>
            </w:pPr>
          </w:p>
        </w:tc>
        <w:tc>
          <w:tcPr>
            <w:tcW w:w="705" w:type="dxa"/>
            <w:tcBorders>
              <w:top w:val="nil"/>
              <w:left w:val="nil"/>
              <w:bottom w:val="nil"/>
              <w:right w:val="nil"/>
            </w:tcBorders>
            <w:shd w:val="clear" w:color="auto" w:fill="auto"/>
            <w:noWrap/>
            <w:vAlign w:val="center"/>
            <w:hideMark/>
          </w:tcPr>
          <w:p w14:paraId="0E535835"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P52</w:t>
            </w:r>
          </w:p>
        </w:tc>
        <w:tc>
          <w:tcPr>
            <w:tcW w:w="705" w:type="dxa"/>
            <w:tcBorders>
              <w:top w:val="nil"/>
              <w:left w:val="nil"/>
              <w:bottom w:val="nil"/>
              <w:right w:val="nil"/>
            </w:tcBorders>
            <w:shd w:val="clear" w:color="auto" w:fill="auto"/>
            <w:noWrap/>
            <w:vAlign w:val="center"/>
            <w:hideMark/>
          </w:tcPr>
          <w:p w14:paraId="2E6BA78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C51</w:t>
            </w:r>
          </w:p>
        </w:tc>
        <w:tc>
          <w:tcPr>
            <w:tcW w:w="705" w:type="dxa"/>
            <w:tcBorders>
              <w:top w:val="nil"/>
              <w:left w:val="nil"/>
              <w:bottom w:val="nil"/>
              <w:right w:val="nil"/>
            </w:tcBorders>
            <w:shd w:val="clear" w:color="auto" w:fill="auto"/>
            <w:noWrap/>
            <w:vAlign w:val="center"/>
            <w:hideMark/>
          </w:tcPr>
          <w:p w14:paraId="730670F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25.7</w:t>
            </w:r>
          </w:p>
        </w:tc>
        <w:tc>
          <w:tcPr>
            <w:tcW w:w="705" w:type="dxa"/>
            <w:tcBorders>
              <w:top w:val="nil"/>
              <w:left w:val="nil"/>
              <w:bottom w:val="nil"/>
              <w:right w:val="nil"/>
            </w:tcBorders>
            <w:shd w:val="clear" w:color="auto" w:fill="auto"/>
            <w:noWrap/>
            <w:vAlign w:val="center"/>
            <w:hideMark/>
          </w:tcPr>
          <w:p w14:paraId="59293AF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0.53</w:t>
            </w:r>
          </w:p>
        </w:tc>
      </w:tr>
      <w:tr w:rsidR="008441A3" w:rsidRPr="001D0D80" w14:paraId="2C8C7D57" w14:textId="77777777" w:rsidTr="00AE1E2A">
        <w:trPr>
          <w:trHeight w:val="310"/>
          <w:jc w:val="center"/>
        </w:trPr>
        <w:tc>
          <w:tcPr>
            <w:tcW w:w="2823" w:type="dxa"/>
            <w:gridSpan w:val="4"/>
            <w:tcBorders>
              <w:top w:val="nil"/>
              <w:left w:val="nil"/>
              <w:bottom w:val="nil"/>
              <w:right w:val="nil"/>
            </w:tcBorders>
            <w:shd w:val="clear" w:color="auto" w:fill="auto"/>
            <w:noWrap/>
            <w:vAlign w:val="center"/>
            <w:hideMark/>
          </w:tcPr>
          <w:p w14:paraId="099A8560" w14:textId="77777777" w:rsidR="008441A3" w:rsidRPr="001D0D80" w:rsidRDefault="008441A3" w:rsidP="008441A3">
            <w:pPr>
              <w:rPr>
                <w:rFonts w:ascii="Arial" w:hAnsi="Arial" w:cs="Arial"/>
                <w:i/>
                <w:iCs/>
                <w:sz w:val="20"/>
                <w:szCs w:val="20"/>
                <w:lang w:val="es-419" w:eastAsia="es-419"/>
              </w:rPr>
            </w:pPr>
            <w:r w:rsidRPr="001D0D80">
              <w:rPr>
                <w:rFonts w:ascii="Arial" w:hAnsi="Arial" w:cs="Arial"/>
                <w:i/>
                <w:iCs/>
                <w:sz w:val="20"/>
                <w:szCs w:val="20"/>
                <w:lang w:eastAsia="es-419"/>
              </w:rPr>
              <w:t>Operaciones algebraicas II</w:t>
            </w:r>
          </w:p>
        </w:tc>
        <w:tc>
          <w:tcPr>
            <w:tcW w:w="281" w:type="dxa"/>
            <w:tcBorders>
              <w:top w:val="nil"/>
              <w:left w:val="nil"/>
              <w:bottom w:val="nil"/>
              <w:right w:val="nil"/>
            </w:tcBorders>
            <w:shd w:val="clear" w:color="auto" w:fill="auto"/>
            <w:noWrap/>
            <w:vAlign w:val="bottom"/>
            <w:hideMark/>
          </w:tcPr>
          <w:p w14:paraId="07FB6E8C" w14:textId="77777777" w:rsidR="008441A3" w:rsidRPr="001D0D80" w:rsidRDefault="008441A3" w:rsidP="008441A3">
            <w:pPr>
              <w:rPr>
                <w:rFonts w:ascii="Arial" w:hAnsi="Arial" w:cs="Arial"/>
                <w:i/>
                <w:iCs/>
                <w:sz w:val="20"/>
                <w:szCs w:val="20"/>
                <w:lang w:val="es-419" w:eastAsia="es-419"/>
              </w:rPr>
            </w:pPr>
          </w:p>
        </w:tc>
        <w:tc>
          <w:tcPr>
            <w:tcW w:w="705" w:type="dxa"/>
            <w:tcBorders>
              <w:top w:val="nil"/>
              <w:left w:val="nil"/>
              <w:bottom w:val="nil"/>
              <w:right w:val="nil"/>
            </w:tcBorders>
            <w:shd w:val="clear" w:color="auto" w:fill="auto"/>
            <w:noWrap/>
            <w:vAlign w:val="center"/>
            <w:hideMark/>
          </w:tcPr>
          <w:p w14:paraId="53CCACF3"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P25</w:t>
            </w:r>
          </w:p>
        </w:tc>
        <w:tc>
          <w:tcPr>
            <w:tcW w:w="705" w:type="dxa"/>
            <w:tcBorders>
              <w:top w:val="nil"/>
              <w:left w:val="nil"/>
              <w:bottom w:val="nil"/>
              <w:right w:val="nil"/>
            </w:tcBorders>
            <w:shd w:val="clear" w:color="auto" w:fill="auto"/>
            <w:noWrap/>
            <w:vAlign w:val="center"/>
            <w:hideMark/>
          </w:tcPr>
          <w:p w14:paraId="6E13DA0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C23</w:t>
            </w:r>
          </w:p>
        </w:tc>
        <w:tc>
          <w:tcPr>
            <w:tcW w:w="705" w:type="dxa"/>
            <w:tcBorders>
              <w:top w:val="nil"/>
              <w:left w:val="nil"/>
              <w:bottom w:val="nil"/>
              <w:right w:val="nil"/>
            </w:tcBorders>
            <w:shd w:val="clear" w:color="auto" w:fill="auto"/>
            <w:noWrap/>
            <w:vAlign w:val="center"/>
            <w:hideMark/>
          </w:tcPr>
          <w:p w14:paraId="0AA0A3D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33.3</w:t>
            </w:r>
          </w:p>
        </w:tc>
        <w:tc>
          <w:tcPr>
            <w:tcW w:w="705" w:type="dxa"/>
            <w:tcBorders>
              <w:top w:val="nil"/>
              <w:left w:val="nil"/>
              <w:bottom w:val="nil"/>
              <w:right w:val="nil"/>
            </w:tcBorders>
            <w:shd w:val="clear" w:color="auto" w:fill="auto"/>
            <w:noWrap/>
            <w:vAlign w:val="center"/>
            <w:hideMark/>
          </w:tcPr>
          <w:p w14:paraId="4FB9A89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0.56</w:t>
            </w:r>
          </w:p>
        </w:tc>
        <w:tc>
          <w:tcPr>
            <w:tcW w:w="281" w:type="dxa"/>
            <w:tcBorders>
              <w:top w:val="nil"/>
              <w:left w:val="nil"/>
              <w:bottom w:val="nil"/>
              <w:right w:val="nil"/>
            </w:tcBorders>
            <w:shd w:val="clear" w:color="auto" w:fill="auto"/>
            <w:noWrap/>
            <w:vAlign w:val="bottom"/>
            <w:hideMark/>
          </w:tcPr>
          <w:p w14:paraId="2085D258"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48E34EDD"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P53</w:t>
            </w:r>
          </w:p>
        </w:tc>
        <w:tc>
          <w:tcPr>
            <w:tcW w:w="705" w:type="dxa"/>
            <w:tcBorders>
              <w:top w:val="nil"/>
              <w:left w:val="nil"/>
              <w:bottom w:val="nil"/>
              <w:right w:val="nil"/>
            </w:tcBorders>
            <w:shd w:val="clear" w:color="auto" w:fill="auto"/>
            <w:noWrap/>
            <w:vAlign w:val="center"/>
            <w:hideMark/>
          </w:tcPr>
          <w:p w14:paraId="5355466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C52</w:t>
            </w:r>
          </w:p>
        </w:tc>
        <w:tc>
          <w:tcPr>
            <w:tcW w:w="705" w:type="dxa"/>
            <w:tcBorders>
              <w:top w:val="nil"/>
              <w:left w:val="nil"/>
              <w:bottom w:val="nil"/>
              <w:right w:val="nil"/>
            </w:tcBorders>
            <w:shd w:val="clear" w:color="auto" w:fill="auto"/>
            <w:noWrap/>
            <w:vAlign w:val="center"/>
            <w:hideMark/>
          </w:tcPr>
          <w:p w14:paraId="097AE09F"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18.0</w:t>
            </w:r>
          </w:p>
        </w:tc>
        <w:tc>
          <w:tcPr>
            <w:tcW w:w="705" w:type="dxa"/>
            <w:tcBorders>
              <w:top w:val="nil"/>
              <w:left w:val="nil"/>
              <w:bottom w:val="nil"/>
              <w:right w:val="nil"/>
            </w:tcBorders>
            <w:shd w:val="clear" w:color="auto" w:fill="auto"/>
            <w:noWrap/>
            <w:vAlign w:val="center"/>
            <w:hideMark/>
          </w:tcPr>
          <w:p w14:paraId="4A07E94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0.52</w:t>
            </w:r>
          </w:p>
        </w:tc>
      </w:tr>
      <w:tr w:rsidR="008441A3" w:rsidRPr="001D0D80" w14:paraId="787A8A2F"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24B14FD1"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P31</w:t>
            </w:r>
          </w:p>
        </w:tc>
        <w:tc>
          <w:tcPr>
            <w:tcW w:w="705" w:type="dxa"/>
            <w:tcBorders>
              <w:top w:val="nil"/>
              <w:left w:val="nil"/>
              <w:bottom w:val="nil"/>
              <w:right w:val="nil"/>
            </w:tcBorders>
            <w:shd w:val="clear" w:color="auto" w:fill="auto"/>
            <w:noWrap/>
            <w:vAlign w:val="center"/>
            <w:hideMark/>
          </w:tcPr>
          <w:p w14:paraId="414FDD4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C29</w:t>
            </w:r>
          </w:p>
        </w:tc>
        <w:tc>
          <w:tcPr>
            <w:tcW w:w="705" w:type="dxa"/>
            <w:tcBorders>
              <w:top w:val="nil"/>
              <w:left w:val="nil"/>
              <w:bottom w:val="nil"/>
              <w:right w:val="nil"/>
            </w:tcBorders>
            <w:shd w:val="clear" w:color="auto" w:fill="auto"/>
            <w:noWrap/>
            <w:vAlign w:val="center"/>
            <w:hideMark/>
          </w:tcPr>
          <w:p w14:paraId="2FE8597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23.5</w:t>
            </w:r>
          </w:p>
        </w:tc>
        <w:tc>
          <w:tcPr>
            <w:tcW w:w="705" w:type="dxa"/>
            <w:tcBorders>
              <w:top w:val="nil"/>
              <w:left w:val="nil"/>
              <w:bottom w:val="nil"/>
              <w:right w:val="nil"/>
            </w:tcBorders>
            <w:shd w:val="clear" w:color="auto" w:fill="auto"/>
            <w:noWrap/>
            <w:vAlign w:val="center"/>
            <w:hideMark/>
          </w:tcPr>
          <w:p w14:paraId="7FBCE2F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0.54</w:t>
            </w:r>
          </w:p>
        </w:tc>
        <w:tc>
          <w:tcPr>
            <w:tcW w:w="281" w:type="dxa"/>
            <w:tcBorders>
              <w:top w:val="nil"/>
              <w:left w:val="nil"/>
              <w:bottom w:val="nil"/>
              <w:right w:val="nil"/>
            </w:tcBorders>
            <w:shd w:val="clear" w:color="auto" w:fill="auto"/>
            <w:noWrap/>
            <w:vAlign w:val="bottom"/>
            <w:hideMark/>
          </w:tcPr>
          <w:p w14:paraId="0C5B7160"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2B193556"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P26</w:t>
            </w:r>
          </w:p>
        </w:tc>
        <w:tc>
          <w:tcPr>
            <w:tcW w:w="705" w:type="dxa"/>
            <w:tcBorders>
              <w:top w:val="nil"/>
              <w:left w:val="nil"/>
              <w:bottom w:val="nil"/>
              <w:right w:val="nil"/>
            </w:tcBorders>
            <w:shd w:val="clear" w:color="auto" w:fill="auto"/>
            <w:noWrap/>
            <w:vAlign w:val="center"/>
            <w:hideMark/>
          </w:tcPr>
          <w:p w14:paraId="011FE65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C24</w:t>
            </w:r>
          </w:p>
        </w:tc>
        <w:tc>
          <w:tcPr>
            <w:tcW w:w="705" w:type="dxa"/>
            <w:tcBorders>
              <w:top w:val="nil"/>
              <w:left w:val="nil"/>
              <w:bottom w:val="nil"/>
              <w:right w:val="nil"/>
            </w:tcBorders>
            <w:shd w:val="clear" w:color="auto" w:fill="auto"/>
            <w:noWrap/>
            <w:vAlign w:val="center"/>
            <w:hideMark/>
          </w:tcPr>
          <w:p w14:paraId="3FD4064C"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37.2</w:t>
            </w:r>
          </w:p>
        </w:tc>
        <w:tc>
          <w:tcPr>
            <w:tcW w:w="705" w:type="dxa"/>
            <w:tcBorders>
              <w:top w:val="nil"/>
              <w:left w:val="nil"/>
              <w:bottom w:val="nil"/>
              <w:right w:val="nil"/>
            </w:tcBorders>
            <w:shd w:val="clear" w:color="auto" w:fill="auto"/>
            <w:noWrap/>
            <w:vAlign w:val="center"/>
            <w:hideMark/>
          </w:tcPr>
          <w:p w14:paraId="44026D0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0.49</w:t>
            </w:r>
          </w:p>
        </w:tc>
        <w:tc>
          <w:tcPr>
            <w:tcW w:w="281" w:type="dxa"/>
            <w:tcBorders>
              <w:top w:val="nil"/>
              <w:left w:val="nil"/>
              <w:bottom w:val="nil"/>
              <w:right w:val="nil"/>
            </w:tcBorders>
            <w:shd w:val="clear" w:color="auto" w:fill="auto"/>
            <w:noWrap/>
            <w:vAlign w:val="bottom"/>
            <w:hideMark/>
          </w:tcPr>
          <w:p w14:paraId="2C1D5533"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7C5A4D15"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P54</w:t>
            </w:r>
          </w:p>
        </w:tc>
        <w:tc>
          <w:tcPr>
            <w:tcW w:w="705" w:type="dxa"/>
            <w:tcBorders>
              <w:top w:val="nil"/>
              <w:left w:val="nil"/>
              <w:bottom w:val="nil"/>
              <w:right w:val="nil"/>
            </w:tcBorders>
            <w:shd w:val="clear" w:color="auto" w:fill="auto"/>
            <w:noWrap/>
            <w:vAlign w:val="center"/>
            <w:hideMark/>
          </w:tcPr>
          <w:p w14:paraId="2F4C0A6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C53</w:t>
            </w:r>
          </w:p>
        </w:tc>
        <w:tc>
          <w:tcPr>
            <w:tcW w:w="705" w:type="dxa"/>
            <w:tcBorders>
              <w:top w:val="nil"/>
              <w:left w:val="nil"/>
              <w:bottom w:val="nil"/>
              <w:right w:val="nil"/>
            </w:tcBorders>
            <w:shd w:val="clear" w:color="auto" w:fill="auto"/>
            <w:noWrap/>
            <w:vAlign w:val="center"/>
            <w:hideMark/>
          </w:tcPr>
          <w:p w14:paraId="1336E682"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14.6</w:t>
            </w:r>
          </w:p>
        </w:tc>
        <w:tc>
          <w:tcPr>
            <w:tcW w:w="705" w:type="dxa"/>
            <w:tcBorders>
              <w:top w:val="nil"/>
              <w:left w:val="nil"/>
              <w:bottom w:val="nil"/>
              <w:right w:val="nil"/>
            </w:tcBorders>
            <w:shd w:val="clear" w:color="auto" w:fill="auto"/>
            <w:noWrap/>
            <w:vAlign w:val="center"/>
            <w:hideMark/>
          </w:tcPr>
          <w:p w14:paraId="3C35D6B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0.44</w:t>
            </w:r>
          </w:p>
        </w:tc>
      </w:tr>
      <w:tr w:rsidR="008441A3" w:rsidRPr="001D0D80" w14:paraId="00198513"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10142244"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P32</w:t>
            </w:r>
          </w:p>
        </w:tc>
        <w:tc>
          <w:tcPr>
            <w:tcW w:w="705" w:type="dxa"/>
            <w:tcBorders>
              <w:top w:val="nil"/>
              <w:left w:val="nil"/>
              <w:bottom w:val="nil"/>
              <w:right w:val="nil"/>
            </w:tcBorders>
            <w:shd w:val="clear" w:color="auto" w:fill="auto"/>
            <w:noWrap/>
            <w:vAlign w:val="center"/>
            <w:hideMark/>
          </w:tcPr>
          <w:p w14:paraId="6F73417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C29</w:t>
            </w:r>
          </w:p>
        </w:tc>
        <w:tc>
          <w:tcPr>
            <w:tcW w:w="705" w:type="dxa"/>
            <w:tcBorders>
              <w:top w:val="nil"/>
              <w:left w:val="nil"/>
              <w:bottom w:val="nil"/>
              <w:right w:val="nil"/>
            </w:tcBorders>
            <w:shd w:val="clear" w:color="auto" w:fill="auto"/>
            <w:noWrap/>
            <w:vAlign w:val="center"/>
            <w:hideMark/>
          </w:tcPr>
          <w:p w14:paraId="33A3B6B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57.7</w:t>
            </w:r>
          </w:p>
        </w:tc>
        <w:tc>
          <w:tcPr>
            <w:tcW w:w="705" w:type="dxa"/>
            <w:tcBorders>
              <w:top w:val="nil"/>
              <w:left w:val="nil"/>
              <w:bottom w:val="nil"/>
              <w:right w:val="nil"/>
            </w:tcBorders>
            <w:shd w:val="clear" w:color="auto" w:fill="auto"/>
            <w:noWrap/>
            <w:vAlign w:val="center"/>
            <w:hideMark/>
          </w:tcPr>
          <w:p w14:paraId="2AA4885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0.36</w:t>
            </w:r>
          </w:p>
        </w:tc>
        <w:tc>
          <w:tcPr>
            <w:tcW w:w="281" w:type="dxa"/>
            <w:tcBorders>
              <w:top w:val="nil"/>
              <w:left w:val="nil"/>
              <w:bottom w:val="nil"/>
              <w:right w:val="nil"/>
            </w:tcBorders>
            <w:shd w:val="clear" w:color="auto" w:fill="auto"/>
            <w:noWrap/>
            <w:vAlign w:val="bottom"/>
            <w:hideMark/>
          </w:tcPr>
          <w:p w14:paraId="050EEB2A"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28606C45"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P27</w:t>
            </w:r>
          </w:p>
        </w:tc>
        <w:tc>
          <w:tcPr>
            <w:tcW w:w="705" w:type="dxa"/>
            <w:tcBorders>
              <w:top w:val="nil"/>
              <w:left w:val="nil"/>
              <w:bottom w:val="nil"/>
              <w:right w:val="nil"/>
            </w:tcBorders>
            <w:shd w:val="clear" w:color="auto" w:fill="auto"/>
            <w:noWrap/>
            <w:vAlign w:val="center"/>
            <w:hideMark/>
          </w:tcPr>
          <w:p w14:paraId="16266DE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C25</w:t>
            </w:r>
          </w:p>
        </w:tc>
        <w:tc>
          <w:tcPr>
            <w:tcW w:w="705" w:type="dxa"/>
            <w:tcBorders>
              <w:top w:val="nil"/>
              <w:left w:val="nil"/>
              <w:bottom w:val="nil"/>
              <w:right w:val="nil"/>
            </w:tcBorders>
            <w:shd w:val="clear" w:color="auto" w:fill="auto"/>
            <w:noWrap/>
            <w:vAlign w:val="center"/>
            <w:hideMark/>
          </w:tcPr>
          <w:p w14:paraId="5B52304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22.7</w:t>
            </w:r>
          </w:p>
        </w:tc>
        <w:tc>
          <w:tcPr>
            <w:tcW w:w="705" w:type="dxa"/>
            <w:tcBorders>
              <w:top w:val="nil"/>
              <w:left w:val="nil"/>
              <w:bottom w:val="nil"/>
              <w:right w:val="nil"/>
            </w:tcBorders>
            <w:shd w:val="clear" w:color="auto" w:fill="auto"/>
            <w:noWrap/>
            <w:vAlign w:val="center"/>
            <w:hideMark/>
          </w:tcPr>
          <w:p w14:paraId="7B12B79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0.44</w:t>
            </w:r>
          </w:p>
        </w:tc>
        <w:tc>
          <w:tcPr>
            <w:tcW w:w="281" w:type="dxa"/>
            <w:tcBorders>
              <w:top w:val="nil"/>
              <w:left w:val="nil"/>
              <w:bottom w:val="nil"/>
              <w:right w:val="nil"/>
            </w:tcBorders>
            <w:shd w:val="clear" w:color="auto" w:fill="auto"/>
            <w:noWrap/>
            <w:vAlign w:val="bottom"/>
            <w:hideMark/>
          </w:tcPr>
          <w:p w14:paraId="181AAEC5"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single" w:sz="4" w:space="0" w:color="auto"/>
              <w:right w:val="nil"/>
            </w:tcBorders>
            <w:shd w:val="clear" w:color="auto" w:fill="auto"/>
            <w:noWrap/>
            <w:vAlign w:val="center"/>
            <w:hideMark/>
          </w:tcPr>
          <w:p w14:paraId="52AF7FFA"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P55</w:t>
            </w:r>
          </w:p>
        </w:tc>
        <w:tc>
          <w:tcPr>
            <w:tcW w:w="705" w:type="dxa"/>
            <w:tcBorders>
              <w:top w:val="nil"/>
              <w:left w:val="nil"/>
              <w:bottom w:val="single" w:sz="4" w:space="0" w:color="auto"/>
              <w:right w:val="nil"/>
            </w:tcBorders>
            <w:shd w:val="clear" w:color="auto" w:fill="auto"/>
            <w:noWrap/>
            <w:vAlign w:val="center"/>
            <w:hideMark/>
          </w:tcPr>
          <w:p w14:paraId="31CD6D71"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C54</w:t>
            </w:r>
          </w:p>
        </w:tc>
        <w:tc>
          <w:tcPr>
            <w:tcW w:w="705" w:type="dxa"/>
            <w:tcBorders>
              <w:top w:val="nil"/>
              <w:left w:val="nil"/>
              <w:bottom w:val="single" w:sz="4" w:space="0" w:color="auto"/>
              <w:right w:val="nil"/>
            </w:tcBorders>
            <w:shd w:val="clear" w:color="auto" w:fill="auto"/>
            <w:noWrap/>
            <w:vAlign w:val="center"/>
            <w:hideMark/>
          </w:tcPr>
          <w:p w14:paraId="30EC56CD" w14:textId="77777777" w:rsidR="008441A3" w:rsidRPr="001D0D80" w:rsidRDefault="008441A3" w:rsidP="008441A3">
            <w:pPr>
              <w:jc w:val="right"/>
              <w:rPr>
                <w:rFonts w:ascii="Arial" w:hAnsi="Arial" w:cs="Arial"/>
                <w:b/>
                <w:bCs/>
                <w:sz w:val="20"/>
                <w:szCs w:val="20"/>
                <w:lang w:val="es-419" w:eastAsia="es-419"/>
              </w:rPr>
            </w:pPr>
            <w:r w:rsidRPr="001D0D80">
              <w:rPr>
                <w:rFonts w:ascii="Arial" w:hAnsi="Arial" w:cs="Arial"/>
                <w:b/>
                <w:bCs/>
                <w:sz w:val="20"/>
                <w:szCs w:val="20"/>
                <w:lang w:eastAsia="es-419"/>
              </w:rPr>
              <w:t>16.0</w:t>
            </w:r>
          </w:p>
        </w:tc>
        <w:tc>
          <w:tcPr>
            <w:tcW w:w="705" w:type="dxa"/>
            <w:tcBorders>
              <w:top w:val="nil"/>
              <w:left w:val="nil"/>
              <w:bottom w:val="single" w:sz="4" w:space="0" w:color="auto"/>
              <w:right w:val="nil"/>
            </w:tcBorders>
            <w:shd w:val="clear" w:color="auto" w:fill="auto"/>
            <w:noWrap/>
            <w:vAlign w:val="center"/>
            <w:hideMark/>
          </w:tcPr>
          <w:p w14:paraId="75CACCA3"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0.37</w:t>
            </w:r>
          </w:p>
        </w:tc>
      </w:tr>
      <w:tr w:rsidR="008441A3" w:rsidRPr="001D0D80" w14:paraId="08BC7605" w14:textId="77777777" w:rsidTr="00AE1E2A">
        <w:trPr>
          <w:trHeight w:val="326"/>
          <w:jc w:val="center"/>
        </w:trPr>
        <w:tc>
          <w:tcPr>
            <w:tcW w:w="705" w:type="dxa"/>
            <w:tcBorders>
              <w:top w:val="nil"/>
              <w:left w:val="nil"/>
              <w:bottom w:val="nil"/>
              <w:right w:val="nil"/>
            </w:tcBorders>
            <w:shd w:val="clear" w:color="auto" w:fill="auto"/>
            <w:noWrap/>
            <w:vAlign w:val="center"/>
            <w:hideMark/>
          </w:tcPr>
          <w:p w14:paraId="6E12E71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P33</w:t>
            </w:r>
          </w:p>
        </w:tc>
        <w:tc>
          <w:tcPr>
            <w:tcW w:w="705" w:type="dxa"/>
            <w:tcBorders>
              <w:top w:val="nil"/>
              <w:left w:val="nil"/>
              <w:bottom w:val="nil"/>
              <w:right w:val="nil"/>
            </w:tcBorders>
            <w:shd w:val="clear" w:color="auto" w:fill="auto"/>
            <w:noWrap/>
            <w:vAlign w:val="center"/>
            <w:hideMark/>
          </w:tcPr>
          <w:p w14:paraId="66395319"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C30</w:t>
            </w:r>
          </w:p>
        </w:tc>
        <w:tc>
          <w:tcPr>
            <w:tcW w:w="705" w:type="dxa"/>
            <w:tcBorders>
              <w:top w:val="nil"/>
              <w:left w:val="nil"/>
              <w:bottom w:val="nil"/>
              <w:right w:val="nil"/>
            </w:tcBorders>
            <w:shd w:val="clear" w:color="auto" w:fill="auto"/>
            <w:noWrap/>
            <w:vAlign w:val="center"/>
            <w:hideMark/>
          </w:tcPr>
          <w:p w14:paraId="4035CE9B"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29.0</w:t>
            </w:r>
          </w:p>
        </w:tc>
        <w:tc>
          <w:tcPr>
            <w:tcW w:w="705" w:type="dxa"/>
            <w:tcBorders>
              <w:top w:val="nil"/>
              <w:left w:val="nil"/>
              <w:bottom w:val="nil"/>
              <w:right w:val="nil"/>
            </w:tcBorders>
            <w:shd w:val="clear" w:color="auto" w:fill="auto"/>
            <w:noWrap/>
            <w:vAlign w:val="center"/>
            <w:hideMark/>
          </w:tcPr>
          <w:p w14:paraId="6B43F90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0.49</w:t>
            </w:r>
          </w:p>
        </w:tc>
        <w:tc>
          <w:tcPr>
            <w:tcW w:w="281" w:type="dxa"/>
            <w:tcBorders>
              <w:top w:val="nil"/>
              <w:left w:val="nil"/>
              <w:bottom w:val="nil"/>
              <w:right w:val="nil"/>
            </w:tcBorders>
            <w:shd w:val="clear" w:color="auto" w:fill="auto"/>
            <w:noWrap/>
            <w:vAlign w:val="bottom"/>
            <w:hideMark/>
          </w:tcPr>
          <w:p w14:paraId="29B68BBE"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5B1BC306"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P28</w:t>
            </w:r>
          </w:p>
        </w:tc>
        <w:tc>
          <w:tcPr>
            <w:tcW w:w="705" w:type="dxa"/>
            <w:tcBorders>
              <w:top w:val="nil"/>
              <w:left w:val="nil"/>
              <w:bottom w:val="nil"/>
              <w:right w:val="nil"/>
            </w:tcBorders>
            <w:shd w:val="clear" w:color="auto" w:fill="auto"/>
            <w:noWrap/>
            <w:vAlign w:val="center"/>
            <w:hideMark/>
          </w:tcPr>
          <w:p w14:paraId="5315B69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C26</w:t>
            </w:r>
          </w:p>
        </w:tc>
        <w:tc>
          <w:tcPr>
            <w:tcW w:w="705" w:type="dxa"/>
            <w:tcBorders>
              <w:top w:val="nil"/>
              <w:left w:val="nil"/>
              <w:bottom w:val="nil"/>
              <w:right w:val="nil"/>
            </w:tcBorders>
            <w:shd w:val="clear" w:color="auto" w:fill="auto"/>
            <w:noWrap/>
            <w:vAlign w:val="center"/>
            <w:hideMark/>
          </w:tcPr>
          <w:p w14:paraId="0309960C"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32.1</w:t>
            </w:r>
          </w:p>
        </w:tc>
        <w:tc>
          <w:tcPr>
            <w:tcW w:w="705" w:type="dxa"/>
            <w:tcBorders>
              <w:top w:val="nil"/>
              <w:left w:val="nil"/>
              <w:bottom w:val="nil"/>
              <w:right w:val="nil"/>
            </w:tcBorders>
            <w:shd w:val="clear" w:color="auto" w:fill="auto"/>
            <w:noWrap/>
            <w:vAlign w:val="center"/>
            <w:hideMark/>
          </w:tcPr>
          <w:p w14:paraId="21CDF4C5"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0.51</w:t>
            </w:r>
          </w:p>
        </w:tc>
        <w:tc>
          <w:tcPr>
            <w:tcW w:w="281" w:type="dxa"/>
            <w:tcBorders>
              <w:top w:val="nil"/>
              <w:left w:val="nil"/>
              <w:bottom w:val="nil"/>
              <w:right w:val="nil"/>
            </w:tcBorders>
            <w:shd w:val="clear" w:color="auto" w:fill="auto"/>
            <w:noWrap/>
            <w:vAlign w:val="bottom"/>
            <w:hideMark/>
          </w:tcPr>
          <w:p w14:paraId="7533FC10"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single" w:sz="8" w:space="0" w:color="auto"/>
              <w:right w:val="nil"/>
            </w:tcBorders>
            <w:shd w:val="clear" w:color="000000" w:fill="FFFFFF"/>
            <w:noWrap/>
            <w:vAlign w:val="center"/>
            <w:hideMark/>
          </w:tcPr>
          <w:p w14:paraId="6659E221" w14:textId="77777777" w:rsidR="008441A3" w:rsidRPr="001D0D80" w:rsidRDefault="008441A3" w:rsidP="008441A3">
            <w:pPr>
              <w:rPr>
                <w:rFonts w:ascii="Arial" w:hAnsi="Arial" w:cs="Arial"/>
                <w:sz w:val="20"/>
                <w:szCs w:val="20"/>
                <w:lang w:val="es-419" w:eastAsia="es-419"/>
              </w:rPr>
            </w:pPr>
            <w:proofErr w:type="spellStart"/>
            <w:r w:rsidRPr="001D0D80">
              <w:rPr>
                <w:rFonts w:ascii="Arial" w:hAnsi="Arial" w:cs="Arial"/>
                <w:sz w:val="20"/>
                <w:szCs w:val="20"/>
                <w:lang w:eastAsia="es-419"/>
              </w:rPr>
              <w:t>Prom</w:t>
            </w:r>
            <w:proofErr w:type="spellEnd"/>
            <w:r w:rsidRPr="001D0D80">
              <w:rPr>
                <w:rFonts w:ascii="Arial" w:hAnsi="Arial" w:cs="Arial"/>
                <w:sz w:val="20"/>
                <w:szCs w:val="20"/>
                <w:lang w:eastAsia="es-419"/>
              </w:rPr>
              <w:t>.</w:t>
            </w:r>
          </w:p>
        </w:tc>
        <w:tc>
          <w:tcPr>
            <w:tcW w:w="705" w:type="dxa"/>
            <w:tcBorders>
              <w:top w:val="nil"/>
              <w:left w:val="nil"/>
              <w:bottom w:val="single" w:sz="8" w:space="0" w:color="auto"/>
              <w:right w:val="nil"/>
            </w:tcBorders>
            <w:shd w:val="clear" w:color="auto" w:fill="auto"/>
            <w:noWrap/>
            <w:vAlign w:val="center"/>
            <w:hideMark/>
          </w:tcPr>
          <w:p w14:paraId="2144F09F"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bottom w:val="single" w:sz="8" w:space="0" w:color="auto"/>
              <w:right w:val="nil"/>
            </w:tcBorders>
            <w:shd w:val="clear" w:color="auto" w:fill="auto"/>
            <w:noWrap/>
            <w:vAlign w:val="center"/>
            <w:hideMark/>
          </w:tcPr>
          <w:p w14:paraId="6CCFB51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22.2</w:t>
            </w:r>
          </w:p>
        </w:tc>
        <w:tc>
          <w:tcPr>
            <w:tcW w:w="705" w:type="dxa"/>
            <w:tcBorders>
              <w:top w:val="nil"/>
              <w:left w:val="nil"/>
              <w:bottom w:val="single" w:sz="8" w:space="0" w:color="auto"/>
              <w:right w:val="nil"/>
            </w:tcBorders>
            <w:shd w:val="clear" w:color="auto" w:fill="auto"/>
            <w:noWrap/>
            <w:vAlign w:val="center"/>
            <w:hideMark/>
          </w:tcPr>
          <w:p w14:paraId="7762149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0.48</w:t>
            </w:r>
          </w:p>
        </w:tc>
      </w:tr>
      <w:tr w:rsidR="008441A3" w:rsidRPr="001D0D80" w14:paraId="63FBD6D5" w14:textId="77777777" w:rsidTr="00AE1E2A">
        <w:trPr>
          <w:trHeight w:val="310"/>
          <w:jc w:val="center"/>
        </w:trPr>
        <w:tc>
          <w:tcPr>
            <w:tcW w:w="705" w:type="dxa"/>
            <w:tcBorders>
              <w:top w:val="nil"/>
              <w:left w:val="nil"/>
              <w:bottom w:val="nil"/>
              <w:right w:val="nil"/>
            </w:tcBorders>
            <w:shd w:val="clear" w:color="auto" w:fill="auto"/>
            <w:noWrap/>
            <w:vAlign w:val="center"/>
            <w:hideMark/>
          </w:tcPr>
          <w:p w14:paraId="410841DB"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P34</w:t>
            </w:r>
          </w:p>
        </w:tc>
        <w:tc>
          <w:tcPr>
            <w:tcW w:w="705" w:type="dxa"/>
            <w:tcBorders>
              <w:top w:val="nil"/>
              <w:left w:val="nil"/>
              <w:bottom w:val="nil"/>
              <w:right w:val="nil"/>
            </w:tcBorders>
            <w:shd w:val="clear" w:color="auto" w:fill="auto"/>
            <w:noWrap/>
            <w:vAlign w:val="center"/>
            <w:hideMark/>
          </w:tcPr>
          <w:p w14:paraId="74D3568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C30</w:t>
            </w:r>
          </w:p>
        </w:tc>
        <w:tc>
          <w:tcPr>
            <w:tcW w:w="705" w:type="dxa"/>
            <w:tcBorders>
              <w:top w:val="nil"/>
              <w:left w:val="nil"/>
              <w:bottom w:val="nil"/>
              <w:right w:val="nil"/>
            </w:tcBorders>
            <w:shd w:val="clear" w:color="auto" w:fill="auto"/>
            <w:noWrap/>
            <w:vAlign w:val="center"/>
            <w:hideMark/>
          </w:tcPr>
          <w:p w14:paraId="6AAC8A48"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27.8</w:t>
            </w:r>
          </w:p>
        </w:tc>
        <w:tc>
          <w:tcPr>
            <w:tcW w:w="705" w:type="dxa"/>
            <w:tcBorders>
              <w:top w:val="nil"/>
              <w:left w:val="nil"/>
              <w:bottom w:val="nil"/>
              <w:right w:val="nil"/>
            </w:tcBorders>
            <w:shd w:val="clear" w:color="auto" w:fill="auto"/>
            <w:noWrap/>
            <w:vAlign w:val="center"/>
            <w:hideMark/>
          </w:tcPr>
          <w:p w14:paraId="7841E05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0.28</w:t>
            </w:r>
          </w:p>
        </w:tc>
        <w:tc>
          <w:tcPr>
            <w:tcW w:w="281" w:type="dxa"/>
            <w:tcBorders>
              <w:top w:val="nil"/>
              <w:left w:val="nil"/>
              <w:bottom w:val="nil"/>
              <w:right w:val="nil"/>
            </w:tcBorders>
            <w:shd w:val="clear" w:color="auto" w:fill="auto"/>
            <w:noWrap/>
            <w:vAlign w:val="bottom"/>
            <w:hideMark/>
          </w:tcPr>
          <w:p w14:paraId="12496BCA"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bottom w:val="nil"/>
              <w:right w:val="nil"/>
            </w:tcBorders>
            <w:shd w:val="clear" w:color="auto" w:fill="auto"/>
            <w:noWrap/>
            <w:vAlign w:val="center"/>
            <w:hideMark/>
          </w:tcPr>
          <w:p w14:paraId="25B8DEC1"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P29</w:t>
            </w:r>
          </w:p>
        </w:tc>
        <w:tc>
          <w:tcPr>
            <w:tcW w:w="705" w:type="dxa"/>
            <w:tcBorders>
              <w:top w:val="nil"/>
              <w:left w:val="nil"/>
              <w:bottom w:val="nil"/>
              <w:right w:val="nil"/>
            </w:tcBorders>
            <w:shd w:val="clear" w:color="auto" w:fill="auto"/>
            <w:noWrap/>
            <w:vAlign w:val="center"/>
            <w:hideMark/>
          </w:tcPr>
          <w:p w14:paraId="404658B2"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C27</w:t>
            </w:r>
          </w:p>
        </w:tc>
        <w:tc>
          <w:tcPr>
            <w:tcW w:w="705" w:type="dxa"/>
            <w:tcBorders>
              <w:top w:val="nil"/>
              <w:left w:val="nil"/>
              <w:bottom w:val="nil"/>
              <w:right w:val="nil"/>
            </w:tcBorders>
            <w:shd w:val="clear" w:color="auto" w:fill="auto"/>
            <w:noWrap/>
            <w:vAlign w:val="center"/>
            <w:hideMark/>
          </w:tcPr>
          <w:p w14:paraId="65C5828C"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32.8</w:t>
            </w:r>
          </w:p>
        </w:tc>
        <w:tc>
          <w:tcPr>
            <w:tcW w:w="705" w:type="dxa"/>
            <w:tcBorders>
              <w:top w:val="nil"/>
              <w:left w:val="nil"/>
              <w:bottom w:val="nil"/>
              <w:right w:val="nil"/>
            </w:tcBorders>
            <w:shd w:val="clear" w:color="auto" w:fill="auto"/>
            <w:noWrap/>
            <w:vAlign w:val="center"/>
            <w:hideMark/>
          </w:tcPr>
          <w:p w14:paraId="652E258D"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0.40</w:t>
            </w:r>
          </w:p>
        </w:tc>
        <w:tc>
          <w:tcPr>
            <w:tcW w:w="281" w:type="dxa"/>
            <w:tcBorders>
              <w:top w:val="nil"/>
              <w:left w:val="nil"/>
              <w:right w:val="nil"/>
            </w:tcBorders>
            <w:shd w:val="clear" w:color="auto" w:fill="auto"/>
            <w:noWrap/>
            <w:vAlign w:val="bottom"/>
            <w:hideMark/>
          </w:tcPr>
          <w:p w14:paraId="36637341" w14:textId="77777777" w:rsidR="008441A3" w:rsidRPr="001D0D80" w:rsidRDefault="008441A3" w:rsidP="008441A3">
            <w:pPr>
              <w:jc w:val="right"/>
              <w:rPr>
                <w:rFonts w:ascii="Arial" w:hAnsi="Arial" w:cs="Arial"/>
                <w:sz w:val="20"/>
                <w:szCs w:val="20"/>
                <w:lang w:val="es-419" w:eastAsia="es-419"/>
              </w:rPr>
            </w:pPr>
          </w:p>
        </w:tc>
        <w:tc>
          <w:tcPr>
            <w:tcW w:w="705" w:type="dxa"/>
            <w:tcBorders>
              <w:top w:val="nil"/>
              <w:left w:val="nil"/>
              <w:right w:val="nil"/>
            </w:tcBorders>
            <w:shd w:val="clear" w:color="auto" w:fill="auto"/>
            <w:noWrap/>
            <w:vAlign w:val="bottom"/>
            <w:hideMark/>
          </w:tcPr>
          <w:p w14:paraId="20496712"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right w:val="nil"/>
            </w:tcBorders>
            <w:shd w:val="clear" w:color="auto" w:fill="auto"/>
            <w:noWrap/>
            <w:vAlign w:val="bottom"/>
            <w:hideMark/>
          </w:tcPr>
          <w:p w14:paraId="3B03EAF1"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right w:val="nil"/>
            </w:tcBorders>
            <w:shd w:val="clear" w:color="auto" w:fill="auto"/>
            <w:noWrap/>
            <w:vAlign w:val="bottom"/>
            <w:hideMark/>
          </w:tcPr>
          <w:p w14:paraId="2058EB61" w14:textId="77777777" w:rsidR="008441A3" w:rsidRPr="001D0D80" w:rsidRDefault="008441A3" w:rsidP="008441A3">
            <w:pPr>
              <w:rPr>
                <w:rFonts w:ascii="Arial" w:hAnsi="Arial" w:cs="Arial"/>
                <w:sz w:val="20"/>
                <w:szCs w:val="20"/>
                <w:lang w:val="es-419" w:eastAsia="es-419"/>
              </w:rPr>
            </w:pPr>
          </w:p>
        </w:tc>
        <w:tc>
          <w:tcPr>
            <w:tcW w:w="705" w:type="dxa"/>
            <w:tcBorders>
              <w:top w:val="nil"/>
              <w:left w:val="nil"/>
              <w:right w:val="nil"/>
            </w:tcBorders>
            <w:shd w:val="clear" w:color="auto" w:fill="auto"/>
            <w:noWrap/>
            <w:vAlign w:val="bottom"/>
            <w:hideMark/>
          </w:tcPr>
          <w:p w14:paraId="0E4ABB30" w14:textId="77777777" w:rsidR="008441A3" w:rsidRPr="001D0D80" w:rsidRDefault="008441A3" w:rsidP="008441A3">
            <w:pPr>
              <w:rPr>
                <w:rFonts w:ascii="Arial" w:hAnsi="Arial" w:cs="Arial"/>
                <w:sz w:val="20"/>
                <w:szCs w:val="20"/>
                <w:lang w:val="es-419" w:eastAsia="es-419"/>
              </w:rPr>
            </w:pPr>
          </w:p>
        </w:tc>
      </w:tr>
      <w:tr w:rsidR="008441A3" w:rsidRPr="001D0D80" w14:paraId="2AE5CB40" w14:textId="77777777" w:rsidTr="00AE1E2A">
        <w:trPr>
          <w:trHeight w:val="310"/>
          <w:jc w:val="center"/>
        </w:trPr>
        <w:tc>
          <w:tcPr>
            <w:tcW w:w="705" w:type="dxa"/>
            <w:tcBorders>
              <w:top w:val="nil"/>
              <w:left w:val="nil"/>
              <w:bottom w:val="single" w:sz="4" w:space="0" w:color="auto"/>
              <w:right w:val="nil"/>
            </w:tcBorders>
            <w:shd w:val="clear" w:color="auto" w:fill="auto"/>
            <w:noWrap/>
            <w:vAlign w:val="center"/>
            <w:hideMark/>
          </w:tcPr>
          <w:p w14:paraId="4F6DA4A3"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P35</w:t>
            </w:r>
          </w:p>
        </w:tc>
        <w:tc>
          <w:tcPr>
            <w:tcW w:w="705" w:type="dxa"/>
            <w:tcBorders>
              <w:top w:val="nil"/>
              <w:left w:val="nil"/>
              <w:bottom w:val="single" w:sz="4" w:space="0" w:color="auto"/>
              <w:right w:val="nil"/>
            </w:tcBorders>
            <w:shd w:val="clear" w:color="auto" w:fill="auto"/>
            <w:noWrap/>
            <w:vAlign w:val="center"/>
            <w:hideMark/>
          </w:tcPr>
          <w:p w14:paraId="3C51D356"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C31</w:t>
            </w:r>
          </w:p>
        </w:tc>
        <w:tc>
          <w:tcPr>
            <w:tcW w:w="705" w:type="dxa"/>
            <w:tcBorders>
              <w:top w:val="nil"/>
              <w:left w:val="nil"/>
              <w:bottom w:val="single" w:sz="4" w:space="0" w:color="auto"/>
              <w:right w:val="nil"/>
            </w:tcBorders>
            <w:shd w:val="clear" w:color="auto" w:fill="auto"/>
            <w:noWrap/>
            <w:vAlign w:val="center"/>
            <w:hideMark/>
          </w:tcPr>
          <w:p w14:paraId="2A256714"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24.2</w:t>
            </w:r>
          </w:p>
        </w:tc>
        <w:tc>
          <w:tcPr>
            <w:tcW w:w="705" w:type="dxa"/>
            <w:tcBorders>
              <w:top w:val="nil"/>
              <w:left w:val="nil"/>
              <w:bottom w:val="single" w:sz="4" w:space="0" w:color="auto"/>
              <w:right w:val="nil"/>
            </w:tcBorders>
            <w:shd w:val="clear" w:color="auto" w:fill="auto"/>
            <w:noWrap/>
            <w:vAlign w:val="center"/>
            <w:hideMark/>
          </w:tcPr>
          <w:p w14:paraId="77F04620"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0.57</w:t>
            </w:r>
          </w:p>
        </w:tc>
        <w:tc>
          <w:tcPr>
            <w:tcW w:w="281" w:type="dxa"/>
            <w:tcBorders>
              <w:top w:val="nil"/>
              <w:left w:val="nil"/>
              <w:bottom w:val="single" w:sz="4" w:space="0" w:color="auto"/>
              <w:right w:val="nil"/>
            </w:tcBorders>
            <w:shd w:val="clear" w:color="auto" w:fill="auto"/>
            <w:noWrap/>
            <w:vAlign w:val="bottom"/>
            <w:hideMark/>
          </w:tcPr>
          <w:p w14:paraId="57BF2DFD"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bottom w:val="single" w:sz="4" w:space="0" w:color="auto"/>
              <w:right w:val="nil"/>
            </w:tcBorders>
            <w:shd w:val="clear" w:color="auto" w:fill="auto"/>
            <w:noWrap/>
            <w:vAlign w:val="center"/>
            <w:hideMark/>
          </w:tcPr>
          <w:p w14:paraId="5C542032"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eastAsia="es-419"/>
              </w:rPr>
              <w:t>P30</w:t>
            </w:r>
          </w:p>
        </w:tc>
        <w:tc>
          <w:tcPr>
            <w:tcW w:w="705" w:type="dxa"/>
            <w:tcBorders>
              <w:top w:val="nil"/>
              <w:left w:val="nil"/>
              <w:bottom w:val="single" w:sz="4" w:space="0" w:color="auto"/>
              <w:right w:val="nil"/>
            </w:tcBorders>
            <w:shd w:val="clear" w:color="auto" w:fill="auto"/>
            <w:noWrap/>
            <w:vAlign w:val="center"/>
            <w:hideMark/>
          </w:tcPr>
          <w:p w14:paraId="2263FD7A"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C28</w:t>
            </w:r>
          </w:p>
        </w:tc>
        <w:tc>
          <w:tcPr>
            <w:tcW w:w="705" w:type="dxa"/>
            <w:tcBorders>
              <w:top w:val="nil"/>
              <w:left w:val="nil"/>
              <w:bottom w:val="single" w:sz="4" w:space="0" w:color="auto"/>
              <w:right w:val="nil"/>
            </w:tcBorders>
            <w:shd w:val="clear" w:color="auto" w:fill="auto"/>
            <w:noWrap/>
            <w:vAlign w:val="center"/>
            <w:hideMark/>
          </w:tcPr>
          <w:p w14:paraId="70FFE697"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58.3</w:t>
            </w:r>
          </w:p>
        </w:tc>
        <w:tc>
          <w:tcPr>
            <w:tcW w:w="705" w:type="dxa"/>
            <w:tcBorders>
              <w:top w:val="nil"/>
              <w:left w:val="nil"/>
              <w:bottom w:val="single" w:sz="4" w:space="0" w:color="auto"/>
              <w:right w:val="nil"/>
            </w:tcBorders>
            <w:shd w:val="clear" w:color="auto" w:fill="auto"/>
            <w:noWrap/>
            <w:vAlign w:val="center"/>
            <w:hideMark/>
          </w:tcPr>
          <w:p w14:paraId="243E34AE" w14:textId="77777777" w:rsidR="008441A3" w:rsidRPr="001D0D80" w:rsidRDefault="008441A3" w:rsidP="008441A3">
            <w:pPr>
              <w:jc w:val="right"/>
              <w:rPr>
                <w:rFonts w:ascii="Arial" w:hAnsi="Arial" w:cs="Arial"/>
                <w:sz w:val="20"/>
                <w:szCs w:val="20"/>
                <w:lang w:val="es-419" w:eastAsia="es-419"/>
              </w:rPr>
            </w:pPr>
            <w:r w:rsidRPr="001D0D80">
              <w:rPr>
                <w:rFonts w:ascii="Arial" w:hAnsi="Arial" w:cs="Arial"/>
                <w:sz w:val="20"/>
                <w:szCs w:val="20"/>
                <w:lang w:eastAsia="es-419"/>
              </w:rPr>
              <w:t>0.43</w:t>
            </w:r>
          </w:p>
        </w:tc>
        <w:tc>
          <w:tcPr>
            <w:tcW w:w="281" w:type="dxa"/>
            <w:tcBorders>
              <w:top w:val="nil"/>
              <w:left w:val="nil"/>
              <w:right w:val="nil"/>
            </w:tcBorders>
            <w:shd w:val="clear" w:color="auto" w:fill="auto"/>
            <w:noWrap/>
            <w:vAlign w:val="bottom"/>
            <w:hideMark/>
          </w:tcPr>
          <w:p w14:paraId="0177BA93"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right w:val="nil"/>
            </w:tcBorders>
            <w:shd w:val="clear" w:color="auto" w:fill="auto"/>
            <w:noWrap/>
            <w:vAlign w:val="bottom"/>
            <w:hideMark/>
          </w:tcPr>
          <w:p w14:paraId="693D5831"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right w:val="nil"/>
            </w:tcBorders>
            <w:shd w:val="clear" w:color="auto" w:fill="auto"/>
            <w:noWrap/>
            <w:vAlign w:val="bottom"/>
            <w:hideMark/>
          </w:tcPr>
          <w:p w14:paraId="716D31E1"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right w:val="nil"/>
            </w:tcBorders>
            <w:shd w:val="clear" w:color="auto" w:fill="auto"/>
            <w:noWrap/>
            <w:vAlign w:val="bottom"/>
            <w:hideMark/>
          </w:tcPr>
          <w:p w14:paraId="051F877E"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c>
          <w:tcPr>
            <w:tcW w:w="705" w:type="dxa"/>
            <w:tcBorders>
              <w:top w:val="nil"/>
              <w:left w:val="nil"/>
              <w:right w:val="nil"/>
            </w:tcBorders>
            <w:shd w:val="clear" w:color="auto" w:fill="auto"/>
            <w:noWrap/>
            <w:vAlign w:val="bottom"/>
            <w:hideMark/>
          </w:tcPr>
          <w:p w14:paraId="259D9EE7" w14:textId="77777777" w:rsidR="008441A3" w:rsidRPr="001D0D80" w:rsidRDefault="008441A3" w:rsidP="008441A3">
            <w:pPr>
              <w:rPr>
                <w:rFonts w:ascii="Arial" w:hAnsi="Arial" w:cs="Arial"/>
                <w:sz w:val="20"/>
                <w:szCs w:val="20"/>
                <w:lang w:val="es-419" w:eastAsia="es-419"/>
              </w:rPr>
            </w:pPr>
            <w:r w:rsidRPr="001D0D80">
              <w:rPr>
                <w:rFonts w:ascii="Arial" w:hAnsi="Arial" w:cs="Arial"/>
                <w:sz w:val="20"/>
                <w:szCs w:val="20"/>
                <w:lang w:val="es-419" w:eastAsia="es-419"/>
              </w:rPr>
              <w:t> </w:t>
            </w:r>
          </w:p>
        </w:tc>
      </w:tr>
    </w:tbl>
    <w:p w14:paraId="4CB32D17" w14:textId="77777777" w:rsidR="008441A3" w:rsidRPr="006D1D66" w:rsidRDefault="008441A3" w:rsidP="008441A3">
      <w:pPr>
        <w:spacing w:after="160"/>
        <w:jc w:val="both"/>
        <w:rPr>
          <w:rFonts w:ascii="Arial" w:eastAsiaTheme="minorHAnsi" w:hAnsi="Arial" w:cs="Arial"/>
          <w:sz w:val="20"/>
          <w:szCs w:val="20"/>
          <w:lang w:eastAsia="en-US"/>
        </w:rPr>
      </w:pPr>
      <w:r w:rsidRPr="006D1D66">
        <w:rPr>
          <w:rFonts w:ascii="Arial" w:eastAsiaTheme="minorHAnsi" w:hAnsi="Arial" w:cs="Arial"/>
          <w:iCs/>
          <w:sz w:val="20"/>
          <w:szCs w:val="20"/>
          <w:lang w:eastAsia="en-US"/>
        </w:rPr>
        <w:t>Nota</w:t>
      </w:r>
      <w:r w:rsidRPr="006D1D66">
        <w:rPr>
          <w:rFonts w:ascii="Arial" w:eastAsiaTheme="minorHAnsi" w:hAnsi="Arial" w:cs="Arial"/>
          <w:sz w:val="20"/>
          <w:szCs w:val="20"/>
          <w:lang w:eastAsia="en-US"/>
        </w:rPr>
        <w:t xml:space="preserve">. </w:t>
      </w:r>
      <w:proofErr w:type="spellStart"/>
      <w:r w:rsidRPr="006D1D66">
        <w:rPr>
          <w:rFonts w:ascii="Arial" w:eastAsiaTheme="minorHAnsi" w:hAnsi="Arial" w:cs="Arial"/>
          <w:sz w:val="20"/>
          <w:szCs w:val="20"/>
          <w:lang w:eastAsia="en-US"/>
        </w:rPr>
        <w:t>Cont</w:t>
      </w:r>
      <w:proofErr w:type="spellEnd"/>
      <w:r w:rsidRPr="006D1D66">
        <w:rPr>
          <w:rFonts w:ascii="Arial" w:eastAsiaTheme="minorHAnsi" w:hAnsi="Arial" w:cs="Arial"/>
          <w:sz w:val="20"/>
          <w:szCs w:val="20"/>
          <w:lang w:eastAsia="en-US"/>
        </w:rPr>
        <w:t xml:space="preserve">=Contenido (los significados de cada código están en la tabla de especificaciones), % ac=porcentaje de aciertos, </w:t>
      </w:r>
      <w:proofErr w:type="spellStart"/>
      <w:r w:rsidRPr="006D1D66">
        <w:rPr>
          <w:rFonts w:ascii="Arial" w:eastAsiaTheme="minorHAnsi" w:hAnsi="Arial" w:cs="Arial"/>
          <w:sz w:val="20"/>
          <w:szCs w:val="20"/>
          <w:lang w:eastAsia="en-US"/>
        </w:rPr>
        <w:t>It-to</w:t>
      </w:r>
      <w:proofErr w:type="spellEnd"/>
      <w:r w:rsidRPr="006D1D66">
        <w:rPr>
          <w:rFonts w:ascii="Arial" w:eastAsiaTheme="minorHAnsi" w:hAnsi="Arial" w:cs="Arial"/>
          <w:sz w:val="20"/>
          <w:szCs w:val="20"/>
          <w:lang w:eastAsia="en-US"/>
        </w:rPr>
        <w:t xml:space="preserve">=correlación ítem-total, </w:t>
      </w:r>
      <w:proofErr w:type="spellStart"/>
      <w:proofErr w:type="gramStart"/>
      <w:r w:rsidRPr="006D1D66">
        <w:rPr>
          <w:rFonts w:ascii="Arial" w:eastAsiaTheme="minorHAnsi" w:hAnsi="Arial" w:cs="Arial"/>
          <w:sz w:val="20"/>
          <w:szCs w:val="20"/>
          <w:lang w:eastAsia="en-US"/>
        </w:rPr>
        <w:t>Prom</w:t>
      </w:r>
      <w:proofErr w:type="spellEnd"/>
      <w:r w:rsidRPr="006D1D66">
        <w:rPr>
          <w:rFonts w:ascii="Arial" w:eastAsiaTheme="minorHAnsi" w:hAnsi="Arial" w:cs="Arial"/>
          <w:sz w:val="20"/>
          <w:szCs w:val="20"/>
          <w:lang w:eastAsia="en-US"/>
        </w:rPr>
        <w:t>.=</w:t>
      </w:r>
      <w:proofErr w:type="gramEnd"/>
      <w:r w:rsidRPr="006D1D66">
        <w:rPr>
          <w:rFonts w:ascii="Arial" w:eastAsiaTheme="minorHAnsi" w:hAnsi="Arial" w:cs="Arial"/>
          <w:sz w:val="20"/>
          <w:szCs w:val="20"/>
          <w:lang w:eastAsia="en-US"/>
        </w:rPr>
        <w:t>Promedio de la sección. Los porcentajes resaltados son aquellos inferiores a 20%.</w:t>
      </w:r>
    </w:p>
    <w:p w14:paraId="722EBE4E" w14:textId="77777777" w:rsidR="008441A3" w:rsidRPr="008441A3" w:rsidRDefault="008441A3" w:rsidP="00D16287">
      <w:pPr>
        <w:spacing w:after="100" w:afterAutospacing="1" w:line="360" w:lineRule="auto"/>
        <w:rPr>
          <w:rFonts w:ascii="Arial" w:eastAsiaTheme="minorHAnsi" w:hAnsi="Arial" w:cs="Arial"/>
          <w:b/>
          <w:bCs/>
          <w:lang w:eastAsia="en-US"/>
        </w:rPr>
      </w:pPr>
      <w:r w:rsidRPr="008441A3">
        <w:rPr>
          <w:rFonts w:ascii="Arial" w:eastAsiaTheme="minorHAnsi" w:hAnsi="Arial" w:cs="Arial"/>
          <w:b/>
          <w:bCs/>
          <w:lang w:eastAsia="en-US"/>
        </w:rPr>
        <w:lastRenderedPageBreak/>
        <w:t>Análisis de Teoría Clásica de los Test</w:t>
      </w:r>
    </w:p>
    <w:p w14:paraId="06479BF1" w14:textId="77777777" w:rsidR="008441A3" w:rsidRPr="008441A3" w:rsidRDefault="008441A3" w:rsidP="00D16287">
      <w:pPr>
        <w:spacing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Con base en lo encontrado en el AFE, se dividió la prueba en tres secciones: conocimientos de álgebra, conocimientos de funciones y conocimientos específicos de precálculo. La primera parte incluyó los ítems de las áreas de operaciones algebraicas I y II, transformaciones algebraicas I y ecuaciones I y II; la segunda parte incluyó los ítems de las áreas de conceptos básicos de funciones I y II, y función exponencial, logarítmica e inversa; mientras que la última parte se conformó por los ítems de las áreas de transformaciones algebraicas II y funciones trigonométricas. </w:t>
      </w:r>
    </w:p>
    <w:p w14:paraId="04362BB8" w14:textId="77777777" w:rsidR="008441A3" w:rsidRPr="008441A3" w:rsidRDefault="008441A3" w:rsidP="00D16287">
      <w:pPr>
        <w:spacing w:after="100" w:afterAutospacing="1" w:line="360" w:lineRule="auto"/>
        <w:jc w:val="both"/>
        <w:rPr>
          <w:rFonts w:ascii="Arial" w:eastAsiaTheme="minorHAnsi" w:hAnsi="Arial" w:cs="Arial"/>
          <w:lang w:eastAsia="en-US"/>
        </w:rPr>
      </w:pPr>
      <w:proofErr w:type="gramStart"/>
      <w:r w:rsidRPr="008441A3">
        <w:rPr>
          <w:rFonts w:ascii="Arial" w:eastAsiaTheme="minorHAnsi" w:hAnsi="Arial" w:cs="Arial"/>
          <w:lang w:eastAsia="en-US"/>
        </w:rPr>
        <w:t>Los alfas</w:t>
      </w:r>
      <w:proofErr w:type="gramEnd"/>
      <w:r w:rsidRPr="008441A3">
        <w:rPr>
          <w:rFonts w:ascii="Arial" w:eastAsiaTheme="minorHAnsi" w:hAnsi="Arial" w:cs="Arial"/>
          <w:lang w:eastAsia="en-US"/>
        </w:rPr>
        <w:t xml:space="preserve"> de Cronbach de las partes 1, 2 y 3 fueron .89, .82 y .66, respectivamente; por tanto, solo las dos primeras secciones lograron alfas de Cronbach aceptables. En la tabla 2 se presentan los ítems utilizados en la prueba analizada. En cada una de las partes se obtuvieron correlaciones ítem-total aceptables. El mínimo de estos índices fue .28, el cual fue superior al punto de corte establecido de .20.  El promedio de las correlaciones ítem-total en cada parte fueron de aproximadamente .50.</w:t>
      </w:r>
    </w:p>
    <w:p w14:paraId="2D37EA0B" w14:textId="77777777" w:rsidR="008441A3" w:rsidRPr="008441A3" w:rsidRDefault="008441A3" w:rsidP="00D16287">
      <w:pPr>
        <w:spacing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La parte con el promedio de porcentajes de aciertos más baja fue la de conocimientos específicos de precálculo (22.2%), aunque las otras dos partes también presentaron promedio de porcentajes de aciertos muy bajos (33.9% y 35.5% para las partes de álgebra y funciones, respectivamente). Los ítems con porcentajes de acierto inferiores a 20% fueron 6 de la parte de conocimientos </w:t>
      </w:r>
      <w:r w:rsidRPr="008441A3">
        <w:rPr>
          <w:rFonts w:ascii="Arial" w:eastAsiaTheme="minorHAnsi" w:hAnsi="Arial" w:cs="Arial"/>
          <w:lang w:eastAsia="en-US"/>
        </w:rPr>
        <w:lastRenderedPageBreak/>
        <w:t>específicos de precálculo (3 del área de transformaciones algebraicas II y 3 del área de funciones trigonométricas), 2 de la parte de conocimientos de álgebra (1 del área de operaciones algebraicas I y del área de transformaciones algebraicas I) y 2 de la parte de conocimientos de funciones (ambos de conceptos básicos de funciones II). Los contenidos específicos de estos 10 ítems con porcentajes de acierto inferiores a 20% fueron:</w:t>
      </w:r>
    </w:p>
    <w:p w14:paraId="551A6450"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 xml:space="preserve">Realizar racionalizaciones utilizando el tercer producto notable </w:t>
      </w:r>
      <m:oMath>
        <m:d>
          <m:dPr>
            <m:ctrlPr>
              <w:rPr>
                <w:rFonts w:ascii="Cambria Math" w:eastAsiaTheme="minorHAnsi" w:hAnsi="Cambria Math" w:cs="Arial"/>
                <w:i/>
                <w:lang w:eastAsia="en-US"/>
              </w:rPr>
            </m:ctrlPr>
          </m:dPr>
          <m:e>
            <m:r>
              <w:rPr>
                <w:rFonts w:ascii="Cambria Math" w:eastAsiaTheme="minorHAnsi" w:hAnsi="Cambria Math" w:cs="Arial"/>
                <w:lang w:eastAsia="en-US"/>
              </w:rPr>
              <m:t>a-b</m:t>
            </m:r>
          </m:e>
        </m:d>
        <m:d>
          <m:dPr>
            <m:ctrlPr>
              <w:rPr>
                <w:rFonts w:ascii="Cambria Math" w:eastAsiaTheme="minorHAnsi" w:hAnsi="Cambria Math" w:cs="Arial"/>
                <w:i/>
                <w:lang w:eastAsia="en-US"/>
              </w:rPr>
            </m:ctrlPr>
          </m:dPr>
          <m:e>
            <m:r>
              <w:rPr>
                <w:rFonts w:ascii="Cambria Math" w:eastAsiaTheme="minorHAnsi" w:hAnsi="Cambria Math" w:cs="Arial"/>
                <w:lang w:eastAsia="en-US"/>
              </w:rPr>
              <m:t>a+b</m:t>
            </m:r>
          </m:e>
        </m:d>
      </m:oMath>
      <w:r w:rsidRPr="008441A3">
        <w:rPr>
          <w:rFonts w:ascii="Arial" w:eastAsiaTheme="minorHAnsi" w:hAnsi="Arial" w:cs="Arial"/>
          <w:lang w:eastAsia="en-US"/>
        </w:rPr>
        <w:t xml:space="preserve"> (15.00%).</w:t>
      </w:r>
    </w:p>
    <w:p w14:paraId="7087335E"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Calcular sumas, restas, multiplicaciones y divisiones de polinomios [específicamente la división] (18.64%).</w:t>
      </w:r>
    </w:p>
    <w:p w14:paraId="0DCA82FB"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Determinar puntos máximos y mínimos (locales y absolutos), puntos de inflexión, ecuaciones de asíntotas, intervalos de concavidad y convexidad y signo a partir de la gráfica de una función [específicamente determinar el signo] (19.74%).</w:t>
      </w:r>
    </w:p>
    <w:p w14:paraId="2D0F84F7"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Determinar el signo de una función, dado el criterio (19.13%).</w:t>
      </w:r>
    </w:p>
    <w:p w14:paraId="476CD0E5"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Factorizar con el método de la división sintética y con la suma o resta de cubos [específicamente división sintética] (16.67%).</w:t>
      </w:r>
    </w:p>
    <w:p w14:paraId="3496C0E0"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 xml:space="preserve">Expresar un polinomio </w:t>
      </w:r>
      <m:oMath>
        <m:r>
          <w:rPr>
            <w:rFonts w:ascii="Cambria Math" w:eastAsiaTheme="minorHAnsi" w:hAnsi="Cambria Math" w:cs="Arial"/>
            <w:lang w:eastAsia="en-US"/>
          </w:rPr>
          <m:t>P</m:t>
        </m:r>
        <m:d>
          <m:dPr>
            <m:ctrlPr>
              <w:rPr>
                <w:rFonts w:ascii="Cambria Math" w:eastAsiaTheme="minorHAnsi" w:hAnsi="Cambria Math" w:cs="Arial"/>
                <w:i/>
                <w:lang w:eastAsia="en-US"/>
              </w:rPr>
            </m:ctrlPr>
          </m:dPr>
          <m:e>
            <m:r>
              <w:rPr>
                <w:rFonts w:ascii="Cambria Math" w:eastAsiaTheme="minorHAnsi" w:hAnsi="Cambria Math" w:cs="Arial"/>
                <w:lang w:eastAsia="en-US"/>
              </w:rPr>
              <m:t>x</m:t>
            </m:r>
          </m:e>
        </m:d>
      </m:oMath>
      <w:r w:rsidRPr="008441A3">
        <w:rPr>
          <w:rFonts w:ascii="Arial" w:eastAsiaTheme="minorHAnsi" w:hAnsi="Arial" w:cs="Arial"/>
          <w:lang w:eastAsia="en-US"/>
        </w:rPr>
        <w:t xml:space="preserve"> en la forma </w:t>
      </w:r>
      <m:oMath>
        <m:r>
          <w:rPr>
            <w:rFonts w:ascii="Cambria Math" w:eastAsiaTheme="minorHAnsi" w:hAnsi="Cambria Math" w:cs="Arial"/>
            <w:lang w:eastAsia="en-US"/>
          </w:rPr>
          <m:t>P(x) = C(x) + R(x) ∙Q(x)</m:t>
        </m:r>
      </m:oMath>
      <w:r w:rsidRPr="008441A3">
        <w:rPr>
          <w:rFonts w:ascii="Arial" w:eastAsiaTheme="minorHAnsi" w:hAnsi="Arial" w:cs="Arial"/>
          <w:lang w:eastAsia="en-US"/>
        </w:rPr>
        <w:t xml:space="preserve">, con </w:t>
      </w:r>
      <m:oMath>
        <m:r>
          <w:rPr>
            <w:rFonts w:ascii="Cambria Math" w:eastAsiaTheme="minorHAnsi" w:hAnsi="Cambria Math" w:cs="Arial"/>
            <w:lang w:eastAsia="en-US"/>
          </w:rPr>
          <m:t>C(x)</m:t>
        </m:r>
      </m:oMath>
      <w:r w:rsidRPr="008441A3">
        <w:rPr>
          <w:rFonts w:ascii="Arial" w:eastAsiaTheme="minorHAnsi" w:hAnsi="Arial" w:cs="Arial"/>
          <w:lang w:eastAsia="en-US"/>
        </w:rPr>
        <w:t xml:space="preserve">, </w:t>
      </w:r>
      <m:oMath>
        <m:r>
          <w:rPr>
            <w:rFonts w:ascii="Cambria Math" w:eastAsiaTheme="minorHAnsi" w:hAnsi="Cambria Math" w:cs="Arial"/>
            <w:lang w:eastAsia="en-US"/>
          </w:rPr>
          <m:t>R(x)</m:t>
        </m:r>
      </m:oMath>
      <w:r w:rsidRPr="008441A3">
        <w:rPr>
          <w:rFonts w:ascii="Arial" w:eastAsiaTheme="minorHAnsi" w:hAnsi="Arial" w:cs="Arial"/>
          <w:lang w:eastAsia="en-US"/>
        </w:rPr>
        <w:t xml:space="preserve">, </w:t>
      </w:r>
      <m:oMath>
        <m:r>
          <w:rPr>
            <w:rFonts w:ascii="Cambria Math" w:eastAsiaTheme="minorHAnsi" w:hAnsi="Cambria Math" w:cs="Arial"/>
            <w:lang w:eastAsia="en-US"/>
          </w:rPr>
          <m:t>Q(x)</m:t>
        </m:r>
      </m:oMath>
      <w:r w:rsidRPr="008441A3">
        <w:rPr>
          <w:rFonts w:ascii="Arial" w:eastAsiaTheme="minorHAnsi" w:hAnsi="Arial" w:cs="Arial"/>
          <w:lang w:eastAsia="en-US"/>
        </w:rPr>
        <w:t xml:space="preserve"> polinomios y </w:t>
      </w:r>
      <m:oMath>
        <m:r>
          <w:rPr>
            <w:rFonts w:ascii="Cambria Math" w:eastAsiaTheme="minorHAnsi" w:hAnsi="Cambria Math" w:cs="Arial"/>
            <w:lang w:eastAsia="en-US"/>
          </w:rPr>
          <m:t>Q(x) ≠ 0</m:t>
        </m:r>
      </m:oMath>
      <w:r w:rsidRPr="008441A3">
        <w:rPr>
          <w:rFonts w:ascii="Arial" w:eastAsiaTheme="minorHAnsi" w:hAnsi="Arial" w:cs="Arial"/>
          <w:lang w:eastAsia="en-US"/>
        </w:rPr>
        <w:t>, haciendo uso de la división de polinomios (11.39%).</w:t>
      </w:r>
    </w:p>
    <w:p w14:paraId="1672297E"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Efectuar la descomposición de una expresión algebraica en fracciones parciales (12.76%).</w:t>
      </w:r>
    </w:p>
    <w:p w14:paraId="34AE91A1"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lastRenderedPageBreak/>
        <w:t>Aplicar identidades trigonométricas de suma y resta de ángulos en la simplificación de expresiones (18.03%).</w:t>
      </w:r>
    </w:p>
    <w:p w14:paraId="28159293"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 xml:space="preserve">Identificar dominio, ámbito, gráfica, intersecciones con los ejes, intervalos de monotonía de </w:t>
      </w:r>
      <m:oMath>
        <m:r>
          <w:rPr>
            <w:rFonts w:ascii="Cambria Math" w:eastAsiaTheme="minorHAnsi" w:hAnsi="Cambria Math" w:cs="Arial"/>
            <w:lang w:eastAsia="en-US"/>
          </w:rPr>
          <m:t xml:space="preserve">arctan </m:t>
        </m:r>
        <m:d>
          <m:dPr>
            <m:ctrlPr>
              <w:rPr>
                <w:rFonts w:ascii="Cambria Math" w:eastAsiaTheme="minorHAnsi" w:hAnsi="Cambria Math" w:cs="Arial"/>
                <w:i/>
                <w:lang w:eastAsia="en-US"/>
              </w:rPr>
            </m:ctrlPr>
          </m:dPr>
          <m:e>
            <m:r>
              <w:rPr>
                <w:rFonts w:ascii="Cambria Math" w:eastAsiaTheme="minorHAnsi" w:hAnsi="Cambria Math" w:cs="Arial"/>
                <w:lang w:eastAsia="en-US"/>
              </w:rPr>
              <m:t>x</m:t>
            </m:r>
          </m:e>
        </m:d>
      </m:oMath>
      <w:r w:rsidRPr="008441A3">
        <w:rPr>
          <w:rFonts w:ascii="Arial" w:eastAsiaTheme="minorHAnsi" w:hAnsi="Arial" w:cs="Arial"/>
          <w:lang w:eastAsia="en-US"/>
        </w:rPr>
        <w:t xml:space="preserve">, </w:t>
      </w:r>
      <m:oMath>
        <m:r>
          <w:rPr>
            <w:rFonts w:ascii="Cambria Math" w:eastAsiaTheme="minorHAnsi" w:hAnsi="Cambria Math" w:cs="Arial"/>
            <w:lang w:eastAsia="en-US"/>
          </w:rPr>
          <m:t xml:space="preserve">arcsen </m:t>
        </m:r>
        <m:d>
          <m:dPr>
            <m:ctrlPr>
              <w:rPr>
                <w:rFonts w:ascii="Cambria Math" w:eastAsiaTheme="minorHAnsi" w:hAnsi="Cambria Math" w:cs="Arial"/>
                <w:i/>
                <w:lang w:eastAsia="en-US"/>
              </w:rPr>
            </m:ctrlPr>
          </m:dPr>
          <m:e>
            <m:r>
              <w:rPr>
                <w:rFonts w:ascii="Cambria Math" w:eastAsiaTheme="minorHAnsi" w:hAnsi="Cambria Math" w:cs="Arial"/>
                <w:lang w:eastAsia="en-US"/>
              </w:rPr>
              <m:t>x</m:t>
            </m:r>
          </m:e>
        </m:d>
      </m:oMath>
      <w:r w:rsidRPr="008441A3">
        <w:rPr>
          <w:rFonts w:ascii="Arial" w:eastAsiaTheme="minorHAnsi" w:hAnsi="Arial" w:cs="Arial"/>
          <w:lang w:eastAsia="en-US"/>
        </w:rPr>
        <w:t xml:space="preserve"> y </w:t>
      </w:r>
      <m:oMath>
        <m:r>
          <w:rPr>
            <w:rFonts w:ascii="Cambria Math" w:eastAsiaTheme="minorHAnsi" w:hAnsi="Cambria Math" w:cs="Arial"/>
            <w:lang w:eastAsia="en-US"/>
          </w:rPr>
          <m:t xml:space="preserve">arccos </m:t>
        </m:r>
        <m:d>
          <m:dPr>
            <m:ctrlPr>
              <w:rPr>
                <w:rFonts w:ascii="Cambria Math" w:eastAsiaTheme="minorHAnsi" w:hAnsi="Cambria Math" w:cs="Arial"/>
                <w:i/>
                <w:lang w:eastAsia="en-US"/>
              </w:rPr>
            </m:ctrlPr>
          </m:dPr>
          <m:e>
            <m:r>
              <w:rPr>
                <w:rFonts w:ascii="Cambria Math" w:eastAsiaTheme="minorHAnsi" w:hAnsi="Cambria Math" w:cs="Arial"/>
                <w:lang w:eastAsia="en-US"/>
              </w:rPr>
              <m:t>x</m:t>
            </m:r>
          </m:e>
        </m:d>
      </m:oMath>
      <w:r w:rsidRPr="008441A3">
        <w:rPr>
          <w:rFonts w:ascii="Arial" w:eastAsiaTheme="minorHAnsi" w:hAnsi="Arial" w:cs="Arial"/>
          <w:lang w:eastAsia="en-US"/>
        </w:rPr>
        <w:t xml:space="preserve"> (14.62%).</w:t>
      </w:r>
    </w:p>
    <w:p w14:paraId="0C7B37C0" w14:textId="1CC8060E" w:rsidR="00080C46" w:rsidRPr="00080C46" w:rsidRDefault="008441A3" w:rsidP="00080C46">
      <w:pPr>
        <w:numPr>
          <w:ilvl w:val="0"/>
          <w:numId w:val="1"/>
        </w:numPr>
        <w:spacing w:before="100" w:beforeAutospacing="1" w:after="100" w:afterAutospacing="1" w:line="360" w:lineRule="auto"/>
        <w:ind w:left="714" w:hanging="357"/>
        <w:contextualSpacing/>
        <w:jc w:val="both"/>
        <w:rPr>
          <w:rFonts w:ascii="Arial" w:eastAsiaTheme="minorHAnsi" w:hAnsi="Arial" w:cs="Arial"/>
          <w:lang w:eastAsia="en-US"/>
        </w:rPr>
      </w:pPr>
      <w:r w:rsidRPr="008441A3">
        <w:rPr>
          <w:rFonts w:ascii="Arial" w:eastAsiaTheme="minorHAnsi" w:hAnsi="Arial" w:cs="Arial"/>
          <w:lang w:eastAsia="en-US"/>
        </w:rPr>
        <w:t xml:space="preserve">Resolver ecuaciones trigonométricas </w:t>
      </w:r>
      <m:oMath>
        <m:r>
          <w:rPr>
            <w:rFonts w:ascii="Cambria Math" w:eastAsiaTheme="minorHAnsi" w:hAnsi="Cambria Math" w:cs="Arial"/>
            <w:lang w:eastAsia="en-US"/>
          </w:rPr>
          <m:t>f(x) = a</m:t>
        </m:r>
      </m:oMath>
      <w:r w:rsidRPr="008441A3">
        <w:rPr>
          <w:rFonts w:ascii="Arial" w:eastAsiaTheme="minorHAnsi" w:hAnsi="Arial" w:cs="Arial"/>
          <w:lang w:eastAsia="en-US"/>
        </w:rPr>
        <w:t xml:space="preserve">, con </w:t>
      </w:r>
      <m:oMath>
        <m:r>
          <w:rPr>
            <w:rFonts w:ascii="Cambria Math" w:eastAsiaTheme="minorHAnsi" w:hAnsi="Cambria Math" w:cs="Arial"/>
            <w:lang w:eastAsia="en-US"/>
          </w:rPr>
          <m:t>f(x)</m:t>
        </m:r>
      </m:oMath>
      <w:r w:rsidRPr="008441A3">
        <w:rPr>
          <w:rFonts w:ascii="Arial" w:eastAsiaTheme="minorHAnsi" w:hAnsi="Arial" w:cs="Arial"/>
          <w:lang w:eastAsia="en-US"/>
        </w:rPr>
        <w:t xml:space="preserve"> igual a </w:t>
      </w:r>
      <m:oMath>
        <m:r>
          <w:rPr>
            <w:rFonts w:ascii="Cambria Math" w:eastAsiaTheme="minorHAnsi" w:hAnsi="Cambria Math" w:cs="Arial"/>
            <w:lang w:eastAsia="en-US"/>
          </w:rPr>
          <m:t>sen(x)</m:t>
        </m:r>
      </m:oMath>
      <w:r w:rsidRPr="008441A3">
        <w:rPr>
          <w:rFonts w:ascii="Arial" w:eastAsiaTheme="minorHAnsi" w:hAnsi="Arial" w:cs="Arial"/>
          <w:lang w:eastAsia="en-US"/>
        </w:rPr>
        <w:t xml:space="preserve">, </w:t>
      </w:r>
      <m:oMath>
        <m:r>
          <w:rPr>
            <w:rFonts w:ascii="Cambria Math" w:eastAsiaTheme="minorHAnsi" w:hAnsi="Cambria Math" w:cs="Arial"/>
            <w:lang w:eastAsia="en-US"/>
          </w:rPr>
          <m:t>cos(x)</m:t>
        </m:r>
      </m:oMath>
      <w:r w:rsidRPr="008441A3">
        <w:rPr>
          <w:rFonts w:ascii="Arial" w:eastAsiaTheme="minorHAnsi" w:hAnsi="Arial" w:cs="Arial"/>
          <w:lang w:eastAsia="en-US"/>
        </w:rPr>
        <w:t xml:space="preserve"> o </w:t>
      </w:r>
      <m:oMath>
        <m:r>
          <w:rPr>
            <w:rFonts w:ascii="Cambria Math" w:eastAsiaTheme="minorHAnsi" w:hAnsi="Cambria Math" w:cs="Arial"/>
            <w:lang w:eastAsia="en-US"/>
          </w:rPr>
          <m:t>tan(x)</m:t>
        </m:r>
      </m:oMath>
      <w:r w:rsidRPr="008441A3">
        <w:rPr>
          <w:rFonts w:ascii="Arial" w:eastAsiaTheme="minorHAnsi" w:hAnsi="Arial" w:cs="Arial"/>
          <w:lang w:eastAsia="en-US"/>
        </w:rPr>
        <w:t xml:space="preserve"> (15.95%).</w:t>
      </w:r>
    </w:p>
    <w:p w14:paraId="168A1BEF" w14:textId="77777777" w:rsidR="00080C46" w:rsidRPr="004B4D45" w:rsidRDefault="00080C46" w:rsidP="004B4D45">
      <w:pPr>
        <w:jc w:val="both"/>
        <w:rPr>
          <w:rFonts w:ascii="Arial" w:eastAsiaTheme="minorHAnsi" w:hAnsi="Arial" w:cs="Arial"/>
          <w:sz w:val="4"/>
          <w:szCs w:val="4"/>
          <w:lang w:eastAsia="en-US"/>
        </w:rPr>
      </w:pPr>
    </w:p>
    <w:p w14:paraId="74D95E1C" w14:textId="57CE0B08" w:rsidR="008441A3" w:rsidRPr="008441A3" w:rsidRDefault="008441A3" w:rsidP="00080C46">
      <w:p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Por otro lado, los ítems que presentaron porcentajes de aprobación superiores al 50%, utilizaron los siguientes contenidos:</w:t>
      </w:r>
    </w:p>
    <w:p w14:paraId="51FC5813" w14:textId="3149CD9B"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Calcular el criterio de la función inversa de una función lineal y de funciones específicas: cuadrática</w:t>
      </w:r>
      <w:r w:rsidR="000925EC">
        <w:rPr>
          <w:rFonts w:ascii="Arial" w:eastAsiaTheme="minorHAnsi" w:hAnsi="Arial" w:cs="Arial"/>
          <w:lang w:eastAsia="en-US"/>
        </w:rPr>
        <w:t xml:space="preserve"> </w:t>
      </w:r>
      <w:r w:rsidRPr="008441A3">
        <w:rPr>
          <w:rFonts w:ascii="Arial" w:eastAsiaTheme="minorHAnsi" w:hAnsi="Arial" w:cs="Arial"/>
          <w:lang w:eastAsia="en-US"/>
        </w:rPr>
        <w:t>estándar definida en números positivos, raíz cuadrada, logarítmica y exponencial [específicamente función lineal] (58.28%).</w:t>
      </w:r>
    </w:p>
    <w:p w14:paraId="58CBAD23"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Simplificar expresiones algebraicas utilizando las leyes de potencias con exponentes enteros (59.67%).</w:t>
      </w:r>
    </w:p>
    <w:p w14:paraId="18BE088F"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 xml:space="preserve">Identificar </w:t>
      </w:r>
      <w:proofErr w:type="spellStart"/>
      <w:r w:rsidRPr="008441A3">
        <w:rPr>
          <w:rFonts w:ascii="Arial" w:eastAsiaTheme="minorHAnsi" w:hAnsi="Arial" w:cs="Arial"/>
          <w:lang w:eastAsia="en-US"/>
        </w:rPr>
        <w:t>preimagen</w:t>
      </w:r>
      <w:proofErr w:type="spellEnd"/>
      <w:r w:rsidRPr="008441A3">
        <w:rPr>
          <w:rFonts w:ascii="Arial" w:eastAsiaTheme="minorHAnsi" w:hAnsi="Arial" w:cs="Arial"/>
          <w:lang w:eastAsia="en-US"/>
        </w:rPr>
        <w:t xml:space="preserve">, imagen, dominio, ámbito, intersecciones con los ejes e intervalos de monotonía en una gráfica [específicamente intersección con el eje </w:t>
      </w:r>
      <m:oMath>
        <m:r>
          <w:rPr>
            <w:rFonts w:ascii="Cambria Math" w:eastAsiaTheme="minorHAnsi" w:hAnsi="Cambria Math" w:cs="Arial"/>
            <w:lang w:eastAsia="en-US"/>
          </w:rPr>
          <m:t>x</m:t>
        </m:r>
      </m:oMath>
      <w:r w:rsidRPr="008441A3">
        <w:rPr>
          <w:rFonts w:ascii="Arial" w:eastAsiaTheme="minorHAnsi" w:hAnsi="Arial" w:cs="Arial"/>
          <w:lang w:eastAsia="en-US"/>
        </w:rPr>
        <w:t>] (63.93%).</w:t>
      </w:r>
    </w:p>
    <w:p w14:paraId="4D5B1E8E" w14:textId="77777777" w:rsidR="008441A3" w:rsidRPr="008441A3" w:rsidRDefault="008441A3" w:rsidP="00D16287">
      <w:pPr>
        <w:numPr>
          <w:ilvl w:val="0"/>
          <w:numId w:val="1"/>
        </w:numPr>
        <w:spacing w:after="100" w:afterAutospacing="1" w:line="360" w:lineRule="auto"/>
        <w:contextualSpacing/>
        <w:jc w:val="both"/>
        <w:rPr>
          <w:rFonts w:ascii="Arial" w:eastAsiaTheme="minorHAnsi" w:hAnsi="Arial" w:cs="Arial"/>
          <w:lang w:eastAsia="en-US"/>
        </w:rPr>
      </w:pPr>
      <w:r w:rsidRPr="008441A3">
        <w:rPr>
          <w:rFonts w:ascii="Arial" w:eastAsiaTheme="minorHAnsi" w:hAnsi="Arial" w:cs="Arial"/>
          <w:lang w:eastAsia="en-US"/>
        </w:rPr>
        <w:t>Aplicar leyes de potencias con exponentes fraccionarios [específicamente potencia de una potencia] (57.71%).</w:t>
      </w:r>
    </w:p>
    <w:p w14:paraId="6B28119F" w14:textId="227E5591" w:rsidR="008441A3" w:rsidRPr="00124725" w:rsidRDefault="008441A3" w:rsidP="00124725">
      <w:pPr>
        <w:numPr>
          <w:ilvl w:val="0"/>
          <w:numId w:val="1"/>
        </w:numPr>
        <w:spacing w:before="100" w:beforeAutospacing="1"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 xml:space="preserve">Determinar el puntos máximos y mínimos (locales y absolutos), puntos de inflexión, ecuaciones de asíntotas, intervalos de concavidad y convexidad y </w:t>
      </w:r>
      <w:r w:rsidRPr="008441A3">
        <w:rPr>
          <w:rFonts w:ascii="Arial" w:eastAsiaTheme="minorHAnsi" w:hAnsi="Arial" w:cs="Arial"/>
          <w:lang w:eastAsia="en-US"/>
        </w:rPr>
        <w:lastRenderedPageBreak/>
        <w:t>signo a partir de la gráfica de una función [específicamente máximo local] (72.67%).</w:t>
      </w:r>
    </w:p>
    <w:p w14:paraId="7B38EBE8" w14:textId="77777777" w:rsidR="008441A3" w:rsidRPr="008441A3" w:rsidRDefault="008441A3" w:rsidP="00124725">
      <w:pPr>
        <w:spacing w:before="100" w:beforeAutospacing="1" w:after="100" w:afterAutospacing="1" w:line="360" w:lineRule="auto"/>
        <w:rPr>
          <w:rFonts w:ascii="Arial" w:eastAsiaTheme="minorHAnsi" w:hAnsi="Arial" w:cs="Arial"/>
          <w:b/>
          <w:bCs/>
          <w:lang w:val="es-ES" w:eastAsia="en-US"/>
        </w:rPr>
      </w:pPr>
      <w:r w:rsidRPr="008441A3">
        <w:rPr>
          <w:rFonts w:ascii="Arial" w:eastAsiaTheme="minorHAnsi" w:hAnsi="Arial" w:cs="Arial"/>
          <w:b/>
          <w:bCs/>
          <w:lang w:val="es-ES" w:eastAsia="en-US"/>
        </w:rPr>
        <w:t>Estadísticas descriptivas de las secciones y las áreas temáticas</w:t>
      </w:r>
    </w:p>
    <w:p w14:paraId="51BF19E4" w14:textId="77777777" w:rsidR="008441A3" w:rsidRPr="008441A3" w:rsidRDefault="008441A3" w:rsidP="00D16287">
      <w:pPr>
        <w:spacing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En la tabla 3, se presentan los estadísticos descriptivos de las notas de cada sección y las áreas que las componen. Como se apreció en los porcentajes de aciertos de los ítems, la sección con los puntajes más bajos fue la de conocimientos de precálculo. En esta sección, el cuartil 1 fue inferior a 1, en una escala de 0 a 10. Las dos áreas que integraron esta sección tuvieron un cuartil 1 de 0, es decir, en estas áreas al menos el 25% de las notas fueron iguales a 0.</w:t>
      </w:r>
    </w:p>
    <w:p w14:paraId="2B512E59" w14:textId="77777777" w:rsidR="008441A3" w:rsidRPr="008441A3" w:rsidRDefault="008441A3" w:rsidP="00D16287">
      <w:pPr>
        <w:spacing w:after="100" w:afterAutospacing="1" w:line="360" w:lineRule="auto"/>
        <w:jc w:val="both"/>
        <w:rPr>
          <w:rFonts w:ascii="Arial" w:eastAsiaTheme="minorHAnsi" w:hAnsi="Arial" w:cs="Arial"/>
          <w:lang w:eastAsia="en-US"/>
        </w:rPr>
      </w:pPr>
      <w:r w:rsidRPr="008441A3">
        <w:rPr>
          <w:rFonts w:ascii="Arial" w:eastAsiaTheme="minorHAnsi" w:hAnsi="Arial" w:cs="Arial"/>
          <w:lang w:eastAsia="en-US"/>
        </w:rPr>
        <w:t>En la sección de conocimientos algebraicos, la mitad de las notas observadas, correspondientes a los datos centrales, se ubicó entre 1.67 y 4.58; además, en la sección de conocimientos de funciones, los cuartiles 1 y 3 fueron 2.00 y 4.50. Con base en lo anterior, en ninguna de las tres secciones se obtuvo un cuartil 3 superior a 5, es decir, en todas las secciones al menos el 75% de la población tuvo una nota inferior a 5. La sección de conocimientos algebraicos también presentó dos áreas cuyo cuartil 1 fue igual a 0, estas fueron transformaciones algebraicas I y ecuaciones II.</w:t>
      </w:r>
    </w:p>
    <w:p w14:paraId="69996524" w14:textId="77777777" w:rsidR="00B848FA" w:rsidRDefault="00B848FA" w:rsidP="008441A3">
      <w:pPr>
        <w:spacing w:line="360" w:lineRule="auto"/>
        <w:rPr>
          <w:rFonts w:ascii="Arial" w:eastAsiaTheme="minorHAnsi" w:hAnsi="Arial" w:cs="Arial"/>
          <w:b/>
          <w:bCs/>
          <w:lang w:eastAsia="en-US"/>
        </w:rPr>
      </w:pPr>
    </w:p>
    <w:p w14:paraId="2B3F2DF3" w14:textId="77777777" w:rsidR="00B848FA" w:rsidRDefault="00B848FA" w:rsidP="008441A3">
      <w:pPr>
        <w:spacing w:line="360" w:lineRule="auto"/>
        <w:rPr>
          <w:rFonts w:ascii="Arial" w:eastAsiaTheme="minorHAnsi" w:hAnsi="Arial" w:cs="Arial"/>
          <w:b/>
          <w:bCs/>
          <w:lang w:eastAsia="en-US"/>
        </w:rPr>
      </w:pPr>
    </w:p>
    <w:p w14:paraId="73BDA94A" w14:textId="77777777" w:rsidR="00B848FA" w:rsidRDefault="00B848FA" w:rsidP="008441A3">
      <w:pPr>
        <w:spacing w:line="360" w:lineRule="auto"/>
        <w:rPr>
          <w:rFonts w:ascii="Arial" w:eastAsiaTheme="minorHAnsi" w:hAnsi="Arial" w:cs="Arial"/>
          <w:b/>
          <w:bCs/>
          <w:lang w:eastAsia="en-US"/>
        </w:rPr>
      </w:pPr>
    </w:p>
    <w:p w14:paraId="19F41CF6" w14:textId="55D782BA" w:rsidR="008441A3" w:rsidRPr="00124725" w:rsidRDefault="008441A3" w:rsidP="00124725">
      <w:pPr>
        <w:spacing w:after="100" w:afterAutospacing="1"/>
        <w:jc w:val="center"/>
        <w:rPr>
          <w:rFonts w:ascii="Arial" w:eastAsiaTheme="minorHAnsi" w:hAnsi="Arial" w:cs="Arial"/>
          <w:b/>
          <w:iCs/>
          <w:sz w:val="20"/>
          <w:szCs w:val="20"/>
          <w:lang w:eastAsia="en-US"/>
        </w:rPr>
      </w:pPr>
      <w:r w:rsidRPr="00124725">
        <w:rPr>
          <w:rFonts w:ascii="Arial" w:eastAsiaTheme="minorHAnsi" w:hAnsi="Arial" w:cs="Arial"/>
          <w:b/>
          <w:bCs/>
          <w:sz w:val="20"/>
          <w:szCs w:val="20"/>
          <w:lang w:eastAsia="en-US"/>
        </w:rPr>
        <w:lastRenderedPageBreak/>
        <w:t>Tabla 3</w:t>
      </w:r>
      <w:r w:rsidR="00124725" w:rsidRPr="00124725">
        <w:rPr>
          <w:rFonts w:ascii="Arial" w:eastAsiaTheme="minorHAnsi" w:hAnsi="Arial" w:cs="Arial"/>
          <w:b/>
          <w:bCs/>
          <w:sz w:val="20"/>
          <w:szCs w:val="20"/>
          <w:lang w:eastAsia="en-US"/>
        </w:rPr>
        <w:t xml:space="preserve">. </w:t>
      </w:r>
      <w:r w:rsidRPr="00124725">
        <w:rPr>
          <w:rFonts w:ascii="Arial" w:eastAsiaTheme="minorHAnsi" w:hAnsi="Arial" w:cs="Arial"/>
          <w:b/>
          <w:iCs/>
          <w:sz w:val="20"/>
          <w:szCs w:val="20"/>
          <w:lang w:eastAsia="en-US"/>
        </w:rPr>
        <w:t>Estadísticas descriptivas de las notas de las secciones y áreas de la prueba de diagnóstico</w:t>
      </w:r>
    </w:p>
    <w:tbl>
      <w:tblPr>
        <w:tblW w:w="8753" w:type="dxa"/>
        <w:jc w:val="center"/>
        <w:tblCellMar>
          <w:left w:w="70" w:type="dxa"/>
          <w:right w:w="70" w:type="dxa"/>
        </w:tblCellMar>
        <w:tblLook w:val="04A0" w:firstRow="1" w:lastRow="0" w:firstColumn="1" w:lastColumn="0" w:noHBand="0" w:noVBand="1"/>
      </w:tblPr>
      <w:tblGrid>
        <w:gridCol w:w="4252"/>
        <w:gridCol w:w="821"/>
        <w:gridCol w:w="920"/>
        <w:gridCol w:w="920"/>
        <w:gridCol w:w="920"/>
        <w:gridCol w:w="920"/>
      </w:tblGrid>
      <w:tr w:rsidR="008441A3" w:rsidRPr="005000D2" w14:paraId="00CD4248" w14:textId="77777777" w:rsidTr="0099762E">
        <w:trPr>
          <w:trHeight w:val="300"/>
          <w:jc w:val="center"/>
        </w:trPr>
        <w:tc>
          <w:tcPr>
            <w:tcW w:w="4252" w:type="dxa"/>
            <w:tcBorders>
              <w:top w:val="single" w:sz="4" w:space="0" w:color="auto"/>
              <w:left w:val="nil"/>
              <w:bottom w:val="single" w:sz="4" w:space="0" w:color="auto"/>
              <w:right w:val="nil"/>
            </w:tcBorders>
            <w:shd w:val="clear" w:color="auto" w:fill="auto"/>
            <w:noWrap/>
            <w:vAlign w:val="center"/>
            <w:hideMark/>
          </w:tcPr>
          <w:p w14:paraId="4507CBE7" w14:textId="77777777" w:rsidR="008441A3" w:rsidRPr="005000D2" w:rsidRDefault="008441A3" w:rsidP="008441A3">
            <w:pPr>
              <w:rPr>
                <w:rFonts w:ascii="Arial" w:hAnsi="Arial" w:cs="Arial"/>
                <w:b/>
                <w:bCs/>
                <w:sz w:val="20"/>
                <w:szCs w:val="20"/>
                <w:lang w:eastAsia="es-419"/>
              </w:rPr>
            </w:pPr>
            <w:r w:rsidRPr="005000D2">
              <w:rPr>
                <w:rFonts w:ascii="Arial" w:hAnsi="Arial" w:cs="Arial"/>
                <w:b/>
                <w:bCs/>
                <w:sz w:val="20"/>
                <w:szCs w:val="20"/>
                <w:lang w:eastAsia="es-419"/>
              </w:rPr>
              <w:t>Sección/Área</w:t>
            </w:r>
          </w:p>
        </w:tc>
        <w:tc>
          <w:tcPr>
            <w:tcW w:w="821" w:type="dxa"/>
            <w:tcBorders>
              <w:top w:val="single" w:sz="4" w:space="0" w:color="auto"/>
              <w:left w:val="nil"/>
              <w:bottom w:val="single" w:sz="4" w:space="0" w:color="auto"/>
              <w:right w:val="nil"/>
            </w:tcBorders>
            <w:shd w:val="clear" w:color="auto" w:fill="auto"/>
            <w:noWrap/>
            <w:vAlign w:val="bottom"/>
            <w:hideMark/>
          </w:tcPr>
          <w:p w14:paraId="57264225" w14:textId="77777777" w:rsidR="008441A3" w:rsidRPr="005000D2" w:rsidRDefault="008441A3" w:rsidP="008441A3">
            <w:pPr>
              <w:rPr>
                <w:rFonts w:ascii="Arial" w:hAnsi="Arial" w:cs="Arial"/>
                <w:b/>
                <w:bCs/>
                <w:sz w:val="20"/>
                <w:szCs w:val="20"/>
                <w:lang w:eastAsia="es-419"/>
              </w:rPr>
            </w:pPr>
            <w:proofErr w:type="spellStart"/>
            <w:r w:rsidRPr="005000D2">
              <w:rPr>
                <w:rFonts w:ascii="Arial" w:hAnsi="Arial" w:cs="Arial"/>
                <w:b/>
                <w:bCs/>
                <w:sz w:val="20"/>
                <w:szCs w:val="20"/>
                <w:lang w:eastAsia="es-419"/>
              </w:rPr>
              <w:t>Prom</w:t>
            </w:r>
            <w:proofErr w:type="spellEnd"/>
            <w:r w:rsidRPr="005000D2">
              <w:rPr>
                <w:rFonts w:ascii="Arial" w:hAnsi="Arial" w:cs="Arial"/>
                <w:b/>
                <w:bCs/>
                <w:sz w:val="20"/>
                <w:szCs w:val="20"/>
                <w:lang w:eastAsia="es-419"/>
              </w:rPr>
              <w:t>.</w:t>
            </w:r>
          </w:p>
        </w:tc>
        <w:tc>
          <w:tcPr>
            <w:tcW w:w="920" w:type="dxa"/>
            <w:tcBorders>
              <w:top w:val="single" w:sz="4" w:space="0" w:color="auto"/>
              <w:left w:val="nil"/>
              <w:bottom w:val="single" w:sz="4" w:space="0" w:color="auto"/>
              <w:right w:val="nil"/>
            </w:tcBorders>
            <w:shd w:val="clear" w:color="auto" w:fill="auto"/>
            <w:noWrap/>
            <w:vAlign w:val="bottom"/>
            <w:hideMark/>
          </w:tcPr>
          <w:p w14:paraId="71C46E7D" w14:textId="77777777" w:rsidR="008441A3" w:rsidRPr="005000D2" w:rsidRDefault="008441A3" w:rsidP="008441A3">
            <w:pPr>
              <w:rPr>
                <w:rFonts w:ascii="Arial" w:hAnsi="Arial" w:cs="Arial"/>
                <w:b/>
                <w:bCs/>
                <w:sz w:val="20"/>
                <w:szCs w:val="20"/>
                <w:lang w:eastAsia="es-419"/>
              </w:rPr>
            </w:pPr>
            <w:r w:rsidRPr="005000D2">
              <w:rPr>
                <w:rFonts w:ascii="Arial" w:hAnsi="Arial" w:cs="Arial"/>
                <w:b/>
                <w:bCs/>
                <w:sz w:val="20"/>
                <w:szCs w:val="20"/>
                <w:lang w:eastAsia="es-419"/>
              </w:rPr>
              <w:t>DE</w:t>
            </w:r>
          </w:p>
        </w:tc>
        <w:tc>
          <w:tcPr>
            <w:tcW w:w="920" w:type="dxa"/>
            <w:tcBorders>
              <w:top w:val="single" w:sz="4" w:space="0" w:color="auto"/>
              <w:left w:val="nil"/>
              <w:bottom w:val="single" w:sz="4" w:space="0" w:color="auto"/>
              <w:right w:val="nil"/>
            </w:tcBorders>
            <w:shd w:val="clear" w:color="auto" w:fill="auto"/>
            <w:noWrap/>
            <w:vAlign w:val="bottom"/>
            <w:hideMark/>
          </w:tcPr>
          <w:p w14:paraId="17CFA494" w14:textId="77777777" w:rsidR="008441A3" w:rsidRPr="005000D2" w:rsidRDefault="008441A3" w:rsidP="008441A3">
            <w:pPr>
              <w:rPr>
                <w:rFonts w:ascii="Arial" w:hAnsi="Arial" w:cs="Arial"/>
                <w:b/>
                <w:bCs/>
                <w:sz w:val="20"/>
                <w:szCs w:val="20"/>
                <w:lang w:eastAsia="es-419"/>
              </w:rPr>
            </w:pPr>
            <w:r w:rsidRPr="005000D2">
              <w:rPr>
                <w:rFonts w:ascii="Arial" w:hAnsi="Arial" w:cs="Arial"/>
                <w:b/>
                <w:bCs/>
                <w:sz w:val="20"/>
                <w:szCs w:val="20"/>
                <w:lang w:eastAsia="es-419"/>
              </w:rPr>
              <w:t>Q1</w:t>
            </w:r>
          </w:p>
        </w:tc>
        <w:tc>
          <w:tcPr>
            <w:tcW w:w="920" w:type="dxa"/>
            <w:tcBorders>
              <w:top w:val="single" w:sz="4" w:space="0" w:color="auto"/>
              <w:left w:val="nil"/>
              <w:bottom w:val="single" w:sz="4" w:space="0" w:color="auto"/>
              <w:right w:val="nil"/>
            </w:tcBorders>
            <w:shd w:val="clear" w:color="auto" w:fill="auto"/>
            <w:noWrap/>
            <w:vAlign w:val="bottom"/>
            <w:hideMark/>
          </w:tcPr>
          <w:p w14:paraId="13E97C4A" w14:textId="77777777" w:rsidR="008441A3" w:rsidRPr="005000D2" w:rsidRDefault="008441A3" w:rsidP="008441A3">
            <w:pPr>
              <w:rPr>
                <w:rFonts w:ascii="Arial" w:hAnsi="Arial" w:cs="Arial"/>
                <w:b/>
                <w:bCs/>
                <w:sz w:val="20"/>
                <w:szCs w:val="20"/>
                <w:lang w:eastAsia="es-419"/>
              </w:rPr>
            </w:pPr>
            <w:proofErr w:type="spellStart"/>
            <w:r w:rsidRPr="005000D2">
              <w:rPr>
                <w:rFonts w:ascii="Arial" w:hAnsi="Arial" w:cs="Arial"/>
                <w:b/>
                <w:bCs/>
                <w:sz w:val="20"/>
                <w:szCs w:val="20"/>
                <w:lang w:eastAsia="es-419"/>
              </w:rPr>
              <w:t>Med</w:t>
            </w:r>
            <w:proofErr w:type="spellEnd"/>
          </w:p>
        </w:tc>
        <w:tc>
          <w:tcPr>
            <w:tcW w:w="920" w:type="dxa"/>
            <w:tcBorders>
              <w:top w:val="single" w:sz="4" w:space="0" w:color="auto"/>
              <w:left w:val="nil"/>
              <w:bottom w:val="single" w:sz="4" w:space="0" w:color="auto"/>
              <w:right w:val="nil"/>
            </w:tcBorders>
            <w:shd w:val="clear" w:color="auto" w:fill="auto"/>
            <w:noWrap/>
            <w:vAlign w:val="bottom"/>
            <w:hideMark/>
          </w:tcPr>
          <w:p w14:paraId="7F51D109" w14:textId="77777777" w:rsidR="008441A3" w:rsidRPr="005000D2" w:rsidRDefault="008441A3" w:rsidP="008441A3">
            <w:pPr>
              <w:rPr>
                <w:rFonts w:ascii="Arial" w:hAnsi="Arial" w:cs="Arial"/>
                <w:b/>
                <w:bCs/>
                <w:sz w:val="20"/>
                <w:szCs w:val="20"/>
                <w:lang w:eastAsia="es-419"/>
              </w:rPr>
            </w:pPr>
            <w:r w:rsidRPr="005000D2">
              <w:rPr>
                <w:rFonts w:ascii="Arial" w:hAnsi="Arial" w:cs="Arial"/>
                <w:b/>
                <w:bCs/>
                <w:sz w:val="20"/>
                <w:szCs w:val="20"/>
                <w:lang w:eastAsia="es-419"/>
              </w:rPr>
              <w:t>Q3</w:t>
            </w:r>
          </w:p>
        </w:tc>
      </w:tr>
      <w:tr w:rsidR="008441A3" w:rsidRPr="005000D2" w14:paraId="66CDF03F" w14:textId="77777777" w:rsidTr="0099762E">
        <w:trPr>
          <w:trHeight w:val="300"/>
          <w:jc w:val="center"/>
        </w:trPr>
        <w:tc>
          <w:tcPr>
            <w:tcW w:w="4252" w:type="dxa"/>
            <w:tcBorders>
              <w:top w:val="nil"/>
              <w:left w:val="nil"/>
              <w:bottom w:val="nil"/>
              <w:right w:val="nil"/>
            </w:tcBorders>
            <w:shd w:val="clear" w:color="auto" w:fill="auto"/>
            <w:noWrap/>
          </w:tcPr>
          <w:p w14:paraId="5D7468F2" w14:textId="77777777" w:rsidR="008441A3" w:rsidRPr="005000D2" w:rsidRDefault="008441A3" w:rsidP="008441A3">
            <w:pPr>
              <w:rPr>
                <w:rFonts w:ascii="Arial" w:hAnsi="Arial" w:cs="Arial"/>
                <w:i/>
                <w:iCs/>
                <w:sz w:val="20"/>
                <w:szCs w:val="20"/>
                <w:lang w:eastAsia="es-419"/>
              </w:rPr>
            </w:pPr>
            <w:r w:rsidRPr="005000D2">
              <w:rPr>
                <w:rFonts w:ascii="Arial" w:hAnsi="Arial" w:cs="Arial"/>
                <w:i/>
                <w:iCs/>
                <w:sz w:val="20"/>
                <w:szCs w:val="20"/>
                <w:lang w:eastAsia="es-419"/>
              </w:rPr>
              <w:t>Sección de conocimientos algebraicos</w:t>
            </w:r>
          </w:p>
        </w:tc>
        <w:tc>
          <w:tcPr>
            <w:tcW w:w="821" w:type="dxa"/>
            <w:tcBorders>
              <w:top w:val="nil"/>
              <w:left w:val="nil"/>
              <w:bottom w:val="nil"/>
              <w:right w:val="nil"/>
            </w:tcBorders>
            <w:shd w:val="clear" w:color="auto" w:fill="auto"/>
            <w:noWrap/>
          </w:tcPr>
          <w:p w14:paraId="55EAECDF" w14:textId="77777777" w:rsidR="008441A3" w:rsidRPr="005000D2" w:rsidRDefault="008441A3" w:rsidP="008441A3">
            <w:pPr>
              <w:rPr>
                <w:rFonts w:ascii="Arial" w:hAnsi="Arial" w:cs="Arial"/>
                <w:sz w:val="20"/>
                <w:szCs w:val="20"/>
                <w:lang w:eastAsia="es-419"/>
              </w:rPr>
            </w:pPr>
          </w:p>
        </w:tc>
        <w:tc>
          <w:tcPr>
            <w:tcW w:w="920" w:type="dxa"/>
            <w:tcBorders>
              <w:top w:val="nil"/>
              <w:left w:val="nil"/>
              <w:bottom w:val="nil"/>
              <w:right w:val="nil"/>
            </w:tcBorders>
            <w:shd w:val="clear" w:color="auto" w:fill="auto"/>
            <w:noWrap/>
          </w:tcPr>
          <w:p w14:paraId="308E0DF7" w14:textId="77777777" w:rsidR="008441A3" w:rsidRPr="005000D2" w:rsidRDefault="008441A3" w:rsidP="008441A3">
            <w:pPr>
              <w:rPr>
                <w:rFonts w:ascii="Arial" w:hAnsi="Arial" w:cs="Arial"/>
                <w:sz w:val="20"/>
                <w:szCs w:val="20"/>
                <w:lang w:eastAsia="es-419"/>
              </w:rPr>
            </w:pPr>
          </w:p>
        </w:tc>
        <w:tc>
          <w:tcPr>
            <w:tcW w:w="920" w:type="dxa"/>
            <w:tcBorders>
              <w:top w:val="nil"/>
              <w:left w:val="nil"/>
              <w:bottom w:val="nil"/>
              <w:right w:val="nil"/>
            </w:tcBorders>
            <w:shd w:val="clear" w:color="auto" w:fill="auto"/>
            <w:noWrap/>
          </w:tcPr>
          <w:p w14:paraId="54BA863C" w14:textId="77777777" w:rsidR="008441A3" w:rsidRPr="005000D2" w:rsidRDefault="008441A3" w:rsidP="008441A3">
            <w:pPr>
              <w:rPr>
                <w:rFonts w:ascii="Arial" w:hAnsi="Arial" w:cs="Arial"/>
                <w:sz w:val="20"/>
                <w:szCs w:val="20"/>
                <w:lang w:eastAsia="es-419"/>
              </w:rPr>
            </w:pPr>
          </w:p>
        </w:tc>
        <w:tc>
          <w:tcPr>
            <w:tcW w:w="920" w:type="dxa"/>
            <w:tcBorders>
              <w:top w:val="nil"/>
              <w:left w:val="nil"/>
              <w:bottom w:val="nil"/>
              <w:right w:val="nil"/>
            </w:tcBorders>
            <w:shd w:val="clear" w:color="auto" w:fill="auto"/>
            <w:noWrap/>
          </w:tcPr>
          <w:p w14:paraId="12BC8CE8" w14:textId="77777777" w:rsidR="008441A3" w:rsidRPr="005000D2" w:rsidRDefault="008441A3" w:rsidP="008441A3">
            <w:pPr>
              <w:rPr>
                <w:rFonts w:ascii="Arial" w:hAnsi="Arial" w:cs="Arial"/>
                <w:sz w:val="20"/>
                <w:szCs w:val="20"/>
                <w:lang w:eastAsia="es-419"/>
              </w:rPr>
            </w:pPr>
          </w:p>
        </w:tc>
        <w:tc>
          <w:tcPr>
            <w:tcW w:w="920" w:type="dxa"/>
            <w:tcBorders>
              <w:top w:val="nil"/>
              <w:left w:val="nil"/>
              <w:bottom w:val="nil"/>
              <w:right w:val="nil"/>
            </w:tcBorders>
            <w:shd w:val="clear" w:color="auto" w:fill="auto"/>
            <w:noWrap/>
          </w:tcPr>
          <w:p w14:paraId="66766357" w14:textId="77777777" w:rsidR="008441A3" w:rsidRPr="005000D2" w:rsidRDefault="008441A3" w:rsidP="008441A3">
            <w:pPr>
              <w:rPr>
                <w:rFonts w:ascii="Arial" w:hAnsi="Arial" w:cs="Arial"/>
                <w:sz w:val="20"/>
                <w:szCs w:val="20"/>
                <w:lang w:eastAsia="es-419"/>
              </w:rPr>
            </w:pPr>
          </w:p>
        </w:tc>
      </w:tr>
      <w:tr w:rsidR="008441A3" w:rsidRPr="005000D2" w14:paraId="1D0DD762" w14:textId="77777777" w:rsidTr="0099762E">
        <w:trPr>
          <w:trHeight w:val="300"/>
          <w:jc w:val="center"/>
        </w:trPr>
        <w:tc>
          <w:tcPr>
            <w:tcW w:w="4252" w:type="dxa"/>
            <w:tcBorders>
              <w:top w:val="nil"/>
              <w:left w:val="nil"/>
              <w:bottom w:val="nil"/>
              <w:right w:val="nil"/>
            </w:tcBorders>
            <w:shd w:val="clear" w:color="auto" w:fill="auto"/>
            <w:noWrap/>
          </w:tcPr>
          <w:p w14:paraId="05869375"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Operaciones algebraicas I</w:t>
            </w:r>
          </w:p>
        </w:tc>
        <w:tc>
          <w:tcPr>
            <w:tcW w:w="821" w:type="dxa"/>
            <w:tcBorders>
              <w:top w:val="nil"/>
              <w:left w:val="nil"/>
              <w:bottom w:val="nil"/>
              <w:right w:val="nil"/>
            </w:tcBorders>
            <w:shd w:val="clear" w:color="auto" w:fill="auto"/>
            <w:noWrap/>
          </w:tcPr>
          <w:p w14:paraId="16D39891"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3.55</w:t>
            </w:r>
          </w:p>
        </w:tc>
        <w:tc>
          <w:tcPr>
            <w:tcW w:w="920" w:type="dxa"/>
            <w:tcBorders>
              <w:top w:val="nil"/>
              <w:left w:val="nil"/>
              <w:bottom w:val="nil"/>
              <w:right w:val="nil"/>
            </w:tcBorders>
            <w:shd w:val="clear" w:color="auto" w:fill="auto"/>
            <w:noWrap/>
          </w:tcPr>
          <w:p w14:paraId="4E90BAD5"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2.82</w:t>
            </w:r>
          </w:p>
        </w:tc>
        <w:tc>
          <w:tcPr>
            <w:tcW w:w="920" w:type="dxa"/>
            <w:tcBorders>
              <w:top w:val="nil"/>
              <w:left w:val="nil"/>
              <w:bottom w:val="nil"/>
              <w:right w:val="nil"/>
            </w:tcBorders>
            <w:shd w:val="clear" w:color="auto" w:fill="auto"/>
            <w:noWrap/>
          </w:tcPr>
          <w:p w14:paraId="215C5426"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1.67</w:t>
            </w:r>
          </w:p>
        </w:tc>
        <w:tc>
          <w:tcPr>
            <w:tcW w:w="920" w:type="dxa"/>
            <w:tcBorders>
              <w:top w:val="nil"/>
              <w:left w:val="nil"/>
              <w:bottom w:val="nil"/>
              <w:right w:val="nil"/>
            </w:tcBorders>
            <w:shd w:val="clear" w:color="auto" w:fill="auto"/>
            <w:noWrap/>
          </w:tcPr>
          <w:p w14:paraId="6E14F651"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3.33</w:t>
            </w:r>
          </w:p>
        </w:tc>
        <w:tc>
          <w:tcPr>
            <w:tcW w:w="920" w:type="dxa"/>
            <w:tcBorders>
              <w:top w:val="nil"/>
              <w:left w:val="nil"/>
              <w:bottom w:val="nil"/>
              <w:right w:val="nil"/>
            </w:tcBorders>
            <w:shd w:val="clear" w:color="auto" w:fill="auto"/>
            <w:noWrap/>
          </w:tcPr>
          <w:p w14:paraId="353A6A54"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5.00</w:t>
            </w:r>
          </w:p>
        </w:tc>
      </w:tr>
      <w:tr w:rsidR="008441A3" w:rsidRPr="005000D2" w14:paraId="3C53F78E" w14:textId="77777777" w:rsidTr="0099762E">
        <w:trPr>
          <w:trHeight w:val="300"/>
          <w:jc w:val="center"/>
        </w:trPr>
        <w:tc>
          <w:tcPr>
            <w:tcW w:w="4252" w:type="dxa"/>
            <w:tcBorders>
              <w:top w:val="nil"/>
              <w:left w:val="nil"/>
              <w:bottom w:val="nil"/>
              <w:right w:val="nil"/>
            </w:tcBorders>
            <w:shd w:val="clear" w:color="auto" w:fill="auto"/>
            <w:noWrap/>
            <w:hideMark/>
          </w:tcPr>
          <w:p w14:paraId="370C8D4A"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Transformaciones algebraicas I</w:t>
            </w:r>
          </w:p>
        </w:tc>
        <w:tc>
          <w:tcPr>
            <w:tcW w:w="821" w:type="dxa"/>
            <w:tcBorders>
              <w:top w:val="nil"/>
              <w:left w:val="nil"/>
              <w:bottom w:val="nil"/>
              <w:right w:val="nil"/>
            </w:tcBorders>
            <w:shd w:val="clear" w:color="auto" w:fill="auto"/>
            <w:noWrap/>
            <w:hideMark/>
          </w:tcPr>
          <w:p w14:paraId="77951CAE"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3.25</w:t>
            </w:r>
          </w:p>
        </w:tc>
        <w:tc>
          <w:tcPr>
            <w:tcW w:w="920" w:type="dxa"/>
            <w:tcBorders>
              <w:top w:val="nil"/>
              <w:left w:val="nil"/>
              <w:bottom w:val="nil"/>
              <w:right w:val="nil"/>
            </w:tcBorders>
            <w:shd w:val="clear" w:color="auto" w:fill="auto"/>
            <w:noWrap/>
            <w:hideMark/>
          </w:tcPr>
          <w:p w14:paraId="2E7A4662"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3.19</w:t>
            </w:r>
          </w:p>
        </w:tc>
        <w:tc>
          <w:tcPr>
            <w:tcW w:w="920" w:type="dxa"/>
            <w:tcBorders>
              <w:top w:val="nil"/>
              <w:left w:val="nil"/>
              <w:bottom w:val="nil"/>
              <w:right w:val="nil"/>
            </w:tcBorders>
            <w:shd w:val="clear" w:color="auto" w:fill="auto"/>
            <w:noWrap/>
            <w:hideMark/>
          </w:tcPr>
          <w:p w14:paraId="23EAEB28"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0.00</w:t>
            </w:r>
          </w:p>
        </w:tc>
        <w:tc>
          <w:tcPr>
            <w:tcW w:w="920" w:type="dxa"/>
            <w:tcBorders>
              <w:top w:val="nil"/>
              <w:left w:val="nil"/>
              <w:bottom w:val="nil"/>
              <w:right w:val="nil"/>
            </w:tcBorders>
            <w:shd w:val="clear" w:color="auto" w:fill="auto"/>
            <w:noWrap/>
            <w:hideMark/>
          </w:tcPr>
          <w:p w14:paraId="064C10F0"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2.50</w:t>
            </w:r>
          </w:p>
        </w:tc>
        <w:tc>
          <w:tcPr>
            <w:tcW w:w="920" w:type="dxa"/>
            <w:tcBorders>
              <w:top w:val="nil"/>
              <w:left w:val="nil"/>
              <w:bottom w:val="nil"/>
              <w:right w:val="nil"/>
            </w:tcBorders>
            <w:shd w:val="clear" w:color="auto" w:fill="auto"/>
            <w:noWrap/>
            <w:hideMark/>
          </w:tcPr>
          <w:p w14:paraId="2F326B87"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5.00</w:t>
            </w:r>
          </w:p>
        </w:tc>
      </w:tr>
      <w:tr w:rsidR="008441A3" w:rsidRPr="005000D2" w14:paraId="4357B4EA" w14:textId="77777777" w:rsidTr="0099762E">
        <w:trPr>
          <w:trHeight w:val="300"/>
          <w:jc w:val="center"/>
        </w:trPr>
        <w:tc>
          <w:tcPr>
            <w:tcW w:w="4252" w:type="dxa"/>
            <w:tcBorders>
              <w:top w:val="nil"/>
              <w:left w:val="nil"/>
              <w:bottom w:val="nil"/>
              <w:right w:val="nil"/>
            </w:tcBorders>
            <w:shd w:val="clear" w:color="auto" w:fill="auto"/>
            <w:noWrap/>
            <w:hideMark/>
          </w:tcPr>
          <w:p w14:paraId="7C4CD06F"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Ecuaciones I</w:t>
            </w:r>
          </w:p>
        </w:tc>
        <w:tc>
          <w:tcPr>
            <w:tcW w:w="821" w:type="dxa"/>
            <w:tcBorders>
              <w:top w:val="nil"/>
              <w:left w:val="nil"/>
              <w:bottom w:val="nil"/>
              <w:right w:val="nil"/>
            </w:tcBorders>
            <w:shd w:val="clear" w:color="auto" w:fill="auto"/>
            <w:noWrap/>
            <w:hideMark/>
          </w:tcPr>
          <w:p w14:paraId="29E527F7"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3.86</w:t>
            </w:r>
          </w:p>
        </w:tc>
        <w:tc>
          <w:tcPr>
            <w:tcW w:w="920" w:type="dxa"/>
            <w:tcBorders>
              <w:top w:val="nil"/>
              <w:left w:val="nil"/>
              <w:bottom w:val="nil"/>
              <w:right w:val="nil"/>
            </w:tcBorders>
            <w:shd w:val="clear" w:color="auto" w:fill="auto"/>
            <w:noWrap/>
            <w:hideMark/>
          </w:tcPr>
          <w:p w14:paraId="573AE919"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3.10</w:t>
            </w:r>
          </w:p>
        </w:tc>
        <w:tc>
          <w:tcPr>
            <w:tcW w:w="920" w:type="dxa"/>
            <w:tcBorders>
              <w:top w:val="nil"/>
              <w:left w:val="nil"/>
              <w:bottom w:val="nil"/>
              <w:right w:val="nil"/>
            </w:tcBorders>
            <w:shd w:val="clear" w:color="auto" w:fill="auto"/>
            <w:noWrap/>
            <w:hideMark/>
          </w:tcPr>
          <w:p w14:paraId="0A0D5108"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2.00</w:t>
            </w:r>
          </w:p>
        </w:tc>
        <w:tc>
          <w:tcPr>
            <w:tcW w:w="920" w:type="dxa"/>
            <w:tcBorders>
              <w:top w:val="nil"/>
              <w:left w:val="nil"/>
              <w:bottom w:val="nil"/>
              <w:right w:val="nil"/>
            </w:tcBorders>
            <w:shd w:val="clear" w:color="auto" w:fill="auto"/>
            <w:noWrap/>
            <w:hideMark/>
          </w:tcPr>
          <w:p w14:paraId="3BEA576E"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4.00</w:t>
            </w:r>
          </w:p>
        </w:tc>
        <w:tc>
          <w:tcPr>
            <w:tcW w:w="920" w:type="dxa"/>
            <w:tcBorders>
              <w:top w:val="nil"/>
              <w:left w:val="nil"/>
              <w:bottom w:val="nil"/>
              <w:right w:val="nil"/>
            </w:tcBorders>
            <w:shd w:val="clear" w:color="auto" w:fill="auto"/>
            <w:noWrap/>
            <w:hideMark/>
          </w:tcPr>
          <w:p w14:paraId="2828E14B"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6.00</w:t>
            </w:r>
          </w:p>
        </w:tc>
      </w:tr>
      <w:tr w:rsidR="008441A3" w:rsidRPr="005000D2" w14:paraId="121E5D34" w14:textId="77777777" w:rsidTr="0099762E">
        <w:trPr>
          <w:trHeight w:val="300"/>
          <w:jc w:val="center"/>
        </w:trPr>
        <w:tc>
          <w:tcPr>
            <w:tcW w:w="4252" w:type="dxa"/>
            <w:tcBorders>
              <w:top w:val="nil"/>
              <w:left w:val="nil"/>
              <w:bottom w:val="nil"/>
              <w:right w:val="nil"/>
            </w:tcBorders>
            <w:shd w:val="clear" w:color="auto" w:fill="auto"/>
            <w:noWrap/>
          </w:tcPr>
          <w:p w14:paraId="16C45777"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Operaciones algebraicas II</w:t>
            </w:r>
          </w:p>
        </w:tc>
        <w:tc>
          <w:tcPr>
            <w:tcW w:w="821" w:type="dxa"/>
            <w:tcBorders>
              <w:top w:val="nil"/>
              <w:left w:val="nil"/>
              <w:bottom w:val="nil"/>
              <w:right w:val="nil"/>
            </w:tcBorders>
            <w:shd w:val="clear" w:color="auto" w:fill="auto"/>
            <w:noWrap/>
          </w:tcPr>
          <w:p w14:paraId="055C3DA3"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3.24</w:t>
            </w:r>
          </w:p>
        </w:tc>
        <w:tc>
          <w:tcPr>
            <w:tcW w:w="920" w:type="dxa"/>
            <w:tcBorders>
              <w:top w:val="nil"/>
              <w:left w:val="nil"/>
              <w:bottom w:val="nil"/>
              <w:right w:val="nil"/>
            </w:tcBorders>
            <w:shd w:val="clear" w:color="auto" w:fill="auto"/>
            <w:noWrap/>
          </w:tcPr>
          <w:p w14:paraId="3EB53BAE"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2.63</w:t>
            </w:r>
          </w:p>
        </w:tc>
        <w:tc>
          <w:tcPr>
            <w:tcW w:w="920" w:type="dxa"/>
            <w:tcBorders>
              <w:top w:val="nil"/>
              <w:left w:val="nil"/>
              <w:bottom w:val="nil"/>
              <w:right w:val="nil"/>
            </w:tcBorders>
            <w:shd w:val="clear" w:color="auto" w:fill="auto"/>
            <w:noWrap/>
          </w:tcPr>
          <w:p w14:paraId="49BF5528"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2.00</w:t>
            </w:r>
          </w:p>
        </w:tc>
        <w:tc>
          <w:tcPr>
            <w:tcW w:w="920" w:type="dxa"/>
            <w:tcBorders>
              <w:top w:val="nil"/>
              <w:left w:val="nil"/>
              <w:bottom w:val="nil"/>
              <w:right w:val="nil"/>
            </w:tcBorders>
            <w:shd w:val="clear" w:color="auto" w:fill="auto"/>
            <w:noWrap/>
          </w:tcPr>
          <w:p w14:paraId="4C32BC4B"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2.00</w:t>
            </w:r>
          </w:p>
        </w:tc>
        <w:tc>
          <w:tcPr>
            <w:tcW w:w="920" w:type="dxa"/>
            <w:tcBorders>
              <w:top w:val="nil"/>
              <w:left w:val="nil"/>
              <w:bottom w:val="nil"/>
              <w:right w:val="nil"/>
            </w:tcBorders>
            <w:shd w:val="clear" w:color="auto" w:fill="auto"/>
            <w:noWrap/>
          </w:tcPr>
          <w:p w14:paraId="516E5E24"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4.00</w:t>
            </w:r>
          </w:p>
        </w:tc>
      </w:tr>
      <w:tr w:rsidR="008441A3" w:rsidRPr="005000D2" w14:paraId="1CC4669B" w14:textId="77777777" w:rsidTr="0099762E">
        <w:trPr>
          <w:trHeight w:val="300"/>
          <w:jc w:val="center"/>
        </w:trPr>
        <w:tc>
          <w:tcPr>
            <w:tcW w:w="4252" w:type="dxa"/>
            <w:tcBorders>
              <w:top w:val="nil"/>
              <w:left w:val="nil"/>
              <w:bottom w:val="single" w:sz="4" w:space="0" w:color="auto"/>
              <w:right w:val="nil"/>
            </w:tcBorders>
            <w:shd w:val="clear" w:color="auto" w:fill="auto"/>
            <w:noWrap/>
          </w:tcPr>
          <w:p w14:paraId="31EA4A5D"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Ecuaciones II</w:t>
            </w:r>
          </w:p>
        </w:tc>
        <w:tc>
          <w:tcPr>
            <w:tcW w:w="821" w:type="dxa"/>
            <w:tcBorders>
              <w:top w:val="nil"/>
              <w:left w:val="nil"/>
              <w:bottom w:val="single" w:sz="4" w:space="0" w:color="auto"/>
              <w:right w:val="nil"/>
            </w:tcBorders>
            <w:shd w:val="clear" w:color="auto" w:fill="auto"/>
            <w:noWrap/>
          </w:tcPr>
          <w:p w14:paraId="0433ADA7"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2.92</w:t>
            </w:r>
          </w:p>
        </w:tc>
        <w:tc>
          <w:tcPr>
            <w:tcW w:w="920" w:type="dxa"/>
            <w:tcBorders>
              <w:top w:val="nil"/>
              <w:left w:val="nil"/>
              <w:bottom w:val="single" w:sz="4" w:space="0" w:color="auto"/>
              <w:right w:val="nil"/>
            </w:tcBorders>
            <w:shd w:val="clear" w:color="auto" w:fill="auto"/>
            <w:noWrap/>
          </w:tcPr>
          <w:p w14:paraId="4D99874E"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3.27</w:t>
            </w:r>
          </w:p>
        </w:tc>
        <w:tc>
          <w:tcPr>
            <w:tcW w:w="920" w:type="dxa"/>
            <w:tcBorders>
              <w:top w:val="nil"/>
              <w:left w:val="nil"/>
              <w:bottom w:val="single" w:sz="4" w:space="0" w:color="auto"/>
              <w:right w:val="nil"/>
            </w:tcBorders>
            <w:shd w:val="clear" w:color="auto" w:fill="auto"/>
            <w:noWrap/>
          </w:tcPr>
          <w:p w14:paraId="15E8988D"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0.00</w:t>
            </w:r>
          </w:p>
        </w:tc>
        <w:tc>
          <w:tcPr>
            <w:tcW w:w="920" w:type="dxa"/>
            <w:tcBorders>
              <w:top w:val="nil"/>
              <w:left w:val="nil"/>
              <w:bottom w:val="single" w:sz="4" w:space="0" w:color="auto"/>
              <w:right w:val="nil"/>
            </w:tcBorders>
            <w:shd w:val="clear" w:color="auto" w:fill="auto"/>
            <w:noWrap/>
          </w:tcPr>
          <w:p w14:paraId="17310B34"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2.50</w:t>
            </w:r>
          </w:p>
        </w:tc>
        <w:tc>
          <w:tcPr>
            <w:tcW w:w="920" w:type="dxa"/>
            <w:tcBorders>
              <w:top w:val="nil"/>
              <w:left w:val="nil"/>
              <w:bottom w:val="single" w:sz="4" w:space="0" w:color="auto"/>
              <w:right w:val="nil"/>
            </w:tcBorders>
            <w:shd w:val="clear" w:color="auto" w:fill="auto"/>
            <w:noWrap/>
          </w:tcPr>
          <w:p w14:paraId="4F878349"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5.00</w:t>
            </w:r>
          </w:p>
        </w:tc>
      </w:tr>
      <w:tr w:rsidR="008441A3" w:rsidRPr="005000D2" w14:paraId="46F976FA" w14:textId="77777777" w:rsidTr="0099762E">
        <w:trPr>
          <w:trHeight w:val="300"/>
          <w:jc w:val="center"/>
        </w:trPr>
        <w:tc>
          <w:tcPr>
            <w:tcW w:w="4252" w:type="dxa"/>
            <w:tcBorders>
              <w:top w:val="single" w:sz="4" w:space="0" w:color="auto"/>
              <w:left w:val="nil"/>
              <w:bottom w:val="single" w:sz="4" w:space="0" w:color="auto"/>
              <w:right w:val="nil"/>
            </w:tcBorders>
            <w:shd w:val="clear" w:color="auto" w:fill="auto"/>
            <w:noWrap/>
          </w:tcPr>
          <w:p w14:paraId="35A10F0B" w14:textId="77777777" w:rsidR="008441A3" w:rsidRPr="005000D2" w:rsidRDefault="008441A3" w:rsidP="008441A3">
            <w:pPr>
              <w:rPr>
                <w:rFonts w:ascii="Arial" w:eastAsiaTheme="minorHAnsi" w:hAnsi="Arial" w:cs="Arial"/>
                <w:b/>
                <w:bCs/>
                <w:sz w:val="20"/>
                <w:szCs w:val="20"/>
                <w:lang w:eastAsia="en-US"/>
              </w:rPr>
            </w:pPr>
            <w:r w:rsidRPr="005000D2">
              <w:rPr>
                <w:rFonts w:ascii="Arial" w:eastAsiaTheme="minorHAnsi" w:hAnsi="Arial" w:cs="Arial"/>
                <w:b/>
                <w:bCs/>
                <w:sz w:val="20"/>
                <w:szCs w:val="20"/>
                <w:lang w:eastAsia="en-US"/>
              </w:rPr>
              <w:t>Puntuación total de la sección</w:t>
            </w:r>
          </w:p>
        </w:tc>
        <w:tc>
          <w:tcPr>
            <w:tcW w:w="821" w:type="dxa"/>
            <w:tcBorders>
              <w:top w:val="single" w:sz="4" w:space="0" w:color="auto"/>
              <w:left w:val="nil"/>
              <w:bottom w:val="single" w:sz="4" w:space="0" w:color="auto"/>
              <w:right w:val="nil"/>
            </w:tcBorders>
            <w:shd w:val="clear" w:color="auto" w:fill="auto"/>
            <w:noWrap/>
          </w:tcPr>
          <w:p w14:paraId="7ECADE73"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3.39</w:t>
            </w:r>
          </w:p>
        </w:tc>
        <w:tc>
          <w:tcPr>
            <w:tcW w:w="920" w:type="dxa"/>
            <w:tcBorders>
              <w:top w:val="single" w:sz="4" w:space="0" w:color="auto"/>
              <w:left w:val="nil"/>
              <w:bottom w:val="single" w:sz="4" w:space="0" w:color="auto"/>
              <w:right w:val="nil"/>
            </w:tcBorders>
            <w:shd w:val="clear" w:color="auto" w:fill="auto"/>
            <w:noWrap/>
          </w:tcPr>
          <w:p w14:paraId="47C4F097"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2.42</w:t>
            </w:r>
          </w:p>
        </w:tc>
        <w:tc>
          <w:tcPr>
            <w:tcW w:w="920" w:type="dxa"/>
            <w:tcBorders>
              <w:top w:val="single" w:sz="4" w:space="0" w:color="auto"/>
              <w:left w:val="nil"/>
              <w:bottom w:val="single" w:sz="4" w:space="0" w:color="auto"/>
              <w:right w:val="nil"/>
            </w:tcBorders>
            <w:shd w:val="clear" w:color="auto" w:fill="auto"/>
            <w:noWrap/>
          </w:tcPr>
          <w:p w14:paraId="694EB2C9"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1.67</w:t>
            </w:r>
          </w:p>
        </w:tc>
        <w:tc>
          <w:tcPr>
            <w:tcW w:w="920" w:type="dxa"/>
            <w:tcBorders>
              <w:top w:val="single" w:sz="4" w:space="0" w:color="auto"/>
              <w:left w:val="nil"/>
              <w:bottom w:val="single" w:sz="4" w:space="0" w:color="auto"/>
              <w:right w:val="nil"/>
            </w:tcBorders>
            <w:shd w:val="clear" w:color="auto" w:fill="auto"/>
            <w:noWrap/>
          </w:tcPr>
          <w:p w14:paraId="0B2DB25F"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2.50</w:t>
            </w:r>
          </w:p>
        </w:tc>
        <w:tc>
          <w:tcPr>
            <w:tcW w:w="920" w:type="dxa"/>
            <w:tcBorders>
              <w:top w:val="single" w:sz="4" w:space="0" w:color="auto"/>
              <w:left w:val="nil"/>
              <w:bottom w:val="single" w:sz="4" w:space="0" w:color="auto"/>
              <w:right w:val="nil"/>
            </w:tcBorders>
            <w:shd w:val="clear" w:color="auto" w:fill="auto"/>
            <w:noWrap/>
          </w:tcPr>
          <w:p w14:paraId="7320A8D2"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4.58</w:t>
            </w:r>
          </w:p>
        </w:tc>
      </w:tr>
      <w:tr w:rsidR="008441A3" w:rsidRPr="005000D2" w14:paraId="62AAEDB0" w14:textId="77777777" w:rsidTr="0099762E">
        <w:trPr>
          <w:trHeight w:val="300"/>
          <w:jc w:val="center"/>
        </w:trPr>
        <w:tc>
          <w:tcPr>
            <w:tcW w:w="8753" w:type="dxa"/>
            <w:gridSpan w:val="6"/>
            <w:tcBorders>
              <w:top w:val="single" w:sz="4" w:space="0" w:color="auto"/>
              <w:left w:val="nil"/>
              <w:bottom w:val="nil"/>
              <w:right w:val="nil"/>
            </w:tcBorders>
            <w:shd w:val="clear" w:color="auto" w:fill="auto"/>
            <w:noWrap/>
          </w:tcPr>
          <w:p w14:paraId="6B5623DE" w14:textId="77777777" w:rsidR="008441A3" w:rsidRPr="005000D2" w:rsidRDefault="008441A3" w:rsidP="008441A3">
            <w:pPr>
              <w:rPr>
                <w:rFonts w:ascii="Arial" w:hAnsi="Arial" w:cs="Arial"/>
                <w:i/>
                <w:iCs/>
                <w:sz w:val="20"/>
                <w:szCs w:val="20"/>
                <w:lang w:eastAsia="es-419"/>
              </w:rPr>
            </w:pPr>
            <w:r w:rsidRPr="005000D2">
              <w:rPr>
                <w:rFonts w:ascii="Arial" w:hAnsi="Arial" w:cs="Arial"/>
                <w:i/>
                <w:iCs/>
                <w:sz w:val="20"/>
                <w:szCs w:val="20"/>
                <w:lang w:eastAsia="es-419"/>
              </w:rPr>
              <w:t>Sección de conocimientos de funciones</w:t>
            </w:r>
          </w:p>
        </w:tc>
      </w:tr>
      <w:tr w:rsidR="008441A3" w:rsidRPr="005000D2" w14:paraId="1848D201" w14:textId="77777777" w:rsidTr="0099762E">
        <w:trPr>
          <w:trHeight w:val="300"/>
          <w:jc w:val="center"/>
        </w:trPr>
        <w:tc>
          <w:tcPr>
            <w:tcW w:w="4252" w:type="dxa"/>
            <w:tcBorders>
              <w:top w:val="nil"/>
              <w:left w:val="nil"/>
              <w:right w:val="nil"/>
            </w:tcBorders>
            <w:shd w:val="clear" w:color="auto" w:fill="auto"/>
            <w:noWrap/>
          </w:tcPr>
          <w:p w14:paraId="526D6475"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Conceptos básicos de funciones I</w:t>
            </w:r>
          </w:p>
        </w:tc>
        <w:tc>
          <w:tcPr>
            <w:tcW w:w="821" w:type="dxa"/>
            <w:tcBorders>
              <w:top w:val="nil"/>
              <w:left w:val="nil"/>
              <w:right w:val="nil"/>
            </w:tcBorders>
            <w:shd w:val="clear" w:color="auto" w:fill="auto"/>
            <w:noWrap/>
          </w:tcPr>
          <w:p w14:paraId="49B3CF72"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3.57</w:t>
            </w:r>
          </w:p>
        </w:tc>
        <w:tc>
          <w:tcPr>
            <w:tcW w:w="920" w:type="dxa"/>
            <w:tcBorders>
              <w:top w:val="nil"/>
              <w:left w:val="nil"/>
              <w:right w:val="nil"/>
            </w:tcBorders>
            <w:shd w:val="clear" w:color="auto" w:fill="auto"/>
            <w:noWrap/>
          </w:tcPr>
          <w:p w14:paraId="122A1452"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2.64</w:t>
            </w:r>
          </w:p>
        </w:tc>
        <w:tc>
          <w:tcPr>
            <w:tcW w:w="920" w:type="dxa"/>
            <w:tcBorders>
              <w:top w:val="nil"/>
              <w:left w:val="nil"/>
              <w:right w:val="nil"/>
            </w:tcBorders>
            <w:shd w:val="clear" w:color="auto" w:fill="auto"/>
            <w:noWrap/>
          </w:tcPr>
          <w:p w14:paraId="735A4156"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1.11</w:t>
            </w:r>
          </w:p>
        </w:tc>
        <w:tc>
          <w:tcPr>
            <w:tcW w:w="920" w:type="dxa"/>
            <w:tcBorders>
              <w:top w:val="nil"/>
              <w:left w:val="nil"/>
              <w:right w:val="nil"/>
            </w:tcBorders>
            <w:shd w:val="clear" w:color="auto" w:fill="auto"/>
            <w:noWrap/>
          </w:tcPr>
          <w:p w14:paraId="68897F3E"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3.33</w:t>
            </w:r>
          </w:p>
        </w:tc>
        <w:tc>
          <w:tcPr>
            <w:tcW w:w="920" w:type="dxa"/>
            <w:tcBorders>
              <w:top w:val="nil"/>
              <w:left w:val="nil"/>
              <w:right w:val="nil"/>
            </w:tcBorders>
            <w:shd w:val="clear" w:color="auto" w:fill="auto"/>
            <w:noWrap/>
          </w:tcPr>
          <w:p w14:paraId="7DE3693A"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5.56</w:t>
            </w:r>
          </w:p>
        </w:tc>
      </w:tr>
      <w:tr w:rsidR="008441A3" w:rsidRPr="005000D2" w14:paraId="6AB55AD6" w14:textId="77777777" w:rsidTr="0099762E">
        <w:trPr>
          <w:trHeight w:val="300"/>
          <w:jc w:val="center"/>
        </w:trPr>
        <w:tc>
          <w:tcPr>
            <w:tcW w:w="4252" w:type="dxa"/>
            <w:tcBorders>
              <w:top w:val="nil"/>
              <w:left w:val="nil"/>
              <w:right w:val="nil"/>
            </w:tcBorders>
            <w:shd w:val="clear" w:color="auto" w:fill="auto"/>
            <w:noWrap/>
          </w:tcPr>
          <w:p w14:paraId="3CAD34A0"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 xml:space="preserve">Función </w:t>
            </w:r>
            <w:proofErr w:type="spellStart"/>
            <w:r w:rsidRPr="005000D2">
              <w:rPr>
                <w:rFonts w:ascii="Arial" w:eastAsiaTheme="minorHAnsi" w:hAnsi="Arial" w:cs="Arial"/>
                <w:sz w:val="20"/>
                <w:szCs w:val="20"/>
                <w:lang w:eastAsia="en-US"/>
              </w:rPr>
              <w:t>exp</w:t>
            </w:r>
            <w:proofErr w:type="spellEnd"/>
            <w:r w:rsidRPr="005000D2">
              <w:rPr>
                <w:rFonts w:ascii="Arial" w:eastAsiaTheme="minorHAnsi" w:hAnsi="Arial" w:cs="Arial"/>
                <w:sz w:val="20"/>
                <w:szCs w:val="20"/>
                <w:lang w:eastAsia="en-US"/>
              </w:rPr>
              <w:t>., logarítmica e inversa</w:t>
            </w:r>
          </w:p>
        </w:tc>
        <w:tc>
          <w:tcPr>
            <w:tcW w:w="821" w:type="dxa"/>
            <w:tcBorders>
              <w:top w:val="nil"/>
              <w:left w:val="nil"/>
              <w:right w:val="nil"/>
            </w:tcBorders>
            <w:shd w:val="clear" w:color="auto" w:fill="auto"/>
            <w:noWrap/>
          </w:tcPr>
          <w:p w14:paraId="5BC8A3CF"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3.61</w:t>
            </w:r>
          </w:p>
        </w:tc>
        <w:tc>
          <w:tcPr>
            <w:tcW w:w="920" w:type="dxa"/>
            <w:tcBorders>
              <w:top w:val="nil"/>
              <w:left w:val="nil"/>
              <w:right w:val="nil"/>
            </w:tcBorders>
            <w:shd w:val="clear" w:color="auto" w:fill="auto"/>
            <w:noWrap/>
          </w:tcPr>
          <w:p w14:paraId="3B411331"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2.65</w:t>
            </w:r>
          </w:p>
        </w:tc>
        <w:tc>
          <w:tcPr>
            <w:tcW w:w="920" w:type="dxa"/>
            <w:tcBorders>
              <w:top w:val="nil"/>
              <w:left w:val="nil"/>
              <w:right w:val="nil"/>
            </w:tcBorders>
            <w:shd w:val="clear" w:color="auto" w:fill="auto"/>
            <w:noWrap/>
          </w:tcPr>
          <w:p w14:paraId="4A8A1438"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1.67</w:t>
            </w:r>
          </w:p>
        </w:tc>
        <w:tc>
          <w:tcPr>
            <w:tcW w:w="920" w:type="dxa"/>
            <w:tcBorders>
              <w:top w:val="nil"/>
              <w:left w:val="nil"/>
              <w:right w:val="nil"/>
            </w:tcBorders>
            <w:shd w:val="clear" w:color="auto" w:fill="auto"/>
            <w:noWrap/>
          </w:tcPr>
          <w:p w14:paraId="2E3684E2"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3.33</w:t>
            </w:r>
          </w:p>
        </w:tc>
        <w:tc>
          <w:tcPr>
            <w:tcW w:w="920" w:type="dxa"/>
            <w:tcBorders>
              <w:top w:val="nil"/>
              <w:left w:val="nil"/>
              <w:right w:val="nil"/>
            </w:tcBorders>
            <w:shd w:val="clear" w:color="auto" w:fill="auto"/>
            <w:noWrap/>
          </w:tcPr>
          <w:p w14:paraId="7C949216"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5.00</w:t>
            </w:r>
          </w:p>
        </w:tc>
      </w:tr>
      <w:tr w:rsidR="008441A3" w:rsidRPr="005000D2" w14:paraId="57969F19" w14:textId="77777777" w:rsidTr="0099762E">
        <w:trPr>
          <w:trHeight w:val="300"/>
          <w:jc w:val="center"/>
        </w:trPr>
        <w:tc>
          <w:tcPr>
            <w:tcW w:w="4252" w:type="dxa"/>
            <w:tcBorders>
              <w:top w:val="nil"/>
              <w:left w:val="nil"/>
              <w:bottom w:val="single" w:sz="4" w:space="0" w:color="auto"/>
              <w:right w:val="nil"/>
            </w:tcBorders>
            <w:shd w:val="clear" w:color="auto" w:fill="auto"/>
            <w:noWrap/>
          </w:tcPr>
          <w:p w14:paraId="4A6AC5E4"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Conceptos básicos de funciones II</w:t>
            </w:r>
          </w:p>
        </w:tc>
        <w:tc>
          <w:tcPr>
            <w:tcW w:w="821" w:type="dxa"/>
            <w:tcBorders>
              <w:top w:val="nil"/>
              <w:left w:val="nil"/>
              <w:bottom w:val="single" w:sz="4" w:space="0" w:color="auto"/>
              <w:right w:val="nil"/>
            </w:tcBorders>
            <w:shd w:val="clear" w:color="auto" w:fill="auto"/>
            <w:noWrap/>
          </w:tcPr>
          <w:p w14:paraId="7D36A938"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3.44</w:t>
            </w:r>
          </w:p>
        </w:tc>
        <w:tc>
          <w:tcPr>
            <w:tcW w:w="920" w:type="dxa"/>
            <w:tcBorders>
              <w:top w:val="nil"/>
              <w:left w:val="nil"/>
              <w:bottom w:val="single" w:sz="4" w:space="0" w:color="auto"/>
              <w:right w:val="nil"/>
            </w:tcBorders>
            <w:shd w:val="clear" w:color="auto" w:fill="auto"/>
            <w:noWrap/>
          </w:tcPr>
          <w:p w14:paraId="3506D10A"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2.44</w:t>
            </w:r>
          </w:p>
        </w:tc>
        <w:tc>
          <w:tcPr>
            <w:tcW w:w="920" w:type="dxa"/>
            <w:tcBorders>
              <w:top w:val="nil"/>
              <w:left w:val="nil"/>
              <w:bottom w:val="single" w:sz="4" w:space="0" w:color="auto"/>
              <w:right w:val="nil"/>
            </w:tcBorders>
            <w:shd w:val="clear" w:color="auto" w:fill="auto"/>
            <w:noWrap/>
          </w:tcPr>
          <w:p w14:paraId="618E44AC"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2.00</w:t>
            </w:r>
          </w:p>
        </w:tc>
        <w:tc>
          <w:tcPr>
            <w:tcW w:w="920" w:type="dxa"/>
            <w:tcBorders>
              <w:top w:val="nil"/>
              <w:left w:val="nil"/>
              <w:bottom w:val="single" w:sz="4" w:space="0" w:color="auto"/>
              <w:right w:val="nil"/>
            </w:tcBorders>
            <w:shd w:val="clear" w:color="auto" w:fill="auto"/>
            <w:noWrap/>
          </w:tcPr>
          <w:p w14:paraId="29ED64BC"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4.00</w:t>
            </w:r>
          </w:p>
        </w:tc>
        <w:tc>
          <w:tcPr>
            <w:tcW w:w="920" w:type="dxa"/>
            <w:tcBorders>
              <w:top w:val="nil"/>
              <w:left w:val="nil"/>
              <w:bottom w:val="single" w:sz="4" w:space="0" w:color="auto"/>
              <w:right w:val="nil"/>
            </w:tcBorders>
            <w:shd w:val="clear" w:color="auto" w:fill="auto"/>
            <w:noWrap/>
          </w:tcPr>
          <w:p w14:paraId="133E4981"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4.00</w:t>
            </w:r>
          </w:p>
        </w:tc>
      </w:tr>
      <w:tr w:rsidR="008441A3" w:rsidRPr="005000D2" w14:paraId="1A370586" w14:textId="77777777" w:rsidTr="0099762E">
        <w:trPr>
          <w:trHeight w:val="300"/>
          <w:jc w:val="center"/>
        </w:trPr>
        <w:tc>
          <w:tcPr>
            <w:tcW w:w="4252" w:type="dxa"/>
            <w:tcBorders>
              <w:top w:val="single" w:sz="4" w:space="0" w:color="auto"/>
              <w:left w:val="nil"/>
              <w:bottom w:val="single" w:sz="4" w:space="0" w:color="auto"/>
              <w:right w:val="nil"/>
            </w:tcBorders>
            <w:shd w:val="clear" w:color="auto" w:fill="auto"/>
            <w:noWrap/>
          </w:tcPr>
          <w:p w14:paraId="486255A0" w14:textId="77777777" w:rsidR="008441A3" w:rsidRPr="005000D2" w:rsidRDefault="008441A3" w:rsidP="008441A3">
            <w:pPr>
              <w:rPr>
                <w:rFonts w:ascii="Arial" w:eastAsiaTheme="minorHAnsi" w:hAnsi="Arial" w:cs="Arial"/>
                <w:b/>
                <w:bCs/>
                <w:sz w:val="20"/>
                <w:szCs w:val="20"/>
                <w:lang w:eastAsia="en-US"/>
              </w:rPr>
            </w:pPr>
            <w:r w:rsidRPr="005000D2">
              <w:rPr>
                <w:rFonts w:ascii="Arial" w:eastAsiaTheme="minorHAnsi" w:hAnsi="Arial" w:cs="Arial"/>
                <w:b/>
                <w:bCs/>
                <w:sz w:val="20"/>
                <w:szCs w:val="20"/>
                <w:lang w:eastAsia="en-US"/>
              </w:rPr>
              <w:t>Puntuación total de la sección</w:t>
            </w:r>
          </w:p>
        </w:tc>
        <w:tc>
          <w:tcPr>
            <w:tcW w:w="821" w:type="dxa"/>
            <w:tcBorders>
              <w:top w:val="single" w:sz="4" w:space="0" w:color="auto"/>
              <w:left w:val="nil"/>
              <w:bottom w:val="single" w:sz="4" w:space="0" w:color="auto"/>
              <w:right w:val="nil"/>
            </w:tcBorders>
            <w:shd w:val="clear" w:color="auto" w:fill="auto"/>
            <w:noWrap/>
          </w:tcPr>
          <w:p w14:paraId="7F7BC944"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3.55</w:t>
            </w:r>
          </w:p>
        </w:tc>
        <w:tc>
          <w:tcPr>
            <w:tcW w:w="920" w:type="dxa"/>
            <w:tcBorders>
              <w:top w:val="single" w:sz="4" w:space="0" w:color="auto"/>
              <w:left w:val="nil"/>
              <w:bottom w:val="single" w:sz="4" w:space="0" w:color="auto"/>
              <w:right w:val="nil"/>
            </w:tcBorders>
            <w:shd w:val="clear" w:color="auto" w:fill="auto"/>
            <w:noWrap/>
          </w:tcPr>
          <w:p w14:paraId="4AE5365B"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2.19</w:t>
            </w:r>
          </w:p>
        </w:tc>
        <w:tc>
          <w:tcPr>
            <w:tcW w:w="920" w:type="dxa"/>
            <w:tcBorders>
              <w:top w:val="single" w:sz="4" w:space="0" w:color="auto"/>
              <w:left w:val="nil"/>
              <w:bottom w:val="single" w:sz="4" w:space="0" w:color="auto"/>
              <w:right w:val="nil"/>
            </w:tcBorders>
            <w:shd w:val="clear" w:color="auto" w:fill="auto"/>
            <w:noWrap/>
          </w:tcPr>
          <w:p w14:paraId="56631640"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2.00</w:t>
            </w:r>
          </w:p>
        </w:tc>
        <w:tc>
          <w:tcPr>
            <w:tcW w:w="920" w:type="dxa"/>
            <w:tcBorders>
              <w:top w:val="single" w:sz="4" w:space="0" w:color="auto"/>
              <w:left w:val="nil"/>
              <w:bottom w:val="single" w:sz="4" w:space="0" w:color="auto"/>
              <w:right w:val="nil"/>
            </w:tcBorders>
            <w:shd w:val="clear" w:color="auto" w:fill="auto"/>
            <w:noWrap/>
          </w:tcPr>
          <w:p w14:paraId="3259833F"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3.55</w:t>
            </w:r>
          </w:p>
        </w:tc>
        <w:tc>
          <w:tcPr>
            <w:tcW w:w="920" w:type="dxa"/>
            <w:tcBorders>
              <w:top w:val="single" w:sz="4" w:space="0" w:color="auto"/>
              <w:left w:val="nil"/>
              <w:bottom w:val="single" w:sz="4" w:space="0" w:color="auto"/>
              <w:right w:val="nil"/>
            </w:tcBorders>
            <w:shd w:val="clear" w:color="auto" w:fill="auto"/>
            <w:noWrap/>
          </w:tcPr>
          <w:p w14:paraId="2F0CD43D"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4.50</w:t>
            </w:r>
          </w:p>
        </w:tc>
      </w:tr>
      <w:tr w:rsidR="008441A3" w:rsidRPr="005000D2" w14:paraId="446C8FBC" w14:textId="77777777" w:rsidTr="0099762E">
        <w:trPr>
          <w:trHeight w:val="300"/>
          <w:jc w:val="center"/>
        </w:trPr>
        <w:tc>
          <w:tcPr>
            <w:tcW w:w="8753" w:type="dxa"/>
            <w:gridSpan w:val="6"/>
            <w:tcBorders>
              <w:top w:val="single" w:sz="4" w:space="0" w:color="auto"/>
              <w:left w:val="nil"/>
              <w:right w:val="nil"/>
            </w:tcBorders>
            <w:shd w:val="clear" w:color="auto" w:fill="auto"/>
            <w:noWrap/>
          </w:tcPr>
          <w:p w14:paraId="4BDBA598" w14:textId="77777777" w:rsidR="008441A3" w:rsidRPr="005000D2" w:rsidRDefault="008441A3" w:rsidP="008441A3">
            <w:pPr>
              <w:rPr>
                <w:rFonts w:ascii="Arial" w:hAnsi="Arial" w:cs="Arial"/>
                <w:i/>
                <w:iCs/>
                <w:sz w:val="20"/>
                <w:szCs w:val="20"/>
                <w:lang w:eastAsia="es-419"/>
              </w:rPr>
            </w:pPr>
            <w:r w:rsidRPr="005000D2">
              <w:rPr>
                <w:rFonts w:ascii="Arial" w:hAnsi="Arial" w:cs="Arial"/>
                <w:i/>
                <w:iCs/>
                <w:sz w:val="20"/>
                <w:szCs w:val="20"/>
                <w:lang w:eastAsia="es-419"/>
              </w:rPr>
              <w:t>Sección de conocimientos específicos de precálculo</w:t>
            </w:r>
          </w:p>
        </w:tc>
      </w:tr>
      <w:tr w:rsidR="008441A3" w:rsidRPr="005000D2" w14:paraId="4F84D905" w14:textId="77777777" w:rsidTr="0099762E">
        <w:trPr>
          <w:trHeight w:val="300"/>
          <w:jc w:val="center"/>
        </w:trPr>
        <w:tc>
          <w:tcPr>
            <w:tcW w:w="4252" w:type="dxa"/>
            <w:tcBorders>
              <w:top w:val="nil"/>
              <w:left w:val="nil"/>
              <w:right w:val="nil"/>
            </w:tcBorders>
            <w:shd w:val="clear" w:color="auto" w:fill="auto"/>
            <w:noWrap/>
          </w:tcPr>
          <w:p w14:paraId="13D2FF22"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Transformaciones algebraicas II</w:t>
            </w:r>
          </w:p>
        </w:tc>
        <w:tc>
          <w:tcPr>
            <w:tcW w:w="821" w:type="dxa"/>
            <w:tcBorders>
              <w:top w:val="nil"/>
              <w:left w:val="nil"/>
              <w:right w:val="nil"/>
            </w:tcBorders>
            <w:shd w:val="clear" w:color="auto" w:fill="auto"/>
            <w:noWrap/>
          </w:tcPr>
          <w:p w14:paraId="20927B0B"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2.37</w:t>
            </w:r>
          </w:p>
        </w:tc>
        <w:tc>
          <w:tcPr>
            <w:tcW w:w="920" w:type="dxa"/>
            <w:tcBorders>
              <w:top w:val="nil"/>
              <w:left w:val="nil"/>
              <w:right w:val="nil"/>
            </w:tcBorders>
            <w:shd w:val="clear" w:color="auto" w:fill="auto"/>
            <w:noWrap/>
          </w:tcPr>
          <w:p w14:paraId="2E87179C"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2.23</w:t>
            </w:r>
          </w:p>
        </w:tc>
        <w:tc>
          <w:tcPr>
            <w:tcW w:w="920" w:type="dxa"/>
            <w:tcBorders>
              <w:top w:val="nil"/>
              <w:left w:val="nil"/>
              <w:right w:val="nil"/>
            </w:tcBorders>
            <w:shd w:val="clear" w:color="auto" w:fill="auto"/>
            <w:noWrap/>
          </w:tcPr>
          <w:p w14:paraId="0FA18182"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0.00</w:t>
            </w:r>
          </w:p>
        </w:tc>
        <w:tc>
          <w:tcPr>
            <w:tcW w:w="920" w:type="dxa"/>
            <w:tcBorders>
              <w:top w:val="nil"/>
              <w:left w:val="nil"/>
              <w:right w:val="nil"/>
            </w:tcBorders>
            <w:shd w:val="clear" w:color="auto" w:fill="auto"/>
            <w:noWrap/>
          </w:tcPr>
          <w:p w14:paraId="41F216CB"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1.67</w:t>
            </w:r>
          </w:p>
        </w:tc>
        <w:tc>
          <w:tcPr>
            <w:tcW w:w="920" w:type="dxa"/>
            <w:tcBorders>
              <w:top w:val="nil"/>
              <w:left w:val="nil"/>
              <w:right w:val="nil"/>
            </w:tcBorders>
            <w:shd w:val="clear" w:color="auto" w:fill="auto"/>
            <w:noWrap/>
          </w:tcPr>
          <w:p w14:paraId="7F6136EB"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3.33</w:t>
            </w:r>
          </w:p>
        </w:tc>
      </w:tr>
      <w:tr w:rsidR="008441A3" w:rsidRPr="005000D2" w14:paraId="2A26C1F4" w14:textId="77777777" w:rsidTr="0099762E">
        <w:trPr>
          <w:trHeight w:val="300"/>
          <w:jc w:val="center"/>
        </w:trPr>
        <w:tc>
          <w:tcPr>
            <w:tcW w:w="4252" w:type="dxa"/>
            <w:tcBorders>
              <w:left w:val="nil"/>
              <w:bottom w:val="single" w:sz="4" w:space="0" w:color="auto"/>
              <w:right w:val="nil"/>
            </w:tcBorders>
            <w:shd w:val="clear" w:color="auto" w:fill="auto"/>
            <w:noWrap/>
          </w:tcPr>
          <w:p w14:paraId="36867433" w14:textId="77777777" w:rsidR="008441A3" w:rsidRPr="005000D2" w:rsidRDefault="008441A3" w:rsidP="008441A3">
            <w:pPr>
              <w:rPr>
                <w:rFonts w:ascii="Arial" w:eastAsiaTheme="minorHAnsi" w:hAnsi="Arial" w:cs="Arial"/>
                <w:sz w:val="20"/>
                <w:szCs w:val="20"/>
                <w:lang w:eastAsia="en-US"/>
              </w:rPr>
            </w:pPr>
            <w:r w:rsidRPr="005000D2">
              <w:rPr>
                <w:rFonts w:ascii="Arial" w:eastAsiaTheme="minorHAnsi" w:hAnsi="Arial" w:cs="Arial"/>
                <w:sz w:val="20"/>
                <w:szCs w:val="20"/>
                <w:lang w:eastAsia="en-US"/>
              </w:rPr>
              <w:t>Funciones trigonométricas</w:t>
            </w:r>
          </w:p>
        </w:tc>
        <w:tc>
          <w:tcPr>
            <w:tcW w:w="821" w:type="dxa"/>
            <w:tcBorders>
              <w:left w:val="nil"/>
              <w:bottom w:val="single" w:sz="4" w:space="0" w:color="auto"/>
              <w:right w:val="nil"/>
            </w:tcBorders>
            <w:shd w:val="clear" w:color="auto" w:fill="auto"/>
            <w:noWrap/>
          </w:tcPr>
          <w:p w14:paraId="5F24AB22"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2.05</w:t>
            </w:r>
          </w:p>
        </w:tc>
        <w:tc>
          <w:tcPr>
            <w:tcW w:w="920" w:type="dxa"/>
            <w:tcBorders>
              <w:left w:val="nil"/>
              <w:bottom w:val="single" w:sz="4" w:space="0" w:color="auto"/>
              <w:right w:val="nil"/>
            </w:tcBorders>
            <w:shd w:val="clear" w:color="auto" w:fill="auto"/>
            <w:noWrap/>
          </w:tcPr>
          <w:p w14:paraId="1CC612B1"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2.31</w:t>
            </w:r>
          </w:p>
        </w:tc>
        <w:tc>
          <w:tcPr>
            <w:tcW w:w="920" w:type="dxa"/>
            <w:tcBorders>
              <w:left w:val="nil"/>
              <w:bottom w:val="single" w:sz="4" w:space="0" w:color="auto"/>
              <w:right w:val="nil"/>
            </w:tcBorders>
            <w:shd w:val="clear" w:color="auto" w:fill="auto"/>
            <w:noWrap/>
          </w:tcPr>
          <w:p w14:paraId="75C7D3E2"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0.00</w:t>
            </w:r>
          </w:p>
        </w:tc>
        <w:tc>
          <w:tcPr>
            <w:tcW w:w="920" w:type="dxa"/>
            <w:tcBorders>
              <w:left w:val="nil"/>
              <w:bottom w:val="single" w:sz="4" w:space="0" w:color="auto"/>
              <w:right w:val="nil"/>
            </w:tcBorders>
            <w:shd w:val="clear" w:color="auto" w:fill="auto"/>
            <w:noWrap/>
          </w:tcPr>
          <w:p w14:paraId="0E187F2A"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2.00</w:t>
            </w:r>
          </w:p>
        </w:tc>
        <w:tc>
          <w:tcPr>
            <w:tcW w:w="920" w:type="dxa"/>
            <w:tcBorders>
              <w:left w:val="nil"/>
              <w:bottom w:val="single" w:sz="4" w:space="0" w:color="auto"/>
              <w:right w:val="nil"/>
            </w:tcBorders>
            <w:shd w:val="clear" w:color="auto" w:fill="auto"/>
            <w:noWrap/>
          </w:tcPr>
          <w:p w14:paraId="5CD31DB0" w14:textId="77777777" w:rsidR="008441A3" w:rsidRPr="005000D2" w:rsidRDefault="008441A3" w:rsidP="008441A3">
            <w:pPr>
              <w:rPr>
                <w:rFonts w:ascii="Arial" w:hAnsi="Arial" w:cs="Arial"/>
                <w:sz w:val="20"/>
                <w:szCs w:val="20"/>
                <w:lang w:eastAsia="es-419"/>
              </w:rPr>
            </w:pPr>
            <w:r w:rsidRPr="005000D2">
              <w:rPr>
                <w:rFonts w:ascii="Arial" w:eastAsiaTheme="minorHAnsi" w:hAnsi="Arial" w:cs="Arial"/>
                <w:sz w:val="20"/>
                <w:szCs w:val="20"/>
                <w:lang w:eastAsia="en-US"/>
              </w:rPr>
              <w:t>4.00</w:t>
            </w:r>
          </w:p>
        </w:tc>
      </w:tr>
      <w:tr w:rsidR="008441A3" w:rsidRPr="005000D2" w14:paraId="4E0D2293" w14:textId="77777777" w:rsidTr="0099762E">
        <w:trPr>
          <w:trHeight w:val="300"/>
          <w:jc w:val="center"/>
        </w:trPr>
        <w:tc>
          <w:tcPr>
            <w:tcW w:w="4252" w:type="dxa"/>
            <w:tcBorders>
              <w:top w:val="single" w:sz="4" w:space="0" w:color="auto"/>
              <w:left w:val="nil"/>
              <w:bottom w:val="single" w:sz="4" w:space="0" w:color="auto"/>
              <w:right w:val="nil"/>
            </w:tcBorders>
            <w:shd w:val="clear" w:color="auto" w:fill="auto"/>
            <w:noWrap/>
          </w:tcPr>
          <w:p w14:paraId="2BEB7F64" w14:textId="77777777" w:rsidR="008441A3" w:rsidRPr="005000D2" w:rsidRDefault="008441A3" w:rsidP="008441A3">
            <w:pPr>
              <w:rPr>
                <w:rFonts w:ascii="Arial" w:eastAsiaTheme="minorHAnsi" w:hAnsi="Arial" w:cs="Arial"/>
                <w:b/>
                <w:bCs/>
                <w:sz w:val="20"/>
                <w:szCs w:val="20"/>
                <w:lang w:eastAsia="en-US"/>
              </w:rPr>
            </w:pPr>
            <w:r w:rsidRPr="005000D2">
              <w:rPr>
                <w:rFonts w:ascii="Arial" w:eastAsiaTheme="minorHAnsi" w:hAnsi="Arial" w:cs="Arial"/>
                <w:b/>
                <w:bCs/>
                <w:sz w:val="20"/>
                <w:szCs w:val="20"/>
                <w:lang w:eastAsia="en-US"/>
              </w:rPr>
              <w:t>Puntuación total de la sección</w:t>
            </w:r>
          </w:p>
        </w:tc>
        <w:tc>
          <w:tcPr>
            <w:tcW w:w="821" w:type="dxa"/>
            <w:tcBorders>
              <w:top w:val="single" w:sz="4" w:space="0" w:color="auto"/>
              <w:left w:val="nil"/>
              <w:bottom w:val="single" w:sz="4" w:space="0" w:color="auto"/>
              <w:right w:val="nil"/>
            </w:tcBorders>
            <w:shd w:val="clear" w:color="auto" w:fill="auto"/>
            <w:noWrap/>
          </w:tcPr>
          <w:p w14:paraId="0482D954"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2.22</w:t>
            </w:r>
          </w:p>
        </w:tc>
        <w:tc>
          <w:tcPr>
            <w:tcW w:w="920" w:type="dxa"/>
            <w:tcBorders>
              <w:top w:val="single" w:sz="4" w:space="0" w:color="auto"/>
              <w:left w:val="nil"/>
              <w:bottom w:val="single" w:sz="4" w:space="0" w:color="auto"/>
              <w:right w:val="nil"/>
            </w:tcBorders>
            <w:shd w:val="clear" w:color="auto" w:fill="auto"/>
            <w:noWrap/>
          </w:tcPr>
          <w:p w14:paraId="2AD80F42"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1.94</w:t>
            </w:r>
          </w:p>
        </w:tc>
        <w:tc>
          <w:tcPr>
            <w:tcW w:w="920" w:type="dxa"/>
            <w:tcBorders>
              <w:top w:val="single" w:sz="4" w:space="0" w:color="auto"/>
              <w:left w:val="nil"/>
              <w:bottom w:val="single" w:sz="4" w:space="0" w:color="auto"/>
              <w:right w:val="nil"/>
            </w:tcBorders>
            <w:shd w:val="clear" w:color="auto" w:fill="auto"/>
            <w:noWrap/>
          </w:tcPr>
          <w:p w14:paraId="3DCE231B"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0.91</w:t>
            </w:r>
          </w:p>
        </w:tc>
        <w:tc>
          <w:tcPr>
            <w:tcW w:w="920" w:type="dxa"/>
            <w:tcBorders>
              <w:top w:val="single" w:sz="4" w:space="0" w:color="auto"/>
              <w:left w:val="nil"/>
              <w:bottom w:val="single" w:sz="4" w:space="0" w:color="auto"/>
              <w:right w:val="nil"/>
            </w:tcBorders>
            <w:shd w:val="clear" w:color="auto" w:fill="auto"/>
            <w:noWrap/>
          </w:tcPr>
          <w:p w14:paraId="28258B44"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1.82</w:t>
            </w:r>
          </w:p>
        </w:tc>
        <w:tc>
          <w:tcPr>
            <w:tcW w:w="920" w:type="dxa"/>
            <w:tcBorders>
              <w:top w:val="single" w:sz="4" w:space="0" w:color="auto"/>
              <w:left w:val="nil"/>
              <w:bottom w:val="single" w:sz="4" w:space="0" w:color="auto"/>
              <w:right w:val="nil"/>
            </w:tcBorders>
            <w:shd w:val="clear" w:color="auto" w:fill="auto"/>
            <w:noWrap/>
          </w:tcPr>
          <w:p w14:paraId="435C7BFB" w14:textId="77777777" w:rsidR="008441A3" w:rsidRPr="005000D2" w:rsidRDefault="008441A3" w:rsidP="008441A3">
            <w:pPr>
              <w:rPr>
                <w:rFonts w:ascii="Arial" w:hAnsi="Arial" w:cs="Arial"/>
                <w:sz w:val="20"/>
                <w:szCs w:val="20"/>
                <w:lang w:eastAsia="es-419"/>
              </w:rPr>
            </w:pPr>
            <w:r w:rsidRPr="005000D2">
              <w:rPr>
                <w:rFonts w:ascii="Arial" w:hAnsi="Arial" w:cs="Arial"/>
                <w:sz w:val="20"/>
                <w:szCs w:val="20"/>
                <w:lang w:eastAsia="es-419"/>
              </w:rPr>
              <w:t>3.63</w:t>
            </w:r>
          </w:p>
        </w:tc>
      </w:tr>
    </w:tbl>
    <w:p w14:paraId="68F44BCC" w14:textId="77777777" w:rsidR="008441A3" w:rsidRPr="005000D2" w:rsidRDefault="008441A3" w:rsidP="00131292">
      <w:pPr>
        <w:spacing w:after="100" w:afterAutospacing="1" w:line="360" w:lineRule="auto"/>
        <w:jc w:val="both"/>
        <w:rPr>
          <w:rFonts w:ascii="Arial" w:eastAsiaTheme="minorHAnsi" w:hAnsi="Arial" w:cs="Arial"/>
          <w:sz w:val="20"/>
          <w:szCs w:val="20"/>
          <w:lang w:val="es-ES" w:eastAsia="en-US"/>
        </w:rPr>
      </w:pPr>
      <w:r w:rsidRPr="005000D2">
        <w:rPr>
          <w:rFonts w:ascii="Arial" w:eastAsiaTheme="minorHAnsi" w:hAnsi="Arial" w:cs="Arial"/>
          <w:i/>
          <w:iCs/>
          <w:sz w:val="20"/>
          <w:szCs w:val="20"/>
          <w:lang w:val="es-ES" w:eastAsia="en-US"/>
        </w:rPr>
        <w:t>Nota</w:t>
      </w:r>
      <w:r w:rsidRPr="005000D2">
        <w:rPr>
          <w:rFonts w:ascii="Arial" w:eastAsiaTheme="minorHAnsi" w:hAnsi="Arial" w:cs="Arial"/>
          <w:sz w:val="20"/>
          <w:szCs w:val="20"/>
          <w:lang w:val="es-ES" w:eastAsia="en-US"/>
        </w:rPr>
        <w:t xml:space="preserve">. </w:t>
      </w:r>
      <w:proofErr w:type="spellStart"/>
      <w:proofErr w:type="gramStart"/>
      <w:r w:rsidRPr="005000D2">
        <w:rPr>
          <w:rFonts w:ascii="Arial" w:eastAsiaTheme="minorHAnsi" w:hAnsi="Arial" w:cs="Arial"/>
          <w:sz w:val="20"/>
          <w:szCs w:val="20"/>
          <w:lang w:val="es-ES" w:eastAsia="en-US"/>
        </w:rPr>
        <w:t>Prom</w:t>
      </w:r>
      <w:proofErr w:type="spellEnd"/>
      <w:r w:rsidRPr="005000D2">
        <w:rPr>
          <w:rFonts w:ascii="Arial" w:eastAsiaTheme="minorHAnsi" w:hAnsi="Arial" w:cs="Arial"/>
          <w:sz w:val="20"/>
          <w:szCs w:val="20"/>
          <w:lang w:val="es-ES" w:eastAsia="en-US"/>
        </w:rPr>
        <w:t>.=</w:t>
      </w:r>
      <w:proofErr w:type="gramEnd"/>
      <w:r w:rsidRPr="005000D2">
        <w:rPr>
          <w:rFonts w:ascii="Arial" w:eastAsiaTheme="minorHAnsi" w:hAnsi="Arial" w:cs="Arial"/>
          <w:sz w:val="20"/>
          <w:szCs w:val="20"/>
          <w:lang w:val="es-ES" w:eastAsia="en-US"/>
        </w:rPr>
        <w:t xml:space="preserve">Promedio, DE=Desviación estándar, Q1-Q3=Cuartil 1 y 3, </w:t>
      </w:r>
      <w:proofErr w:type="spellStart"/>
      <w:r w:rsidRPr="005000D2">
        <w:rPr>
          <w:rFonts w:ascii="Arial" w:eastAsiaTheme="minorHAnsi" w:hAnsi="Arial" w:cs="Arial"/>
          <w:sz w:val="20"/>
          <w:szCs w:val="20"/>
          <w:lang w:val="es-ES" w:eastAsia="en-US"/>
        </w:rPr>
        <w:t>Med</w:t>
      </w:r>
      <w:proofErr w:type="spellEnd"/>
      <w:r w:rsidRPr="005000D2">
        <w:rPr>
          <w:rFonts w:ascii="Arial" w:eastAsiaTheme="minorHAnsi" w:hAnsi="Arial" w:cs="Arial"/>
          <w:sz w:val="20"/>
          <w:szCs w:val="20"/>
          <w:lang w:val="es-ES" w:eastAsia="en-US"/>
        </w:rPr>
        <w:t>=Mediana.</w:t>
      </w:r>
    </w:p>
    <w:p w14:paraId="295F4064" w14:textId="7F89C5C2" w:rsidR="008441A3" w:rsidRPr="00CF0824" w:rsidRDefault="00677A34" w:rsidP="00677A34">
      <w:pPr>
        <w:spacing w:before="100" w:beforeAutospacing="1" w:after="100" w:afterAutospacing="1" w:line="360" w:lineRule="auto"/>
        <w:jc w:val="both"/>
        <w:rPr>
          <w:rFonts w:ascii="Arial" w:eastAsiaTheme="minorHAnsi" w:hAnsi="Arial" w:cs="Arial"/>
          <w:b/>
          <w:bCs/>
          <w:lang w:val="es-ES" w:eastAsia="en-US"/>
        </w:rPr>
      </w:pPr>
      <w:r w:rsidRPr="00CF0824">
        <w:rPr>
          <w:rFonts w:ascii="Arial" w:eastAsiaTheme="minorHAnsi" w:hAnsi="Arial" w:cs="Arial"/>
          <w:b/>
          <w:bCs/>
          <w:lang w:val="es-ES" w:eastAsia="en-US"/>
        </w:rPr>
        <w:t>DISCUSIÓN</w:t>
      </w:r>
    </w:p>
    <w:p w14:paraId="463610C6" w14:textId="77777777" w:rsidR="008441A3" w:rsidRPr="00CF0824" w:rsidRDefault="008441A3" w:rsidP="00677A34">
      <w:pPr>
        <w:spacing w:before="100" w:beforeAutospacing="1" w:after="100" w:afterAutospacing="1" w:line="360" w:lineRule="auto"/>
        <w:jc w:val="both"/>
        <w:rPr>
          <w:rFonts w:ascii="Arial" w:eastAsiaTheme="minorHAnsi" w:hAnsi="Arial" w:cs="Arial"/>
          <w:lang w:val="es-ES" w:eastAsia="en-US"/>
        </w:rPr>
      </w:pPr>
      <w:r w:rsidRPr="00CF0824">
        <w:rPr>
          <w:rFonts w:ascii="Arial" w:eastAsiaTheme="minorHAnsi" w:hAnsi="Arial" w:cs="Arial"/>
          <w:lang w:val="es-ES" w:eastAsia="en-US"/>
        </w:rPr>
        <w:t>El trabajo realizado tuvo como objetivo construir una prueba diagnóstica de cálculo. Este proceso demandó el diseño de la tabla de especificaciones, la construcción y juzgamiento de ítems, la aplicación de la prueba y el análisis de la estructura interna de la prueba.</w:t>
      </w:r>
    </w:p>
    <w:p w14:paraId="232E4A9B" w14:textId="77777777" w:rsidR="008441A3" w:rsidRPr="00CF0824" w:rsidRDefault="008441A3" w:rsidP="00CF0824">
      <w:pPr>
        <w:spacing w:before="100" w:beforeAutospacing="1" w:after="100" w:afterAutospacing="1" w:line="360" w:lineRule="auto"/>
        <w:jc w:val="both"/>
        <w:rPr>
          <w:rFonts w:ascii="Arial" w:eastAsiaTheme="minorHAnsi" w:hAnsi="Arial" w:cs="Arial"/>
          <w:lang w:val="es-ES" w:eastAsia="en-US"/>
        </w:rPr>
      </w:pPr>
      <w:r w:rsidRPr="00CF0824">
        <w:rPr>
          <w:rFonts w:ascii="Arial" w:eastAsiaTheme="minorHAnsi" w:hAnsi="Arial" w:cs="Arial"/>
          <w:lang w:val="es-ES" w:eastAsia="en-US"/>
        </w:rPr>
        <w:lastRenderedPageBreak/>
        <w:t xml:space="preserve">El proceso de elaboración de la tabla de especificaciones implicó utilizar una metodología que permitiera discriminar los contenidos relevantes para el aprendizaje del cálculo, de aquellos que no lo son. La detección de contenidos irrelevantes es una práctica muy útil para el diseño de los cursos propedéuticos, ya que estos consumen tiempo de aquellos que realmente son necesarios para la asignatura objetivo. </w:t>
      </w:r>
    </w:p>
    <w:p w14:paraId="41F0EB82" w14:textId="77777777" w:rsidR="008441A3" w:rsidRPr="00CF0824" w:rsidRDefault="008441A3" w:rsidP="00CF0824">
      <w:pPr>
        <w:spacing w:before="100" w:beforeAutospacing="1" w:after="100" w:afterAutospacing="1" w:line="360" w:lineRule="auto"/>
        <w:jc w:val="both"/>
        <w:rPr>
          <w:rFonts w:ascii="Arial" w:eastAsiaTheme="minorHAnsi" w:hAnsi="Arial" w:cs="Arial"/>
          <w:lang w:val="es-ES" w:eastAsia="en-US"/>
        </w:rPr>
      </w:pPr>
      <w:r w:rsidRPr="00CF0824">
        <w:rPr>
          <w:rFonts w:ascii="Arial" w:eastAsiaTheme="minorHAnsi" w:hAnsi="Arial" w:cs="Arial"/>
          <w:lang w:val="es-ES" w:eastAsia="en-US"/>
        </w:rPr>
        <w:t>En particular, los contenidos categorizados como irrelevantes son parte de los temas del curso preparatorio para cálculo que ofrece la institución en la que se realizó la investigación; por tanto, acá hay una posibilidad para la implementación de mejoras en el curso de preparación para Cálculo.</w:t>
      </w:r>
    </w:p>
    <w:p w14:paraId="5287B3D7" w14:textId="77777777" w:rsidR="008441A3" w:rsidRPr="00CF0824" w:rsidRDefault="008441A3" w:rsidP="00CF0824">
      <w:pPr>
        <w:spacing w:before="100" w:beforeAutospacing="1" w:after="100" w:afterAutospacing="1" w:line="360" w:lineRule="auto"/>
        <w:jc w:val="both"/>
        <w:rPr>
          <w:rFonts w:ascii="Arial" w:eastAsiaTheme="minorHAnsi" w:hAnsi="Arial" w:cs="Arial"/>
          <w:lang w:val="es-ES" w:eastAsia="en-US"/>
        </w:rPr>
      </w:pPr>
      <w:r w:rsidRPr="00CF0824">
        <w:rPr>
          <w:rFonts w:ascii="Arial" w:eastAsiaTheme="minorHAnsi" w:hAnsi="Arial" w:cs="Arial"/>
          <w:lang w:val="es-ES" w:eastAsia="en-US"/>
        </w:rPr>
        <w:t xml:space="preserve">El diseño de una tabla de especificaciones permitió construir una prueba con una representación adecuada de los conocimientos que se pretendían evaluar. De esta manera, se evitó uno de los principales problemas en la construcción de pruebas: la sub o sobrerrepresentación de los contenidos evaluados. Esta estructura de la prueba constituyó una evidencia de validez de las puntuaciones basada en el contenido, la cual es un primer paso para concluir que el contenido de la prueba es el requerido </w:t>
      </w:r>
      <w:r w:rsidRPr="00CF0824">
        <w:rPr>
          <w:rFonts w:ascii="Arial" w:eastAsiaTheme="minorHAnsi" w:hAnsi="Arial" w:cs="Arial"/>
          <w:lang w:val="es-ES" w:eastAsia="en-US"/>
        </w:rPr>
        <w:fldChar w:fldCharType="begin"/>
      </w:r>
      <w:r w:rsidRPr="00CF0824">
        <w:rPr>
          <w:rFonts w:ascii="Arial" w:eastAsiaTheme="minorHAnsi" w:hAnsi="Arial" w:cs="Arial"/>
          <w:lang w:val="es-ES" w:eastAsia="en-US"/>
        </w:rPr>
        <w:instrText xml:space="preserve"> ADDIN ZOTERO_ITEM CSL_CITATION {"citationID":"J08EjiZm","properties":{"formattedCitation":"(Franco et\\uc0\\u160{}al., 2018)","plainCitation":"(Franco et al., 2018)","noteIndex":0},"citationItems":[{"id":209,"uris":["http://zotero.org/users/3781354/items/7VYJ8WS4"],"itemData":{"id":209,"type":"article-journal","container-title":"Revista Enseñanza de Química","page":"30-47","title":"La Tabla de especificaciones en la evaluación de aprendizajes","volume":"2","author":[{"family":"Franco","given":"M."},{"family":"Nassi","given":"M."},{"family":"Nieto","given":"M."}],"issued":{"date-parts":[["2018"]]}}}],"schema":"https://github.com/citation-style-language/schema/raw/master/csl-citation.json"} </w:instrText>
      </w:r>
      <w:r w:rsidRPr="00CF0824">
        <w:rPr>
          <w:rFonts w:ascii="Arial" w:eastAsiaTheme="minorHAnsi" w:hAnsi="Arial" w:cs="Arial"/>
          <w:lang w:val="es-ES" w:eastAsia="en-US"/>
        </w:rPr>
        <w:fldChar w:fldCharType="separate"/>
      </w:r>
      <w:r w:rsidRPr="00CF0824">
        <w:rPr>
          <w:rFonts w:ascii="Arial" w:eastAsiaTheme="minorHAnsi" w:hAnsi="Arial" w:cs="Arial"/>
          <w:lang w:eastAsia="en-US"/>
        </w:rPr>
        <w:t>(Franco et al., 2018)</w:t>
      </w:r>
      <w:r w:rsidRPr="00CF0824">
        <w:rPr>
          <w:rFonts w:ascii="Arial" w:eastAsiaTheme="minorHAnsi" w:hAnsi="Arial" w:cs="Arial"/>
          <w:lang w:val="es-ES" w:eastAsia="en-US"/>
        </w:rPr>
        <w:fldChar w:fldCharType="end"/>
      </w:r>
      <w:r w:rsidRPr="00CF0824">
        <w:rPr>
          <w:rFonts w:ascii="Arial" w:eastAsiaTheme="minorHAnsi" w:hAnsi="Arial" w:cs="Arial"/>
          <w:lang w:val="es-ES" w:eastAsia="en-US"/>
        </w:rPr>
        <w:t xml:space="preserve">. </w:t>
      </w:r>
    </w:p>
    <w:p w14:paraId="3B0B223C" w14:textId="77777777" w:rsidR="008441A3" w:rsidRPr="00CF0824" w:rsidRDefault="008441A3" w:rsidP="00CF0824">
      <w:pPr>
        <w:spacing w:before="100" w:beforeAutospacing="1" w:after="100" w:afterAutospacing="1" w:line="360" w:lineRule="auto"/>
        <w:jc w:val="both"/>
        <w:rPr>
          <w:rFonts w:ascii="Arial" w:eastAsiaTheme="minorHAnsi" w:hAnsi="Arial" w:cs="Arial"/>
          <w:lang w:val="es-ES" w:eastAsia="en-US"/>
        </w:rPr>
      </w:pPr>
      <w:r w:rsidRPr="00CF0824">
        <w:rPr>
          <w:rFonts w:ascii="Arial" w:eastAsiaTheme="minorHAnsi" w:hAnsi="Arial" w:cs="Arial"/>
          <w:lang w:val="es-ES" w:eastAsia="en-US"/>
        </w:rPr>
        <w:t xml:space="preserve">Otra evidencia de validez basada en el contenido fue que los ítems de la prueba aprobaron un proceso de revisión por parte de personas expertas. Este proceso brinda evidencias de que los reactivos de la prueba realmente responden a las especificaciones planteadas inicialmente en cuanto a contenido, y a </w:t>
      </w:r>
      <w:r w:rsidRPr="00CF0824">
        <w:rPr>
          <w:rFonts w:ascii="Arial" w:eastAsiaTheme="minorHAnsi" w:hAnsi="Arial" w:cs="Arial"/>
          <w:lang w:val="es-ES" w:eastAsia="en-US"/>
        </w:rPr>
        <w:lastRenderedPageBreak/>
        <w:t xml:space="preserve">especificaciones en las formas en que se evaluarán esos contenidos. En particular, en esta prueba se juzgó rigurosamente que el ítem evaluara principalmente el contenido estipulado, ya que se consideró que en muchos reactivos de matemática el objetivo se desvía a la manipulación algebraica </w:t>
      </w:r>
      <w:r w:rsidRPr="00CF0824">
        <w:rPr>
          <w:rFonts w:ascii="Arial" w:eastAsiaTheme="minorHAnsi" w:hAnsi="Arial" w:cs="Arial"/>
          <w:lang w:val="es-ES" w:eastAsia="en-US"/>
        </w:rPr>
        <w:fldChar w:fldCharType="begin"/>
      </w:r>
      <w:r w:rsidRPr="00CF0824">
        <w:rPr>
          <w:rFonts w:ascii="Arial" w:eastAsiaTheme="minorHAnsi" w:hAnsi="Arial" w:cs="Arial"/>
          <w:lang w:val="es-ES" w:eastAsia="en-US"/>
        </w:rPr>
        <w:instrText xml:space="preserve"> ADDIN ZOTERO_ITEM CSL_CITATION {"citationID":"V9ksLQxX","properties":{"formattedCitation":"(Dwyer et\\uc0\\u160{}al., 2003)","plainCitation":"(Dwyer et al., 2003)","noteIndex":0},"citationItems":[{"id":99,"uris":["http://zotero.org/users/3781354/items/X62X4JW9"],"itemData":{"id":99,"type":"report","collection-title":"Research Reports","event-place":"Princeton","number":"RR-03-30","publisher":"Educational Testing Service","publisher-place":"Princeton","title":"What is Quantitative Reasoning? Defining the Construct for Assessment Purposes","author":[{"family":"Dwyer","given":"C."},{"family":"Gallagher","given":"A."},{"family":"Levin","given":"J."},{"family":"Morley","given":"M. E."}],"issued":{"date-parts":[["2003"]]}}}],"schema":"https://github.com/citation-style-language/schema/raw/master/csl-citation.json"} </w:instrText>
      </w:r>
      <w:r w:rsidRPr="00CF0824">
        <w:rPr>
          <w:rFonts w:ascii="Arial" w:eastAsiaTheme="minorHAnsi" w:hAnsi="Arial" w:cs="Arial"/>
          <w:lang w:val="es-ES" w:eastAsia="en-US"/>
        </w:rPr>
        <w:fldChar w:fldCharType="separate"/>
      </w:r>
      <w:r w:rsidRPr="00CF0824">
        <w:rPr>
          <w:rFonts w:ascii="Arial" w:eastAsiaTheme="minorHAnsi" w:hAnsi="Arial" w:cs="Arial"/>
          <w:lang w:eastAsia="en-US"/>
        </w:rPr>
        <w:t>(Dwyer et al., 2003)</w:t>
      </w:r>
      <w:r w:rsidRPr="00CF0824">
        <w:rPr>
          <w:rFonts w:ascii="Arial" w:eastAsiaTheme="minorHAnsi" w:hAnsi="Arial" w:cs="Arial"/>
          <w:lang w:val="es-ES" w:eastAsia="en-US"/>
        </w:rPr>
        <w:fldChar w:fldCharType="end"/>
      </w:r>
      <w:r w:rsidRPr="00CF0824">
        <w:rPr>
          <w:rFonts w:ascii="Arial" w:eastAsiaTheme="minorHAnsi" w:hAnsi="Arial" w:cs="Arial"/>
          <w:lang w:val="es-ES" w:eastAsia="en-US"/>
        </w:rPr>
        <w:t xml:space="preserve">. </w:t>
      </w:r>
    </w:p>
    <w:p w14:paraId="352D3D8D" w14:textId="77777777" w:rsidR="008441A3" w:rsidRPr="00CF0824" w:rsidRDefault="008441A3" w:rsidP="00CF0824">
      <w:pPr>
        <w:spacing w:before="100" w:beforeAutospacing="1" w:after="100" w:afterAutospacing="1" w:line="360" w:lineRule="auto"/>
        <w:jc w:val="both"/>
        <w:rPr>
          <w:rFonts w:ascii="Arial" w:eastAsiaTheme="minorHAnsi" w:hAnsi="Arial" w:cs="Arial"/>
          <w:lang w:val="es-ES" w:eastAsia="en-US"/>
        </w:rPr>
      </w:pPr>
      <w:r w:rsidRPr="00CF0824">
        <w:rPr>
          <w:rFonts w:ascii="Arial" w:eastAsiaTheme="minorHAnsi" w:hAnsi="Arial" w:cs="Arial"/>
          <w:lang w:val="es-ES" w:eastAsia="en-US"/>
        </w:rPr>
        <w:t xml:space="preserve">El análisis de las respuestas reveló que en la prueba se configuraron tres factores, los cuales correspondieron a agrupaciones de ítems esperables teóricamente; en este caso, los reactivos se agruparon por temas o por familiaridad. La situación anterior brindó una evidencia de validez adicional de las puntuaciones de la prueba, la cual se denomina basada en la estructura factorial de la prueba </w:t>
      </w:r>
      <w:r w:rsidRPr="00CF0824">
        <w:rPr>
          <w:rFonts w:ascii="Arial" w:eastAsiaTheme="minorHAnsi" w:hAnsi="Arial" w:cs="Arial"/>
          <w:lang w:val="es-ES" w:eastAsia="en-US"/>
        </w:rPr>
        <w:fldChar w:fldCharType="begin"/>
      </w:r>
      <w:r w:rsidRPr="00CF0824">
        <w:rPr>
          <w:rFonts w:ascii="Arial" w:eastAsiaTheme="minorHAnsi" w:hAnsi="Arial" w:cs="Arial"/>
          <w:lang w:val="es-ES" w:eastAsia="en-US"/>
        </w:rPr>
        <w:instrText xml:space="preserve"> ADDIN ZOTERO_ITEM CSL_CITATION {"citationID":"lSGRccTG","properties":{"formattedCitation":"(Rojas-Torres, 2014)","plainCitation":"(Rojas-Torres, 2014)","noteIndex":0},"citationItems":[{"id":62,"uris":["http://zotero.org/users/3781354/items/4KNYZ9JB"],"itemData":{"id":62,"type":"article-journal","container-title":"Actualidades en Psicología","DOI":"10.15517/AP.V28I116.14889","issue":"116","page":"15-26","title":"Evidencias de validez de la Prueba de Aptitud Académica de la Universidad de Costa Rica basadas en su estructura interna","volume":"28","author":[{"family":"Rojas-Torres","given":"L."}],"issued":{"date-parts":[["2014"]]}}}],"schema":"https://github.com/citation-style-language/schema/raw/master/csl-citation.json"} </w:instrText>
      </w:r>
      <w:r w:rsidRPr="00CF0824">
        <w:rPr>
          <w:rFonts w:ascii="Arial" w:eastAsiaTheme="minorHAnsi" w:hAnsi="Arial" w:cs="Arial"/>
          <w:lang w:val="es-ES" w:eastAsia="en-US"/>
        </w:rPr>
        <w:fldChar w:fldCharType="separate"/>
      </w:r>
      <w:r w:rsidRPr="00CF0824">
        <w:rPr>
          <w:rFonts w:ascii="Arial" w:eastAsiaTheme="minorHAnsi" w:hAnsi="Arial" w:cs="Arial"/>
          <w:lang w:eastAsia="en-US"/>
        </w:rPr>
        <w:t>(Rojas-Torres, 2014)</w:t>
      </w:r>
      <w:r w:rsidRPr="00CF0824">
        <w:rPr>
          <w:rFonts w:ascii="Arial" w:eastAsiaTheme="minorHAnsi" w:hAnsi="Arial" w:cs="Arial"/>
          <w:lang w:val="es-ES" w:eastAsia="en-US"/>
        </w:rPr>
        <w:fldChar w:fldCharType="end"/>
      </w:r>
      <w:r w:rsidRPr="00CF0824">
        <w:rPr>
          <w:rFonts w:ascii="Arial" w:eastAsiaTheme="minorHAnsi" w:hAnsi="Arial" w:cs="Arial"/>
          <w:lang w:val="es-ES" w:eastAsia="en-US"/>
        </w:rPr>
        <w:t xml:space="preserve">. Es importante mencionar que no hubo una única hipótesis inicial sobre la estructura de la prueba, ya que se tenían tres posibilidades: a) un único factor general, b) una división por las áreas temáticas funciones y álgebra o c) una división por nivel de contenidos de secundaria y precálculo. Finalmente, se obtuvo una combinación de las últimas dos. </w:t>
      </w:r>
    </w:p>
    <w:p w14:paraId="239F1753"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Por otro lado, las correlaciones ítem-total de los reactivos de cada una de las secciones de la prueba y sus alfas de Cronbach indicaron que estas cumplían los estándares para ser medidas a través de una puntuación total. Este análisis es de mucha importancia, debido a que algunas veces se utilizan ítems inapropiados en las puntuaciones totales (sobre todo, cuando hay correlaciones ítem total bajas) o el conjunto de ítems propiamente no es consistente a lo interno; por ende, el uso de la puntuación total no es recomendable (en particular, cuando hay alfa de </w:t>
      </w:r>
      <w:r w:rsidRPr="00CF0824">
        <w:rPr>
          <w:rFonts w:ascii="Arial" w:eastAsiaTheme="minorHAnsi" w:hAnsi="Arial" w:cs="Arial"/>
          <w:lang w:eastAsia="en-US"/>
        </w:rPr>
        <w:lastRenderedPageBreak/>
        <w:t xml:space="preserve">Cronbach bajos). En especial, la sección de conocimientos específicos de precálculo debe ser fortalecida debido a que presentó un alfa de Cronbach bajo (.66); no obstante, este comportamiento puede ser complejo de subsanar debido a los niveles de dificultad de los contenidos abarcados. </w:t>
      </w:r>
    </w:p>
    <w:p w14:paraId="294EA179"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Con base en las ideas anteriores, se concluyó que la prueba de diagnóstico para cálculo es un instrumento apropiado para analizar los conocimientos previos requeridos para esta asignatura. Las razones de esta afirmación son las siguientes: a) la estructura de la prueba se basa en los contenidos previos relevantes para cálculo, b) los ítems evalúan los contenidos establecidos, c) las respuestas se agrupan en factores con sentido teórico y d) los ítems de las secciones finales tienen propiedades apropiadas de medición. </w:t>
      </w:r>
    </w:p>
    <w:p w14:paraId="48955C06"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Ahora bien, esto no quiere decir que la prueba de diagnóstico esté acabada, ya que el proceso de validación es un proceso continuo </w:t>
      </w:r>
      <w:r w:rsidRPr="00CF0824">
        <w:rPr>
          <w:rFonts w:ascii="Arial" w:eastAsiaTheme="minorHAnsi" w:hAnsi="Arial" w:cs="Arial"/>
          <w:lang w:eastAsia="en-US"/>
        </w:rPr>
        <w:fldChar w:fldCharType="begin"/>
      </w:r>
      <w:r w:rsidRPr="00CF0824">
        <w:rPr>
          <w:rFonts w:ascii="Arial" w:eastAsiaTheme="minorHAnsi" w:hAnsi="Arial" w:cs="Arial"/>
          <w:lang w:eastAsia="en-US"/>
        </w:rPr>
        <w:instrText xml:space="preserve"> ADDIN ZOTERO_ITEM CSL_CITATION {"citationID":"tfiQ4Ml5","properties":{"formattedCitation":"(Sireci, 2007)","plainCitation":"(Sireci, 2007)","noteIndex":0},"citationItems":[{"id":226,"uris":["http://zotero.org/users/3781354/items/SC2QU7ZY"],"itemData":{"id":226,"type":"article-journal","container-title":"Educational Researcher","DOI":"10.3102/0013189X07311609","issue":"8","page":"477-481","title":"On Validity Theory and Test Validation","volume":"36","author":[{"family":"Sireci","given":"S. G."}],"issued":{"date-parts":[["2007"]]}}}],"schema":"https://github.com/citation-style-language/schema/raw/master/csl-citation.json"} </w:instrText>
      </w:r>
      <w:r w:rsidRPr="00CF0824">
        <w:rPr>
          <w:rFonts w:ascii="Arial" w:eastAsiaTheme="minorHAnsi" w:hAnsi="Arial" w:cs="Arial"/>
          <w:lang w:eastAsia="en-US"/>
        </w:rPr>
        <w:fldChar w:fldCharType="separate"/>
      </w:r>
      <w:r w:rsidRPr="00CF0824">
        <w:rPr>
          <w:rFonts w:ascii="Arial" w:eastAsiaTheme="minorHAnsi" w:hAnsi="Arial" w:cs="Arial"/>
          <w:lang w:eastAsia="en-US"/>
        </w:rPr>
        <w:t>(Sireci, 2007)</w:t>
      </w:r>
      <w:r w:rsidRPr="00CF0824">
        <w:rPr>
          <w:rFonts w:ascii="Arial" w:eastAsiaTheme="minorHAnsi" w:hAnsi="Arial" w:cs="Arial"/>
          <w:lang w:eastAsia="en-US"/>
        </w:rPr>
        <w:fldChar w:fldCharType="end"/>
      </w:r>
      <w:r w:rsidRPr="00CF0824">
        <w:rPr>
          <w:rFonts w:ascii="Arial" w:eastAsiaTheme="minorHAnsi" w:hAnsi="Arial" w:cs="Arial"/>
          <w:lang w:eastAsia="en-US"/>
        </w:rPr>
        <w:t xml:space="preserve">. Todavía falta estudiar si las puntuaciones de la prueba poseen correlaciones significativas con variables criterio importantes como la nota de cálculo o si las personas realizan procesos de solución pertinentes en los ítems. </w:t>
      </w:r>
    </w:p>
    <w:p w14:paraId="24F82D72"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Los resultados de la prueba reflejaron que la población aplicante presenta debilidades muy fuertes en los conocimientos previos requeridos para el curso de cálculo. En la mayoría de los ítems (50 de 55) se obtuvieron porcentajes de acierto inferiores al 50%; en las tres secciones finales de la prueba, los percentiles 75 fueron inferiores a 5. Estas puntuaciones indican que la mayoría de las personas </w:t>
      </w:r>
      <w:r w:rsidRPr="00CF0824">
        <w:rPr>
          <w:rFonts w:ascii="Arial" w:eastAsiaTheme="minorHAnsi" w:hAnsi="Arial" w:cs="Arial"/>
          <w:lang w:eastAsia="en-US"/>
        </w:rPr>
        <w:lastRenderedPageBreak/>
        <w:t xml:space="preserve">examinadas no están listas para llevar el curso de cálculo; como conclusión, participar en un programa de nivelación es indispensable.  </w:t>
      </w:r>
    </w:p>
    <w:p w14:paraId="5FF42B08"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Entre las debilidades más graves de la población, estuvieron los conocimientos ajenos a la secundaria y el área de transformaciones algebraicas de secundaria. La primera agrupación de contenidos era esperable debido a que la mayoría de la población no ha tomado cursos de preparación para cálculo. La segunda agrupación fue la que más llamó la atención, ya que esta es una temática de secundaria. Esta debilidad indica que las personas presentaron problemas con las fórmulas notables y con las técnicas elementales de factorización y racionalización. Este resultado fue distinto al encontrado por </w:t>
      </w:r>
      <w:r w:rsidRPr="00CF0824">
        <w:rPr>
          <w:rFonts w:ascii="Arial" w:eastAsiaTheme="minorHAnsi" w:hAnsi="Arial" w:cs="Arial"/>
          <w:lang w:eastAsia="en-US"/>
        </w:rPr>
        <w:fldChar w:fldCharType="begin"/>
      </w:r>
      <w:r w:rsidRPr="00CF0824">
        <w:rPr>
          <w:rFonts w:ascii="Arial" w:eastAsiaTheme="minorHAnsi" w:hAnsi="Arial" w:cs="Arial"/>
          <w:lang w:eastAsia="en-US"/>
        </w:rPr>
        <w:instrText xml:space="preserve"> ADDIN ZOTERO_ITEM CSL_CITATION {"citationID":"1K9AJzKV","properties":{"formattedCitation":"(E. Rojas &amp; Toscano, 2022)","plainCitation":"(E. Rojas &amp; Toscano, 2022)","dontUpdate":true,"noteIndex":0},"citationItems":[{"id":219,"uris":["http://zotero.org/users/3781354/items/EL6JRMDB"],"itemData":{"id":219,"type":"article-journal","container-title":"Revista Iberoamericana para la Investigación y el Desarrollo Educativo","DOI":"10.23913/ride.v13i25.1315","issue":"25","title":"Análisis de la evaluación de los conocimientos matemáticos previos de los alumnos que ingresan al curso de Cálculo Diferencial durante la pandemia de covid-19","volume":"13","author":[{"family":"Rojas","given":"E."},{"family":"Toscano","given":"J."}],"issued":{"date-parts":[["2022"]]}}}],"schema":"https://github.com/citation-style-language/schema/raw/master/csl-citation.json"} </w:instrText>
      </w:r>
      <w:r w:rsidRPr="00CF0824">
        <w:rPr>
          <w:rFonts w:ascii="Arial" w:eastAsiaTheme="minorHAnsi" w:hAnsi="Arial" w:cs="Arial"/>
          <w:lang w:eastAsia="en-US"/>
        </w:rPr>
        <w:fldChar w:fldCharType="separate"/>
      </w:r>
      <w:r w:rsidRPr="00CF0824">
        <w:rPr>
          <w:rFonts w:ascii="Arial" w:eastAsiaTheme="minorHAnsi" w:hAnsi="Arial" w:cs="Arial"/>
          <w:lang w:eastAsia="en-US"/>
        </w:rPr>
        <w:t>Rojas &amp; Toscano (2022)</w:t>
      </w:r>
      <w:r w:rsidRPr="00CF0824">
        <w:rPr>
          <w:rFonts w:ascii="Arial" w:eastAsiaTheme="minorHAnsi" w:hAnsi="Arial" w:cs="Arial"/>
          <w:lang w:eastAsia="en-US"/>
        </w:rPr>
        <w:fldChar w:fldCharType="end"/>
      </w:r>
      <w:r w:rsidRPr="00CF0824">
        <w:rPr>
          <w:rFonts w:ascii="Arial" w:eastAsiaTheme="minorHAnsi" w:hAnsi="Arial" w:cs="Arial"/>
          <w:lang w:eastAsia="en-US"/>
        </w:rPr>
        <w:t xml:space="preserve">, ya que ellos encontraron que una corte de primer ingreso a cursos de cálculo de una universidad mexicana tuvo resultados de aprobación superiores al 60% en fórmulas notables y uso de técnicas de factorización. La gravedad de los resultados observados en la población era esperable, debido a que la educación secundaria costarricense experimentó una crisis educativa en los cuatro años previos a la aplicación de la prueba, la cual ha sido denominada como apagón educativo </w:t>
      </w:r>
      <w:r w:rsidRPr="00CF0824">
        <w:rPr>
          <w:rFonts w:ascii="Arial" w:eastAsiaTheme="minorHAnsi" w:hAnsi="Arial" w:cs="Arial"/>
          <w:lang w:eastAsia="en-US"/>
        </w:rPr>
        <w:fldChar w:fldCharType="begin"/>
      </w:r>
      <w:r w:rsidRPr="00CF0824">
        <w:rPr>
          <w:rFonts w:ascii="Arial" w:eastAsiaTheme="minorHAnsi" w:hAnsi="Arial" w:cs="Arial"/>
          <w:lang w:eastAsia="en-US"/>
        </w:rPr>
        <w:instrText xml:space="preserve"> ADDIN ZOTERO_ITEM CSL_CITATION {"citationID":"h70KB3RU","properties":{"formattedCitation":"(Programa Estado de la Naci\\uc0\\u243{}n, 2021, 2023)","plainCitation":"(Programa Estado de la Nación, 2021, 2023)","noteIndex":0},"citationItems":[{"id":227,"uris":["http://zotero.org/users/3781354/items/KVC7K3JZ"],"itemData":{"id":227,"type":"book","publisher":"Autor","title":"Octavo Estado de la Educación","author":[{"family":"Programa Estado de la Nación","given":""}],"issued":{"date-parts":[["2021"]]}}},{"id":228,"uris":["http://zotero.org/users/3781354/items/8CIKVE6F"],"itemData":{"id":228,"type":"book","publisher":"Autor","title":"Noveno Estado de la Educación","author":[{"family":"Programa Estado de la Nación","given":""}],"issued":{"date-parts":[["2023"]]}}}],"schema":"https://github.com/citation-style-language/schema/raw/master/csl-citation.json"} </w:instrText>
      </w:r>
      <w:r w:rsidRPr="00CF0824">
        <w:rPr>
          <w:rFonts w:ascii="Arial" w:eastAsiaTheme="minorHAnsi" w:hAnsi="Arial" w:cs="Arial"/>
          <w:lang w:eastAsia="en-US"/>
        </w:rPr>
        <w:fldChar w:fldCharType="separate"/>
      </w:r>
      <w:r w:rsidRPr="00CF0824">
        <w:rPr>
          <w:rFonts w:ascii="Arial" w:eastAsiaTheme="minorHAnsi" w:hAnsi="Arial" w:cs="Arial"/>
          <w:lang w:eastAsia="en-US"/>
        </w:rPr>
        <w:t>(Programa Estado de la Nación, 2021, 2023)</w:t>
      </w:r>
      <w:r w:rsidRPr="00CF0824">
        <w:rPr>
          <w:rFonts w:ascii="Arial" w:eastAsiaTheme="minorHAnsi" w:hAnsi="Arial" w:cs="Arial"/>
          <w:lang w:eastAsia="en-US"/>
        </w:rPr>
        <w:fldChar w:fldCharType="end"/>
      </w:r>
      <w:r w:rsidRPr="00CF0824">
        <w:rPr>
          <w:rFonts w:ascii="Arial" w:eastAsiaTheme="minorHAnsi" w:hAnsi="Arial" w:cs="Arial"/>
          <w:lang w:eastAsia="en-US"/>
        </w:rPr>
        <w:t>.</w:t>
      </w:r>
    </w:p>
    <w:p w14:paraId="3523A9B9"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En vista del nivel de conocimientos previos de la población evaluada, se hace necesario declarar la obligatoriedad del curso de precálculo para todas aquellas personas que presentan puntuaciones bajas en las distintas secciones de la prueba. La ausencia de la obligatoriedad de los cursos </w:t>
      </w:r>
      <w:proofErr w:type="spellStart"/>
      <w:r w:rsidRPr="00CF0824">
        <w:rPr>
          <w:rFonts w:ascii="Arial" w:eastAsiaTheme="minorHAnsi" w:hAnsi="Arial" w:cs="Arial"/>
          <w:lang w:eastAsia="en-US"/>
        </w:rPr>
        <w:t>nivelatorios</w:t>
      </w:r>
      <w:proofErr w:type="spellEnd"/>
      <w:r w:rsidRPr="00CF0824">
        <w:rPr>
          <w:rFonts w:ascii="Arial" w:eastAsiaTheme="minorHAnsi" w:hAnsi="Arial" w:cs="Arial"/>
          <w:lang w:eastAsia="en-US"/>
        </w:rPr>
        <w:t xml:space="preserve"> para la materia </w:t>
      </w:r>
      <w:r w:rsidRPr="00CF0824">
        <w:rPr>
          <w:rFonts w:ascii="Arial" w:eastAsiaTheme="minorHAnsi" w:hAnsi="Arial" w:cs="Arial"/>
          <w:lang w:eastAsia="en-US"/>
        </w:rPr>
        <w:lastRenderedPageBreak/>
        <w:t>de cálculo es una práctica de muchas universidades que debe ser revisada, ya que esta provoca que se admita población sin la preparación requerida y que esta, finalmente, abandone la carrera seleccionada (</w:t>
      </w:r>
      <w:r w:rsidRPr="00CF0824">
        <w:rPr>
          <w:rFonts w:ascii="Arial" w:eastAsiaTheme="minorHAnsi" w:hAnsi="Arial" w:cs="Arial"/>
          <w:lang w:eastAsia="en-US"/>
        </w:rPr>
        <w:fldChar w:fldCharType="begin"/>
      </w:r>
      <w:r w:rsidRPr="00CF0824">
        <w:rPr>
          <w:rFonts w:ascii="Arial" w:eastAsiaTheme="minorHAnsi" w:hAnsi="Arial" w:cs="Arial"/>
          <w:lang w:eastAsia="en-US"/>
        </w:rPr>
        <w:instrText xml:space="preserve"> ADDIN ZOTERO_ITEM CSL_CITATION {"citationID":"kN4Z2bxK","properties":{"formattedCitation":"(Nicholas et\\uc0\\u160{}al., 2015)","plainCitation":"(Nicholas et al., 2015)","noteIndex":0},"citationItems":[{"id":229,"uris":["http://zotero.org/users/3781354/items/45QHY4LA"],"itemData":{"id":229,"type":"article-journal","container-title":"International Journal of Innovation in Science and Mathematics Education","issue":"1","page":"37-51","title":"Mathematics preparation for university: Entry, pathways and impact on performance in first year science and mathematics subjects","volume":"23","author":[{"family":"Nicholas","given":"J."},{"family":"Poladian","given":"L."},{"family":"Mack","given":"J."},{"family":"Wilson","given":"R."}],"issued":{"date-parts":[["2015"]]}}}],"schema":"https://github.com/citation-style-language/schema/raw/master/csl-citation.json"} </w:instrText>
      </w:r>
      <w:r w:rsidRPr="00CF0824">
        <w:rPr>
          <w:rFonts w:ascii="Arial" w:eastAsiaTheme="minorHAnsi" w:hAnsi="Arial" w:cs="Arial"/>
          <w:lang w:eastAsia="en-US"/>
        </w:rPr>
        <w:fldChar w:fldCharType="separate"/>
      </w:r>
      <w:r w:rsidRPr="00CF0824">
        <w:rPr>
          <w:rFonts w:ascii="Arial" w:eastAsiaTheme="minorHAnsi" w:hAnsi="Arial" w:cs="Arial"/>
          <w:lang w:eastAsia="en-US"/>
        </w:rPr>
        <w:t>Nicholas et al., 2015)</w:t>
      </w:r>
      <w:r w:rsidRPr="00CF0824">
        <w:rPr>
          <w:rFonts w:ascii="Arial" w:eastAsiaTheme="minorHAnsi" w:hAnsi="Arial" w:cs="Arial"/>
          <w:lang w:eastAsia="en-US"/>
        </w:rPr>
        <w:fldChar w:fldCharType="end"/>
      </w:r>
      <w:r w:rsidRPr="00CF0824">
        <w:rPr>
          <w:rFonts w:ascii="Arial" w:eastAsiaTheme="minorHAnsi" w:hAnsi="Arial" w:cs="Arial"/>
          <w:lang w:eastAsia="en-US"/>
        </w:rPr>
        <w:t>. Por otro lado, en el caso de las personas que presenten una nota baja en solo una sección de la prueba de diagnóstico se puede generar un curso especializado en los contenidos respectivos.</w:t>
      </w:r>
    </w:p>
    <w:p w14:paraId="3432F38D" w14:textId="77777777" w:rsidR="008441A3" w:rsidRPr="00CF0824" w:rsidRDefault="008441A3" w:rsidP="00CF0824">
      <w:pPr>
        <w:spacing w:before="100" w:beforeAutospacing="1" w:after="100" w:afterAutospacing="1" w:line="360" w:lineRule="auto"/>
        <w:jc w:val="both"/>
        <w:rPr>
          <w:rFonts w:ascii="Arial" w:eastAsiaTheme="minorHAnsi" w:hAnsi="Arial" w:cs="Arial"/>
          <w:lang w:eastAsia="en-US"/>
        </w:rPr>
      </w:pPr>
      <w:r w:rsidRPr="00CF0824">
        <w:rPr>
          <w:rFonts w:ascii="Arial" w:eastAsiaTheme="minorHAnsi" w:hAnsi="Arial" w:cs="Arial"/>
          <w:lang w:eastAsia="en-US"/>
        </w:rPr>
        <w:t xml:space="preserve">Por último, es importante recordar que la evaluación educativa no puede limitarse a brindar información, sino que debe trascender a la toma de decisiones dirigidas a que el estudiantado alcance los objetivos de aprendizaje </w:t>
      </w:r>
      <w:r w:rsidRPr="00CF0824">
        <w:rPr>
          <w:rFonts w:ascii="Arial" w:eastAsiaTheme="minorHAnsi" w:hAnsi="Arial" w:cs="Arial"/>
          <w:lang w:eastAsia="en-US"/>
        </w:rPr>
        <w:fldChar w:fldCharType="begin"/>
      </w:r>
      <w:r w:rsidRPr="00CF0824">
        <w:rPr>
          <w:rFonts w:ascii="Arial" w:eastAsiaTheme="minorHAnsi" w:hAnsi="Arial" w:cs="Arial"/>
          <w:lang w:eastAsia="en-US"/>
        </w:rPr>
        <w:instrText xml:space="preserve"> ADDIN ZOTERO_ITEM CSL_CITATION {"citationID":"HJ50avsV","properties":{"formattedCitation":"(Rivas, 2008)","plainCitation":"(Rivas, 2008)","noteIndex":0},"citationItems":[{"id":205,"uris":["http://zotero.org/users/3781354/items/Q2U9RJBS"],"itemData":{"id":205,"type":"article-journal","container-title":"Educere","DOI":"http://ve.scielo.org/pdf/edu/v12n40/art03.pdf","issue":"40","page":"19-22","title":"Evaluando o midiendo","volume":"12","author":[{"family":"Rivas","given":"R. E."}],"issued":{"date-parts":[["2008"]]}}}],"schema":"https://github.com/citation-style-language/schema/raw/master/csl-citation.json"} </w:instrText>
      </w:r>
      <w:r w:rsidRPr="00CF0824">
        <w:rPr>
          <w:rFonts w:ascii="Arial" w:eastAsiaTheme="minorHAnsi" w:hAnsi="Arial" w:cs="Arial"/>
          <w:lang w:eastAsia="en-US"/>
        </w:rPr>
        <w:fldChar w:fldCharType="separate"/>
      </w:r>
      <w:r w:rsidRPr="00CF0824">
        <w:rPr>
          <w:rFonts w:ascii="Arial" w:eastAsiaTheme="minorHAnsi" w:hAnsi="Arial" w:cs="Arial"/>
          <w:lang w:eastAsia="en-US"/>
        </w:rPr>
        <w:t>(Rivas, 2008)</w:t>
      </w:r>
      <w:r w:rsidRPr="00CF0824">
        <w:rPr>
          <w:rFonts w:ascii="Arial" w:eastAsiaTheme="minorHAnsi" w:hAnsi="Arial" w:cs="Arial"/>
          <w:lang w:eastAsia="en-US"/>
        </w:rPr>
        <w:fldChar w:fldCharType="end"/>
      </w:r>
      <w:r w:rsidRPr="00CF0824">
        <w:rPr>
          <w:rFonts w:ascii="Arial" w:eastAsiaTheme="minorHAnsi" w:hAnsi="Arial" w:cs="Arial"/>
          <w:lang w:eastAsia="en-US"/>
        </w:rPr>
        <w:t xml:space="preserve">. Por tanto, se espera que los resultados de la prueba presentada en este artículo desemboquen en acciones reales a favor de la población meta. </w:t>
      </w:r>
    </w:p>
    <w:p w14:paraId="676D58DB" w14:textId="3F8DB56F" w:rsidR="008441A3" w:rsidRPr="00CF0824" w:rsidRDefault="00E16F40" w:rsidP="00E16F40">
      <w:pPr>
        <w:spacing w:before="100" w:beforeAutospacing="1" w:after="100" w:afterAutospacing="1" w:line="360" w:lineRule="auto"/>
        <w:rPr>
          <w:rFonts w:ascii="Arial" w:eastAsiaTheme="minorHAnsi" w:hAnsi="Arial" w:cs="Arial"/>
          <w:b/>
          <w:bCs/>
          <w:lang w:val="en-US" w:eastAsia="en-US"/>
        </w:rPr>
      </w:pPr>
      <w:r w:rsidRPr="00CF0824">
        <w:rPr>
          <w:rFonts w:ascii="Arial" w:eastAsiaTheme="minorHAnsi" w:hAnsi="Arial" w:cs="Arial"/>
          <w:b/>
          <w:bCs/>
          <w:lang w:val="en-US" w:eastAsia="en-US"/>
        </w:rPr>
        <w:t>REFERENCIAS</w:t>
      </w:r>
    </w:p>
    <w:p w14:paraId="68F6A7AB"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eastAsia="en-US"/>
        </w:rPr>
        <w:fldChar w:fldCharType="begin"/>
      </w:r>
      <w:r w:rsidRPr="00CF0824">
        <w:rPr>
          <w:rFonts w:ascii="Arial" w:eastAsiaTheme="minorHAnsi" w:hAnsi="Arial" w:cs="Arial"/>
          <w:lang w:val="en-US" w:eastAsia="en-US"/>
        </w:rPr>
        <w:instrText xml:space="preserve"> ADDIN ZOTERO_BIBL {"uncited":[],"omitted":[],"custom":[]} CSL_BIBLIOGRAPHY </w:instrText>
      </w:r>
      <w:r w:rsidRPr="00CF0824">
        <w:rPr>
          <w:rFonts w:ascii="Arial" w:eastAsiaTheme="minorHAnsi" w:hAnsi="Arial" w:cs="Arial"/>
          <w:lang w:eastAsia="en-US"/>
        </w:rPr>
        <w:fldChar w:fldCharType="separate"/>
      </w:r>
      <w:r w:rsidRPr="00CF0824">
        <w:rPr>
          <w:rFonts w:ascii="Arial" w:eastAsiaTheme="minorHAnsi" w:hAnsi="Arial" w:cs="Arial"/>
          <w:sz w:val="22"/>
          <w:szCs w:val="22"/>
          <w:lang w:val="en-US" w:eastAsia="en-US"/>
        </w:rPr>
        <w:t xml:space="preserve"> </w:t>
      </w:r>
      <w:r w:rsidRPr="00CF0824">
        <w:rPr>
          <w:rFonts w:ascii="Arial" w:eastAsiaTheme="minorHAnsi" w:hAnsi="Arial" w:cs="Arial"/>
          <w:lang w:val="en-US" w:eastAsia="en-US"/>
        </w:rPr>
        <w:t xml:space="preserve">American Educational Research Association, American Psychological Association y National Council on Measurement in Education (2014). </w:t>
      </w:r>
      <w:r w:rsidRPr="00CF0824">
        <w:rPr>
          <w:rFonts w:ascii="Arial" w:eastAsiaTheme="minorHAnsi" w:hAnsi="Arial" w:cs="Arial"/>
          <w:i/>
          <w:iCs/>
          <w:lang w:val="en-US" w:eastAsia="en-US"/>
        </w:rPr>
        <w:t>Standards for educational and psychological testing</w:t>
      </w:r>
      <w:r w:rsidRPr="00CF0824">
        <w:rPr>
          <w:rFonts w:ascii="Arial" w:eastAsiaTheme="minorHAnsi" w:hAnsi="Arial" w:cs="Arial"/>
          <w:lang w:val="en-US" w:eastAsia="en-US"/>
        </w:rPr>
        <w:t>. Autor.</w:t>
      </w:r>
    </w:p>
    <w:p w14:paraId="598B2A5B"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val="en-US" w:eastAsia="en-US"/>
        </w:rPr>
        <w:t xml:space="preserve">Castillo-Sánchez, M., Chavarría-Vásquez, J. &amp; García-Borbón, M. (2016). </w:t>
      </w:r>
      <w:r w:rsidRPr="00CF0824">
        <w:rPr>
          <w:rFonts w:ascii="Arial" w:eastAsiaTheme="minorHAnsi" w:hAnsi="Arial" w:cs="Arial"/>
          <w:lang w:eastAsia="en-US"/>
        </w:rPr>
        <w:t xml:space="preserve">Rendimiento académico en las pruebas nacionales de matemática en colegios del área metropolitana y zonas alejadas de Costa Rica en 2013. </w:t>
      </w:r>
      <w:r w:rsidRPr="00CF0824">
        <w:rPr>
          <w:rFonts w:ascii="Arial" w:eastAsiaTheme="minorHAnsi" w:hAnsi="Arial" w:cs="Arial"/>
          <w:i/>
          <w:iCs/>
          <w:lang w:eastAsia="en-US"/>
        </w:rPr>
        <w:t>Uniciencia</w:t>
      </w:r>
      <w:r w:rsidRPr="00CF0824">
        <w:rPr>
          <w:rFonts w:ascii="Arial" w:eastAsiaTheme="minorHAnsi" w:hAnsi="Arial" w:cs="Arial"/>
          <w:lang w:eastAsia="en-US"/>
        </w:rPr>
        <w:t xml:space="preserve">, </w:t>
      </w:r>
      <w:r w:rsidRPr="00CF0824">
        <w:rPr>
          <w:rFonts w:ascii="Arial" w:eastAsiaTheme="minorHAnsi" w:hAnsi="Arial" w:cs="Arial"/>
          <w:i/>
          <w:iCs/>
          <w:lang w:eastAsia="en-US"/>
        </w:rPr>
        <w:t>30</w:t>
      </w:r>
      <w:r w:rsidRPr="00CF0824">
        <w:rPr>
          <w:rFonts w:ascii="Arial" w:eastAsiaTheme="minorHAnsi" w:hAnsi="Arial" w:cs="Arial"/>
          <w:lang w:eastAsia="en-US"/>
        </w:rPr>
        <w:t xml:space="preserve">(1), 85-97. </w:t>
      </w:r>
      <w:r w:rsidRPr="006335FA">
        <w:rPr>
          <w:rFonts w:ascii="Arial" w:eastAsiaTheme="minorHAnsi" w:hAnsi="Arial" w:cs="Arial"/>
          <w:color w:val="002060"/>
          <w:u w:val="single"/>
          <w:lang w:eastAsia="en-US"/>
        </w:rPr>
        <w:t>https://doi.org/10.15359/ru.30-1.5</w:t>
      </w:r>
      <w:bookmarkStart w:id="16" w:name="_GoBack"/>
      <w:bookmarkEnd w:id="16"/>
    </w:p>
    <w:p w14:paraId="4AE4B9BA"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eastAsia="en-US"/>
        </w:rPr>
        <w:lastRenderedPageBreak/>
        <w:t xml:space="preserve">Cea, M. A. (2002). </w:t>
      </w:r>
      <w:r w:rsidRPr="00CF0824">
        <w:rPr>
          <w:rFonts w:ascii="Arial" w:eastAsiaTheme="minorHAnsi" w:hAnsi="Arial" w:cs="Arial"/>
          <w:i/>
          <w:iCs/>
          <w:lang w:eastAsia="en-US"/>
        </w:rPr>
        <w:t>Análisis multivariable: Teoría y práctica en la investigación social</w:t>
      </w:r>
      <w:r w:rsidRPr="00CF0824">
        <w:rPr>
          <w:rFonts w:ascii="Arial" w:eastAsiaTheme="minorHAnsi" w:hAnsi="Arial" w:cs="Arial"/>
          <w:lang w:eastAsia="en-US"/>
        </w:rPr>
        <w:t xml:space="preserve">. </w:t>
      </w:r>
      <w:r w:rsidRPr="00CF0824">
        <w:rPr>
          <w:rFonts w:ascii="Arial" w:eastAsiaTheme="minorHAnsi" w:hAnsi="Arial" w:cs="Arial"/>
          <w:lang w:val="en-US" w:eastAsia="en-US"/>
        </w:rPr>
        <w:t>Síntesis.</w:t>
      </w:r>
    </w:p>
    <w:p w14:paraId="43B5F826"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val="en-US" w:eastAsia="en-US"/>
        </w:rPr>
        <w:t xml:space="preserve">Dwyer, C., Gallagher, A., Levin, J. &amp; Morley, M. E. (2003). </w:t>
      </w:r>
      <w:r w:rsidRPr="00CF0824">
        <w:rPr>
          <w:rFonts w:ascii="Arial" w:eastAsiaTheme="minorHAnsi" w:hAnsi="Arial" w:cs="Arial"/>
          <w:i/>
          <w:iCs/>
          <w:lang w:val="en-US" w:eastAsia="en-US"/>
        </w:rPr>
        <w:t>What is Quantitative Reasoning? Defining the Construct for Assessment Purposes</w:t>
      </w:r>
      <w:r w:rsidRPr="00CF0824">
        <w:rPr>
          <w:rFonts w:ascii="Arial" w:eastAsiaTheme="minorHAnsi" w:hAnsi="Arial" w:cs="Arial"/>
          <w:lang w:val="en-US" w:eastAsia="en-US"/>
        </w:rPr>
        <w:t xml:space="preserve"> (RR-03-30; Research Reports). Educational Testing Service.</w:t>
      </w:r>
    </w:p>
    <w:p w14:paraId="36FDB301"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Encinas, F., Osorio, M., Ansaldo, J. &amp; Peralta, J. (2016). El Cálculo y la importancia de los conocimientos previos en su aprendizaje. </w:t>
      </w:r>
      <w:r w:rsidRPr="00CF0824">
        <w:rPr>
          <w:rFonts w:ascii="Arial" w:eastAsiaTheme="minorHAnsi" w:hAnsi="Arial" w:cs="Arial"/>
          <w:i/>
          <w:iCs/>
          <w:lang w:eastAsia="en-US"/>
        </w:rPr>
        <w:t>Revista de Sistemas y Gestión Educativa</w:t>
      </w:r>
      <w:r w:rsidRPr="00CF0824">
        <w:rPr>
          <w:rFonts w:ascii="Arial" w:eastAsiaTheme="minorHAnsi" w:hAnsi="Arial" w:cs="Arial"/>
          <w:lang w:eastAsia="en-US"/>
        </w:rPr>
        <w:t xml:space="preserve">, </w:t>
      </w:r>
      <w:r w:rsidRPr="00CF0824">
        <w:rPr>
          <w:rFonts w:ascii="Arial" w:eastAsiaTheme="minorHAnsi" w:hAnsi="Arial" w:cs="Arial"/>
          <w:i/>
          <w:iCs/>
          <w:lang w:eastAsia="en-US"/>
        </w:rPr>
        <w:t>3</w:t>
      </w:r>
      <w:r w:rsidRPr="00CF0824">
        <w:rPr>
          <w:rFonts w:ascii="Arial" w:eastAsiaTheme="minorHAnsi" w:hAnsi="Arial" w:cs="Arial"/>
          <w:lang w:eastAsia="en-US"/>
        </w:rPr>
        <w:t>(7), 32-41.</w:t>
      </w:r>
    </w:p>
    <w:p w14:paraId="3DC9081A"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Franco, M., Nassi, M. &amp; Nieto, M. (2018). La Tabla de especificaciones en la evaluación de aprendizajes. </w:t>
      </w:r>
      <w:r w:rsidRPr="00CF0824">
        <w:rPr>
          <w:rFonts w:ascii="Arial" w:eastAsiaTheme="minorHAnsi" w:hAnsi="Arial" w:cs="Arial"/>
          <w:i/>
          <w:iCs/>
          <w:lang w:eastAsia="en-US"/>
        </w:rPr>
        <w:t>Revista Enseñanza de Química</w:t>
      </w:r>
      <w:r w:rsidRPr="00CF0824">
        <w:rPr>
          <w:rFonts w:ascii="Arial" w:eastAsiaTheme="minorHAnsi" w:hAnsi="Arial" w:cs="Arial"/>
          <w:lang w:eastAsia="en-US"/>
        </w:rPr>
        <w:t xml:space="preserve">, </w:t>
      </w:r>
      <w:r w:rsidRPr="00CF0824">
        <w:rPr>
          <w:rFonts w:ascii="Arial" w:eastAsiaTheme="minorHAnsi" w:hAnsi="Arial" w:cs="Arial"/>
          <w:i/>
          <w:iCs/>
          <w:lang w:eastAsia="en-US"/>
        </w:rPr>
        <w:t>2</w:t>
      </w:r>
      <w:r w:rsidRPr="00CF0824">
        <w:rPr>
          <w:rFonts w:ascii="Arial" w:eastAsiaTheme="minorHAnsi" w:hAnsi="Arial" w:cs="Arial"/>
          <w:lang w:eastAsia="en-US"/>
        </w:rPr>
        <w:t>, 30-47.</w:t>
      </w:r>
    </w:p>
    <w:p w14:paraId="6448A602"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eastAsia="en-US"/>
        </w:rPr>
        <w:t xml:space="preserve">Haladyna, T. M. &amp; Rodríguez, M. C. (2013). </w:t>
      </w:r>
      <w:r w:rsidRPr="00CF0824">
        <w:rPr>
          <w:rFonts w:ascii="Arial" w:eastAsiaTheme="minorHAnsi" w:hAnsi="Arial" w:cs="Arial"/>
          <w:i/>
          <w:iCs/>
          <w:lang w:val="en-US" w:eastAsia="en-US"/>
        </w:rPr>
        <w:t>Developing and validating test items</w:t>
      </w:r>
      <w:r w:rsidRPr="00CF0824">
        <w:rPr>
          <w:rFonts w:ascii="Arial" w:eastAsiaTheme="minorHAnsi" w:hAnsi="Arial" w:cs="Arial"/>
          <w:lang w:val="en-US" w:eastAsia="en-US"/>
        </w:rPr>
        <w:t>. Routledge.</w:t>
      </w:r>
    </w:p>
    <w:p w14:paraId="52158F64"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val="en-US" w:eastAsia="en-US"/>
        </w:rPr>
        <w:t xml:space="preserve">Hurdle, Z. B. &amp; Mogilsk, W. (2022). The impact of prerequisites for undergraduate calculus I performance. </w:t>
      </w:r>
      <w:r w:rsidRPr="00CF0824">
        <w:rPr>
          <w:rFonts w:ascii="Arial" w:eastAsiaTheme="minorHAnsi" w:hAnsi="Arial" w:cs="Arial"/>
          <w:i/>
          <w:iCs/>
          <w:lang w:val="en-US" w:eastAsia="en-US"/>
        </w:rPr>
        <w:t>International Electronic Journal of Mathematics Education</w:t>
      </w:r>
      <w:r w:rsidRPr="00CF0824">
        <w:rPr>
          <w:rFonts w:ascii="Arial" w:eastAsiaTheme="minorHAnsi" w:hAnsi="Arial" w:cs="Arial"/>
          <w:lang w:val="en-US" w:eastAsia="en-US"/>
        </w:rPr>
        <w:t xml:space="preserve">, </w:t>
      </w:r>
      <w:r w:rsidRPr="00CF0824">
        <w:rPr>
          <w:rFonts w:ascii="Arial" w:eastAsiaTheme="minorHAnsi" w:hAnsi="Arial" w:cs="Arial"/>
          <w:i/>
          <w:iCs/>
          <w:lang w:val="en-US" w:eastAsia="en-US"/>
        </w:rPr>
        <w:t>17</w:t>
      </w:r>
      <w:r w:rsidRPr="00CF0824">
        <w:rPr>
          <w:rFonts w:ascii="Arial" w:eastAsiaTheme="minorHAnsi" w:hAnsi="Arial" w:cs="Arial"/>
          <w:lang w:val="en-US" w:eastAsia="en-US"/>
        </w:rPr>
        <w:t>(3).</w:t>
      </w:r>
      <w:r w:rsidRPr="006335FA">
        <w:rPr>
          <w:rFonts w:ascii="Arial" w:eastAsiaTheme="minorHAnsi" w:hAnsi="Arial" w:cs="Arial"/>
          <w:color w:val="002060"/>
          <w:u w:val="single"/>
          <w:lang w:val="en-US" w:eastAsia="en-US"/>
        </w:rPr>
        <w:t xml:space="preserve"> https://doi.org/10.29333/iejme/12146</w:t>
      </w:r>
    </w:p>
    <w:p w14:paraId="202AC20D"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val="en-US" w:eastAsia="en-US"/>
        </w:rPr>
        <w:t xml:space="preserve">Kajander, A. &amp; Lovric, M. (2005). Transition from secondary to tertiary mathematics: McMaster Universityexperience. </w:t>
      </w:r>
      <w:r w:rsidRPr="00CF0824">
        <w:rPr>
          <w:rFonts w:ascii="Arial" w:eastAsiaTheme="minorHAnsi" w:hAnsi="Arial" w:cs="Arial"/>
          <w:i/>
          <w:iCs/>
          <w:lang w:val="en-US" w:eastAsia="en-US"/>
        </w:rPr>
        <w:t>International Journal of Mathematical Education in Science and Technology,</w:t>
      </w:r>
      <w:r w:rsidRPr="00CF0824">
        <w:rPr>
          <w:rFonts w:ascii="Arial" w:eastAsiaTheme="minorHAnsi" w:hAnsi="Arial" w:cs="Arial"/>
          <w:lang w:val="en-US" w:eastAsia="en-US"/>
        </w:rPr>
        <w:t xml:space="preserve"> </w:t>
      </w:r>
      <w:r w:rsidRPr="00CF0824">
        <w:rPr>
          <w:rFonts w:ascii="Arial" w:eastAsiaTheme="minorHAnsi" w:hAnsi="Arial" w:cs="Arial"/>
          <w:i/>
          <w:iCs/>
          <w:lang w:val="en-US" w:eastAsia="en-US"/>
        </w:rPr>
        <w:t>36</w:t>
      </w:r>
      <w:r w:rsidRPr="00CF0824">
        <w:rPr>
          <w:rFonts w:ascii="Arial" w:eastAsiaTheme="minorHAnsi" w:hAnsi="Arial" w:cs="Arial"/>
          <w:lang w:val="en-US" w:eastAsia="en-US"/>
        </w:rPr>
        <w:t xml:space="preserve">(2), 149-160. </w:t>
      </w:r>
      <w:r w:rsidRPr="006335FA">
        <w:rPr>
          <w:rFonts w:ascii="Arial" w:eastAsiaTheme="minorHAnsi" w:hAnsi="Arial" w:cs="Arial"/>
          <w:color w:val="002060"/>
          <w:u w:val="single"/>
          <w:lang w:val="en-US" w:eastAsia="en-US"/>
        </w:rPr>
        <w:t>https://doi.org/10.1080/00207340412317040</w:t>
      </w:r>
    </w:p>
    <w:p w14:paraId="23633495"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lastRenderedPageBreak/>
        <w:t xml:space="preserve">Moreira-Mora, T.E., Alfaro-Rojas, L., Brizuela-Rodríguez, A., Chacón-Vega, C., Gómez González, E., Jiménez-Alfaro, K., Jiménez-Segura, F., Mena-Castillo, P., Montero-Rojas, E., Picado-Barrantes, H., Rojas-Rojas, G., Rojas-Torres, L., Smith-Castro, V., Solórzano-Salas, M.J. &amp; Villarreal-Galera, M.P. (2022). </w:t>
      </w:r>
      <w:r w:rsidRPr="00CF0824">
        <w:rPr>
          <w:rFonts w:ascii="Arial" w:eastAsiaTheme="minorHAnsi" w:hAnsi="Arial" w:cs="Arial"/>
          <w:i/>
          <w:iCs/>
          <w:lang w:eastAsia="en-US"/>
        </w:rPr>
        <w:t>Estándares de calidad para pruebas de alto impacto en el contexto académico y profesional costarricense.</w:t>
      </w:r>
      <w:r w:rsidRPr="00CF0824">
        <w:rPr>
          <w:rFonts w:ascii="Arial" w:eastAsiaTheme="minorHAnsi" w:hAnsi="Arial" w:cs="Arial"/>
          <w:lang w:eastAsia="en-US"/>
        </w:rPr>
        <w:t xml:space="preserve"> Instituto de Investigaciones Psicológicas, Universidad de Costa Rica.  </w:t>
      </w:r>
      <w:hyperlink r:id="rId12" w:history="1">
        <w:r w:rsidRPr="006335FA">
          <w:rPr>
            <w:rFonts w:ascii="Arial" w:eastAsiaTheme="minorHAnsi" w:hAnsi="Arial" w:cs="Arial"/>
            <w:color w:val="002060"/>
            <w:u w:val="single"/>
            <w:lang w:eastAsia="en-US"/>
          </w:rPr>
          <w:t>https://iip.ucr.ac.cr/es/publicaciones/series-cuadernos-metodologicos/cuaderno-9-estandares-de-calidad-para-pruebas</w:t>
        </w:r>
      </w:hyperlink>
    </w:p>
    <w:p w14:paraId="2FE4F306"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Muñíz, J. (2000). </w:t>
      </w:r>
      <w:r w:rsidRPr="00CF0824">
        <w:rPr>
          <w:rFonts w:ascii="Arial" w:eastAsiaTheme="minorHAnsi" w:hAnsi="Arial" w:cs="Arial"/>
          <w:i/>
          <w:iCs/>
          <w:lang w:eastAsia="en-US"/>
        </w:rPr>
        <w:t>Teoría Clásica de los Tests</w:t>
      </w:r>
      <w:r w:rsidRPr="00CF0824">
        <w:rPr>
          <w:rFonts w:ascii="Arial" w:eastAsiaTheme="minorHAnsi" w:hAnsi="Arial" w:cs="Arial"/>
          <w:lang w:eastAsia="en-US"/>
        </w:rPr>
        <w:t>. Editorial Pirámide.</w:t>
      </w:r>
    </w:p>
    <w:p w14:paraId="7D4BFE2C"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Muñíz, J. (2010). Las teorías de los tests: Teoría clásica y teoría de respuesta a los ítems. </w:t>
      </w:r>
      <w:r w:rsidRPr="00CF0824">
        <w:rPr>
          <w:rFonts w:ascii="Arial" w:eastAsiaTheme="minorHAnsi" w:hAnsi="Arial" w:cs="Arial"/>
          <w:i/>
          <w:iCs/>
          <w:lang w:eastAsia="en-US"/>
        </w:rPr>
        <w:t>Papeles del psicólogo, 31</w:t>
      </w:r>
      <w:r w:rsidRPr="00CF0824">
        <w:rPr>
          <w:rFonts w:ascii="Arial" w:eastAsiaTheme="minorHAnsi" w:hAnsi="Arial" w:cs="Arial"/>
          <w:lang w:eastAsia="en-US"/>
        </w:rPr>
        <w:t>(1), 57-66.</w:t>
      </w:r>
    </w:p>
    <w:p w14:paraId="6762EBBF"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eastAsia="en-US"/>
        </w:rPr>
        <w:t xml:space="preserve">Nicholas, J., Poladian, L., Mack, J. &amp; Wilson, R. (2015). </w:t>
      </w:r>
      <w:r w:rsidRPr="00CF0824">
        <w:rPr>
          <w:rFonts w:ascii="Arial" w:eastAsiaTheme="minorHAnsi" w:hAnsi="Arial" w:cs="Arial"/>
          <w:lang w:val="en-US" w:eastAsia="en-US"/>
        </w:rPr>
        <w:t>Mathematics preparation for university: Entry, pathways and impact on performance in first year science and mathematics subjects. International Journal of Innovation in Science and Mathematics Education, 23(1), 37-51.</w:t>
      </w:r>
    </w:p>
    <w:p w14:paraId="58FAF1B3"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val="en-US" w:eastAsia="en-US"/>
        </w:rPr>
        <w:t xml:space="preserve">Programa Estado de la Nación. </w:t>
      </w:r>
      <w:r w:rsidRPr="00CF0824">
        <w:rPr>
          <w:rFonts w:ascii="Arial" w:eastAsiaTheme="minorHAnsi" w:hAnsi="Arial" w:cs="Arial"/>
          <w:lang w:eastAsia="en-US"/>
        </w:rPr>
        <w:t xml:space="preserve">(2021). </w:t>
      </w:r>
      <w:r w:rsidRPr="00CF0824">
        <w:rPr>
          <w:rFonts w:ascii="Arial" w:eastAsiaTheme="minorHAnsi" w:hAnsi="Arial" w:cs="Arial"/>
          <w:i/>
          <w:iCs/>
          <w:lang w:eastAsia="en-US"/>
        </w:rPr>
        <w:t>Octavo Estado de la Educación</w:t>
      </w:r>
      <w:r w:rsidRPr="00CF0824">
        <w:rPr>
          <w:rFonts w:ascii="Arial" w:eastAsiaTheme="minorHAnsi" w:hAnsi="Arial" w:cs="Arial"/>
          <w:lang w:eastAsia="en-US"/>
        </w:rPr>
        <w:t>. Autor.</w:t>
      </w:r>
    </w:p>
    <w:p w14:paraId="2E174EC6"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Programa Estado de la Nación. (2023). </w:t>
      </w:r>
      <w:r w:rsidRPr="00CF0824">
        <w:rPr>
          <w:rFonts w:ascii="Arial" w:eastAsiaTheme="minorHAnsi" w:hAnsi="Arial" w:cs="Arial"/>
          <w:i/>
          <w:iCs/>
          <w:lang w:eastAsia="en-US"/>
        </w:rPr>
        <w:t>Noveno Estado de la Educación</w:t>
      </w:r>
      <w:r w:rsidRPr="00CF0824">
        <w:rPr>
          <w:rFonts w:ascii="Arial" w:eastAsiaTheme="minorHAnsi" w:hAnsi="Arial" w:cs="Arial"/>
          <w:lang w:eastAsia="en-US"/>
        </w:rPr>
        <w:t>. Autor.</w:t>
      </w:r>
    </w:p>
    <w:p w14:paraId="4F35C73D" w14:textId="77777777" w:rsidR="008441A3" w:rsidRPr="00374B6A" w:rsidRDefault="008441A3" w:rsidP="00CF0824">
      <w:pPr>
        <w:spacing w:before="100" w:beforeAutospacing="1" w:after="100" w:afterAutospacing="1" w:line="360" w:lineRule="auto"/>
        <w:ind w:left="720" w:hanging="720"/>
        <w:rPr>
          <w:rFonts w:ascii="Arial" w:eastAsiaTheme="minorHAnsi" w:hAnsi="Arial" w:cs="Arial"/>
          <w:color w:val="002060"/>
          <w:u w:val="single"/>
          <w:lang w:eastAsia="en-US"/>
        </w:rPr>
      </w:pPr>
      <w:r w:rsidRPr="00CF0824">
        <w:rPr>
          <w:rFonts w:ascii="Arial" w:eastAsiaTheme="minorHAnsi" w:hAnsi="Arial" w:cs="Arial"/>
          <w:lang w:eastAsia="en-US"/>
        </w:rPr>
        <w:lastRenderedPageBreak/>
        <w:t xml:space="preserve">Rivas, R. E. (2008). Evaluando o midiendo. </w:t>
      </w:r>
      <w:r w:rsidRPr="00CF0824">
        <w:rPr>
          <w:rFonts w:ascii="Arial" w:eastAsiaTheme="minorHAnsi" w:hAnsi="Arial" w:cs="Arial"/>
          <w:i/>
          <w:iCs/>
          <w:lang w:eastAsia="en-US"/>
        </w:rPr>
        <w:t>Educere, 12</w:t>
      </w:r>
      <w:r w:rsidRPr="00CF0824">
        <w:rPr>
          <w:rFonts w:ascii="Arial" w:eastAsiaTheme="minorHAnsi" w:hAnsi="Arial" w:cs="Arial"/>
          <w:lang w:eastAsia="en-US"/>
        </w:rPr>
        <w:t xml:space="preserve">(40), 19-22. </w:t>
      </w:r>
      <w:r w:rsidRPr="00374B6A">
        <w:rPr>
          <w:rFonts w:ascii="Arial" w:eastAsiaTheme="minorHAnsi" w:hAnsi="Arial" w:cs="Arial"/>
          <w:color w:val="002060"/>
          <w:u w:val="single"/>
          <w:lang w:eastAsia="en-US"/>
        </w:rPr>
        <w:t>http://ve.scielo.org/pdf/edu/v12n40/art03.pdf</w:t>
      </w:r>
    </w:p>
    <w:p w14:paraId="5D2949AC"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val="en-US" w:eastAsia="en-US"/>
        </w:rPr>
      </w:pPr>
      <w:r w:rsidRPr="00CF0824">
        <w:rPr>
          <w:rFonts w:ascii="Arial" w:eastAsiaTheme="minorHAnsi" w:hAnsi="Arial" w:cs="Arial"/>
          <w:lang w:val="en-US" w:eastAsia="en-US"/>
        </w:rPr>
        <w:t xml:space="preserve">Rodríguez, M. C. (2005). Three Options Are Optimal for Multiple-Choice Items: A Meta-Analysis of 80 Years of Research. </w:t>
      </w:r>
      <w:r w:rsidRPr="00CF0824">
        <w:rPr>
          <w:rFonts w:ascii="Arial" w:eastAsiaTheme="minorHAnsi" w:hAnsi="Arial" w:cs="Arial"/>
          <w:i/>
          <w:iCs/>
          <w:lang w:val="en-US" w:eastAsia="en-US"/>
        </w:rPr>
        <w:t>Educational Measurement: Issues ad Practice, 24</w:t>
      </w:r>
      <w:r w:rsidRPr="00CF0824">
        <w:rPr>
          <w:rFonts w:ascii="Arial" w:eastAsiaTheme="minorHAnsi" w:hAnsi="Arial" w:cs="Arial"/>
          <w:lang w:val="en-US" w:eastAsia="en-US"/>
        </w:rPr>
        <w:t xml:space="preserve">(2), 3-13. </w:t>
      </w:r>
      <w:r w:rsidRPr="00374B6A">
        <w:rPr>
          <w:rFonts w:ascii="Arial" w:eastAsiaTheme="minorHAnsi" w:hAnsi="Arial" w:cs="Arial"/>
          <w:color w:val="002060"/>
          <w:u w:val="single"/>
          <w:lang w:val="en-US" w:eastAsia="en-US"/>
        </w:rPr>
        <w:t>https://doi.org/10.1111/j.1745-3992.2005.00006.x</w:t>
      </w:r>
    </w:p>
    <w:p w14:paraId="13FC3583"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val="en-US" w:eastAsia="en-US"/>
        </w:rPr>
        <w:t xml:space="preserve">Rojas, E. &amp; Toscano, J. (2022). </w:t>
      </w:r>
      <w:r w:rsidRPr="00CF0824">
        <w:rPr>
          <w:rFonts w:ascii="Arial" w:eastAsiaTheme="minorHAnsi" w:hAnsi="Arial" w:cs="Arial"/>
          <w:lang w:eastAsia="en-US"/>
        </w:rPr>
        <w:t xml:space="preserve">Análisis de la evaluación de los conocimientos matemáticos previos de los alumnos que ingresan al curso de Cálculo Diferencial durante la pandemia de covid-19. </w:t>
      </w:r>
      <w:r w:rsidRPr="00CF0824">
        <w:rPr>
          <w:rFonts w:ascii="Arial" w:eastAsiaTheme="minorHAnsi" w:hAnsi="Arial" w:cs="Arial"/>
          <w:i/>
          <w:iCs/>
          <w:lang w:eastAsia="en-US"/>
        </w:rPr>
        <w:t>Revista Iberoamericana para la Investigación y el Desarrollo Educativo, 13</w:t>
      </w:r>
      <w:r w:rsidRPr="00CF0824">
        <w:rPr>
          <w:rFonts w:ascii="Arial" w:eastAsiaTheme="minorHAnsi" w:hAnsi="Arial" w:cs="Arial"/>
          <w:lang w:eastAsia="en-US"/>
        </w:rPr>
        <w:t xml:space="preserve">(25). </w:t>
      </w:r>
      <w:r w:rsidRPr="00374B6A">
        <w:rPr>
          <w:rFonts w:ascii="Arial" w:eastAsiaTheme="minorHAnsi" w:hAnsi="Arial" w:cs="Arial"/>
          <w:color w:val="002060"/>
          <w:u w:val="single"/>
          <w:lang w:eastAsia="en-US"/>
        </w:rPr>
        <w:t>https://doi.org/10.23913/ride.v13i25.1315</w:t>
      </w:r>
    </w:p>
    <w:p w14:paraId="4D9D96E4"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Rojas, L. (2021). </w:t>
      </w:r>
      <w:r w:rsidRPr="00CF0824">
        <w:rPr>
          <w:rFonts w:ascii="Arial" w:eastAsiaTheme="minorHAnsi" w:hAnsi="Arial" w:cs="Arial"/>
          <w:i/>
          <w:iCs/>
          <w:lang w:eastAsia="en-US"/>
        </w:rPr>
        <w:t>Mecanismos subaycentes a la asociación de la ansiedad ante los exámenes con el rendimiento en pruebas</w:t>
      </w:r>
      <w:r w:rsidRPr="00CF0824">
        <w:rPr>
          <w:rFonts w:ascii="Arial" w:eastAsiaTheme="minorHAnsi" w:hAnsi="Arial" w:cs="Arial"/>
          <w:lang w:eastAsia="en-US"/>
        </w:rPr>
        <w:t xml:space="preserve"> [Tesis para optar por el grado de Doctorado en Educación]. Universidad de Costa Rica.</w:t>
      </w:r>
    </w:p>
    <w:p w14:paraId="31B27A6D"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Rojas-Torres, L. (2014). Evidencias de validez de la Prueba de Aptitud Académica de la Universidad de Costa Rica basadas en su estructura interna. </w:t>
      </w:r>
      <w:r w:rsidRPr="00CF0824">
        <w:rPr>
          <w:rFonts w:ascii="Arial" w:eastAsiaTheme="minorHAnsi" w:hAnsi="Arial" w:cs="Arial"/>
          <w:i/>
          <w:iCs/>
          <w:lang w:eastAsia="en-US"/>
        </w:rPr>
        <w:t>Actualidades en Psicología, 28</w:t>
      </w:r>
      <w:r w:rsidRPr="00CF0824">
        <w:rPr>
          <w:rFonts w:ascii="Arial" w:eastAsiaTheme="minorHAnsi" w:hAnsi="Arial" w:cs="Arial"/>
          <w:lang w:eastAsia="en-US"/>
        </w:rPr>
        <w:t xml:space="preserve">(116), 15-26. </w:t>
      </w:r>
      <w:r w:rsidRPr="00374B6A">
        <w:rPr>
          <w:rFonts w:ascii="Arial" w:eastAsiaTheme="minorHAnsi" w:hAnsi="Arial" w:cs="Arial"/>
          <w:color w:val="002060"/>
          <w:u w:val="single"/>
          <w:lang w:eastAsia="en-US"/>
        </w:rPr>
        <w:t>https://doi.org/10.15517/AP.V28I116.14889</w:t>
      </w:r>
    </w:p>
    <w:p w14:paraId="270F7A05"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lastRenderedPageBreak/>
        <w:t xml:space="preserve">Rojas-Torres, L. (2023). Hacia una transformación en la aplicación de exámenes de aula. </w:t>
      </w:r>
      <w:r w:rsidRPr="00CF0824">
        <w:rPr>
          <w:rFonts w:ascii="Arial" w:eastAsiaTheme="minorHAnsi" w:hAnsi="Arial" w:cs="Arial"/>
          <w:i/>
          <w:iCs/>
          <w:lang w:eastAsia="en-US"/>
        </w:rPr>
        <w:t>Revista Panamericana de Pedagogía, 36</w:t>
      </w:r>
      <w:r w:rsidRPr="00CF0824">
        <w:rPr>
          <w:rFonts w:ascii="Arial" w:eastAsiaTheme="minorHAnsi" w:hAnsi="Arial" w:cs="Arial"/>
          <w:lang w:eastAsia="en-US"/>
        </w:rPr>
        <w:t xml:space="preserve">. </w:t>
      </w:r>
      <w:r w:rsidRPr="00B86FB2">
        <w:rPr>
          <w:rFonts w:ascii="Arial" w:eastAsiaTheme="minorHAnsi" w:hAnsi="Arial" w:cs="Arial"/>
          <w:color w:val="002060"/>
          <w:u w:val="single"/>
          <w:lang w:eastAsia="en-US"/>
        </w:rPr>
        <w:t>https://doi.org/10.21555/rpp.vi36.2875</w:t>
      </w:r>
    </w:p>
    <w:p w14:paraId="17C8E42A"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Rojas-Torres, L. &amp; Ordóñez, G. (2019). Proceso de construcción de pruebas educativas: El caso de la Prueba de Habilidades Cuantitativas. </w:t>
      </w:r>
      <w:r w:rsidRPr="00CF0824">
        <w:rPr>
          <w:rFonts w:ascii="Arial" w:eastAsiaTheme="minorHAnsi" w:hAnsi="Arial" w:cs="Arial"/>
          <w:i/>
          <w:iCs/>
          <w:lang w:eastAsia="en-US"/>
        </w:rPr>
        <w:t>Evaluar, 19</w:t>
      </w:r>
      <w:r w:rsidRPr="00CF0824">
        <w:rPr>
          <w:rFonts w:ascii="Arial" w:eastAsiaTheme="minorHAnsi" w:hAnsi="Arial" w:cs="Arial"/>
          <w:lang w:eastAsia="en-US"/>
        </w:rPr>
        <w:t>(2), 15-29.</w:t>
      </w:r>
      <w:r w:rsidRPr="00B86FB2">
        <w:rPr>
          <w:rFonts w:ascii="Arial" w:eastAsiaTheme="minorHAnsi" w:hAnsi="Arial" w:cs="Arial"/>
          <w:color w:val="002060"/>
          <w:u w:val="single"/>
          <w:lang w:eastAsia="en-US"/>
        </w:rPr>
        <w:t xml:space="preserve"> https://doi.org/10.35670/1667-4545.v19.n2.25080</w:t>
      </w:r>
    </w:p>
    <w:p w14:paraId="10E5EAA4" w14:textId="77777777" w:rsidR="008441A3" w:rsidRPr="00CF0824" w:rsidRDefault="008441A3" w:rsidP="00CF0824">
      <w:pPr>
        <w:spacing w:before="100" w:beforeAutospacing="1" w:after="100" w:afterAutospacing="1" w:line="360" w:lineRule="auto"/>
        <w:ind w:left="709" w:hanging="709"/>
        <w:rPr>
          <w:rFonts w:ascii="Arial" w:eastAsiaTheme="minorHAnsi" w:hAnsi="Arial" w:cs="Arial"/>
          <w:lang w:eastAsia="en-US"/>
        </w:rPr>
      </w:pPr>
      <w:r w:rsidRPr="00CF0824">
        <w:rPr>
          <w:rFonts w:ascii="Arial" w:eastAsiaTheme="minorHAnsi" w:hAnsi="Arial" w:cs="Arial"/>
          <w:lang w:eastAsia="en-US"/>
        </w:rPr>
        <w:t xml:space="preserve">Martínez, R., Hernández, M. V. y Hernández, M. J. (2006). </w:t>
      </w:r>
      <w:r w:rsidRPr="00CF0824">
        <w:rPr>
          <w:rFonts w:ascii="Arial" w:eastAsiaTheme="minorHAnsi" w:hAnsi="Arial" w:cs="Arial"/>
          <w:i/>
          <w:iCs/>
          <w:lang w:eastAsia="en-US"/>
        </w:rPr>
        <w:t>Psicometría</w:t>
      </w:r>
      <w:r w:rsidRPr="00CF0824">
        <w:rPr>
          <w:rFonts w:ascii="Arial" w:eastAsiaTheme="minorHAnsi" w:hAnsi="Arial" w:cs="Arial"/>
          <w:lang w:eastAsia="en-US"/>
        </w:rPr>
        <w:t>. Alianza Editorial, S.A.</w:t>
      </w:r>
    </w:p>
    <w:p w14:paraId="5F673EB6" w14:textId="77777777" w:rsidR="008441A3" w:rsidRPr="00CF0824" w:rsidRDefault="008441A3" w:rsidP="00CF0824">
      <w:pPr>
        <w:spacing w:before="100" w:beforeAutospacing="1" w:after="100" w:afterAutospacing="1" w:line="360" w:lineRule="auto"/>
        <w:ind w:left="709" w:hanging="709"/>
        <w:rPr>
          <w:rFonts w:ascii="Arial" w:eastAsiaTheme="minorHAnsi" w:hAnsi="Arial" w:cs="Arial"/>
          <w:lang w:eastAsia="en-US"/>
        </w:rPr>
      </w:pPr>
      <w:r w:rsidRPr="00CF0824">
        <w:rPr>
          <w:rFonts w:ascii="Arial" w:eastAsiaTheme="minorHAnsi" w:hAnsi="Arial" w:cs="Arial"/>
          <w:lang w:val="pt-BR" w:eastAsia="en-US"/>
        </w:rPr>
        <w:t xml:space="preserve">Sánchez, M. &amp; Miguel, V. C. (2006). </w:t>
      </w:r>
      <w:r w:rsidRPr="00CF0824">
        <w:rPr>
          <w:rFonts w:ascii="Arial" w:eastAsiaTheme="minorHAnsi" w:hAnsi="Arial" w:cs="Arial"/>
          <w:lang w:eastAsia="en-US"/>
        </w:rPr>
        <w:t xml:space="preserve">Relación entre los conocimientos previos y el rendimiento en la asignatura bioquímica en estudiantes de medicina. </w:t>
      </w:r>
      <w:r w:rsidRPr="00CF0824">
        <w:rPr>
          <w:rFonts w:ascii="Arial" w:eastAsiaTheme="minorHAnsi" w:hAnsi="Arial" w:cs="Arial"/>
          <w:i/>
          <w:iCs/>
          <w:lang w:eastAsia="en-US"/>
        </w:rPr>
        <w:t>Revista de la Facultad de Medicicna, 29</w:t>
      </w:r>
      <w:r w:rsidRPr="00CF0824">
        <w:rPr>
          <w:rFonts w:ascii="Arial" w:eastAsiaTheme="minorHAnsi" w:hAnsi="Arial" w:cs="Arial"/>
          <w:lang w:eastAsia="en-US"/>
        </w:rPr>
        <w:t>(2), 114-120.</w:t>
      </w:r>
    </w:p>
    <w:p w14:paraId="16DDC19C" w14:textId="77777777" w:rsidR="008441A3" w:rsidRPr="00CF0824" w:rsidRDefault="008441A3" w:rsidP="00CF0824">
      <w:pPr>
        <w:spacing w:before="100" w:beforeAutospacing="1" w:after="100" w:afterAutospacing="1" w:line="360" w:lineRule="auto"/>
        <w:ind w:left="709" w:hanging="709"/>
        <w:rPr>
          <w:rFonts w:ascii="Arial" w:eastAsiaTheme="minorHAnsi" w:hAnsi="Arial" w:cs="Arial"/>
          <w:lang w:eastAsia="en-US"/>
        </w:rPr>
      </w:pPr>
      <w:r w:rsidRPr="00CF0824">
        <w:rPr>
          <w:rFonts w:ascii="Arial" w:eastAsiaTheme="minorHAnsi" w:hAnsi="Arial" w:cs="Arial"/>
          <w:lang w:eastAsia="en-US"/>
        </w:rPr>
        <w:t xml:space="preserve">Sireci, S. G. (2007). On Validity Theory and Test Validation. </w:t>
      </w:r>
      <w:r w:rsidRPr="00CF0824">
        <w:rPr>
          <w:rFonts w:ascii="Arial" w:eastAsiaTheme="minorHAnsi" w:hAnsi="Arial" w:cs="Arial"/>
          <w:i/>
          <w:iCs/>
          <w:lang w:eastAsia="en-US"/>
        </w:rPr>
        <w:t>Educational Researcher, 36</w:t>
      </w:r>
      <w:r w:rsidRPr="00CF0824">
        <w:rPr>
          <w:rFonts w:ascii="Arial" w:eastAsiaTheme="minorHAnsi" w:hAnsi="Arial" w:cs="Arial"/>
          <w:lang w:eastAsia="en-US"/>
        </w:rPr>
        <w:t xml:space="preserve">(8), 477-481. </w:t>
      </w:r>
      <w:r w:rsidRPr="00B86FB2">
        <w:rPr>
          <w:rFonts w:ascii="Arial" w:eastAsiaTheme="minorHAnsi" w:hAnsi="Arial" w:cs="Arial"/>
          <w:color w:val="002060"/>
          <w:u w:val="single"/>
          <w:lang w:eastAsia="en-US"/>
        </w:rPr>
        <w:t>https://doi.org/10.3102/0013189X07311609</w:t>
      </w:r>
    </w:p>
    <w:p w14:paraId="545929F4" w14:textId="77777777" w:rsidR="008441A3" w:rsidRPr="00CF0824" w:rsidRDefault="008441A3" w:rsidP="00CF0824">
      <w:pPr>
        <w:spacing w:before="100" w:beforeAutospacing="1" w:after="100" w:afterAutospacing="1" w:line="360" w:lineRule="auto"/>
        <w:ind w:left="720" w:hanging="720"/>
        <w:rPr>
          <w:rFonts w:ascii="Arial" w:eastAsiaTheme="minorHAnsi" w:hAnsi="Arial" w:cs="Arial"/>
          <w:lang w:eastAsia="en-US"/>
        </w:rPr>
      </w:pPr>
      <w:r w:rsidRPr="00CF0824">
        <w:rPr>
          <w:rFonts w:ascii="Arial" w:eastAsiaTheme="minorHAnsi" w:hAnsi="Arial" w:cs="Arial"/>
          <w:lang w:eastAsia="en-US"/>
        </w:rPr>
        <w:t xml:space="preserve">Zepeda, S. (2017a). El fin justifica los medios: Intencionalidades de la evaluación. En C. E. Förster (Ed.). </w:t>
      </w:r>
      <w:r w:rsidRPr="00CF0824">
        <w:rPr>
          <w:rFonts w:ascii="Arial" w:eastAsiaTheme="minorHAnsi" w:hAnsi="Arial" w:cs="Arial"/>
          <w:i/>
          <w:iCs/>
          <w:lang w:eastAsia="en-US"/>
        </w:rPr>
        <w:t>El poder de la evaluación en el aula</w:t>
      </w:r>
      <w:r w:rsidRPr="00CF0824">
        <w:rPr>
          <w:rFonts w:ascii="Arial" w:eastAsiaTheme="minorHAnsi" w:hAnsi="Arial" w:cs="Arial"/>
          <w:lang w:eastAsia="en-US"/>
        </w:rPr>
        <w:t xml:space="preserve"> (pp. 95-120). Ediciones UC.</w:t>
      </w:r>
    </w:p>
    <w:p w14:paraId="27AB2231" w14:textId="1BA06BAD" w:rsidR="00770D8B" w:rsidRPr="00770D8B" w:rsidRDefault="008441A3" w:rsidP="00B86FB2">
      <w:pPr>
        <w:spacing w:before="100" w:beforeAutospacing="1" w:after="100" w:afterAutospacing="1" w:line="360" w:lineRule="auto"/>
        <w:ind w:left="720" w:hanging="720"/>
        <w:rPr>
          <w:rFonts w:ascii="Arial" w:hAnsi="Arial" w:cs="Arial"/>
          <w:lang w:val="es-VE" w:eastAsia="es-VE"/>
        </w:rPr>
      </w:pPr>
      <w:r w:rsidRPr="00CF0824">
        <w:rPr>
          <w:rFonts w:ascii="Arial" w:eastAsiaTheme="minorHAnsi" w:hAnsi="Arial" w:cs="Arial"/>
          <w:lang w:eastAsia="en-US"/>
        </w:rPr>
        <w:t xml:space="preserve">Zepeda, S. (2017b). La retroalimentación efectiva y su potencial para mejorar el aprendizaje. En C. E. Förster (Ed.). </w:t>
      </w:r>
      <w:r w:rsidRPr="00CF0824">
        <w:rPr>
          <w:rFonts w:ascii="Arial" w:eastAsiaTheme="minorHAnsi" w:hAnsi="Arial" w:cs="Arial"/>
          <w:i/>
          <w:iCs/>
          <w:lang w:eastAsia="en-US"/>
        </w:rPr>
        <w:t>El poder de la evaluación en el aula</w:t>
      </w:r>
      <w:r w:rsidRPr="00CF0824">
        <w:rPr>
          <w:rFonts w:ascii="Arial" w:eastAsiaTheme="minorHAnsi" w:hAnsi="Arial" w:cs="Arial"/>
          <w:lang w:eastAsia="en-US"/>
        </w:rPr>
        <w:t xml:space="preserve"> (pp. 121-146). Ediciones UC.</w:t>
      </w:r>
      <w:r w:rsidRPr="00CF0824">
        <w:rPr>
          <w:rFonts w:ascii="Arial" w:eastAsiaTheme="minorHAnsi" w:hAnsi="Arial" w:cs="Arial"/>
          <w:lang w:eastAsia="en-US"/>
        </w:rPr>
        <w:fldChar w:fldCharType="end"/>
      </w:r>
    </w:p>
    <w:sectPr w:rsidR="00770D8B" w:rsidRPr="00770D8B" w:rsidSect="00B13F10">
      <w:headerReference w:type="default" r:id="rId13"/>
      <w:footerReference w:type="default" r:id="rId14"/>
      <w:pgSz w:w="12240" w:h="15840"/>
      <w:pgMar w:top="1417" w:right="1750" w:bottom="1411" w:left="1701" w:header="708" w:footer="708" w:gutter="0"/>
      <w:pgNumType w:start="3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78959" w14:textId="77777777" w:rsidR="00F80E3E" w:rsidRDefault="00F80E3E" w:rsidP="003C3F58">
      <w:r>
        <w:separator/>
      </w:r>
    </w:p>
  </w:endnote>
  <w:endnote w:type="continuationSeparator" w:id="0">
    <w:p w14:paraId="2D1CF7A6" w14:textId="77777777" w:rsidR="00F80E3E" w:rsidRDefault="00F80E3E"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B53A7B" w:rsidRPr="002E52DF" w:rsidRDefault="00B53A7B"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EB7A664" w14:textId="0BF87B7A" w:rsidR="00B53A7B" w:rsidRDefault="00B53A7B" w:rsidP="006E5605">
        <w:pPr>
          <w:pStyle w:val="Sinespaciado"/>
          <w:jc w:val="center"/>
          <w:rPr>
            <w:rFonts w:ascii="Agency FB" w:hAnsi="Agency FB"/>
            <w:b/>
            <w:color w:val="E36C0A"/>
          </w:rPr>
        </w:pPr>
        <w:r w:rsidRPr="00297922">
          <w:rPr>
            <w:rFonts w:ascii="Agency FB" w:hAnsi="Agency FB"/>
            <w:b/>
            <w:color w:val="E36C0A"/>
          </w:rPr>
          <w:t>Construcción e implementación de una prueba diagnóstica para cursos de cálculo</w:t>
        </w:r>
      </w:p>
      <w:p w14:paraId="2EF245E8" w14:textId="174B924F" w:rsidR="00B53A7B" w:rsidRPr="00BC0D99" w:rsidRDefault="00B53A7B" w:rsidP="0020679D">
        <w:pPr>
          <w:pStyle w:val="Sinespaciado"/>
          <w:jc w:val="center"/>
          <w:rPr>
            <w:rFonts w:ascii="Agency FB" w:hAnsi="Agency FB"/>
            <w:color w:val="E36C0A"/>
            <w:lang w:val="es-CR"/>
          </w:rPr>
        </w:pPr>
        <w:r w:rsidRPr="00297922">
          <w:rPr>
            <w:rFonts w:ascii="Agency FB" w:hAnsi="Agency FB"/>
            <w:color w:val="E36C0A"/>
            <w:lang w:val="es-CR"/>
          </w:rPr>
          <w:t>Luis Rojas-Torres</w:t>
        </w:r>
        <w:r>
          <w:rPr>
            <w:rFonts w:ascii="Agency FB" w:hAnsi="Agency FB"/>
            <w:color w:val="E36C0A"/>
            <w:lang w:val="es-CR"/>
          </w:rPr>
          <w:t xml:space="preserve"> y</w:t>
        </w:r>
        <w:r w:rsidRPr="00297922">
          <w:t xml:space="preserve"> </w:t>
        </w:r>
        <w:r w:rsidRPr="00297922">
          <w:rPr>
            <w:rFonts w:ascii="Agency FB" w:hAnsi="Agency FB"/>
            <w:color w:val="E36C0A"/>
            <w:lang w:val="es-CR"/>
          </w:rPr>
          <w:t>Karol Jiménez</w:t>
        </w:r>
        <w:r>
          <w:rPr>
            <w:rFonts w:ascii="Agency FB" w:hAnsi="Agency FB"/>
            <w:color w:val="E36C0A"/>
            <w:lang w:val="es-CR"/>
          </w:rPr>
          <w:t>-</w:t>
        </w:r>
        <w:r w:rsidRPr="00297922">
          <w:rPr>
            <w:rFonts w:ascii="Agency FB" w:hAnsi="Agency FB"/>
            <w:color w:val="E36C0A"/>
            <w:lang w:val="es-CR"/>
          </w:rPr>
          <w:t>Alfaro</w:t>
        </w:r>
      </w:p>
      <w:p w14:paraId="1F70B1D2" w14:textId="420BDA49" w:rsidR="00B53A7B" w:rsidRPr="009E108D" w:rsidRDefault="00B53A7B" w:rsidP="0020679D">
        <w:pPr>
          <w:pStyle w:val="Sinespaciado"/>
          <w:jc w:val="center"/>
          <w:rPr>
            <w:rFonts w:ascii="Agency FB" w:hAnsi="Agency FB"/>
            <w:color w:val="E36C0A"/>
            <w:lang w:val="en-US"/>
          </w:rPr>
        </w:pPr>
        <w:r w:rsidRPr="009E108D">
          <w:rPr>
            <w:rFonts w:ascii="Agency FB" w:hAnsi="Agency FB"/>
            <w:color w:val="E36C0A"/>
            <w:lang w:val="en-US"/>
          </w:rPr>
          <w:t xml:space="preserve">DOI: </w:t>
        </w:r>
        <w:hyperlink r:id="rId1" w:history="1">
          <w:r w:rsidR="00705009" w:rsidRPr="00705009">
            <w:rPr>
              <w:rStyle w:val="Hipervnculo"/>
              <w:rFonts w:ascii="Agency FB" w:hAnsi="Agency FB"/>
              <w:color w:val="002060"/>
              <w:lang w:val="en-US"/>
            </w:rPr>
            <w:t>http://dx.doi.org/10.22458/caes.v16i1.5628</w:t>
          </w:r>
        </w:hyperlink>
      </w:p>
      <w:p w14:paraId="416290C8" w14:textId="17170D1B" w:rsidR="00B53A7B" w:rsidRPr="0066186F" w:rsidRDefault="00B53A7B" w:rsidP="0020679D">
        <w:pPr>
          <w:pStyle w:val="Sinespaciado"/>
          <w:tabs>
            <w:tab w:val="center" w:pos="4929"/>
            <w:tab w:val="left" w:pos="8661"/>
          </w:tabs>
          <w:rPr>
            <w:rFonts w:ascii="Agency FB" w:hAnsi="Agency FB"/>
            <w:color w:val="E36C0A"/>
          </w:rPr>
        </w:pPr>
        <w:r w:rsidRPr="009E108D">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B53A7B" w:rsidRPr="0066186F" w:rsidRDefault="00B53A7B"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B53A7B" w:rsidRDefault="00B53A7B">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B53A7B" w:rsidRPr="0020679D" w:rsidRDefault="00B53A7B">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6E66C" w14:textId="77777777" w:rsidR="00F80E3E" w:rsidRDefault="00F80E3E" w:rsidP="003C3F58">
      <w:r>
        <w:separator/>
      </w:r>
    </w:p>
  </w:footnote>
  <w:footnote w:type="continuationSeparator" w:id="0">
    <w:p w14:paraId="1443C2AD" w14:textId="77777777" w:rsidR="00F80E3E" w:rsidRDefault="00F80E3E" w:rsidP="003C3F58">
      <w:r>
        <w:continuationSeparator/>
      </w:r>
    </w:p>
  </w:footnote>
  <w:footnote w:id="1">
    <w:p w14:paraId="7F83BD30" w14:textId="45C8D7DC" w:rsidR="00B53A7B" w:rsidRPr="00A64CAC" w:rsidRDefault="00B53A7B" w:rsidP="009B5173">
      <w:pPr>
        <w:spacing w:line="240" w:lineRule="atLeast"/>
        <w:jc w:val="both"/>
        <w:rPr>
          <w:rFonts w:ascii="Arial" w:eastAsiaTheme="minorHAnsi" w:hAnsi="Arial" w:cs="Arial"/>
          <w:sz w:val="20"/>
          <w:szCs w:val="20"/>
          <w:lang w:val="es-MX" w:eastAsia="es-PE"/>
        </w:rPr>
      </w:pPr>
      <w:r w:rsidRPr="00A64CAC">
        <w:rPr>
          <w:rStyle w:val="Refdenotaalpie"/>
          <w:rFonts w:ascii="Arial" w:eastAsia="Arial" w:hAnsi="Arial" w:cs="Arial"/>
          <w:sz w:val="20"/>
          <w:szCs w:val="20"/>
        </w:rPr>
        <w:footnoteRef/>
      </w:r>
      <w:r w:rsidRPr="00A64CAC">
        <w:rPr>
          <w:rFonts w:ascii="Arial" w:hAnsi="Arial" w:cs="Arial"/>
          <w:sz w:val="20"/>
          <w:szCs w:val="20"/>
        </w:rPr>
        <w:t xml:space="preserve"> Doctor en Educación, máster en Estadística y licenciado en Enseñanza de la Matemática. Profesor e investigador en el Centro de Investigación en Matemática y Metamatemática, Escuela de Matemática, Universidad de Costa Rica. </w:t>
      </w:r>
      <w:bookmarkStart w:id="4" w:name="_Hlk167366216"/>
      <w:bookmarkStart w:id="5" w:name="_Hlk167366217"/>
      <w:bookmarkStart w:id="6" w:name="_Hlk167366221"/>
      <w:bookmarkStart w:id="7" w:name="_Hlk167366222"/>
      <w:bookmarkStart w:id="8" w:name="_Hlk167366226"/>
      <w:bookmarkStart w:id="9" w:name="_Hlk167366227"/>
      <w:bookmarkStart w:id="10" w:name="_Hlk167366229"/>
      <w:bookmarkStart w:id="11" w:name="_Hlk167366230"/>
      <w:r w:rsidRPr="00A64CAC">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4"/>
      <w:bookmarkEnd w:id="5"/>
      <w:bookmarkEnd w:id="6"/>
      <w:bookmarkEnd w:id="7"/>
      <w:bookmarkEnd w:id="8"/>
      <w:bookmarkEnd w:id="9"/>
      <w:bookmarkEnd w:id="10"/>
      <w:bookmarkEnd w:id="11"/>
      <w:r w:rsidRPr="00A64CAC">
        <w:rPr>
          <w:rFonts w:ascii="Arial" w:hAnsi="Arial" w:cs="Arial"/>
          <w:color w:val="000000" w:themeColor="text1"/>
          <w:sz w:val="20"/>
          <w:szCs w:val="20"/>
        </w:rPr>
        <w:t xml:space="preserve"> </w:t>
      </w:r>
      <w:r w:rsidRPr="00A64CAC">
        <w:rPr>
          <w:rFonts w:ascii="Arial" w:hAnsi="Arial" w:cs="Arial"/>
          <w:color w:val="002060"/>
          <w:sz w:val="20"/>
          <w:szCs w:val="20"/>
          <w:u w:val="single"/>
        </w:rPr>
        <w:t>http</w:t>
      </w:r>
      <w:r w:rsidR="007331AE">
        <w:rPr>
          <w:rFonts w:ascii="Arial" w:hAnsi="Arial" w:cs="Arial"/>
          <w:color w:val="002060"/>
          <w:sz w:val="20"/>
          <w:szCs w:val="20"/>
          <w:u w:val="single"/>
        </w:rPr>
        <w:t>s</w:t>
      </w:r>
      <w:r w:rsidRPr="00A64CAC">
        <w:rPr>
          <w:rFonts w:ascii="Arial" w:hAnsi="Arial" w:cs="Arial"/>
          <w:color w:val="002060"/>
          <w:sz w:val="20"/>
          <w:szCs w:val="20"/>
          <w:u w:val="single"/>
        </w:rPr>
        <w:t>://orcid.org/0000-0002-9085-2703</w:t>
      </w:r>
    </w:p>
  </w:footnote>
  <w:footnote w:id="2">
    <w:p w14:paraId="4D18E775" w14:textId="450DF7B3" w:rsidR="00B53A7B" w:rsidRPr="00AB06B4" w:rsidRDefault="00B53A7B" w:rsidP="007D17F5">
      <w:pPr>
        <w:pStyle w:val="Textonotapie"/>
        <w:jc w:val="both"/>
        <w:rPr>
          <w:rFonts w:ascii="Arial" w:hAnsi="Arial" w:cs="Arial"/>
          <w:lang w:val="es-MX"/>
        </w:rPr>
      </w:pPr>
      <w:r w:rsidRPr="00A64CAC">
        <w:rPr>
          <w:rStyle w:val="Refdenotaalpie"/>
          <w:rFonts w:ascii="Arial" w:hAnsi="Arial" w:cs="Arial"/>
        </w:rPr>
        <w:footnoteRef/>
      </w:r>
      <w:r w:rsidRPr="00A64CAC">
        <w:rPr>
          <w:rFonts w:ascii="Arial" w:hAnsi="Arial" w:cs="Arial"/>
        </w:rPr>
        <w:t xml:space="preserve">  Máster en Matemática Educativa y licenciada en Enseñanza de la Matemática. Profesora e investigadora en el Centro de Investigación en Matemática y Metamatemática, Escuela de Matemática, Universidad de Costa Rica. </w:t>
      </w:r>
      <w:r w:rsidRPr="00A64CAC">
        <w:rPr>
          <w:rFonts w:ascii="Arial" w:hAnsi="Arial" w:cs="Arial"/>
          <w:noProof/>
          <w:lang w:eastAsia="es-CR"/>
        </w:rPr>
        <w:drawing>
          <wp:inline distT="0" distB="0" distL="0" distR="0" wp14:anchorId="0288F568" wp14:editId="5B3B3C52">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4CAC">
        <w:rPr>
          <w:rFonts w:ascii="Arial" w:hAnsi="Arial" w:cs="Arial"/>
        </w:rPr>
        <w:t xml:space="preserve"> </w:t>
      </w:r>
      <w:r w:rsidRPr="00A64CAC">
        <w:rPr>
          <w:rFonts w:ascii="Arial" w:hAnsi="Arial" w:cs="Arial"/>
          <w:color w:val="002060"/>
          <w:u w:val="single"/>
        </w:rPr>
        <w:t>http</w:t>
      </w:r>
      <w:r w:rsidR="007331AE">
        <w:rPr>
          <w:rFonts w:ascii="Arial" w:hAnsi="Arial" w:cs="Arial"/>
          <w:color w:val="002060"/>
          <w:u w:val="single"/>
        </w:rPr>
        <w:t>s</w:t>
      </w:r>
      <w:r w:rsidRPr="00A64CAC">
        <w:rPr>
          <w:rFonts w:ascii="Arial" w:hAnsi="Arial" w:cs="Arial"/>
          <w:color w:val="002060"/>
          <w:u w:val="single"/>
        </w:rPr>
        <w:t>://orcid.org/0000-0002-7891-1862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472BA1C" w:rsidR="00B53A7B" w:rsidRPr="00B344FA" w:rsidRDefault="00B53A7B" w:rsidP="008A1766">
    <w:pPr>
      <w:pStyle w:val="Sinespaciado"/>
      <w:jc w:val="center"/>
      <w:rPr>
        <w:rFonts w:ascii="Agency FB" w:hAnsi="Agency FB"/>
        <w:color w:val="E36C0A"/>
      </w:rPr>
    </w:pPr>
    <w:bookmarkStart w:id="17"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ENERO-MAYO,2025:</w:t>
    </w:r>
    <w:r>
      <w:rPr>
        <w:rFonts w:ascii="Agency FB" w:hAnsi="Agency FB"/>
        <w:color w:val="E36C0A"/>
      </w:rPr>
      <w:t xml:space="preserve"> 376-</w:t>
    </w:r>
    <w:r w:rsidR="00D65F1C">
      <w:rPr>
        <w:rFonts w:ascii="Agency FB" w:hAnsi="Agency FB"/>
        <w:color w:val="E36C0A"/>
      </w:rPr>
      <w:t>405</w:t>
    </w:r>
  </w:p>
  <w:p w14:paraId="505074AE" w14:textId="4D68327B" w:rsidR="00B53A7B" w:rsidRPr="00FE0969" w:rsidRDefault="00B53A7B"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B53A7B" w:rsidRPr="0081623B" w:rsidRDefault="00564779" w:rsidP="00A82B98">
    <w:pPr>
      <w:pStyle w:val="Sinespaciado"/>
      <w:jc w:val="center"/>
      <w:rPr>
        <w:rFonts w:ascii="Agency FB" w:hAnsi="Agency FB"/>
        <w:color w:val="E36C0A"/>
      </w:rPr>
    </w:pPr>
    <w:hyperlink r:id="rId2" w:history="1">
      <w:r w:rsidR="00B53A7B" w:rsidRPr="0081623B">
        <w:rPr>
          <w:color w:val="E36C0A"/>
        </w:rPr>
        <w:t>http://revistas.uned.ac.cr./index.php/revistacalidad</w:t>
      </w:r>
    </w:hyperlink>
  </w:p>
  <w:p w14:paraId="3F557B39" w14:textId="77777777" w:rsidR="00B53A7B" w:rsidRPr="0081623B" w:rsidRDefault="00B53A7B"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B53A7B" w:rsidRDefault="00B53A7B"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7"/>
  <w:p w14:paraId="65D9EF25" w14:textId="77777777" w:rsidR="00B53A7B" w:rsidRDefault="00B53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E4A50"/>
    <w:multiLevelType w:val="hybridMultilevel"/>
    <w:tmpl w:val="54F24D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0BE7"/>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00E"/>
    <w:rsid w:val="00050CBC"/>
    <w:rsid w:val="00051E67"/>
    <w:rsid w:val="000534BC"/>
    <w:rsid w:val="00053936"/>
    <w:rsid w:val="00053E75"/>
    <w:rsid w:val="0005514E"/>
    <w:rsid w:val="0005594E"/>
    <w:rsid w:val="00057376"/>
    <w:rsid w:val="00057A12"/>
    <w:rsid w:val="0006064F"/>
    <w:rsid w:val="00061C1E"/>
    <w:rsid w:val="00063B82"/>
    <w:rsid w:val="0007083E"/>
    <w:rsid w:val="000720BF"/>
    <w:rsid w:val="00073695"/>
    <w:rsid w:val="000749E7"/>
    <w:rsid w:val="00075680"/>
    <w:rsid w:val="00076624"/>
    <w:rsid w:val="00080C46"/>
    <w:rsid w:val="00081189"/>
    <w:rsid w:val="00081EA1"/>
    <w:rsid w:val="00083198"/>
    <w:rsid w:val="00084C26"/>
    <w:rsid w:val="00086FA0"/>
    <w:rsid w:val="00091331"/>
    <w:rsid w:val="00091D68"/>
    <w:rsid w:val="000925EC"/>
    <w:rsid w:val="00095A07"/>
    <w:rsid w:val="00097C08"/>
    <w:rsid w:val="00097DE7"/>
    <w:rsid w:val="000A111C"/>
    <w:rsid w:val="000A1290"/>
    <w:rsid w:val="000A227F"/>
    <w:rsid w:val="000A3A9F"/>
    <w:rsid w:val="000A6D9A"/>
    <w:rsid w:val="000A7E22"/>
    <w:rsid w:val="000B7151"/>
    <w:rsid w:val="000B7446"/>
    <w:rsid w:val="000C08B0"/>
    <w:rsid w:val="000C1371"/>
    <w:rsid w:val="000C1608"/>
    <w:rsid w:val="000C355B"/>
    <w:rsid w:val="000C680B"/>
    <w:rsid w:val="000C7451"/>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61B7"/>
    <w:rsid w:val="00101707"/>
    <w:rsid w:val="00102586"/>
    <w:rsid w:val="00104E6F"/>
    <w:rsid w:val="00106270"/>
    <w:rsid w:val="00107071"/>
    <w:rsid w:val="00107EBF"/>
    <w:rsid w:val="00111083"/>
    <w:rsid w:val="00111BDA"/>
    <w:rsid w:val="00116616"/>
    <w:rsid w:val="00116C20"/>
    <w:rsid w:val="00120219"/>
    <w:rsid w:val="001207A6"/>
    <w:rsid w:val="001234AE"/>
    <w:rsid w:val="00124725"/>
    <w:rsid w:val="00125F0E"/>
    <w:rsid w:val="0012727A"/>
    <w:rsid w:val="00127E7E"/>
    <w:rsid w:val="00130994"/>
    <w:rsid w:val="00131292"/>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380D"/>
    <w:rsid w:val="001561AF"/>
    <w:rsid w:val="00156C8F"/>
    <w:rsid w:val="00160030"/>
    <w:rsid w:val="001624E8"/>
    <w:rsid w:val="001650EE"/>
    <w:rsid w:val="0016669C"/>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43CA"/>
    <w:rsid w:val="001A5BBC"/>
    <w:rsid w:val="001A5FB1"/>
    <w:rsid w:val="001A69C6"/>
    <w:rsid w:val="001A6A7E"/>
    <w:rsid w:val="001B1F0E"/>
    <w:rsid w:val="001B2038"/>
    <w:rsid w:val="001B2F02"/>
    <w:rsid w:val="001B33FD"/>
    <w:rsid w:val="001B38E2"/>
    <w:rsid w:val="001B49A7"/>
    <w:rsid w:val="001B52E9"/>
    <w:rsid w:val="001B740D"/>
    <w:rsid w:val="001C017C"/>
    <w:rsid w:val="001C0FDB"/>
    <w:rsid w:val="001C395C"/>
    <w:rsid w:val="001C77F9"/>
    <w:rsid w:val="001D06ED"/>
    <w:rsid w:val="001D0D80"/>
    <w:rsid w:val="001D0E42"/>
    <w:rsid w:val="001D19BA"/>
    <w:rsid w:val="001D27F3"/>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59D6"/>
    <w:rsid w:val="0020679D"/>
    <w:rsid w:val="00211B63"/>
    <w:rsid w:val="00212AFB"/>
    <w:rsid w:val="002144FC"/>
    <w:rsid w:val="0021492A"/>
    <w:rsid w:val="00215374"/>
    <w:rsid w:val="002205F4"/>
    <w:rsid w:val="00220D72"/>
    <w:rsid w:val="00224C62"/>
    <w:rsid w:val="002258EE"/>
    <w:rsid w:val="00226640"/>
    <w:rsid w:val="00226CC3"/>
    <w:rsid w:val="00230309"/>
    <w:rsid w:val="00231519"/>
    <w:rsid w:val="00233067"/>
    <w:rsid w:val="00233172"/>
    <w:rsid w:val="00236788"/>
    <w:rsid w:val="00240604"/>
    <w:rsid w:val="00240D80"/>
    <w:rsid w:val="00241400"/>
    <w:rsid w:val="00245097"/>
    <w:rsid w:val="002465EC"/>
    <w:rsid w:val="00247C59"/>
    <w:rsid w:val="002533F2"/>
    <w:rsid w:val="002539E8"/>
    <w:rsid w:val="00253E0B"/>
    <w:rsid w:val="0025410D"/>
    <w:rsid w:val="0025487F"/>
    <w:rsid w:val="0025499F"/>
    <w:rsid w:val="00255248"/>
    <w:rsid w:val="00257014"/>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1C88"/>
    <w:rsid w:val="00282AEC"/>
    <w:rsid w:val="00282C90"/>
    <w:rsid w:val="00284D6F"/>
    <w:rsid w:val="00285DA3"/>
    <w:rsid w:val="002863C4"/>
    <w:rsid w:val="00287A7B"/>
    <w:rsid w:val="00291424"/>
    <w:rsid w:val="002923A7"/>
    <w:rsid w:val="002977E3"/>
    <w:rsid w:val="00297922"/>
    <w:rsid w:val="002A060D"/>
    <w:rsid w:val="002A140A"/>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51CC"/>
    <w:rsid w:val="002F541D"/>
    <w:rsid w:val="00300366"/>
    <w:rsid w:val="00301975"/>
    <w:rsid w:val="00302FF9"/>
    <w:rsid w:val="003038BB"/>
    <w:rsid w:val="00304107"/>
    <w:rsid w:val="0030625A"/>
    <w:rsid w:val="003072E5"/>
    <w:rsid w:val="00307B7F"/>
    <w:rsid w:val="003111A0"/>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0D52"/>
    <w:rsid w:val="00352916"/>
    <w:rsid w:val="00352BEC"/>
    <w:rsid w:val="003534F4"/>
    <w:rsid w:val="00356311"/>
    <w:rsid w:val="003569DD"/>
    <w:rsid w:val="00356BC7"/>
    <w:rsid w:val="003570BE"/>
    <w:rsid w:val="00357FE9"/>
    <w:rsid w:val="0036277B"/>
    <w:rsid w:val="0036524A"/>
    <w:rsid w:val="00365ACA"/>
    <w:rsid w:val="003676E3"/>
    <w:rsid w:val="003740EE"/>
    <w:rsid w:val="00374B6A"/>
    <w:rsid w:val="00376A84"/>
    <w:rsid w:val="003777DF"/>
    <w:rsid w:val="003800B4"/>
    <w:rsid w:val="00381165"/>
    <w:rsid w:val="0038147B"/>
    <w:rsid w:val="00384F2B"/>
    <w:rsid w:val="003871D4"/>
    <w:rsid w:val="0039451A"/>
    <w:rsid w:val="00396255"/>
    <w:rsid w:val="00397F3C"/>
    <w:rsid w:val="003A57EF"/>
    <w:rsid w:val="003A6498"/>
    <w:rsid w:val="003A67D3"/>
    <w:rsid w:val="003A6B4B"/>
    <w:rsid w:val="003A6C5E"/>
    <w:rsid w:val="003B1799"/>
    <w:rsid w:val="003B19CC"/>
    <w:rsid w:val="003B2D18"/>
    <w:rsid w:val="003B2EA3"/>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4E2C"/>
    <w:rsid w:val="003D7613"/>
    <w:rsid w:val="003D7CFE"/>
    <w:rsid w:val="003E0A0B"/>
    <w:rsid w:val="003E0BC8"/>
    <w:rsid w:val="003E1C5F"/>
    <w:rsid w:val="003E2F0C"/>
    <w:rsid w:val="003E4CB5"/>
    <w:rsid w:val="003F0196"/>
    <w:rsid w:val="003F0481"/>
    <w:rsid w:val="003F44F5"/>
    <w:rsid w:val="003F4747"/>
    <w:rsid w:val="00400EA4"/>
    <w:rsid w:val="00403008"/>
    <w:rsid w:val="00403E7A"/>
    <w:rsid w:val="00410140"/>
    <w:rsid w:val="0041152C"/>
    <w:rsid w:val="004115EC"/>
    <w:rsid w:val="00413EE0"/>
    <w:rsid w:val="00415D4A"/>
    <w:rsid w:val="004168C6"/>
    <w:rsid w:val="00416F62"/>
    <w:rsid w:val="00417F4D"/>
    <w:rsid w:val="004225FB"/>
    <w:rsid w:val="0042346F"/>
    <w:rsid w:val="004246B0"/>
    <w:rsid w:val="00424D73"/>
    <w:rsid w:val="00425DD9"/>
    <w:rsid w:val="00433155"/>
    <w:rsid w:val="004338FF"/>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801"/>
    <w:rsid w:val="00457E3C"/>
    <w:rsid w:val="004602AA"/>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A5A20"/>
    <w:rsid w:val="004B4D45"/>
    <w:rsid w:val="004B5ADB"/>
    <w:rsid w:val="004B7156"/>
    <w:rsid w:val="004B722B"/>
    <w:rsid w:val="004B7852"/>
    <w:rsid w:val="004B7B50"/>
    <w:rsid w:val="004C39B6"/>
    <w:rsid w:val="004C4CD9"/>
    <w:rsid w:val="004C521F"/>
    <w:rsid w:val="004C6D4B"/>
    <w:rsid w:val="004D0DC5"/>
    <w:rsid w:val="004D2193"/>
    <w:rsid w:val="004D5004"/>
    <w:rsid w:val="004D65DC"/>
    <w:rsid w:val="004D79A8"/>
    <w:rsid w:val="004E18C0"/>
    <w:rsid w:val="004E2C53"/>
    <w:rsid w:val="004E31E9"/>
    <w:rsid w:val="004E7499"/>
    <w:rsid w:val="004E788A"/>
    <w:rsid w:val="004F08D4"/>
    <w:rsid w:val="004F0FE0"/>
    <w:rsid w:val="004F13B1"/>
    <w:rsid w:val="004F1C1D"/>
    <w:rsid w:val="004F6716"/>
    <w:rsid w:val="005000D2"/>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2769"/>
    <w:rsid w:val="00553DF9"/>
    <w:rsid w:val="00556450"/>
    <w:rsid w:val="00560910"/>
    <w:rsid w:val="00561B3D"/>
    <w:rsid w:val="00562168"/>
    <w:rsid w:val="005646D7"/>
    <w:rsid w:val="00564779"/>
    <w:rsid w:val="0057122B"/>
    <w:rsid w:val="005724B5"/>
    <w:rsid w:val="00572F5A"/>
    <w:rsid w:val="0057733A"/>
    <w:rsid w:val="00577A92"/>
    <w:rsid w:val="00580CF6"/>
    <w:rsid w:val="005827E8"/>
    <w:rsid w:val="0058405B"/>
    <w:rsid w:val="005849F5"/>
    <w:rsid w:val="00586E8C"/>
    <w:rsid w:val="00587689"/>
    <w:rsid w:val="0059013A"/>
    <w:rsid w:val="005903F7"/>
    <w:rsid w:val="00590820"/>
    <w:rsid w:val="00592E4E"/>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DEC"/>
    <w:rsid w:val="005E6E39"/>
    <w:rsid w:val="005F024D"/>
    <w:rsid w:val="005F04E9"/>
    <w:rsid w:val="005F0ADA"/>
    <w:rsid w:val="005F2A1A"/>
    <w:rsid w:val="005F2C40"/>
    <w:rsid w:val="005F39FA"/>
    <w:rsid w:val="005F40A7"/>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0F10"/>
    <w:rsid w:val="006320C8"/>
    <w:rsid w:val="006335FA"/>
    <w:rsid w:val="00633D94"/>
    <w:rsid w:val="0063618A"/>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77A34"/>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5776"/>
    <w:rsid w:val="006B6820"/>
    <w:rsid w:val="006C170C"/>
    <w:rsid w:val="006C2D94"/>
    <w:rsid w:val="006C4E91"/>
    <w:rsid w:val="006C638B"/>
    <w:rsid w:val="006D0175"/>
    <w:rsid w:val="006D1379"/>
    <w:rsid w:val="006D1AFF"/>
    <w:rsid w:val="006D1D66"/>
    <w:rsid w:val="006D40C4"/>
    <w:rsid w:val="006D4368"/>
    <w:rsid w:val="006D67D9"/>
    <w:rsid w:val="006D73BC"/>
    <w:rsid w:val="006E2B35"/>
    <w:rsid w:val="006E3AA7"/>
    <w:rsid w:val="006E472E"/>
    <w:rsid w:val="006E5605"/>
    <w:rsid w:val="006E5984"/>
    <w:rsid w:val="006F55E9"/>
    <w:rsid w:val="007012CF"/>
    <w:rsid w:val="007013D8"/>
    <w:rsid w:val="00704B89"/>
    <w:rsid w:val="00705009"/>
    <w:rsid w:val="007053EE"/>
    <w:rsid w:val="007077DC"/>
    <w:rsid w:val="00711661"/>
    <w:rsid w:val="0071178D"/>
    <w:rsid w:val="007118C9"/>
    <w:rsid w:val="0071551E"/>
    <w:rsid w:val="00717D1B"/>
    <w:rsid w:val="0072045D"/>
    <w:rsid w:val="00720A83"/>
    <w:rsid w:val="007220F0"/>
    <w:rsid w:val="0072344A"/>
    <w:rsid w:val="00723D31"/>
    <w:rsid w:val="00723FEB"/>
    <w:rsid w:val="00727ABF"/>
    <w:rsid w:val="007321F5"/>
    <w:rsid w:val="00733199"/>
    <w:rsid w:val="007331AE"/>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5CA"/>
    <w:rsid w:val="00770D8B"/>
    <w:rsid w:val="007732E8"/>
    <w:rsid w:val="00773E01"/>
    <w:rsid w:val="00775FAB"/>
    <w:rsid w:val="00777310"/>
    <w:rsid w:val="007800DA"/>
    <w:rsid w:val="0078065A"/>
    <w:rsid w:val="00782D3C"/>
    <w:rsid w:val="00784A71"/>
    <w:rsid w:val="00786818"/>
    <w:rsid w:val="007876B0"/>
    <w:rsid w:val="007954C7"/>
    <w:rsid w:val="00795E38"/>
    <w:rsid w:val="007A1631"/>
    <w:rsid w:val="007A1D81"/>
    <w:rsid w:val="007A1D9C"/>
    <w:rsid w:val="007A3AD7"/>
    <w:rsid w:val="007A6C7D"/>
    <w:rsid w:val="007A786A"/>
    <w:rsid w:val="007A7CCD"/>
    <w:rsid w:val="007B5052"/>
    <w:rsid w:val="007B5544"/>
    <w:rsid w:val="007B5AC4"/>
    <w:rsid w:val="007B6284"/>
    <w:rsid w:val="007B6A0C"/>
    <w:rsid w:val="007B6A7D"/>
    <w:rsid w:val="007B7D24"/>
    <w:rsid w:val="007C1A67"/>
    <w:rsid w:val="007C33A1"/>
    <w:rsid w:val="007C3B20"/>
    <w:rsid w:val="007C41DE"/>
    <w:rsid w:val="007C506F"/>
    <w:rsid w:val="007C7DA1"/>
    <w:rsid w:val="007C7FBC"/>
    <w:rsid w:val="007D17F5"/>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4326"/>
    <w:rsid w:val="007F5066"/>
    <w:rsid w:val="007F7494"/>
    <w:rsid w:val="007F7714"/>
    <w:rsid w:val="008000FD"/>
    <w:rsid w:val="008007E2"/>
    <w:rsid w:val="00800898"/>
    <w:rsid w:val="008041D8"/>
    <w:rsid w:val="008067A0"/>
    <w:rsid w:val="00807AD4"/>
    <w:rsid w:val="00807BCD"/>
    <w:rsid w:val="00814594"/>
    <w:rsid w:val="00825555"/>
    <w:rsid w:val="008325B7"/>
    <w:rsid w:val="00832BEC"/>
    <w:rsid w:val="00832D4D"/>
    <w:rsid w:val="00834C63"/>
    <w:rsid w:val="008377E1"/>
    <w:rsid w:val="00840A0A"/>
    <w:rsid w:val="00842ADC"/>
    <w:rsid w:val="0084340D"/>
    <w:rsid w:val="00843913"/>
    <w:rsid w:val="00843D05"/>
    <w:rsid w:val="008441A3"/>
    <w:rsid w:val="008464C6"/>
    <w:rsid w:val="00851BB2"/>
    <w:rsid w:val="00852F2A"/>
    <w:rsid w:val="00853AAF"/>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5016"/>
    <w:rsid w:val="008D6912"/>
    <w:rsid w:val="008D6BF4"/>
    <w:rsid w:val="008D792C"/>
    <w:rsid w:val="008E1E64"/>
    <w:rsid w:val="008E251D"/>
    <w:rsid w:val="008E5B01"/>
    <w:rsid w:val="008E5DEB"/>
    <w:rsid w:val="008E79DB"/>
    <w:rsid w:val="008F2F8D"/>
    <w:rsid w:val="008F3EC0"/>
    <w:rsid w:val="008F463D"/>
    <w:rsid w:val="008F46F0"/>
    <w:rsid w:val="008F59E5"/>
    <w:rsid w:val="008F72A0"/>
    <w:rsid w:val="00900F34"/>
    <w:rsid w:val="009032F2"/>
    <w:rsid w:val="009035EA"/>
    <w:rsid w:val="00906526"/>
    <w:rsid w:val="00907BAF"/>
    <w:rsid w:val="00911167"/>
    <w:rsid w:val="009140A0"/>
    <w:rsid w:val="00914B87"/>
    <w:rsid w:val="00914E9E"/>
    <w:rsid w:val="00916187"/>
    <w:rsid w:val="00917E0E"/>
    <w:rsid w:val="00920108"/>
    <w:rsid w:val="0092045D"/>
    <w:rsid w:val="0092714F"/>
    <w:rsid w:val="00930946"/>
    <w:rsid w:val="00931ED5"/>
    <w:rsid w:val="009344B8"/>
    <w:rsid w:val="009372E8"/>
    <w:rsid w:val="00940FB2"/>
    <w:rsid w:val="00942003"/>
    <w:rsid w:val="00942C4E"/>
    <w:rsid w:val="00942D51"/>
    <w:rsid w:val="0094364A"/>
    <w:rsid w:val="00943894"/>
    <w:rsid w:val="0094448D"/>
    <w:rsid w:val="00944B72"/>
    <w:rsid w:val="00951F9C"/>
    <w:rsid w:val="00952A3E"/>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6E21"/>
    <w:rsid w:val="00990E89"/>
    <w:rsid w:val="00991097"/>
    <w:rsid w:val="00991623"/>
    <w:rsid w:val="0099203B"/>
    <w:rsid w:val="00994516"/>
    <w:rsid w:val="009947C9"/>
    <w:rsid w:val="00994CD1"/>
    <w:rsid w:val="0099684D"/>
    <w:rsid w:val="0099762E"/>
    <w:rsid w:val="009A0B29"/>
    <w:rsid w:val="009A24C0"/>
    <w:rsid w:val="009A24D0"/>
    <w:rsid w:val="009A3F86"/>
    <w:rsid w:val="009A5D77"/>
    <w:rsid w:val="009A602B"/>
    <w:rsid w:val="009A72CA"/>
    <w:rsid w:val="009B093A"/>
    <w:rsid w:val="009B0C9D"/>
    <w:rsid w:val="009B1524"/>
    <w:rsid w:val="009B32D6"/>
    <w:rsid w:val="009B3DBF"/>
    <w:rsid w:val="009B5173"/>
    <w:rsid w:val="009B5613"/>
    <w:rsid w:val="009C2A48"/>
    <w:rsid w:val="009C5054"/>
    <w:rsid w:val="009C623F"/>
    <w:rsid w:val="009C796F"/>
    <w:rsid w:val="009D09CA"/>
    <w:rsid w:val="009D0F40"/>
    <w:rsid w:val="009D2091"/>
    <w:rsid w:val="009D6880"/>
    <w:rsid w:val="009D7EB4"/>
    <w:rsid w:val="009E0339"/>
    <w:rsid w:val="009E0A47"/>
    <w:rsid w:val="009E108D"/>
    <w:rsid w:val="009E17B4"/>
    <w:rsid w:val="009E1C9E"/>
    <w:rsid w:val="009E26F8"/>
    <w:rsid w:val="009E28AA"/>
    <w:rsid w:val="009E301E"/>
    <w:rsid w:val="009E6C6B"/>
    <w:rsid w:val="009E7EBB"/>
    <w:rsid w:val="009F0D19"/>
    <w:rsid w:val="009F10DB"/>
    <w:rsid w:val="009F20EE"/>
    <w:rsid w:val="009F3E5A"/>
    <w:rsid w:val="009F4158"/>
    <w:rsid w:val="009F41E0"/>
    <w:rsid w:val="00A02C72"/>
    <w:rsid w:val="00A05C29"/>
    <w:rsid w:val="00A0714B"/>
    <w:rsid w:val="00A10142"/>
    <w:rsid w:val="00A10470"/>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CAC"/>
    <w:rsid w:val="00A64FD8"/>
    <w:rsid w:val="00A659B7"/>
    <w:rsid w:val="00A65BDD"/>
    <w:rsid w:val="00A66330"/>
    <w:rsid w:val="00A67253"/>
    <w:rsid w:val="00A72AAA"/>
    <w:rsid w:val="00A72F88"/>
    <w:rsid w:val="00A74B1A"/>
    <w:rsid w:val="00A74CFD"/>
    <w:rsid w:val="00A753C8"/>
    <w:rsid w:val="00A75810"/>
    <w:rsid w:val="00A75E97"/>
    <w:rsid w:val="00A8037A"/>
    <w:rsid w:val="00A80D4D"/>
    <w:rsid w:val="00A816D2"/>
    <w:rsid w:val="00A82B98"/>
    <w:rsid w:val="00A831C5"/>
    <w:rsid w:val="00A849E6"/>
    <w:rsid w:val="00A910D1"/>
    <w:rsid w:val="00A92906"/>
    <w:rsid w:val="00A94B92"/>
    <w:rsid w:val="00A95E12"/>
    <w:rsid w:val="00A966C3"/>
    <w:rsid w:val="00A96900"/>
    <w:rsid w:val="00A97DA5"/>
    <w:rsid w:val="00AA06F4"/>
    <w:rsid w:val="00AA0784"/>
    <w:rsid w:val="00AA0C8B"/>
    <w:rsid w:val="00AA156F"/>
    <w:rsid w:val="00AA19BD"/>
    <w:rsid w:val="00AA3F8E"/>
    <w:rsid w:val="00AB06B4"/>
    <w:rsid w:val="00AB085F"/>
    <w:rsid w:val="00AB18FF"/>
    <w:rsid w:val="00AB23E8"/>
    <w:rsid w:val="00AB2572"/>
    <w:rsid w:val="00AB3130"/>
    <w:rsid w:val="00AB3461"/>
    <w:rsid w:val="00AB502B"/>
    <w:rsid w:val="00AB714D"/>
    <w:rsid w:val="00AB728D"/>
    <w:rsid w:val="00AB767F"/>
    <w:rsid w:val="00AB7EA5"/>
    <w:rsid w:val="00AC70B9"/>
    <w:rsid w:val="00AD1492"/>
    <w:rsid w:val="00AD24A6"/>
    <w:rsid w:val="00AD2804"/>
    <w:rsid w:val="00AD2B2D"/>
    <w:rsid w:val="00AD60CF"/>
    <w:rsid w:val="00AD7BF3"/>
    <w:rsid w:val="00AE1E2A"/>
    <w:rsid w:val="00AE2A0F"/>
    <w:rsid w:val="00AE398C"/>
    <w:rsid w:val="00AE4078"/>
    <w:rsid w:val="00AE6B8E"/>
    <w:rsid w:val="00AF24E8"/>
    <w:rsid w:val="00AF29BA"/>
    <w:rsid w:val="00AF3165"/>
    <w:rsid w:val="00AF3170"/>
    <w:rsid w:val="00AF56F6"/>
    <w:rsid w:val="00AF6E60"/>
    <w:rsid w:val="00AF746C"/>
    <w:rsid w:val="00B02E66"/>
    <w:rsid w:val="00B04F39"/>
    <w:rsid w:val="00B10E7C"/>
    <w:rsid w:val="00B114F7"/>
    <w:rsid w:val="00B13F10"/>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17ED"/>
    <w:rsid w:val="00B4569C"/>
    <w:rsid w:val="00B47C76"/>
    <w:rsid w:val="00B51AF9"/>
    <w:rsid w:val="00B51FC8"/>
    <w:rsid w:val="00B53056"/>
    <w:rsid w:val="00B53A7B"/>
    <w:rsid w:val="00B5417F"/>
    <w:rsid w:val="00B547E6"/>
    <w:rsid w:val="00B55452"/>
    <w:rsid w:val="00B56C5F"/>
    <w:rsid w:val="00B62C34"/>
    <w:rsid w:val="00B64379"/>
    <w:rsid w:val="00B72467"/>
    <w:rsid w:val="00B73158"/>
    <w:rsid w:val="00B77050"/>
    <w:rsid w:val="00B7794A"/>
    <w:rsid w:val="00B848FA"/>
    <w:rsid w:val="00B85E0C"/>
    <w:rsid w:val="00B8671B"/>
    <w:rsid w:val="00B86FB2"/>
    <w:rsid w:val="00B90153"/>
    <w:rsid w:val="00B92AAE"/>
    <w:rsid w:val="00B93825"/>
    <w:rsid w:val="00B93855"/>
    <w:rsid w:val="00B95B67"/>
    <w:rsid w:val="00B95D6E"/>
    <w:rsid w:val="00B96872"/>
    <w:rsid w:val="00B97E99"/>
    <w:rsid w:val="00BA59F2"/>
    <w:rsid w:val="00BA6BA5"/>
    <w:rsid w:val="00BB1F20"/>
    <w:rsid w:val="00BB2A2E"/>
    <w:rsid w:val="00BB36EC"/>
    <w:rsid w:val="00BB44B1"/>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3E12"/>
    <w:rsid w:val="00BD4163"/>
    <w:rsid w:val="00BD4BC6"/>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3587"/>
    <w:rsid w:val="00C04057"/>
    <w:rsid w:val="00C05D60"/>
    <w:rsid w:val="00C1393F"/>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69D"/>
    <w:rsid w:val="00C46E6E"/>
    <w:rsid w:val="00C50506"/>
    <w:rsid w:val="00C52052"/>
    <w:rsid w:val="00C522AA"/>
    <w:rsid w:val="00C525D0"/>
    <w:rsid w:val="00C55CE7"/>
    <w:rsid w:val="00C56B06"/>
    <w:rsid w:val="00C57393"/>
    <w:rsid w:val="00C57C4D"/>
    <w:rsid w:val="00C60D91"/>
    <w:rsid w:val="00C6281D"/>
    <w:rsid w:val="00C62FD0"/>
    <w:rsid w:val="00C63D25"/>
    <w:rsid w:val="00C6401D"/>
    <w:rsid w:val="00C65450"/>
    <w:rsid w:val="00C66FA3"/>
    <w:rsid w:val="00C67FB2"/>
    <w:rsid w:val="00C74527"/>
    <w:rsid w:val="00C74F96"/>
    <w:rsid w:val="00C75E59"/>
    <w:rsid w:val="00C77132"/>
    <w:rsid w:val="00C7717E"/>
    <w:rsid w:val="00C777C5"/>
    <w:rsid w:val="00C77E10"/>
    <w:rsid w:val="00C861A3"/>
    <w:rsid w:val="00C904C7"/>
    <w:rsid w:val="00C91386"/>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6177"/>
    <w:rsid w:val="00CE7EBD"/>
    <w:rsid w:val="00CF0824"/>
    <w:rsid w:val="00CF0A7F"/>
    <w:rsid w:val="00CF3953"/>
    <w:rsid w:val="00CF3F10"/>
    <w:rsid w:val="00CF747F"/>
    <w:rsid w:val="00D02BCE"/>
    <w:rsid w:val="00D04B0E"/>
    <w:rsid w:val="00D056CE"/>
    <w:rsid w:val="00D057BF"/>
    <w:rsid w:val="00D073F9"/>
    <w:rsid w:val="00D16262"/>
    <w:rsid w:val="00D16287"/>
    <w:rsid w:val="00D1670A"/>
    <w:rsid w:val="00D16D63"/>
    <w:rsid w:val="00D176BB"/>
    <w:rsid w:val="00D2050D"/>
    <w:rsid w:val="00D20629"/>
    <w:rsid w:val="00D24D92"/>
    <w:rsid w:val="00D264EA"/>
    <w:rsid w:val="00D31D1A"/>
    <w:rsid w:val="00D32ADB"/>
    <w:rsid w:val="00D33152"/>
    <w:rsid w:val="00D335B8"/>
    <w:rsid w:val="00D33FAA"/>
    <w:rsid w:val="00D353E7"/>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5F1C"/>
    <w:rsid w:val="00D664F4"/>
    <w:rsid w:val="00D67493"/>
    <w:rsid w:val="00D71653"/>
    <w:rsid w:val="00D726F9"/>
    <w:rsid w:val="00D72F85"/>
    <w:rsid w:val="00D76148"/>
    <w:rsid w:val="00D777B7"/>
    <w:rsid w:val="00D826B8"/>
    <w:rsid w:val="00D82EF8"/>
    <w:rsid w:val="00D83A9B"/>
    <w:rsid w:val="00D8512E"/>
    <w:rsid w:val="00D85507"/>
    <w:rsid w:val="00D861F9"/>
    <w:rsid w:val="00D864BD"/>
    <w:rsid w:val="00D90802"/>
    <w:rsid w:val="00D90840"/>
    <w:rsid w:val="00D911A5"/>
    <w:rsid w:val="00D929AD"/>
    <w:rsid w:val="00D93B86"/>
    <w:rsid w:val="00D9595B"/>
    <w:rsid w:val="00D9680F"/>
    <w:rsid w:val="00DA585B"/>
    <w:rsid w:val="00DB049D"/>
    <w:rsid w:val="00DB1AC2"/>
    <w:rsid w:val="00DB3216"/>
    <w:rsid w:val="00DB3B84"/>
    <w:rsid w:val="00DB4549"/>
    <w:rsid w:val="00DB53EE"/>
    <w:rsid w:val="00DB7AE2"/>
    <w:rsid w:val="00DC2054"/>
    <w:rsid w:val="00DC3156"/>
    <w:rsid w:val="00DC355F"/>
    <w:rsid w:val="00DC3685"/>
    <w:rsid w:val="00DC3E1C"/>
    <w:rsid w:val="00DC47A1"/>
    <w:rsid w:val="00DC61A0"/>
    <w:rsid w:val="00DC6B15"/>
    <w:rsid w:val="00DD01D0"/>
    <w:rsid w:val="00DD1BD5"/>
    <w:rsid w:val="00DD72DD"/>
    <w:rsid w:val="00DE2B10"/>
    <w:rsid w:val="00DE43FB"/>
    <w:rsid w:val="00DE4737"/>
    <w:rsid w:val="00DE5F0F"/>
    <w:rsid w:val="00DE61E0"/>
    <w:rsid w:val="00DF1513"/>
    <w:rsid w:val="00DF2728"/>
    <w:rsid w:val="00E001C3"/>
    <w:rsid w:val="00E0186F"/>
    <w:rsid w:val="00E049B7"/>
    <w:rsid w:val="00E0577F"/>
    <w:rsid w:val="00E05D3B"/>
    <w:rsid w:val="00E05EED"/>
    <w:rsid w:val="00E07CD1"/>
    <w:rsid w:val="00E100D5"/>
    <w:rsid w:val="00E11BFF"/>
    <w:rsid w:val="00E121A3"/>
    <w:rsid w:val="00E129A2"/>
    <w:rsid w:val="00E1546C"/>
    <w:rsid w:val="00E16F40"/>
    <w:rsid w:val="00E179DF"/>
    <w:rsid w:val="00E20D87"/>
    <w:rsid w:val="00E23F6F"/>
    <w:rsid w:val="00E247BE"/>
    <w:rsid w:val="00E24E58"/>
    <w:rsid w:val="00E274B1"/>
    <w:rsid w:val="00E30481"/>
    <w:rsid w:val="00E329CC"/>
    <w:rsid w:val="00E32BF1"/>
    <w:rsid w:val="00E34BD0"/>
    <w:rsid w:val="00E40710"/>
    <w:rsid w:val="00E40CC5"/>
    <w:rsid w:val="00E40F1E"/>
    <w:rsid w:val="00E4260B"/>
    <w:rsid w:val="00E426AC"/>
    <w:rsid w:val="00E44732"/>
    <w:rsid w:val="00E4521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1632"/>
    <w:rsid w:val="00E72A92"/>
    <w:rsid w:val="00E73B25"/>
    <w:rsid w:val="00E847BA"/>
    <w:rsid w:val="00E84AFB"/>
    <w:rsid w:val="00E855EF"/>
    <w:rsid w:val="00E90070"/>
    <w:rsid w:val="00E94C2D"/>
    <w:rsid w:val="00E95F83"/>
    <w:rsid w:val="00EA2D86"/>
    <w:rsid w:val="00EA3CE3"/>
    <w:rsid w:val="00EA4C11"/>
    <w:rsid w:val="00EA755A"/>
    <w:rsid w:val="00EB14B3"/>
    <w:rsid w:val="00EB3291"/>
    <w:rsid w:val="00EB3DF8"/>
    <w:rsid w:val="00EB4F14"/>
    <w:rsid w:val="00EB5002"/>
    <w:rsid w:val="00EC0231"/>
    <w:rsid w:val="00EC2840"/>
    <w:rsid w:val="00EC2ADD"/>
    <w:rsid w:val="00EC371D"/>
    <w:rsid w:val="00EC5562"/>
    <w:rsid w:val="00EC6B3F"/>
    <w:rsid w:val="00ED1B3A"/>
    <w:rsid w:val="00ED3C72"/>
    <w:rsid w:val="00ED4847"/>
    <w:rsid w:val="00ED7554"/>
    <w:rsid w:val="00EE1709"/>
    <w:rsid w:val="00EE3DF6"/>
    <w:rsid w:val="00EF0AE0"/>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20DFF"/>
    <w:rsid w:val="00F22026"/>
    <w:rsid w:val="00F258ED"/>
    <w:rsid w:val="00F260DC"/>
    <w:rsid w:val="00F270D0"/>
    <w:rsid w:val="00F30C95"/>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74D"/>
    <w:rsid w:val="00F6282B"/>
    <w:rsid w:val="00F64977"/>
    <w:rsid w:val="00F65B31"/>
    <w:rsid w:val="00F67C00"/>
    <w:rsid w:val="00F70C67"/>
    <w:rsid w:val="00F71F9A"/>
    <w:rsid w:val="00F72400"/>
    <w:rsid w:val="00F730FC"/>
    <w:rsid w:val="00F74A88"/>
    <w:rsid w:val="00F76E94"/>
    <w:rsid w:val="00F76EA2"/>
    <w:rsid w:val="00F77272"/>
    <w:rsid w:val="00F80E3E"/>
    <w:rsid w:val="00F81DC1"/>
    <w:rsid w:val="00F82B45"/>
    <w:rsid w:val="00F8549F"/>
    <w:rsid w:val="00F86AA2"/>
    <w:rsid w:val="00F87210"/>
    <w:rsid w:val="00F87D82"/>
    <w:rsid w:val="00F92BD0"/>
    <w:rsid w:val="00F93D89"/>
    <w:rsid w:val="00F97097"/>
    <w:rsid w:val="00FA08C6"/>
    <w:rsid w:val="00FA415A"/>
    <w:rsid w:val="00FA7F3B"/>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304"/>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8441A3"/>
  </w:style>
  <w:style w:type="table" w:customStyle="1" w:styleId="Tablaconcuadrcula1">
    <w:name w:val="Tabla con cuadrícula1"/>
    <w:basedOn w:val="Tablanormal"/>
    <w:next w:val="Tablaconcuadrcula"/>
    <w:uiPriority w:val="39"/>
    <w:rsid w:val="008441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8441A3"/>
    <w:pPr>
      <w:spacing w:line="480" w:lineRule="auto"/>
      <w:ind w:left="720" w:hanging="720"/>
    </w:pPr>
    <w:rPr>
      <w:rFonts w:asciiTheme="minorHAnsi" w:eastAsiaTheme="minorHAnsi" w:hAnsiTheme="minorHAnsi" w:cstheme="minorBidi"/>
      <w:sz w:val="22"/>
      <w:szCs w:val="22"/>
      <w:lang w:eastAsia="en-US"/>
    </w:rPr>
  </w:style>
  <w:style w:type="character" w:styleId="Textodelmarcadordeposicin">
    <w:name w:val="Placeholder Text"/>
    <w:basedOn w:val="Fuentedeprrafopredeter"/>
    <w:uiPriority w:val="99"/>
    <w:semiHidden/>
    <w:rsid w:val="008441A3"/>
    <w:rPr>
      <w:color w:val="666666"/>
    </w:rPr>
  </w:style>
  <w:style w:type="paragraph" w:customStyle="1" w:styleId="s10">
    <w:name w:val="s10"/>
    <w:basedOn w:val="Normal"/>
    <w:rsid w:val="008441A3"/>
    <w:pPr>
      <w:spacing w:before="100" w:beforeAutospacing="1" w:after="100" w:afterAutospacing="1"/>
    </w:pPr>
    <w:rPr>
      <w:lang w:eastAsia="es-MX"/>
    </w:rPr>
  </w:style>
  <w:style w:type="character" w:customStyle="1" w:styleId="s9">
    <w:name w:val="s9"/>
    <w:basedOn w:val="Fuentedeprrafopredeter"/>
    <w:rsid w:val="008441A3"/>
  </w:style>
  <w:style w:type="character" w:customStyle="1" w:styleId="s11">
    <w:name w:val="s11"/>
    <w:basedOn w:val="Fuentedeprrafopredeter"/>
    <w:rsid w:val="008441A3"/>
  </w:style>
  <w:style w:type="paragraph" w:customStyle="1" w:styleId="s7">
    <w:name w:val="s7"/>
    <w:basedOn w:val="Normal"/>
    <w:rsid w:val="008441A3"/>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ip.ucr.ac.cr/es/publicaciones/series-cuadernos-metodologicos/cuaderno-9-estandares-de-calidad-para-prueb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jimenez@ucr.ac.c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1.5628"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3F5A792E-3FF5-4211-B103-DCB9F279864B}">
  <ds:schemaRefs>
    <ds:schemaRef ds:uri="cfcdc204-4e92-42c3-8531-a843731a3a7f"/>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8ed3e0dc-cd40-4c41-b3c6-5be0952fa03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A64F8F9-E1AA-4569-8C15-09E91893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9668</Words>
  <Characters>53176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