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CA8B7" w14:textId="77777777" w:rsidR="00575B26" w:rsidRPr="00575B26" w:rsidRDefault="00575B26" w:rsidP="00575B26">
      <w:pPr>
        <w:pStyle w:val="NormalWeb"/>
        <w:spacing w:line="360" w:lineRule="auto"/>
        <w:jc w:val="center"/>
        <w:rPr>
          <w:rFonts w:ascii="Arial" w:hAnsi="Arial" w:cs="Arial"/>
          <w:b/>
          <w:bCs/>
          <w:color w:val="C45911" w:themeColor="accent2" w:themeShade="BF"/>
        </w:rPr>
      </w:pPr>
      <w:bookmarkStart w:id="0" w:name="_Hlk198972455"/>
      <w:bookmarkStart w:id="1" w:name="_Hlk198820249"/>
      <w:bookmarkStart w:id="2" w:name="_Hlk145952311"/>
      <w:bookmarkStart w:id="3" w:name="_GoBack"/>
      <w:bookmarkEnd w:id="3"/>
      <w:r w:rsidRPr="00575B26">
        <w:rPr>
          <w:rFonts w:ascii="Arial" w:hAnsi="Arial" w:cs="Arial"/>
          <w:b/>
          <w:bCs/>
          <w:color w:val="C45911" w:themeColor="accent2" w:themeShade="BF"/>
        </w:rPr>
        <w:t>Calidad de los programas de cursos en postgrados y carreras universitarias de Centroamérica y República Dominicana (2016-2024)</w:t>
      </w:r>
    </w:p>
    <w:bookmarkEnd w:id="0"/>
    <w:p w14:paraId="5E69B166" w14:textId="38D11765" w:rsidR="00575B26" w:rsidRPr="00575B26" w:rsidRDefault="00575B26" w:rsidP="00575B26">
      <w:pPr>
        <w:pStyle w:val="NormalWeb"/>
        <w:spacing w:before="0" w:beforeAutospacing="0" w:after="0" w:afterAutospacing="0" w:line="360" w:lineRule="auto"/>
        <w:jc w:val="center"/>
        <w:rPr>
          <w:rFonts w:ascii="Arial" w:hAnsi="Arial" w:cs="Arial"/>
          <w:b/>
          <w:bCs/>
          <w:color w:val="C45911" w:themeColor="accent2" w:themeShade="BF"/>
          <w:lang w:val="en-US"/>
        </w:rPr>
      </w:pPr>
      <w:r w:rsidRPr="00575B26">
        <w:rPr>
          <w:rFonts w:ascii="Arial" w:hAnsi="Arial" w:cs="Arial"/>
          <w:b/>
          <w:bCs/>
          <w:color w:val="C45911" w:themeColor="accent2" w:themeShade="BF"/>
          <w:lang w:val="en-US"/>
        </w:rPr>
        <w:t>Quality of Course Programs in Undergraduate and Graduate Degrees in Central America and the Dominican Republic (2016–2024)</w:t>
      </w:r>
    </w:p>
    <w:p w14:paraId="5BE275EB" w14:textId="77777777" w:rsidR="00575B26" w:rsidRPr="00575B26" w:rsidRDefault="00575B26"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bookmarkEnd w:id="1"/>
    <w:bookmarkEnd w:id="2"/>
    <w:p w14:paraId="0C40EE4B" w14:textId="7115379B" w:rsidR="00415D4A" w:rsidRDefault="00415D4A" w:rsidP="00A82B98">
      <w:pPr>
        <w:pStyle w:val="NormalWeb"/>
        <w:spacing w:before="0" w:beforeAutospacing="0" w:after="0" w:afterAutospacing="0" w:line="276" w:lineRule="auto"/>
        <w:jc w:val="right"/>
        <w:rPr>
          <w:rFonts w:ascii="Arial" w:hAnsi="Arial" w:cs="Arial"/>
          <w:lang w:val="en-US"/>
        </w:rPr>
      </w:pPr>
    </w:p>
    <w:p w14:paraId="56032507" w14:textId="77777777" w:rsidR="00C618EA" w:rsidRPr="00A8037A" w:rsidRDefault="00C618EA" w:rsidP="00A82B98">
      <w:pPr>
        <w:pStyle w:val="NormalWeb"/>
        <w:spacing w:before="0" w:beforeAutospacing="0" w:after="0" w:afterAutospacing="0" w:line="276" w:lineRule="auto"/>
        <w:jc w:val="right"/>
        <w:rPr>
          <w:rFonts w:ascii="Arial" w:hAnsi="Arial" w:cs="Arial"/>
          <w:lang w:val="en-US"/>
        </w:rPr>
      </w:pPr>
    </w:p>
    <w:p w14:paraId="15395EE9" w14:textId="7CAB206E" w:rsidR="00A82B98" w:rsidRPr="00B55452" w:rsidRDefault="006E6E7A" w:rsidP="00A82B98">
      <w:pPr>
        <w:pStyle w:val="NormalWeb"/>
        <w:spacing w:before="0" w:beforeAutospacing="0" w:after="0" w:afterAutospacing="0" w:line="276" w:lineRule="auto"/>
        <w:jc w:val="right"/>
        <w:rPr>
          <w:rFonts w:ascii="Arial" w:hAnsi="Arial" w:cs="Arial"/>
        </w:rPr>
      </w:pPr>
      <w:bookmarkStart w:id="4" w:name="_Hlk198972484"/>
      <w:r w:rsidRPr="006E6E7A">
        <w:rPr>
          <w:rFonts w:ascii="Arial" w:hAnsi="Arial" w:cs="Arial"/>
        </w:rPr>
        <w:t>Andrei</w:t>
      </w:r>
      <w:r w:rsidR="00C17700">
        <w:rPr>
          <w:rFonts w:ascii="Arial" w:hAnsi="Arial" w:cs="Arial"/>
        </w:rPr>
        <w:t>-</w:t>
      </w:r>
      <w:r w:rsidRPr="006E6E7A">
        <w:rPr>
          <w:rFonts w:ascii="Arial" w:hAnsi="Arial" w:cs="Arial"/>
        </w:rPr>
        <w:t>N. Fedorov-Fedorov</w:t>
      </w:r>
      <w:bookmarkEnd w:id="4"/>
      <w:r w:rsidR="00A82B98" w:rsidRPr="00B55452">
        <w:rPr>
          <w:rStyle w:val="Refdenotaalpie"/>
          <w:rFonts w:ascii="Arial" w:eastAsia="Arial" w:hAnsi="Arial" w:cs="Arial"/>
        </w:rPr>
        <w:footnoteReference w:id="1"/>
      </w:r>
    </w:p>
    <w:p w14:paraId="54FACEFC" w14:textId="6B34289F" w:rsidR="00A82B98" w:rsidRDefault="00425983" w:rsidP="00A82B98">
      <w:pPr>
        <w:pStyle w:val="NormalWeb"/>
        <w:spacing w:before="0" w:beforeAutospacing="0" w:after="0" w:afterAutospacing="0" w:line="276" w:lineRule="auto"/>
        <w:jc w:val="right"/>
        <w:rPr>
          <w:rFonts w:ascii="Arial" w:hAnsi="Arial" w:cs="Arial"/>
        </w:rPr>
      </w:pPr>
      <w:r>
        <w:rPr>
          <w:rFonts w:ascii="Arial" w:hAnsi="Arial" w:cs="Arial"/>
        </w:rPr>
        <w:t>Instituto Tecnológico</w:t>
      </w:r>
      <w:r w:rsidR="00A82B98" w:rsidRPr="00B55452">
        <w:rPr>
          <w:rFonts w:ascii="Arial" w:hAnsi="Arial" w:cs="Arial"/>
        </w:rPr>
        <w:t xml:space="preserve"> </w:t>
      </w:r>
      <w:r w:rsidR="004F6716">
        <w:rPr>
          <w:rFonts w:ascii="Arial" w:hAnsi="Arial" w:cs="Arial"/>
        </w:rPr>
        <w:t>de Costa Rica</w:t>
      </w:r>
    </w:p>
    <w:p w14:paraId="34E3782F" w14:textId="0A95DB8C" w:rsidR="00A82B98" w:rsidRPr="00B55452" w:rsidRDefault="00425983" w:rsidP="00A82B98">
      <w:pPr>
        <w:pStyle w:val="NormalWeb"/>
        <w:spacing w:before="0" w:beforeAutospacing="0" w:after="0" w:afterAutospacing="0" w:line="276" w:lineRule="auto"/>
        <w:jc w:val="right"/>
        <w:rPr>
          <w:rFonts w:ascii="Arial" w:hAnsi="Arial" w:cs="Arial"/>
        </w:rPr>
      </w:pPr>
      <w:r>
        <w:rPr>
          <w:rFonts w:ascii="Arial" w:hAnsi="Arial" w:cs="Arial"/>
        </w:rPr>
        <w:t>Cartago</w:t>
      </w:r>
      <w:r w:rsidR="00A82B98">
        <w:rPr>
          <w:rFonts w:ascii="Arial" w:hAnsi="Arial" w:cs="Arial"/>
        </w:rPr>
        <w:t>, Costa Rica</w:t>
      </w:r>
    </w:p>
    <w:p w14:paraId="1586665D" w14:textId="250D117D" w:rsidR="00A82B98" w:rsidRPr="00DA3DBA" w:rsidRDefault="00DA3DBA" w:rsidP="00215374">
      <w:pPr>
        <w:spacing w:line="240" w:lineRule="atLeast"/>
        <w:jc w:val="right"/>
        <w:rPr>
          <w:rFonts w:ascii="Arial" w:hAnsi="Arial" w:cs="Arial"/>
          <w:color w:val="002060"/>
          <w:u w:val="single"/>
          <w:lang w:val="es-MX" w:eastAsia="es-PE"/>
        </w:rPr>
      </w:pPr>
      <w:r w:rsidRPr="00DA3DBA">
        <w:rPr>
          <w:rFonts w:ascii="Arial" w:hAnsi="Arial" w:cs="Arial"/>
          <w:color w:val="002060"/>
          <w:u w:val="single"/>
        </w:rPr>
        <w:t>afedorov@itcr.ac.cr</w:t>
      </w:r>
      <w:r w:rsidR="00A82B98" w:rsidRPr="00DA3DBA">
        <w:rPr>
          <w:rStyle w:val="Hipervnculo"/>
          <w:rFonts w:ascii="Arial" w:hAnsi="Arial" w:cs="Arial"/>
          <w:color w:val="002060"/>
        </w:rPr>
        <w:t xml:space="preserve"> </w:t>
      </w:r>
    </w:p>
    <w:p w14:paraId="6011B59B" w14:textId="77777777" w:rsidR="00A82B98" w:rsidRPr="00DA3DBA" w:rsidRDefault="00A82B98" w:rsidP="00A82B98">
      <w:pPr>
        <w:pStyle w:val="NormalWeb"/>
        <w:spacing w:before="0" w:beforeAutospacing="0" w:after="0" w:afterAutospacing="0" w:line="276" w:lineRule="auto"/>
        <w:rPr>
          <w:rFonts w:ascii="Arial" w:hAnsi="Arial" w:cs="Arial"/>
          <w:color w:val="002060"/>
        </w:rPr>
      </w:pPr>
      <w:r w:rsidRPr="00DA3DBA">
        <w:rPr>
          <w:rFonts w:ascii="Arial" w:hAnsi="Arial" w:cs="Arial"/>
          <w:color w:val="002060"/>
        </w:rPr>
        <w:t xml:space="preserve">  </w:t>
      </w:r>
    </w:p>
    <w:p w14:paraId="319F6C9B" w14:textId="77777777" w:rsidR="00A82B98" w:rsidRPr="00DA3DBA" w:rsidRDefault="00A82B98" w:rsidP="00A82B98">
      <w:pPr>
        <w:pStyle w:val="NormalWeb"/>
        <w:spacing w:before="0" w:beforeAutospacing="0" w:after="0" w:afterAutospacing="0" w:line="360" w:lineRule="auto"/>
        <w:jc w:val="center"/>
        <w:rPr>
          <w:rFonts w:ascii="Arial" w:hAnsi="Arial" w:cs="Arial"/>
          <w:b/>
          <w:bCs/>
          <w:color w:val="002060"/>
        </w:rPr>
      </w:pPr>
    </w:p>
    <w:p w14:paraId="76AF58E0" w14:textId="77777777" w:rsidR="007B4222" w:rsidRPr="00DA3DBA" w:rsidRDefault="007B4222" w:rsidP="00A82B98">
      <w:pPr>
        <w:tabs>
          <w:tab w:val="left" w:pos="5865"/>
        </w:tabs>
        <w:jc w:val="center"/>
        <w:rPr>
          <w:rFonts w:ascii="Arial" w:hAnsi="Arial" w:cs="Arial"/>
          <w:bCs/>
          <w:color w:val="002060"/>
          <w:u w:val="single"/>
        </w:rPr>
      </w:pPr>
    </w:p>
    <w:p w14:paraId="4C1650BF" w14:textId="54951765" w:rsidR="00A82B98" w:rsidRPr="00DA3DBA" w:rsidRDefault="00A82B98" w:rsidP="00A82B98">
      <w:pPr>
        <w:tabs>
          <w:tab w:val="left" w:pos="5865"/>
        </w:tabs>
        <w:jc w:val="center"/>
        <w:rPr>
          <w:rFonts w:ascii="Arial" w:hAnsi="Arial" w:cs="Arial"/>
          <w:bCs/>
          <w:color w:val="002060"/>
          <w:u w:val="single"/>
          <w:lang w:val="en-US"/>
        </w:rPr>
      </w:pPr>
      <w:r w:rsidRPr="00DA3DBA">
        <w:rPr>
          <w:rFonts w:ascii="Arial" w:hAnsi="Arial" w:cs="Arial"/>
          <w:bCs/>
          <w:color w:val="002060"/>
          <w:u w:val="single"/>
          <w:lang w:val="en-US"/>
        </w:rPr>
        <w:t>DOI: http://dx.doi.org/10.22458/caes.v1</w:t>
      </w:r>
      <w:r w:rsidR="00B344FA" w:rsidRPr="00DA3DBA">
        <w:rPr>
          <w:rFonts w:ascii="Arial" w:hAnsi="Arial" w:cs="Arial"/>
          <w:bCs/>
          <w:color w:val="002060"/>
          <w:u w:val="single"/>
          <w:lang w:val="en-US"/>
        </w:rPr>
        <w:t>6</w:t>
      </w:r>
      <w:r w:rsidRPr="00DA3DBA">
        <w:rPr>
          <w:rFonts w:ascii="Arial" w:hAnsi="Arial" w:cs="Arial"/>
          <w:bCs/>
          <w:color w:val="002060"/>
          <w:u w:val="single"/>
          <w:lang w:val="en-US"/>
        </w:rPr>
        <w:t>i</w:t>
      </w:r>
      <w:r w:rsidR="009B093A" w:rsidRPr="00DA3DBA">
        <w:rPr>
          <w:rFonts w:ascii="Arial" w:hAnsi="Arial" w:cs="Arial"/>
          <w:bCs/>
          <w:color w:val="002060"/>
          <w:u w:val="single"/>
          <w:lang w:val="en-US"/>
        </w:rPr>
        <w:t>1</w:t>
      </w:r>
      <w:r w:rsidRPr="00DA3DBA">
        <w:rPr>
          <w:rFonts w:ascii="Arial" w:hAnsi="Arial" w:cs="Arial"/>
          <w:bCs/>
          <w:color w:val="002060"/>
          <w:u w:val="single"/>
          <w:lang w:val="en-US"/>
        </w:rPr>
        <w:t>.</w:t>
      </w:r>
      <w:r w:rsidR="001D0E42" w:rsidRPr="00DA3DBA">
        <w:rPr>
          <w:rFonts w:ascii="Arial" w:hAnsi="Arial" w:cs="Arial"/>
          <w:bCs/>
          <w:color w:val="002060"/>
          <w:u w:val="single"/>
          <w:lang w:val="en-US"/>
        </w:rPr>
        <w:t>5</w:t>
      </w:r>
      <w:r w:rsidR="002E6183" w:rsidRPr="00DA3DBA">
        <w:rPr>
          <w:rFonts w:ascii="Arial" w:hAnsi="Arial" w:cs="Arial"/>
          <w:bCs/>
          <w:color w:val="002060"/>
          <w:u w:val="single"/>
          <w:lang w:val="en-US"/>
        </w:rPr>
        <w:t>571</w:t>
      </w:r>
    </w:p>
    <w:p w14:paraId="0F249272" w14:textId="1E536AEE"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1D0E42">
        <w:rPr>
          <w:rFonts w:ascii="Arial" w:hAnsi="Arial" w:cs="Arial"/>
          <w:bCs/>
        </w:rPr>
        <w:t>6</w:t>
      </w:r>
      <w:r>
        <w:rPr>
          <w:rFonts w:ascii="Arial" w:hAnsi="Arial" w:cs="Arial"/>
          <w:bCs/>
        </w:rPr>
        <w:t xml:space="preserve">, Número </w:t>
      </w:r>
      <w:r w:rsidR="001D0E42">
        <w:rPr>
          <w:rFonts w:ascii="Arial" w:hAnsi="Arial" w:cs="Arial"/>
          <w:bCs/>
        </w:rPr>
        <w:t>1</w:t>
      </w:r>
    </w:p>
    <w:p w14:paraId="0912D7D7" w14:textId="6404C53F"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EA755A">
        <w:rPr>
          <w:rFonts w:ascii="Arial" w:hAnsi="Arial" w:cs="Arial"/>
          <w:bCs/>
        </w:rPr>
        <w:t>mayo</w:t>
      </w:r>
      <w:r>
        <w:rPr>
          <w:rFonts w:ascii="Arial" w:hAnsi="Arial" w:cs="Arial"/>
          <w:bCs/>
        </w:rPr>
        <w:t xml:space="preserve"> de 202</w:t>
      </w:r>
      <w:r w:rsidR="00EA755A">
        <w:rPr>
          <w:rFonts w:ascii="Arial" w:hAnsi="Arial" w:cs="Arial"/>
          <w:bCs/>
        </w:rPr>
        <w:t>5</w:t>
      </w:r>
    </w:p>
    <w:p w14:paraId="32EEFDF7" w14:textId="589C527E" w:rsidR="00A82B98" w:rsidRDefault="00A82B98" w:rsidP="0020679D">
      <w:pPr>
        <w:tabs>
          <w:tab w:val="left" w:pos="5865"/>
        </w:tabs>
        <w:spacing w:line="276" w:lineRule="auto"/>
        <w:jc w:val="center"/>
        <w:rPr>
          <w:rFonts w:ascii="Arial" w:hAnsi="Arial" w:cs="Arial"/>
          <w:bCs/>
        </w:rPr>
      </w:pPr>
      <w:r w:rsidRPr="001D0E42">
        <w:rPr>
          <w:rFonts w:ascii="Arial" w:hAnsi="Arial" w:cs="Arial"/>
          <w:bCs/>
        </w:rPr>
        <w:t xml:space="preserve">pp. </w:t>
      </w:r>
      <w:r w:rsidR="0038500A">
        <w:rPr>
          <w:rFonts w:ascii="Arial" w:hAnsi="Arial" w:cs="Arial"/>
          <w:bCs/>
        </w:rPr>
        <w:t>330</w:t>
      </w:r>
      <w:r w:rsidR="009A34C0">
        <w:rPr>
          <w:rFonts w:ascii="Arial" w:hAnsi="Arial" w:cs="Arial"/>
          <w:bCs/>
        </w:rPr>
        <w:t>-</w:t>
      </w:r>
      <w:r w:rsidR="00F96D64">
        <w:rPr>
          <w:rFonts w:ascii="Arial" w:hAnsi="Arial" w:cs="Arial"/>
          <w:bCs/>
        </w:rPr>
        <w:t>375</w:t>
      </w:r>
    </w:p>
    <w:p w14:paraId="2C811F73" w14:textId="77777777" w:rsidR="00063B82" w:rsidRDefault="00063B82" w:rsidP="0020679D">
      <w:pPr>
        <w:tabs>
          <w:tab w:val="left" w:pos="5865"/>
        </w:tabs>
        <w:spacing w:line="276" w:lineRule="auto"/>
        <w:rPr>
          <w:rFonts w:ascii="Arial" w:hAnsi="Arial" w:cs="Arial"/>
          <w:bCs/>
        </w:rPr>
      </w:pPr>
      <w:bookmarkStart w:id="13" w:name="_Hlk182838172"/>
    </w:p>
    <w:p w14:paraId="4F01FEC6" w14:textId="77777777" w:rsidR="00063B82" w:rsidRDefault="00063B82" w:rsidP="0020679D">
      <w:pPr>
        <w:tabs>
          <w:tab w:val="left" w:pos="5865"/>
        </w:tabs>
        <w:spacing w:line="276" w:lineRule="auto"/>
        <w:rPr>
          <w:rFonts w:ascii="Arial" w:hAnsi="Arial" w:cs="Arial"/>
          <w:bCs/>
        </w:rPr>
      </w:pPr>
    </w:p>
    <w:p w14:paraId="7B06095E" w14:textId="77777777" w:rsidR="00C36854" w:rsidRDefault="00C36854" w:rsidP="0020679D">
      <w:pPr>
        <w:tabs>
          <w:tab w:val="left" w:pos="5865"/>
        </w:tabs>
        <w:spacing w:line="276" w:lineRule="auto"/>
        <w:rPr>
          <w:rFonts w:ascii="Arial" w:hAnsi="Arial" w:cs="Arial"/>
          <w:bCs/>
        </w:rPr>
      </w:pPr>
    </w:p>
    <w:p w14:paraId="1591C2AD" w14:textId="2BA52EED" w:rsidR="00A82B98" w:rsidRPr="004246B0" w:rsidRDefault="00A82B98" w:rsidP="0020679D">
      <w:pPr>
        <w:tabs>
          <w:tab w:val="left" w:pos="5865"/>
        </w:tabs>
        <w:spacing w:line="276" w:lineRule="auto"/>
        <w:rPr>
          <w:rFonts w:ascii="Arial" w:hAnsi="Arial" w:cs="Arial"/>
          <w:bCs/>
        </w:rPr>
      </w:pPr>
      <w:r w:rsidRPr="004246B0">
        <w:rPr>
          <w:rFonts w:ascii="Arial" w:hAnsi="Arial" w:cs="Arial"/>
          <w:bCs/>
        </w:rPr>
        <w:t>Recibido: 2</w:t>
      </w:r>
      <w:r w:rsidR="00773219">
        <w:rPr>
          <w:rFonts w:ascii="Arial" w:hAnsi="Arial" w:cs="Arial"/>
          <w:bCs/>
        </w:rPr>
        <w:t>1</w:t>
      </w:r>
      <w:r w:rsidRPr="004246B0">
        <w:rPr>
          <w:rFonts w:ascii="Arial" w:hAnsi="Arial" w:cs="Arial"/>
          <w:bCs/>
        </w:rPr>
        <w:t xml:space="preserve"> de </w:t>
      </w:r>
      <w:r w:rsidR="00773219">
        <w:rPr>
          <w:rFonts w:ascii="Arial" w:hAnsi="Arial" w:cs="Arial"/>
          <w:bCs/>
        </w:rPr>
        <w:t>noviembre</w:t>
      </w:r>
      <w:r w:rsidRPr="004246B0">
        <w:rPr>
          <w:rFonts w:ascii="Arial" w:hAnsi="Arial" w:cs="Arial"/>
          <w:bCs/>
        </w:rPr>
        <w:t xml:space="preserve"> de 202</w:t>
      </w:r>
      <w:r w:rsidR="00A10142" w:rsidRPr="004246B0">
        <w:rPr>
          <w:rFonts w:ascii="Arial" w:hAnsi="Arial" w:cs="Arial"/>
          <w:bCs/>
        </w:rPr>
        <w:t>4</w:t>
      </w:r>
    </w:p>
    <w:p w14:paraId="13E62770" w14:textId="5C043A19" w:rsidR="00A82B98" w:rsidRDefault="00A82B98" w:rsidP="0020679D">
      <w:pPr>
        <w:tabs>
          <w:tab w:val="left" w:pos="5865"/>
        </w:tabs>
        <w:spacing w:line="276" w:lineRule="auto"/>
        <w:rPr>
          <w:rFonts w:ascii="Arial" w:hAnsi="Arial" w:cs="Arial"/>
          <w:bCs/>
        </w:rPr>
      </w:pPr>
      <w:r w:rsidRPr="004246B0">
        <w:rPr>
          <w:rFonts w:ascii="Arial" w:hAnsi="Arial" w:cs="Arial"/>
          <w:bCs/>
        </w:rPr>
        <w:t xml:space="preserve">Aprobado: </w:t>
      </w:r>
      <w:r w:rsidR="004246B0" w:rsidRPr="004246B0">
        <w:rPr>
          <w:rFonts w:ascii="Arial" w:hAnsi="Arial" w:cs="Arial"/>
          <w:bCs/>
        </w:rPr>
        <w:t>1</w:t>
      </w:r>
      <w:r w:rsidR="00773219">
        <w:rPr>
          <w:rFonts w:ascii="Arial" w:hAnsi="Arial" w:cs="Arial"/>
          <w:bCs/>
        </w:rPr>
        <w:t>2</w:t>
      </w:r>
      <w:r w:rsidRPr="004246B0">
        <w:rPr>
          <w:rFonts w:ascii="Arial" w:hAnsi="Arial" w:cs="Arial"/>
          <w:bCs/>
        </w:rPr>
        <w:t xml:space="preserve"> de </w:t>
      </w:r>
      <w:r w:rsidR="004246B0" w:rsidRPr="004246B0">
        <w:rPr>
          <w:rFonts w:ascii="Arial" w:hAnsi="Arial" w:cs="Arial"/>
          <w:bCs/>
        </w:rPr>
        <w:t>ma</w:t>
      </w:r>
      <w:r w:rsidR="00773219">
        <w:rPr>
          <w:rFonts w:ascii="Arial" w:hAnsi="Arial" w:cs="Arial"/>
          <w:bCs/>
        </w:rPr>
        <w:t>rzo</w:t>
      </w:r>
      <w:r w:rsidRPr="004246B0">
        <w:rPr>
          <w:rFonts w:ascii="Arial" w:hAnsi="Arial" w:cs="Arial"/>
          <w:bCs/>
        </w:rPr>
        <w:t xml:space="preserve"> de 202</w:t>
      </w:r>
      <w:r w:rsidR="004246B0" w:rsidRPr="004246B0">
        <w:rPr>
          <w:rFonts w:ascii="Arial" w:hAnsi="Arial" w:cs="Arial"/>
          <w:bCs/>
        </w:rPr>
        <w:t>5</w:t>
      </w:r>
    </w:p>
    <w:bookmarkEnd w:id="13"/>
    <w:p w14:paraId="3900741E" w14:textId="5386E122" w:rsidR="00194C36" w:rsidRPr="00194C36" w:rsidRDefault="00194C36" w:rsidP="00E62442">
      <w:pPr>
        <w:spacing w:before="100" w:beforeAutospacing="1" w:after="100" w:afterAutospacing="1" w:line="360" w:lineRule="auto"/>
        <w:jc w:val="both"/>
        <w:rPr>
          <w:rFonts w:ascii="Arial" w:hAnsi="Arial" w:cs="Arial"/>
          <w:lang w:eastAsia="es-CR"/>
        </w:rPr>
      </w:pPr>
      <w:r w:rsidRPr="00194C36">
        <w:rPr>
          <w:rFonts w:ascii="Arial" w:hAnsi="Arial" w:cs="Arial"/>
          <w:b/>
          <w:bCs/>
          <w:lang w:eastAsia="es-CR"/>
        </w:rPr>
        <w:lastRenderedPageBreak/>
        <w:t>Resumen</w:t>
      </w:r>
      <w:r w:rsidR="00E62442">
        <w:rPr>
          <w:rFonts w:ascii="Arial" w:hAnsi="Arial" w:cs="Arial"/>
          <w:b/>
          <w:bCs/>
          <w:lang w:eastAsia="es-CR"/>
        </w:rPr>
        <w:t xml:space="preserve">: </w:t>
      </w:r>
      <w:r w:rsidRPr="00194C36">
        <w:rPr>
          <w:rFonts w:ascii="Arial" w:hAnsi="Arial" w:cs="Arial"/>
          <w:lang w:eastAsia="es-CR"/>
        </w:rPr>
        <w:t>El artículo presenta un estudio descriptivo sobre la estructura de los programas de cursos en universidades de Centroamérica y República Dominicana. Se ofrece un marco conceptual relativo a la programación de las asignaturas de grado y posgrado. Se detalla la metodología utilizada, y se analizan los datos obtenidos de 21 universidades de 8 países de la región. Los resultados revelan que, aunque existen variaciones en estructura y nomenclatura, los programas son coherentes con los criterios de calidad de la ACAP</w:t>
      </w:r>
      <w:r w:rsidRPr="00194C36">
        <w:rPr>
          <w:rFonts w:ascii="Arial" w:hAnsi="Arial" w:cs="Arial"/>
          <w:vertAlign w:val="superscript"/>
          <w:lang w:eastAsia="es-CR"/>
        </w:rPr>
        <w:footnoteReference w:id="2"/>
      </w:r>
      <w:r w:rsidRPr="00194C36">
        <w:rPr>
          <w:rFonts w:ascii="Arial" w:hAnsi="Arial" w:cs="Arial"/>
          <w:lang w:eastAsia="es-CR"/>
        </w:rPr>
        <w:t xml:space="preserve">. Además, se identifican oportunidades de mejora para que estos programas optimicen su principal función como herramienta de gestión académico-administrativa a nivel de asignatura en el contexto de una carrera o postrado. </w:t>
      </w:r>
    </w:p>
    <w:p w14:paraId="617371DF" w14:textId="77777777" w:rsidR="00194C36" w:rsidRPr="00194C36" w:rsidRDefault="00194C36" w:rsidP="00E62442">
      <w:pPr>
        <w:spacing w:before="100" w:beforeAutospacing="1" w:after="100" w:afterAutospacing="1" w:line="360" w:lineRule="auto"/>
        <w:jc w:val="both"/>
        <w:rPr>
          <w:rFonts w:ascii="Arial" w:hAnsi="Arial" w:cs="Arial"/>
          <w:lang w:eastAsia="es-CR"/>
        </w:rPr>
      </w:pPr>
      <w:r w:rsidRPr="00194C36">
        <w:rPr>
          <w:rFonts w:ascii="Arial" w:hAnsi="Arial" w:cs="Arial"/>
          <w:b/>
          <w:bCs/>
          <w:lang w:eastAsia="es-CR"/>
        </w:rPr>
        <w:t xml:space="preserve">Palabras clave: </w:t>
      </w:r>
      <w:r w:rsidRPr="00194C36">
        <w:rPr>
          <w:rFonts w:ascii="Arial" w:hAnsi="Arial" w:cs="Arial"/>
          <w:lang w:eastAsia="es-CR"/>
        </w:rPr>
        <w:t>enseñanza superior, universidades centroamericanas, carreras de grado, programas de postgrado, calidad de la educación, acreditación, evaluación de programas educativos, programas de cursos, Agencia Centroamericana de Acreditación de Postgrado (ACAP).</w:t>
      </w:r>
    </w:p>
    <w:p w14:paraId="13D3337F" w14:textId="38FCF3F2" w:rsidR="00194C36" w:rsidRPr="00194C36" w:rsidRDefault="00194C36" w:rsidP="00E62442">
      <w:pPr>
        <w:spacing w:before="100" w:beforeAutospacing="1" w:after="100" w:afterAutospacing="1" w:line="360" w:lineRule="auto"/>
        <w:jc w:val="both"/>
        <w:rPr>
          <w:rFonts w:ascii="Arial" w:hAnsi="Arial" w:cs="Arial"/>
          <w:lang w:val="en-GB" w:eastAsia="es-CR"/>
        </w:rPr>
      </w:pPr>
      <w:r w:rsidRPr="00194C36">
        <w:rPr>
          <w:rFonts w:ascii="Arial" w:hAnsi="Arial" w:cs="Arial"/>
          <w:b/>
          <w:bCs/>
          <w:lang w:val="en-GB" w:eastAsia="es-CR"/>
        </w:rPr>
        <w:t>Abstract</w:t>
      </w:r>
      <w:r w:rsidR="00E62442">
        <w:rPr>
          <w:rFonts w:ascii="Arial" w:hAnsi="Arial" w:cs="Arial"/>
          <w:b/>
          <w:bCs/>
          <w:lang w:val="en-GB" w:eastAsia="es-CR"/>
        </w:rPr>
        <w:t xml:space="preserve">: </w:t>
      </w:r>
      <w:r w:rsidRPr="00194C36">
        <w:rPr>
          <w:rFonts w:ascii="Arial" w:hAnsi="Arial" w:cs="Arial"/>
          <w:lang w:val="en-GB" w:eastAsia="es-CR"/>
        </w:rPr>
        <w:t xml:space="preserve">The article presents a descriptive study on the structure of course programs or syllabi in universities across Central America and the Dominican Republic. A conceptual framework is outlined regarding the curricular design of undergraduate and graduate courses. The methodology is detailed, and data from 21 universities in 8 countries within the region are analysed. The results indicate </w:t>
      </w:r>
      <w:r w:rsidRPr="00194C36">
        <w:rPr>
          <w:rFonts w:ascii="Arial" w:hAnsi="Arial" w:cs="Arial"/>
          <w:lang w:val="en-GB" w:eastAsia="es-CR"/>
        </w:rPr>
        <w:lastRenderedPageBreak/>
        <w:t xml:space="preserve">that, despite variations in structure and terminology, the syllabi align with ACAP quality standards. Furthermore, areas for improvement are identified to optimize the function of these syllabi as essential academic-administrative tools at the course level within both undergraduate and graduate programs. </w:t>
      </w:r>
    </w:p>
    <w:p w14:paraId="286B568C" w14:textId="77777777" w:rsidR="00194C36" w:rsidRPr="00194C36" w:rsidRDefault="00194C36" w:rsidP="002D3410">
      <w:pPr>
        <w:spacing w:before="100" w:beforeAutospacing="1" w:after="100" w:afterAutospacing="1" w:line="360" w:lineRule="auto"/>
        <w:jc w:val="both"/>
        <w:rPr>
          <w:rFonts w:ascii="Arial" w:hAnsi="Arial" w:cs="Arial"/>
          <w:lang w:val="en-GB" w:eastAsia="es-CR"/>
        </w:rPr>
      </w:pPr>
      <w:r w:rsidRPr="00194C36">
        <w:rPr>
          <w:rFonts w:ascii="Arial" w:hAnsi="Arial" w:cs="Arial"/>
          <w:b/>
          <w:bCs/>
          <w:lang w:val="en-GB" w:eastAsia="es-CR"/>
        </w:rPr>
        <w:t xml:space="preserve">Keywords: </w:t>
      </w:r>
      <w:r w:rsidRPr="00194C36">
        <w:rPr>
          <w:rFonts w:ascii="Arial" w:hAnsi="Arial" w:cs="Arial"/>
          <w:lang w:val="en-GB" w:eastAsia="es-CR"/>
        </w:rPr>
        <w:t>Higher education, Central American universities,</w:t>
      </w:r>
      <w:r w:rsidRPr="00194C36">
        <w:rPr>
          <w:rFonts w:ascii="Arial" w:hAnsi="Arial" w:cs="Arial"/>
          <w:b/>
          <w:bCs/>
          <w:lang w:val="en-GB" w:eastAsia="es-CR"/>
        </w:rPr>
        <w:t xml:space="preserve"> </w:t>
      </w:r>
      <w:r w:rsidRPr="00194C36">
        <w:rPr>
          <w:rFonts w:ascii="Arial" w:hAnsi="Arial" w:cs="Arial"/>
          <w:lang w:val="en-GB" w:eastAsia="es-CR"/>
        </w:rPr>
        <w:t>Undergraduate and graduate programs, Quality of education, Accreditation, Curriculum evaluation, Course syllabi or programs, the Central American Accreditation Agency for Postgraduate Programs.</w:t>
      </w:r>
    </w:p>
    <w:p w14:paraId="1D02869B" w14:textId="0F1727E0" w:rsidR="00194C36" w:rsidRPr="00194C36" w:rsidRDefault="00EB49F4"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b/>
          <w:bCs/>
          <w:lang w:eastAsia="es-CR"/>
        </w:rPr>
        <w:t>INTRODUCCIÓN</w:t>
      </w:r>
    </w:p>
    <w:p w14:paraId="04F2A408"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La gestión del complejo proceso de aprendizaje-enseñanza en el marco de asignaturas</w:t>
      </w:r>
      <w:r w:rsidRPr="00194C36">
        <w:rPr>
          <w:rFonts w:ascii="Arial" w:hAnsi="Arial" w:cs="Arial"/>
          <w:vertAlign w:val="superscript"/>
          <w:lang w:eastAsia="es-CR"/>
          <w14:ligatures w14:val="standardContextual"/>
        </w:rPr>
        <w:footnoteReference w:id="3"/>
      </w:r>
      <w:r w:rsidRPr="00194C36">
        <w:rPr>
          <w:rFonts w:ascii="Arial" w:hAnsi="Arial" w:cs="Arial"/>
          <w:lang w:eastAsia="es-CR"/>
          <w14:ligatures w14:val="standardContextual"/>
        </w:rPr>
        <w:t xml:space="preserve"> universitarias es un factor clave para alcanzar la excelencia educativa en todos los niveles y modalidades, incluyendo los estudios avanzados de posgraduación.  </w:t>
      </w:r>
    </w:p>
    <w:p w14:paraId="6B8B7177"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Desde una perspectiva clásica de administración, el posgrado sigue el ciclo básico de gestión: planificación, organización, dirección, control y evaluación. En el análisis de las actividades de postgrado desde esta perspectiva</w:t>
      </w:r>
      <w:r w:rsidRPr="00194C36">
        <w:rPr>
          <w:rFonts w:ascii="Arial" w:hAnsi="Arial" w:cs="Arial"/>
          <w:lang w:eastAsia="en-US"/>
          <w14:ligatures w14:val="standardContextual"/>
        </w:rPr>
        <w:t xml:space="preserve">, se encuentran estos procesos esenciales, como la organización, dirección o ejecución, control y </w:t>
      </w:r>
      <w:r w:rsidRPr="00194C36">
        <w:rPr>
          <w:rFonts w:ascii="Arial" w:hAnsi="Arial" w:cs="Arial"/>
          <w:lang w:eastAsia="en-US"/>
          <w14:ligatures w14:val="standardContextual"/>
        </w:rPr>
        <w:lastRenderedPageBreak/>
        <w:t xml:space="preserve">evaluación, que comienzan con una cuidadosa planificación </w:t>
      </w:r>
      <w:r w:rsidRPr="00194C36">
        <w:rPr>
          <w:rFonts w:ascii="Arial" w:hAnsi="Arial" w:cs="Arial"/>
          <w:lang w:eastAsia="es-CR"/>
          <w14:ligatures w14:val="standardContextual"/>
        </w:rPr>
        <w:t>(</w:t>
      </w:r>
      <w:r w:rsidRPr="00194C36">
        <w:rPr>
          <w:rFonts w:ascii="Arial" w:hAnsi="Arial" w:cs="Arial"/>
          <w:kern w:val="2"/>
          <w:lang w:eastAsia="en-US"/>
          <w14:ligatures w14:val="standardContextual"/>
        </w:rPr>
        <w:t>Cruz-Montero, Guevara-Gómez, Flores-</w:t>
      </w:r>
      <w:proofErr w:type="spellStart"/>
      <w:r w:rsidRPr="00194C36">
        <w:rPr>
          <w:rFonts w:ascii="Arial" w:hAnsi="Arial" w:cs="Arial"/>
          <w:kern w:val="2"/>
          <w:lang w:eastAsia="en-US"/>
          <w14:ligatures w14:val="standardContextual"/>
        </w:rPr>
        <w:t>Arocutipa</w:t>
      </w:r>
      <w:proofErr w:type="spellEnd"/>
      <w:r w:rsidRPr="00194C36">
        <w:rPr>
          <w:rFonts w:ascii="Arial" w:hAnsi="Arial" w:cs="Arial"/>
          <w:kern w:val="2"/>
          <w:lang w:eastAsia="en-US"/>
          <w14:ligatures w14:val="standardContextual"/>
        </w:rPr>
        <w:t xml:space="preserve"> y Ledesma-Cuadros, 2020). En el corazón de esta planificación que enmarca todos los aspectos </w:t>
      </w:r>
      <w:r w:rsidRPr="00194C36">
        <w:rPr>
          <w:rFonts w:ascii="Arial" w:hAnsi="Arial" w:cs="Arial"/>
          <w:lang w:eastAsia="es-CR"/>
          <w14:ligatures w14:val="standardContextual"/>
        </w:rPr>
        <w:t>académico-administrativos del postgrado, se encuentran tres niveles interrelacionados de elaboración del currículo, conocidos como niveles de concreción curricular que abarcan desde lo estratégico, hasta lo táctico y operativo: el diseño de planes de estudios, la programación de los cursos y el planeamiento didáctico, respectivamente (Pineda-Castillo y Ruiz-Espinoza, 2021). Cada nivel es crucial para mejorar la calidad universitaria, aportando a la transparencia, pertinencia, coherencia y efectividad del proceso formativo (SINAES, 2012).</w:t>
      </w:r>
    </w:p>
    <w:p w14:paraId="5F8CC2A9"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 xml:space="preserve">En primer lugar, en el nivel estratégico, el plan de estudios define las características generales del programa, alineándolo con el contexto socioeconómico y disciplinar.  En esta fase se establecen el grado y título a otorgar, la justificación del programa, su objeto de estudio, las competencias, los ejes o principios curriculares, metodológicos y evaluativos, así como la estructura curricular y los recursos necesarios. Estos componentes </w:t>
      </w:r>
      <w:proofErr w:type="spellStart"/>
      <w:r w:rsidRPr="00194C36">
        <w:rPr>
          <w:rFonts w:ascii="Arial" w:hAnsi="Arial" w:cs="Arial"/>
          <w:lang w:eastAsia="es-CR"/>
          <w14:ligatures w14:val="standardContextual"/>
        </w:rPr>
        <w:t>macrocurriculares</w:t>
      </w:r>
      <w:proofErr w:type="spellEnd"/>
      <w:r w:rsidRPr="00194C36">
        <w:rPr>
          <w:rFonts w:ascii="Arial" w:hAnsi="Arial" w:cs="Arial"/>
          <w:lang w:eastAsia="es-CR"/>
          <w14:ligatures w14:val="standardContextual"/>
        </w:rPr>
        <w:t xml:space="preserve"> ofrecen una visión integral del programa y la formación que recibirá el estudiantado. </w:t>
      </w:r>
    </w:p>
    <w:p w14:paraId="3614C4E8"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 xml:space="preserve">El nivel táctico, representado por los programas de los cursos, concreta la planificación estratégica en aspectos organizativos de cada asignatura. Aquí se definen los objetivos, contenidos, metodología, criterios de evaluación y recursos necesarios, brindando a estudiantes, docentes y administradores del postgrado o </w:t>
      </w:r>
      <w:r w:rsidRPr="00194C36">
        <w:rPr>
          <w:rFonts w:ascii="Arial" w:hAnsi="Arial" w:cs="Arial"/>
          <w:lang w:eastAsia="es-CR"/>
          <w14:ligatures w14:val="standardContextual"/>
        </w:rPr>
        <w:lastRenderedPageBreak/>
        <w:t xml:space="preserve">carrera una guía para la gestión del aprendizaje- enseñanza en un nivel intermedio entre lo estratégico y lo operativo.  </w:t>
      </w:r>
    </w:p>
    <w:p w14:paraId="55D2C741"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 xml:space="preserve">Finalmente, en el nivel operativo o </w:t>
      </w:r>
      <w:proofErr w:type="spellStart"/>
      <w:r w:rsidRPr="00194C36">
        <w:rPr>
          <w:rFonts w:ascii="Arial" w:hAnsi="Arial" w:cs="Arial"/>
          <w:lang w:eastAsia="es-CR"/>
          <w14:ligatures w14:val="standardContextual"/>
        </w:rPr>
        <w:t>microcurricular</w:t>
      </w:r>
      <w:proofErr w:type="spellEnd"/>
      <w:r w:rsidRPr="00194C36">
        <w:rPr>
          <w:rFonts w:ascii="Arial" w:hAnsi="Arial" w:cs="Arial"/>
          <w:lang w:eastAsia="es-CR"/>
          <w14:ligatures w14:val="standardContextual"/>
        </w:rPr>
        <w:t xml:space="preserve">, conocido como planeamiento didáctico, se planifican detalladamente las actividades de aprendizaje- enseñanza, adaptándolas a las características del alumnado y a los objetivos específicos de cada tema.  En este nivel, se seleccionan los recursos concretos y se organizan las técnicas metodológicas y evaluativas para lograr los aprendizajes establecidos en los programas de curso. </w:t>
      </w:r>
    </w:p>
    <w:p w14:paraId="1232F3B0"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 xml:space="preserve">Es esencial que estos tres niveles de diseño curricular se alinean entre sí, manteniendo congruencia entre los elementos estratégicos, tácticos y operativos, pero conservando cada uno su grado de inclusividad o especificidad (González, 2013). </w:t>
      </w:r>
    </w:p>
    <w:p w14:paraId="47BB7011"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 xml:space="preserve">En este marco, la Agencia Centroamericana de Acreditación de Postgrado (ACAP) incluye en su modelo de evaluación varios indicadores para valorar la calidad del diseño curricular en estos tres niveles. La “Guía de autoevaluación de la ACAP” aborda los procesos formativos a través de dos componentes: el plan de estudios y las estrategias didácticas y de evaluación del aprendizaje (ACAP, 2020). A nivel estratégico, los indicadores evalúan la justificación académica y socioeconómica, la fundamentación epistémica, la vinculación con el contexto, el perfil académico-profesional del graduado (PAP), la estructura curricular, los mecanismos de gestión </w:t>
      </w:r>
      <w:r w:rsidRPr="00194C36">
        <w:rPr>
          <w:rFonts w:ascii="Arial" w:hAnsi="Arial" w:cs="Arial"/>
          <w:lang w:eastAsia="es-CR"/>
          <w14:ligatures w14:val="standardContextual"/>
        </w:rPr>
        <w:lastRenderedPageBreak/>
        <w:t xml:space="preserve">del plan de estudios, entre otros. En cuanto a los indicadores del nivel de planeamiento didáctico, estos se enfocan en la selección de técnicas didácticas innovadoras y estrategias evaluativas que permiten determinar la adquisición de capacidades y competencias por los estudiantes. </w:t>
      </w:r>
    </w:p>
    <w:p w14:paraId="7CC720CD"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 xml:space="preserve">Por otro lado, a nivel meso o táctico de diseño curricular, representado por la programación de los cursos, se evalúa la alineación de las asignaturas con el PAP y con el plan de estudios en su conjunto. También se presentan indicadores sobre la estructura de los programas de cursos, especificando que estos deben contener “elementos tales como: datos generales (por ejemplo: nombre, código, tipo de curso, créditos, requisitos, entre otros), descripción, objetivos, contenidos, estrategias metodológicas y evaluativas, bibliografía básica pertinente y actualizada” (ACAP, 2020, pp. 28-29). </w:t>
      </w:r>
    </w:p>
    <w:p w14:paraId="7E425680"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 xml:space="preserve">Es decir, la ACAP establece ciertos parámetros para estructurar los programas de cursos de postgrado, asegurando un rigor académico adecuado para este nivel de formación. Esto brinda a estudiantes, docentes y administradores herramientas básicas para mejorar la calidad de la gestión del proceso de aprendizaje- enseñanza.  </w:t>
      </w:r>
    </w:p>
    <w:p w14:paraId="51FD5A6B"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 xml:space="preserve">Otra agencia de certificación de la calidad que implementa estos estándares en Costa Rica y Centroamérica es el Sistema Nacional de Acreditación de la Educación Superior (SINAES). Su “Manual de Acreditación Oficial de Programas </w:t>
      </w:r>
      <w:r w:rsidRPr="00194C36">
        <w:rPr>
          <w:rFonts w:ascii="Arial" w:hAnsi="Arial" w:cs="Arial"/>
          <w:lang w:eastAsia="es-CR"/>
          <w14:ligatures w14:val="standardContextual"/>
        </w:rPr>
        <w:lastRenderedPageBreak/>
        <w:t xml:space="preserve">de Postgrado” solicita que “el programa de cada curso indique objetivos, contenidos, cronograma, metodología y estrategias de evaluación”, entre otros (SINAES, 2012, p. 36). </w:t>
      </w:r>
    </w:p>
    <w:p w14:paraId="7F82A6B0"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 xml:space="preserve">No obstante, tanto ACAP como SINAES, aunque procuran crear un marco básico para el diseño o conformación de los programas de las asignaturas, abordan estos aspectos de manera general, lo que demanda un análisis más detallado sobre la estructura de los programas de curso. </w:t>
      </w:r>
    </w:p>
    <w:p w14:paraId="5241BCC0"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Es necesario definir y conceptualizar los componentes imprescindibles y opcionales de los programas de curso, a fin de desarrollar metodologías e instrumentos confiables para su evaluación. Capacitar a los especialistas en su uso y crear mecanismos de retroalimentación son pasos esenciales para mejorar continuamente la calidad de los programas. También es importante actualizar periódicamente los indicadores y criterios de evaluación para la mejora de la calidad de los postgrados, y asegurar que los programas representen y guíen eficazmente el complejo proceso de gestión académico-administrativa del aprendizaje-enseñanza, en el marco de una asignatura universitaria.</w:t>
      </w:r>
    </w:p>
    <w:p w14:paraId="3EF2F3AF"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 xml:space="preserve">Por lo tanto, se requiere conceptualizar los programas de curso y diseñar un complejo metodológico-instrumental para su evaluación, comenzando con una revisión detallada sobre cómo se estructuran los programas de las asignaturas, incluyendo las de postgrado, en las universidades adscritas a la ACAP y, en </w:t>
      </w:r>
      <w:r w:rsidRPr="00194C36">
        <w:rPr>
          <w:rFonts w:ascii="Arial" w:hAnsi="Arial" w:cs="Arial"/>
          <w:lang w:eastAsia="es-CR"/>
          <w14:ligatures w14:val="standardContextual"/>
        </w:rPr>
        <w:lastRenderedPageBreak/>
        <w:t>general, en la región centroamericana. Esta revisión ayudará a comprender los estándares actuales y las prácticas comunes, identificando fortalezas y áreas de mejora en el nivel táctico de la planificación curricular. Al analizar la estructura de los programas, se podrá verificar si cumplen con los criterios de acreditación y si responden adecuadamente a las demandas y expectativas del contexto socioeconómico y profesional actual.</w:t>
      </w:r>
    </w:p>
    <w:p w14:paraId="58DBAD9F" w14:textId="1A82932B" w:rsidR="00194C36" w:rsidRPr="00194C36" w:rsidRDefault="002D3410" w:rsidP="002D3410">
      <w:pPr>
        <w:spacing w:before="100" w:beforeAutospacing="1" w:after="100" w:afterAutospacing="1" w:line="360" w:lineRule="auto"/>
        <w:jc w:val="both"/>
        <w:rPr>
          <w:rFonts w:ascii="Arial" w:hAnsi="Arial" w:cs="Arial"/>
          <w:b/>
          <w:bCs/>
          <w:lang w:eastAsia="es-CR"/>
        </w:rPr>
      </w:pPr>
      <w:r w:rsidRPr="00194C36">
        <w:rPr>
          <w:rFonts w:ascii="Arial" w:hAnsi="Arial" w:cs="Arial"/>
          <w:b/>
          <w:bCs/>
          <w:lang w:eastAsia="es-CR"/>
        </w:rPr>
        <w:t>MARCO CONCEPTUAL</w:t>
      </w:r>
    </w:p>
    <w:p w14:paraId="73AB41D3" w14:textId="2ADCA7DA" w:rsidR="00194C36" w:rsidRPr="002D3410" w:rsidRDefault="00194C36" w:rsidP="002D3410">
      <w:pPr>
        <w:autoSpaceDE w:val="0"/>
        <w:autoSpaceDN w:val="0"/>
        <w:spacing w:before="100" w:beforeAutospacing="1" w:after="100" w:afterAutospacing="1" w:line="360" w:lineRule="auto"/>
        <w:ind w:hanging="14"/>
        <w:jc w:val="both"/>
        <w:rPr>
          <w:rFonts w:ascii="Arial" w:hAnsi="Arial" w:cs="Arial"/>
          <w:iCs/>
          <w:color w:val="70AD47" w:themeColor="accent6"/>
          <w:lang w:eastAsia="es-CR"/>
          <w14:ligatures w14:val="standardContextual"/>
        </w:rPr>
      </w:pPr>
      <w:r w:rsidRPr="002D3410">
        <w:rPr>
          <w:rFonts w:ascii="Arial" w:hAnsi="Arial" w:cs="Arial"/>
          <w:b/>
          <w:bCs/>
          <w:iCs/>
          <w:lang w:eastAsia="es-CR"/>
          <w14:ligatures w14:val="standardContextual"/>
        </w:rPr>
        <w:t>Conceptualización del programa de curso</w:t>
      </w:r>
    </w:p>
    <w:p w14:paraId="0C092DC6" w14:textId="77777777" w:rsidR="00194C36" w:rsidRPr="00194C36" w:rsidRDefault="00194C36" w:rsidP="002D341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Antes de analizar la situación actual con la programación de cursos de grado y postgrado en diversas instituciones centroamericanas de educación superior, tanto públicas como privadas, es necesario establecer un marco teórico breve sobre tres aspectos: definir qué es un programa de curso, sus funciones y sus componentes.</w:t>
      </w:r>
    </w:p>
    <w:p w14:paraId="572DAA9E" w14:textId="77777777" w:rsidR="00194C36" w:rsidRPr="00194C36" w:rsidRDefault="00194C36" w:rsidP="003A3CA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El vocablo "programa" proviene del griego "π</w:t>
      </w:r>
      <w:proofErr w:type="spellStart"/>
      <w:r w:rsidRPr="00194C36">
        <w:rPr>
          <w:rFonts w:ascii="Arial" w:hAnsi="Arial" w:cs="Arial"/>
          <w:lang w:eastAsia="es-CR"/>
          <w14:ligatures w14:val="standardContextual"/>
        </w:rPr>
        <w:t>ρόγρ</w:t>
      </w:r>
      <w:proofErr w:type="spellEnd"/>
      <w:r w:rsidRPr="00194C36">
        <w:rPr>
          <w:rFonts w:ascii="Arial" w:hAnsi="Arial" w:cs="Arial"/>
          <w:lang w:eastAsia="es-CR"/>
          <w14:ligatures w14:val="standardContextual"/>
        </w:rPr>
        <w:t>αμμα" y tiene múltiples significados, desde un edicto público hasta una relación amorosa furtiva y pasajera. Igualmente polisémica es la palabra “curso”, la cual viene del latín “</w:t>
      </w:r>
      <w:proofErr w:type="spellStart"/>
      <w:r w:rsidRPr="00194C36">
        <w:rPr>
          <w:rFonts w:ascii="Arial" w:hAnsi="Arial" w:cs="Arial"/>
          <w:lang w:eastAsia="es-CR"/>
          <w14:ligatures w14:val="standardContextual"/>
        </w:rPr>
        <w:t>cursus</w:t>
      </w:r>
      <w:proofErr w:type="spellEnd"/>
      <w:r w:rsidRPr="00194C36">
        <w:rPr>
          <w:rFonts w:ascii="Arial" w:hAnsi="Arial" w:cs="Arial"/>
          <w:lang w:eastAsia="es-CR"/>
          <w14:ligatures w14:val="standardContextual"/>
        </w:rPr>
        <w:t xml:space="preserve">” y tiene en el castellano contemporáneo acepciones tan disímiles como la dirección o carrera, y diarrea. Sin embargo, en el contexto educativo, la Real Academia Española (RAE) define “programa” como “declaración previa de lo que se piensa hacer” y “sistema y distribución de las materias de una asignatura”. En cuanto a </w:t>
      </w:r>
      <w:r w:rsidRPr="00194C36">
        <w:rPr>
          <w:rFonts w:ascii="Arial" w:hAnsi="Arial" w:cs="Arial"/>
          <w:lang w:eastAsia="es-CR"/>
          <w14:ligatures w14:val="standardContextual"/>
        </w:rPr>
        <w:lastRenderedPageBreak/>
        <w:t>“curso”, la acepción más pertinente es “estudio sobre una materia, desarrollada con unidad” o “tratado sobre una materia explicada o destinada a ser explicada durante cierto tiempo” (RAE, 2024).</w:t>
      </w:r>
    </w:p>
    <w:p w14:paraId="0DF75741" w14:textId="77777777" w:rsidR="00194C36" w:rsidRPr="00194C36" w:rsidRDefault="00194C36" w:rsidP="003A3CA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 xml:space="preserve">Estas definiciones de la RAE ofrecen solo un marco aproximado para el ámbito universitario, donde el concepto es más específico. El Consejo Nacional de Rectores (CONARE) de Costa Rica define un curso como la “unidad básica de un plan de estudios”, que abarca conocimientos teóricos y prácticos dentro de un ciclo escolar (CONARE-OPES, 2012, pp. 33-34). La Universidad Autónoma de Chapingo lo describe como una “unidad del plan de estudios que incluye objetivos, contenidos y unidades de aprendizaje”, enfatizando que un “curso es parte integral de una carrera y promueve el desarrollo personal, social y profesional” (UACh, 2024, p. 17 y 36). </w:t>
      </w:r>
    </w:p>
    <w:p w14:paraId="64DB02A5" w14:textId="77777777" w:rsidR="00194C36" w:rsidRPr="00194C36" w:rsidRDefault="00194C36" w:rsidP="003A3CA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Definir el término programa de curso, que conjuga en un binomio ambos vocablos de nuestro interés, implica entenderlo como un modelo intelectual y detallado de elementos académico-administrativos necesarios para dirigir el aprendizaje y la enseñanza en el marco de una asignatura. La planificación, uno de los pilares de la administración, se manifiesta en un plan o programa que anticipa objetivos, acciones y métodos. Así, el programa de curso se convierte en el documento que expone los resultados de la planificación educativa de una asignatura universitaria. Sin embargo, la definición específica de este término varía en diferentes contextos y según las visiones de distintos especialistas en la materia curricular.</w:t>
      </w:r>
    </w:p>
    <w:p w14:paraId="41017053" w14:textId="77777777" w:rsidR="00194C36" w:rsidRPr="00194C36" w:rsidRDefault="00194C36" w:rsidP="003A3CA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lastRenderedPageBreak/>
        <w:t xml:space="preserve">Quesada, Cedeño y Zamora (2001), de la Universidad Nacional de Costa Rica, lo definen de una manera laxa, afirmando que es como “un espacio organizador de experiencias de enseñanza y aprendizaje que orienta la interacción entre docentes y estudiantes” (p. 175). Margarita </w:t>
      </w:r>
      <w:proofErr w:type="spellStart"/>
      <w:r w:rsidRPr="00194C36">
        <w:rPr>
          <w:rFonts w:ascii="Arial" w:hAnsi="Arial" w:cs="Arial"/>
          <w:lang w:eastAsia="es-CR"/>
          <w14:ligatures w14:val="standardContextual"/>
        </w:rPr>
        <w:t>Pansza</w:t>
      </w:r>
      <w:proofErr w:type="spellEnd"/>
      <w:r w:rsidRPr="00194C36">
        <w:rPr>
          <w:rFonts w:ascii="Arial" w:hAnsi="Arial" w:cs="Arial"/>
          <w:lang w:eastAsia="es-CR"/>
          <w14:ligatures w14:val="standardContextual"/>
        </w:rPr>
        <w:t xml:space="preserve"> et al. (2007) lo ven como una “formulación hipotética de los aprendizajes esperados” (p. 91). Carlos Masis (2016) amplía esta idea, señalando que el programa es una previsión del contenido que se enseñará y cómo se desarrollará, distribuido en un período de tiempo. Ana García y Elena Auzmendi (2012), de la Universidad de Deusto, destacan su carácter público y su vínculo con el plan de estudios de la respectiva carrera, declarando que “el programa (…) es el documento de acceso no restringido, que refleja de forma abreviada la planificación de una asignatura realizada por un profesor o equipo de profesores en el marco de la titulación correspondiente, y aprobado por el departamento responsable de dicha titulación” (p. 9). </w:t>
      </w:r>
    </w:p>
    <w:p w14:paraId="6F3EE7B5" w14:textId="77777777" w:rsidR="00194C36" w:rsidRPr="00194C36" w:rsidRDefault="00194C36" w:rsidP="003A3CA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 xml:space="preserve">La Universidad Autónoma de Aguascalientes lo ve como “el conjunto de conocimientos, habilidades y actitudes que adquirirá el estudiante” (UAA, 2019, p. 9). La Universidad Católica de Temuco lo presenta como un “documento público dirigido al estudiantado, que describe las características del curso y su contribución al perfil de egreso” (UCT, 2009, p. 2). La Universidad Estatal de Buriatia lo define como un “documento normativo con los contenidos y métodos de evaluación” (БГУ [UEB], 2019, p. 3). El Instituto Tecnológico de Costa Rica define el programa como “una descripción detallada y ordenada de la labor educativa a desarrollar”., donde </w:t>
      </w:r>
      <w:r w:rsidRPr="00194C36">
        <w:rPr>
          <w:rFonts w:ascii="Arial" w:hAnsi="Arial" w:cs="Arial"/>
          <w:lang w:eastAsia="es-CR"/>
          <w14:ligatures w14:val="standardContextual"/>
        </w:rPr>
        <w:lastRenderedPageBreak/>
        <w:t xml:space="preserve">se consignan aspectos relativos al plan de estudios y aspectos operativos (ITCR, 2024, p. 114). Además, es necesario aclarar que el término "programa de curso" no es el único utilizado. En diferentes instituciones de educación superior existen equivalentes como "guía docente", "orientación académica" y "sílabo", entre otros. </w:t>
      </w:r>
    </w:p>
    <w:p w14:paraId="5B4BF680" w14:textId="77777777" w:rsidR="00194C36" w:rsidRPr="00194C36" w:rsidRDefault="00194C36" w:rsidP="003A3CA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Finalmente, antes de cerrar el abanico de conceptualizaciones, se quiere mencionar una más. La elaboraron académicos del Instituto</w:t>
      </w:r>
      <w:r w:rsidRPr="00194C36">
        <w:rPr>
          <w:rFonts w:ascii="Arial" w:hAnsi="Arial" w:cs="Arial"/>
          <w:color w:val="FF0000"/>
          <w:lang w:eastAsia="es-CR"/>
          <w14:ligatures w14:val="standardContextual"/>
        </w:rPr>
        <w:t xml:space="preserve"> </w:t>
      </w:r>
      <w:r w:rsidRPr="00194C36">
        <w:rPr>
          <w:rFonts w:ascii="Arial" w:hAnsi="Arial" w:cs="Arial"/>
          <w:lang w:eastAsia="es-CR"/>
          <w14:ligatures w14:val="standardContextual"/>
        </w:rPr>
        <w:t xml:space="preserve">Tecnológico de Costa Rica (ITCR o TEC) en un taller de capacitación docente dedicado a la programación y planeamiento didáctico de cursos. Esta enunciación, con la que se identifica un autor, es enfática en señalar el rol esencial que tienen los programas en la organización del aprendizaje- enseñanza, especialmente en la vinculación de las ideas plasmadas en el diseño curricular de una carrera con la acción didáctica. </w:t>
      </w:r>
    </w:p>
    <w:p w14:paraId="0C3C6E23" w14:textId="77777777" w:rsidR="00194C36" w:rsidRPr="00194C36" w:rsidRDefault="00194C36" w:rsidP="003A3CA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Según los profesores del TEC, el programa de curso es un documento oficial, producto de planificación del proceso formativo a nivel intermedio (táctico): entre los planes de estudio (nivel estratégico) y el planeamiento didáctico del quehacer cotidiano áulico (nivel operativo). Sintetiza, conjuga y presenta los aspectos académicos y administrativos imprescindibles para dirigir efectivamente el aprendizaje y la enseñanza correspondiente a una asignatura universitaria, en el contexto de una carrera, postgrado e institución. Entre estos aspectos está la conceptualización, la intencionalidad, los contenidos, la forma en que será desarrollada, la estrategia de evaluación de los aprendizajes, la bibliografía y otros, atinentes a una asignatura particular.</w:t>
      </w:r>
    </w:p>
    <w:p w14:paraId="0559DBD5" w14:textId="77777777" w:rsidR="00194C36" w:rsidRPr="00194C36" w:rsidRDefault="00194C36" w:rsidP="003A3CA0">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lastRenderedPageBreak/>
        <w:t>Estas diversas definiciones reflejan la variabilidad en la conceptualización del programa de curso, es decir, aunque mayormente se le denomina igual, en la práctica puede adoptar formas y funciones distintas, ocupando espacios variables en la planificación educativa universitaria.</w:t>
      </w:r>
    </w:p>
    <w:p w14:paraId="635326CF" w14:textId="77777777" w:rsidR="00194C36" w:rsidRPr="00194C36" w:rsidRDefault="00194C36" w:rsidP="00E01513">
      <w:pPr>
        <w:autoSpaceDE w:val="0"/>
        <w:autoSpaceDN w:val="0"/>
        <w:spacing w:before="100" w:beforeAutospacing="1" w:after="100" w:afterAutospacing="1" w:line="360" w:lineRule="auto"/>
        <w:jc w:val="both"/>
        <w:rPr>
          <w:rFonts w:ascii="Arial" w:hAnsi="Arial" w:cs="Arial"/>
          <w:lang w:eastAsia="es-CR"/>
          <w14:ligatures w14:val="standardContextual"/>
        </w:rPr>
      </w:pPr>
      <w:r w:rsidRPr="00194C36">
        <w:rPr>
          <w:rFonts w:ascii="Arial" w:hAnsi="Arial" w:cs="Arial"/>
          <w:lang w:eastAsia="es-CR"/>
          <w14:ligatures w14:val="standardContextual"/>
        </w:rPr>
        <w:t>A pesar de estas diferencias, hay consenso en que el programa de curso es un documento de orden táctico que traduce las propuestas estratégicas del plan de estudios en un formato práctico para la planificación, organización y control del proceso educativo a nivel de asignatura. Esto hace posible centrar nuestra atención en los aspectos convergentes del asunto, para dilucidar las funciones que desempeñan los programas de cursos en el contexto de la educación universitaria, subrayando su relevancia como herramientas indispensables para la planificación y gestión académica.</w:t>
      </w:r>
    </w:p>
    <w:p w14:paraId="3A885B1A" w14:textId="4FA97917" w:rsidR="00194C36" w:rsidRPr="00E01513" w:rsidRDefault="00194C36" w:rsidP="00E01513">
      <w:pPr>
        <w:autoSpaceDE w:val="0"/>
        <w:autoSpaceDN w:val="0"/>
        <w:spacing w:before="100" w:beforeAutospacing="1" w:after="100" w:afterAutospacing="1" w:line="360" w:lineRule="auto"/>
        <w:ind w:left="284" w:hanging="284"/>
        <w:jc w:val="both"/>
        <w:rPr>
          <w:rFonts w:ascii="Arial" w:hAnsi="Arial" w:cs="Arial"/>
          <w:b/>
          <w:bCs/>
          <w:iCs/>
          <w:lang w:eastAsia="es-CR"/>
          <w14:ligatures w14:val="standardContextual"/>
        </w:rPr>
      </w:pPr>
      <w:r w:rsidRPr="00E01513">
        <w:rPr>
          <w:rFonts w:ascii="Arial" w:hAnsi="Arial" w:cs="Arial"/>
          <w:b/>
          <w:bCs/>
          <w:iCs/>
          <w:lang w:eastAsia="es-CR"/>
          <w14:ligatures w14:val="standardContextual"/>
        </w:rPr>
        <w:t>Funciones del programa de curso</w:t>
      </w:r>
    </w:p>
    <w:p w14:paraId="1C1BC5D2" w14:textId="77777777" w:rsidR="00194C36" w:rsidRPr="00194C36" w:rsidRDefault="00194C36" w:rsidP="00E01513">
      <w:pPr>
        <w:spacing w:before="100" w:beforeAutospacing="1" w:after="100" w:afterAutospacing="1" w:line="360" w:lineRule="auto"/>
        <w:jc w:val="both"/>
        <w:rPr>
          <w:rFonts w:ascii="Arial" w:hAnsi="Arial" w:cs="Arial"/>
          <w:lang w:eastAsia="es-CR"/>
        </w:rPr>
      </w:pPr>
      <w:r w:rsidRPr="00194C36">
        <w:rPr>
          <w:rFonts w:ascii="Arial" w:hAnsi="Arial" w:cs="Arial"/>
          <w:lang w:eastAsia="es-CR"/>
        </w:rPr>
        <w:t xml:space="preserve">Los programas de curso alinean las actividades académicas con las directrices estratégicas de la universidad, asegurando coherencia entre los objetivos institucionales y el proceso formativo de cada asignatura. Según CUHK (2025), “el programa procura la consistencia del curso con los lineamientos estratégicos de la enseñanza universitaria” (p. 1). Esta alineación facilita la implementación de políticas educativas innovadoras, especialmente en el contexto de competencias, </w:t>
      </w:r>
      <w:r w:rsidRPr="00194C36">
        <w:rPr>
          <w:rFonts w:ascii="Arial" w:hAnsi="Arial" w:cs="Arial"/>
          <w:lang w:eastAsia="es-CR"/>
        </w:rPr>
        <w:lastRenderedPageBreak/>
        <w:t>virtualización del aprendizaje y metodologías activas y participativas (МГТУ [UETM], 2019).</w:t>
      </w:r>
    </w:p>
    <w:p w14:paraId="7080C6CD" w14:textId="77777777" w:rsidR="00194C36" w:rsidRPr="00194C36" w:rsidRDefault="00194C36" w:rsidP="00E01513">
      <w:pPr>
        <w:spacing w:before="100" w:beforeAutospacing="1" w:after="100" w:afterAutospacing="1" w:line="360" w:lineRule="auto"/>
        <w:jc w:val="both"/>
        <w:rPr>
          <w:rFonts w:ascii="Arial" w:hAnsi="Arial" w:cs="Arial"/>
          <w:lang w:eastAsia="es-CR"/>
        </w:rPr>
      </w:pPr>
      <w:r w:rsidRPr="00194C36">
        <w:rPr>
          <w:rFonts w:ascii="Arial" w:hAnsi="Arial" w:cs="Arial"/>
          <w:lang w:eastAsia="es-CR"/>
        </w:rPr>
        <w:t>Los programas de curso también son parte esencial del diseño curricular de las titulaciones, no un anexo sino un componente sustantivo del plan de estudios. García y Auzmendi (2012) indican que el programa “sitúa la planificación de una asignatura en el marco de la titulación” (p. 9), y muestra su contribución al perfil profesional del estudiantado. Además, “optimizan la estructura de contenidos, garantizando enlaces lógicos y evitando duplicación de material de estudio” asignado a cada curso de una carrera (МГТУ [UETM], 2019, p. 3).</w:t>
      </w:r>
    </w:p>
    <w:p w14:paraId="1757AB8C" w14:textId="77777777" w:rsidR="00194C36" w:rsidRPr="00194C36" w:rsidRDefault="00194C36" w:rsidP="00E01513">
      <w:pPr>
        <w:spacing w:before="100" w:beforeAutospacing="1" w:after="100" w:afterAutospacing="1" w:line="360" w:lineRule="auto"/>
        <w:jc w:val="both"/>
        <w:rPr>
          <w:rFonts w:ascii="Arial" w:hAnsi="Arial" w:cs="Arial"/>
          <w:lang w:eastAsia="es-CR"/>
        </w:rPr>
      </w:pPr>
      <w:r w:rsidRPr="00194C36">
        <w:rPr>
          <w:rFonts w:ascii="Arial" w:hAnsi="Arial" w:cs="Arial"/>
          <w:lang w:eastAsia="es-CR"/>
        </w:rPr>
        <w:t>La flexibilidad que aportan los programas permite revisiones y actualizaciones constantes del diseño curricular, algo fundamental para adaptarse a la evolución de las carreras. Según el ITCR, “los programas deben revisarse regularmente para mantener su relevancia” (2024, p. 51).</w:t>
      </w:r>
    </w:p>
    <w:p w14:paraId="195CE41E" w14:textId="77777777" w:rsidR="00194C36" w:rsidRPr="00194C36" w:rsidRDefault="00194C36" w:rsidP="00E01513">
      <w:pPr>
        <w:spacing w:before="100" w:beforeAutospacing="1" w:after="100" w:afterAutospacing="1" w:line="360" w:lineRule="auto"/>
        <w:jc w:val="both"/>
        <w:rPr>
          <w:rFonts w:ascii="Arial" w:hAnsi="Arial" w:cs="Arial"/>
          <w:lang w:eastAsia="es-CR"/>
        </w:rPr>
      </w:pPr>
      <w:r w:rsidRPr="00194C36">
        <w:rPr>
          <w:rFonts w:ascii="Arial" w:hAnsi="Arial" w:cs="Arial"/>
          <w:lang w:eastAsia="es-CR"/>
        </w:rPr>
        <w:t xml:space="preserve">En los tres niveles de concreción curricular, los programas transcriben los lineamientos estratégicos del plan de estudios en un formato táctico, suficientemente concreto y útil para planificar, dirigir y evaluar la praxis educativa atinente a una determinada materia. Se considera que el programa amplía y especifica el plan de estudios, proporcionando la información y la planificación correspondiente a un curso. </w:t>
      </w:r>
    </w:p>
    <w:p w14:paraId="1BA8069A" w14:textId="77777777" w:rsidR="00194C36" w:rsidRPr="00194C36" w:rsidRDefault="00194C36" w:rsidP="00E01513">
      <w:pPr>
        <w:spacing w:before="100" w:beforeAutospacing="1" w:after="100" w:afterAutospacing="1" w:line="360" w:lineRule="auto"/>
        <w:jc w:val="both"/>
        <w:rPr>
          <w:rFonts w:ascii="Arial" w:hAnsi="Arial" w:cs="Arial"/>
          <w:lang w:eastAsia="es-CR"/>
        </w:rPr>
      </w:pPr>
      <w:r w:rsidRPr="00194C36">
        <w:rPr>
          <w:rFonts w:ascii="Arial" w:hAnsi="Arial" w:cs="Arial"/>
          <w:lang w:eastAsia="es-CR"/>
        </w:rPr>
        <w:lastRenderedPageBreak/>
        <w:t xml:space="preserve">Los programas desempeñan roles clave en la administración y optimización del proceso formativo, facilitan la dirección, reducción de incertidumbre y minimización de redundancia, según los principios de la ciencia administrativa (Robbins y </w:t>
      </w:r>
      <w:proofErr w:type="spellStart"/>
      <w:r w:rsidRPr="00194C36">
        <w:rPr>
          <w:rFonts w:ascii="Arial" w:hAnsi="Arial" w:cs="Arial"/>
          <w:lang w:eastAsia="es-CR"/>
        </w:rPr>
        <w:t>Coulter</w:t>
      </w:r>
      <w:proofErr w:type="spellEnd"/>
      <w:r w:rsidRPr="00194C36">
        <w:rPr>
          <w:rFonts w:ascii="Arial" w:hAnsi="Arial" w:cs="Arial"/>
          <w:lang w:eastAsia="es-CR"/>
        </w:rPr>
        <w:t>, 2020). Son herramientas que ayudan a gestionar materias a través de la planificación, organización, dirección y vigilancia de la efectividad del aprendizaje y la enseñanza. En otras palabras, el programa de curso se encarga de exponer de manera ordenada y detallada “la labor educativa por realizar en la asignatura” (ITCR, 2024, p. 55). Esto incluye definir aprendizajes esperados, contenidos, métodos de enseñanza, recursos y tiempo, entre otros aspectos (</w:t>
      </w:r>
      <w:proofErr w:type="spellStart"/>
      <w:r w:rsidRPr="00194C36">
        <w:rPr>
          <w:rFonts w:ascii="Arial" w:hAnsi="Arial" w:cs="Arial"/>
          <w:lang w:eastAsia="es-CR"/>
        </w:rPr>
        <w:t>Pansza</w:t>
      </w:r>
      <w:proofErr w:type="spellEnd"/>
      <w:r w:rsidRPr="00194C36">
        <w:rPr>
          <w:rFonts w:ascii="Arial" w:hAnsi="Arial" w:cs="Arial"/>
          <w:lang w:eastAsia="es-CR"/>
        </w:rPr>
        <w:t xml:space="preserve"> et al., 2007; Quesada, Cedeño y Zamora, 2001; UAA, 2019; БГУ [UEB], 2019; МГТУ [UETM], 2019).</w:t>
      </w:r>
    </w:p>
    <w:p w14:paraId="18120229" w14:textId="77777777" w:rsidR="00194C36" w:rsidRPr="00194C36" w:rsidRDefault="00194C36" w:rsidP="00E01513">
      <w:pPr>
        <w:spacing w:before="100" w:beforeAutospacing="1" w:after="100" w:afterAutospacing="1" w:line="360" w:lineRule="auto"/>
        <w:jc w:val="both"/>
        <w:rPr>
          <w:rFonts w:ascii="Arial" w:hAnsi="Arial" w:cs="Arial"/>
          <w:lang w:eastAsia="es-CR"/>
        </w:rPr>
      </w:pPr>
      <w:r w:rsidRPr="00194C36">
        <w:rPr>
          <w:rFonts w:ascii="Arial" w:hAnsi="Arial" w:cs="Arial"/>
          <w:lang w:eastAsia="es-CR"/>
        </w:rPr>
        <w:t>El programa de curso se presenta como una herramienta precisa para docentes y estudiantes, permitiendo a los profesores planificar sus acciones de enseñanza y ofreciendo a los estudiantes una guía clara del curso, con sus propósitos, estructura, contenidos y métodos de evaluación (CUHK, 2025; UACh, 2024; UFRO, 2018). Esto otorga a los estudiantes un mayor grado de autonomía y control sobre su aprendizaje.</w:t>
      </w:r>
    </w:p>
    <w:p w14:paraId="05E9ABED" w14:textId="294F873A" w:rsidR="00194C36" w:rsidRPr="00194C36" w:rsidRDefault="00194C36" w:rsidP="00E01513">
      <w:pPr>
        <w:spacing w:before="100" w:beforeAutospacing="1" w:after="100" w:afterAutospacing="1" w:line="360" w:lineRule="auto"/>
        <w:jc w:val="both"/>
        <w:rPr>
          <w:rFonts w:ascii="Arial" w:hAnsi="Arial" w:cs="Arial"/>
          <w:lang w:eastAsia="es-CR"/>
        </w:rPr>
      </w:pPr>
      <w:r w:rsidRPr="00194C36">
        <w:rPr>
          <w:rFonts w:ascii="Arial" w:hAnsi="Arial" w:cs="Arial"/>
          <w:lang w:eastAsia="es-CR"/>
        </w:rPr>
        <w:t xml:space="preserve">La obligatoriedad del programa garantiza consistencia en el proceso formativo, especialmente en cursos ofrecidos a múltiples grupos de manera simultánea o sucesiva. Así, el documento unifica la orientación </w:t>
      </w:r>
      <w:r w:rsidR="00E6685E">
        <w:rPr>
          <w:rFonts w:ascii="Arial" w:hAnsi="Arial" w:cs="Arial"/>
          <w:lang w:eastAsia="es-CR"/>
        </w:rPr>
        <w:t>de</w:t>
      </w:r>
      <w:r w:rsidRPr="00194C36">
        <w:rPr>
          <w:rFonts w:ascii="Arial" w:hAnsi="Arial" w:cs="Arial"/>
          <w:lang w:eastAsia="es-CR"/>
        </w:rPr>
        <w:t xml:space="preserve"> todos los involucrados, incluso cuando diferentes profesores imparten la asignatura en varias carreras y sedes.</w:t>
      </w:r>
    </w:p>
    <w:p w14:paraId="70754C15" w14:textId="56A62A28" w:rsidR="00194C36" w:rsidRPr="00194C36" w:rsidRDefault="00194C36" w:rsidP="00E01513">
      <w:pPr>
        <w:spacing w:before="100" w:beforeAutospacing="1" w:after="100" w:afterAutospacing="1" w:line="360" w:lineRule="auto"/>
        <w:jc w:val="both"/>
        <w:rPr>
          <w:rFonts w:ascii="Arial" w:hAnsi="Arial" w:cs="Arial"/>
          <w:lang w:eastAsia="es-CR"/>
        </w:rPr>
      </w:pPr>
      <w:r w:rsidRPr="00194C36">
        <w:rPr>
          <w:rFonts w:ascii="Arial" w:hAnsi="Arial" w:cs="Arial"/>
          <w:lang w:eastAsia="es-CR"/>
        </w:rPr>
        <w:lastRenderedPageBreak/>
        <w:t xml:space="preserve">Además de sus funciones sustantivas, los programas de curso son cruciales para la acreditación y reconocimiento de estudios previos. Detallan las características de cada asignatura, facilitando la homologación de materias y validación de grados obtenidos en el extranjero, como ocurre en el TEC (ITCR, 2007 y 2023). En los procesos de aseguramiento de la calidad, las agencias evaluadoras (AAPIA, ACAAI, ACAP, SINAES) emplean programas de curso como fuente de información clave para evaluar y acreditar carreras (AAPIA, 2021; ACAAI, 2021; SINAES, 2010 y 2012). </w:t>
      </w:r>
      <w:r w:rsidR="00082FCE">
        <w:rPr>
          <w:rFonts w:ascii="Arial" w:hAnsi="Arial" w:cs="Arial"/>
          <w:lang w:eastAsia="es-CR"/>
        </w:rPr>
        <w:t>P</w:t>
      </w:r>
      <w:r w:rsidRPr="00194C36">
        <w:rPr>
          <w:rFonts w:ascii="Arial" w:hAnsi="Arial" w:cs="Arial"/>
          <w:lang w:eastAsia="es-CR"/>
        </w:rPr>
        <w:t>or ejemplo, la ACAP (2020) establece que la evaluación del contenido curricular debe basarse en el análisis de los programas de todos los cursos.</w:t>
      </w:r>
    </w:p>
    <w:p w14:paraId="5EF4A92E" w14:textId="77777777" w:rsidR="00194C36" w:rsidRPr="00194C36" w:rsidRDefault="00194C36" w:rsidP="00E01513">
      <w:pPr>
        <w:spacing w:before="100" w:beforeAutospacing="1" w:after="100" w:afterAutospacing="1" w:line="360" w:lineRule="auto"/>
        <w:jc w:val="both"/>
        <w:rPr>
          <w:rFonts w:ascii="Arial" w:hAnsi="Arial" w:cs="Arial"/>
          <w:lang w:eastAsia="es-CR"/>
        </w:rPr>
      </w:pPr>
      <w:r w:rsidRPr="00194C36">
        <w:rPr>
          <w:rFonts w:ascii="Arial" w:hAnsi="Arial" w:cs="Arial"/>
          <w:lang w:eastAsia="es-CR"/>
        </w:rPr>
        <w:t>En resumen, los programas de curso son fundamentales para la planificación, gestión y evaluación del proceso formativo en la educación universitaria. Ofrecen una guía clara y estructurada para docentes, estudiantes y administradores, contribuyendo a la coherencia institucional, flexibilidad curricular y calidad formativa. En este contexto, los programas de curso se erigen como elementos insustituibles para la mejora de la calidad de los postgrados académicos y profesionales en las universidades de nuestra región.</w:t>
      </w:r>
    </w:p>
    <w:p w14:paraId="258DA7D4" w14:textId="2190AA22" w:rsidR="00194C36" w:rsidRPr="00E01513" w:rsidRDefault="00194C36" w:rsidP="002D3410">
      <w:pPr>
        <w:autoSpaceDE w:val="0"/>
        <w:autoSpaceDN w:val="0"/>
        <w:spacing w:before="100" w:beforeAutospacing="1" w:after="100" w:afterAutospacing="1" w:line="360" w:lineRule="auto"/>
        <w:ind w:left="284" w:hanging="284"/>
        <w:jc w:val="both"/>
        <w:rPr>
          <w:rFonts w:ascii="Arial" w:hAnsi="Arial" w:cs="Arial"/>
          <w:b/>
          <w:bCs/>
          <w:iCs/>
          <w:lang w:val="es-ES" w:eastAsia="es-CR"/>
        </w:rPr>
      </w:pPr>
      <w:bookmarkStart w:id="14" w:name="_Hlk182150136"/>
      <w:r w:rsidRPr="00E01513">
        <w:rPr>
          <w:rFonts w:ascii="Arial" w:hAnsi="Arial" w:cs="Arial"/>
          <w:b/>
          <w:bCs/>
          <w:iCs/>
          <w:lang w:val="es-ES" w:eastAsia="es-CR"/>
        </w:rPr>
        <w:t>Estructura del programa de curso</w:t>
      </w:r>
    </w:p>
    <w:bookmarkEnd w:id="14"/>
    <w:p w14:paraId="466C2DFB" w14:textId="77777777" w:rsidR="00194C36" w:rsidRPr="00194C36" w:rsidRDefault="00194C36" w:rsidP="00E01513">
      <w:pPr>
        <w:spacing w:before="100" w:beforeAutospacing="1" w:after="100" w:afterAutospacing="1" w:line="360" w:lineRule="auto"/>
        <w:jc w:val="both"/>
        <w:rPr>
          <w:rFonts w:ascii="Arial" w:hAnsi="Arial" w:cs="Arial"/>
          <w:lang w:val="es-ES" w:eastAsia="es-CR"/>
        </w:rPr>
      </w:pPr>
      <w:r w:rsidRPr="00194C36">
        <w:rPr>
          <w:rFonts w:ascii="Arial" w:hAnsi="Arial" w:cs="Arial"/>
          <w:lang w:val="es-ES" w:eastAsia="es-CR"/>
        </w:rPr>
        <w:t xml:space="preserve">En este apartado se explora la estructura de los programas de curso, los cuales deben alinearse con sus funciones. La relación entre estructura y función es fundamental para que los programas cumplan con sus roles, sin importar el tipo de </w:t>
      </w:r>
      <w:r w:rsidRPr="00194C36">
        <w:rPr>
          <w:rFonts w:ascii="Arial" w:hAnsi="Arial" w:cs="Arial"/>
          <w:lang w:val="es-ES" w:eastAsia="es-CR"/>
        </w:rPr>
        <w:lastRenderedPageBreak/>
        <w:t>curso o modelo pedagógico adoptado. Esto implica una organización racional basada en la conjugación de ciertos componentes académicos y administrativos esenciales (Quesada, Cedeño y Zamora, 2001).</w:t>
      </w:r>
    </w:p>
    <w:p w14:paraId="3F2CD857" w14:textId="77777777" w:rsidR="00194C36" w:rsidRPr="00194C36" w:rsidRDefault="00194C36" w:rsidP="001A521A">
      <w:pPr>
        <w:spacing w:before="100" w:beforeAutospacing="1" w:after="100" w:afterAutospacing="1" w:line="360" w:lineRule="auto"/>
        <w:jc w:val="both"/>
        <w:rPr>
          <w:rFonts w:ascii="Arial" w:hAnsi="Arial" w:cs="Arial"/>
          <w:lang w:val="es-ES" w:eastAsia="es-CR"/>
        </w:rPr>
      </w:pPr>
      <w:r w:rsidRPr="00194C36">
        <w:rPr>
          <w:rFonts w:ascii="Arial" w:hAnsi="Arial" w:cs="Arial"/>
          <w:lang w:val="es-ES" w:eastAsia="es-CR"/>
        </w:rPr>
        <w:t xml:space="preserve">Para identificar estos elementos clave, se analizaron programas de distintas instituciones de educación superior de varios países (ver Figura 1). </w:t>
      </w:r>
    </w:p>
    <w:p w14:paraId="3CFFECC3" w14:textId="3561273D" w:rsidR="001918F2" w:rsidRPr="001A521A" w:rsidRDefault="00194C36" w:rsidP="0020225D">
      <w:pPr>
        <w:widowControl w:val="0"/>
        <w:autoSpaceDE w:val="0"/>
        <w:autoSpaceDN w:val="0"/>
        <w:adjustRightInd w:val="0"/>
        <w:spacing w:after="100" w:afterAutospacing="1"/>
        <w:jc w:val="center"/>
        <w:rPr>
          <w:rFonts w:ascii="Times" w:hAnsi="Times" w:cs="Times"/>
          <w:b/>
          <w:iCs/>
          <w:color w:val="000000"/>
          <w:sz w:val="20"/>
          <w:szCs w:val="20"/>
          <w:lang w:val="es-ES"/>
          <w14:ligatures w14:val="standardContextual"/>
        </w:rPr>
      </w:pPr>
      <w:r w:rsidRPr="001A521A">
        <w:rPr>
          <w:rFonts w:ascii="Arial" w:hAnsi="Arial" w:cs="Arial"/>
          <w:b/>
          <w:bCs/>
          <w:sz w:val="20"/>
          <w:szCs w:val="20"/>
          <w:lang w:val="es-ES"/>
          <w14:ligatures w14:val="standardContextual"/>
        </w:rPr>
        <w:t>Figura 1</w:t>
      </w:r>
      <w:r w:rsidR="001A521A" w:rsidRPr="001A521A">
        <w:rPr>
          <w:rFonts w:ascii="Arial" w:hAnsi="Arial" w:cs="Arial"/>
          <w:b/>
          <w:bCs/>
          <w:sz w:val="20"/>
          <w:szCs w:val="20"/>
          <w:lang w:val="es-ES"/>
          <w14:ligatures w14:val="standardContextual"/>
        </w:rPr>
        <w:t xml:space="preserve">. </w:t>
      </w:r>
      <w:r w:rsidRPr="001A521A">
        <w:rPr>
          <w:rFonts w:ascii="Arial" w:hAnsi="Arial" w:cs="Arial"/>
          <w:b/>
          <w:iCs/>
          <w:sz w:val="20"/>
          <w:szCs w:val="20"/>
          <w:lang w:val="es-ES"/>
          <w14:ligatures w14:val="standardContextual"/>
        </w:rPr>
        <w:t>Instituciones de la educación superior cuyos documentos se analizaron para definir el núcleo estructural del programa de curso</w:t>
      </w:r>
    </w:p>
    <w:p w14:paraId="619B125C" w14:textId="77777777" w:rsidR="00194C36" w:rsidRPr="00194C36" w:rsidRDefault="00194C36" w:rsidP="007A335B">
      <w:pPr>
        <w:tabs>
          <w:tab w:val="left" w:pos="3668"/>
        </w:tabs>
        <w:spacing w:after="160" w:line="259" w:lineRule="auto"/>
        <w:jc w:val="center"/>
        <w:rPr>
          <w:rFonts w:ascii="Arial" w:hAnsi="Arial" w:cs="Arial"/>
          <w:lang w:val="es-ES" w:eastAsia="es-CR"/>
        </w:rPr>
      </w:pPr>
      <w:r w:rsidRPr="00194C36">
        <w:rPr>
          <w:rFonts w:asciiTheme="minorHAnsi" w:eastAsiaTheme="minorHAnsi" w:hAnsiTheme="minorHAnsi" w:cstheme="minorBidi"/>
          <w:noProof/>
          <w:kern w:val="2"/>
          <w:sz w:val="22"/>
          <w:szCs w:val="22"/>
          <w:lang w:eastAsia="en-US"/>
          <w14:ligatures w14:val="standardContextual"/>
        </w:rPr>
        <w:drawing>
          <wp:inline distT="0" distB="0" distL="0" distR="0" wp14:anchorId="1F0F57CD" wp14:editId="272F2BCC">
            <wp:extent cx="4256940" cy="3641697"/>
            <wp:effectExtent l="0" t="0" r="0" b="0"/>
            <wp:docPr id="104157374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73740" name="Imagen 3"/>
                    <pic:cNvPicPr>
                      <a:picLocks noChangeAspect="1"/>
                    </pic:cNvPicPr>
                  </pic:nvPicPr>
                  <pic:blipFill>
                    <a:blip r:embed="rId10" cstate="print">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319871" cy="3695533"/>
                    </a:xfrm>
                    <a:prstGeom prst="rect">
                      <a:avLst/>
                    </a:prstGeom>
                  </pic:spPr>
                </pic:pic>
              </a:graphicData>
            </a:graphic>
          </wp:inline>
        </w:drawing>
      </w:r>
    </w:p>
    <w:p w14:paraId="7996003E" w14:textId="77777777" w:rsidR="00194C36" w:rsidRPr="00194C36" w:rsidRDefault="00194C36" w:rsidP="00356100">
      <w:pPr>
        <w:tabs>
          <w:tab w:val="left" w:pos="3668"/>
        </w:tabs>
        <w:spacing w:after="100" w:afterAutospacing="1" w:line="360" w:lineRule="auto"/>
        <w:jc w:val="both"/>
        <w:rPr>
          <w:rFonts w:ascii="Arial" w:hAnsi="Arial" w:cs="Arial"/>
          <w:lang w:val="es-ES" w:eastAsia="es-CR"/>
        </w:rPr>
      </w:pPr>
      <w:r w:rsidRPr="00194C36">
        <w:rPr>
          <w:rFonts w:ascii="Arial" w:hAnsi="Arial" w:cs="Arial"/>
          <w:lang w:val="es-ES" w:eastAsia="es-CR"/>
        </w:rPr>
        <w:lastRenderedPageBreak/>
        <w:t>El análisis mostró que prácticamente todos los programas incluyen secciones dedicadas a los asuntos formales, la conceptualización e intencionalidad de la asignatura en el contexto del respectivo plan de estudios, contenidos, forma en que será desarrollado y retroalimentado el proceso formativo, recursos de apoyo y datos del docente. Adicionalmente, algunos programas contemplan el historial de modificaciones, competencias a desarrollar, políticas sobre honestidad académica y atención a necesidades especiales, entre otros.</w:t>
      </w:r>
    </w:p>
    <w:p w14:paraId="0A9450E0" w14:textId="4D380A62" w:rsidR="00194C36" w:rsidRPr="00194C36" w:rsidRDefault="00194C36" w:rsidP="00D472CA">
      <w:pPr>
        <w:spacing w:line="360" w:lineRule="auto"/>
        <w:jc w:val="both"/>
        <w:rPr>
          <w:rFonts w:ascii="Arial" w:hAnsi="Arial" w:cs="Arial"/>
          <w:lang w:val="es-ES" w:eastAsia="es-CR"/>
        </w:rPr>
      </w:pPr>
      <w:r w:rsidRPr="00194C36">
        <w:rPr>
          <w:rFonts w:ascii="Arial" w:hAnsi="Arial" w:cs="Arial"/>
          <w:lang w:val="es-ES" w:eastAsia="es-CR"/>
        </w:rPr>
        <w:t xml:space="preserve">Cada institución establece la estructura del programa de curso según sus propias normativas. Por ejemplo, en la Universidad Autónoma de Aguascalientes (UAA, 2019), el </w:t>
      </w:r>
      <w:r w:rsidRPr="00194C36">
        <w:rPr>
          <w:rFonts w:ascii="Arial" w:hAnsi="Arial" w:cs="Arial"/>
          <w:i/>
          <w:iCs/>
          <w:lang w:val="es-ES" w:eastAsia="es-CR"/>
        </w:rPr>
        <w:t>Reglamento general de docencia</w:t>
      </w:r>
      <w:r w:rsidRPr="00194C36">
        <w:rPr>
          <w:rFonts w:ascii="Arial" w:hAnsi="Arial" w:cs="Arial"/>
          <w:lang w:val="es-ES" w:eastAsia="es-CR"/>
        </w:rPr>
        <w:t xml:space="preserve"> define que</w:t>
      </w:r>
      <w:r w:rsidR="009F0B42">
        <w:rPr>
          <w:rFonts w:ascii="Arial" w:hAnsi="Arial" w:cs="Arial"/>
          <w:lang w:val="es-ES" w:eastAsia="es-CR"/>
        </w:rPr>
        <w:t>:</w:t>
      </w:r>
    </w:p>
    <w:p w14:paraId="76EF48B6" w14:textId="77777777" w:rsidR="00194C36" w:rsidRPr="00194C36" w:rsidRDefault="00194C36" w:rsidP="00D472CA">
      <w:pPr>
        <w:spacing w:line="360" w:lineRule="auto"/>
        <w:ind w:left="709"/>
        <w:jc w:val="both"/>
        <w:rPr>
          <w:rFonts w:ascii="Arial" w:hAnsi="Arial" w:cs="Arial"/>
          <w:lang w:val="es-ES" w:eastAsia="es-CR"/>
        </w:rPr>
      </w:pPr>
      <w:r w:rsidRPr="00194C36">
        <w:rPr>
          <w:rFonts w:ascii="Arial" w:hAnsi="Arial" w:cs="Arial"/>
          <w:lang w:val="es-ES" w:eastAsia="es-CR"/>
        </w:rPr>
        <w:t>todo programa de materia deberá contener los siguientes elementos: a) ubicación en el área académica que corresponda; b) ubicación en el plan de estudios y valor curricular; c) descripción general; d) objetivos generales, objetivos específicos y correspondencia de éstos con el perfil y objetivos generales de la carrera; e) contenido, distribuido en unidades temáticas; f) metodología de enseñanza-aprendizaje; g) criterios de evaluación, especificando los componentes de cada examen, su peso específico, cantidad, nivel de departamentalización y periodicidad de aplicación; y h) bibliografía básica y complementaria actualizada (pp. 3-4).</w:t>
      </w:r>
    </w:p>
    <w:p w14:paraId="54C555D1" w14:textId="77777777" w:rsidR="00194C36" w:rsidRPr="00194C36" w:rsidRDefault="00194C36" w:rsidP="00D472CA">
      <w:pPr>
        <w:spacing w:before="100" w:beforeAutospacing="1" w:after="100" w:afterAutospacing="1" w:line="360" w:lineRule="auto"/>
        <w:jc w:val="both"/>
        <w:rPr>
          <w:rFonts w:ascii="Arial" w:hAnsi="Arial" w:cs="Arial"/>
          <w:lang w:val="es-ES" w:eastAsia="es-CR"/>
        </w:rPr>
      </w:pPr>
      <w:r w:rsidRPr="00194C36">
        <w:rPr>
          <w:rFonts w:ascii="Arial" w:hAnsi="Arial" w:cs="Arial"/>
          <w:lang w:val="es-ES" w:eastAsia="es-CR"/>
        </w:rPr>
        <w:t xml:space="preserve">En la Universidad China de Hong Kong (CUHK), el Centro de Investigación y Mejoramiento de Aprendizaje proporciona una plantilla que sugiere incluir código y </w:t>
      </w:r>
      <w:r w:rsidRPr="00194C36">
        <w:rPr>
          <w:rFonts w:ascii="Arial" w:hAnsi="Arial" w:cs="Arial"/>
          <w:lang w:val="es-ES" w:eastAsia="es-CR"/>
        </w:rPr>
        <w:lastRenderedPageBreak/>
        <w:t>título del curso, descripción general, resultados de aprendizaje, temas, actividades, esquema de evaluación, recursos, retroalimentación y evaluación, horario, detalles de contacto con el profesor y asistente, dirección web del curso y políticas de honestidad académica (CUHK, 2025).</w:t>
      </w:r>
    </w:p>
    <w:p w14:paraId="317A1BC0" w14:textId="77777777" w:rsidR="00194C36" w:rsidRPr="00194C36" w:rsidRDefault="00194C36" w:rsidP="00356100">
      <w:pPr>
        <w:spacing w:after="100" w:afterAutospacing="1" w:line="360" w:lineRule="auto"/>
        <w:jc w:val="both"/>
        <w:rPr>
          <w:rFonts w:ascii="Arial" w:hAnsi="Arial" w:cs="Arial"/>
          <w:lang w:val="es-ES" w:eastAsia="es-CR"/>
        </w:rPr>
      </w:pPr>
      <w:r w:rsidRPr="00194C36">
        <w:rPr>
          <w:rFonts w:ascii="Arial" w:hAnsi="Arial" w:cs="Arial"/>
          <w:lang w:val="es-ES" w:eastAsia="es-CR"/>
        </w:rPr>
        <w:t>La Universidad Estatal de Buriatia, en Rusia, exige una página titular con los visados de las respectivas autoridades, nota aclaratoria, índice de contenidos, cronograma, metodología y evaluación, necesidades logísticas, bibliografía y registro de modificaciones del documento (UEB, 2019).</w:t>
      </w:r>
    </w:p>
    <w:p w14:paraId="34877303" w14:textId="77777777" w:rsidR="00194C36" w:rsidRPr="00194C36" w:rsidRDefault="00194C36" w:rsidP="00356100">
      <w:pPr>
        <w:spacing w:after="100" w:afterAutospacing="1" w:line="360" w:lineRule="auto"/>
        <w:jc w:val="both"/>
        <w:rPr>
          <w:rFonts w:ascii="Arial" w:hAnsi="Arial" w:cs="Arial"/>
          <w:lang w:val="es-ES" w:eastAsia="es-CR"/>
        </w:rPr>
      </w:pPr>
      <w:r w:rsidRPr="00194C36">
        <w:rPr>
          <w:rFonts w:ascii="Arial" w:hAnsi="Arial" w:cs="Arial"/>
          <w:lang w:val="es-ES" w:eastAsia="es-CR"/>
        </w:rPr>
        <w:t>La Universidad de Costa Rica prescribe incluir descripción del curso, objetivos, contenidos, metodología, actividades, cronograma, bibliografía, créditos, horas lectivas, requisitos, obligatoriedad de asistencia a lecciones y normas de evaluación (UCR, 2024). El Instituto Tecnológico de Costa Rica divide el programa en dos partes: “aspectos relativos al plan de estudios” (datos generales, objetivos y contenidos) y “aspectos operativos” (metodología, evaluación, bibliografía, horas de consulta) (ITCR, 2024, pp. 55-56). Esta subdivisión del programa en dos grandes apartados refleja su nivel táctico, situándose entre el plan de estudios y los planes didácticos u operativos de enseñanza, actuando como un enlace entre la estrategia curricular y la implementación práctica.</w:t>
      </w:r>
    </w:p>
    <w:p w14:paraId="4B5400E6" w14:textId="77777777" w:rsidR="00194C36" w:rsidRPr="00194C36" w:rsidRDefault="00194C36" w:rsidP="00356100">
      <w:pPr>
        <w:spacing w:after="100" w:afterAutospacing="1" w:line="360" w:lineRule="auto"/>
        <w:jc w:val="both"/>
        <w:rPr>
          <w:rFonts w:ascii="Arial" w:hAnsi="Arial" w:cs="Arial"/>
          <w:lang w:val="es-ES" w:eastAsia="es-CR"/>
        </w:rPr>
      </w:pPr>
      <w:r w:rsidRPr="00194C36">
        <w:rPr>
          <w:rFonts w:ascii="Arial" w:hAnsi="Arial" w:cs="Arial"/>
          <w:lang w:val="es-ES" w:eastAsia="es-CR"/>
        </w:rPr>
        <w:t xml:space="preserve">Siguiendo esta lógica y con base en la Teoría Suficientemente General de Dirección (Predictor Interior, 2011), se concluye que el programa de curso debe estructurarse </w:t>
      </w:r>
      <w:r w:rsidRPr="00194C36">
        <w:rPr>
          <w:rFonts w:ascii="Arial" w:hAnsi="Arial" w:cs="Arial"/>
          <w:lang w:val="es-ES" w:eastAsia="es-CR"/>
        </w:rPr>
        <w:lastRenderedPageBreak/>
        <w:t>en: a) aspectos del plan de estudios (datos generales, descripción general, objetivos y contenidos) y b) aspectos operativos (metodología, evaluación, bibliografía, información de contacto con el profesor). Esta organización se esquematiza en la Figura 2.</w:t>
      </w:r>
    </w:p>
    <w:p w14:paraId="2843D884" w14:textId="4AD1E723" w:rsidR="00194C36" w:rsidRPr="00356100" w:rsidRDefault="00356100" w:rsidP="00356100">
      <w:pPr>
        <w:spacing w:after="100" w:afterAutospacing="1"/>
        <w:jc w:val="center"/>
        <w:rPr>
          <w:rFonts w:ascii="Arial" w:eastAsiaTheme="minorHAnsi" w:hAnsi="Arial" w:cs="Arial"/>
          <w:b/>
          <w:iCs/>
          <w:kern w:val="2"/>
          <w:sz w:val="20"/>
          <w:szCs w:val="20"/>
          <w:lang w:eastAsia="en-US"/>
          <w14:ligatures w14:val="standardContextual"/>
        </w:rPr>
      </w:pPr>
      <w:r w:rsidRPr="00194C36">
        <w:rPr>
          <w:rFonts w:ascii="Arial" w:hAnsi="Arial" w:cs="Arial"/>
          <w:noProof/>
          <w:lang w:val="es-ES" w:eastAsia="es-CR"/>
          <w14:ligatures w14:val="standardContextual"/>
        </w:rPr>
        <w:drawing>
          <wp:anchor distT="0" distB="0" distL="114300" distR="114300" simplePos="0" relativeHeight="251659264" behindDoc="0" locked="0" layoutInCell="1" allowOverlap="1" wp14:anchorId="0B6746B8" wp14:editId="1A17A938">
            <wp:simplePos x="0" y="0"/>
            <wp:positionH relativeFrom="margin">
              <wp:align>center</wp:align>
            </wp:positionH>
            <wp:positionV relativeFrom="paragraph">
              <wp:posOffset>387985</wp:posOffset>
            </wp:positionV>
            <wp:extent cx="5200015" cy="2908300"/>
            <wp:effectExtent l="0" t="0" r="0" b="0"/>
            <wp:wrapTopAndBottom/>
            <wp:docPr id="1374613738" name="Imagen 11">
              <a:extLst xmlns:a="http://schemas.openxmlformats.org/drawingml/2006/main">
                <a:ext uri="{FF2B5EF4-FFF2-40B4-BE49-F238E27FC236}">
                  <a16:creationId xmlns:a16="http://schemas.microsoft.com/office/drawing/2014/main" id="{D66260F1-05B7-C846-98FB-95EB095093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13738" name="Imagen 11">
                      <a:extLst>
                        <a:ext uri="{FF2B5EF4-FFF2-40B4-BE49-F238E27FC236}">
                          <a16:creationId xmlns:a16="http://schemas.microsoft.com/office/drawing/2014/main" id="{D66260F1-05B7-C846-98FB-95EB095093BF}"/>
                        </a:ext>
                      </a:extLst>
                    </pic:cNvPr>
                    <pic:cNvPicPr>
                      <a:picLocks noChangeAspect="1"/>
                    </pic:cNvPicPr>
                  </pic:nvPicPr>
                  <pic:blipFill>
                    <a:blip r:embed="rId12" cstate="print">
                      <a:extLst>
                        <a:ext uri="{BEBA8EAE-BF5A-486C-A8C5-ECC9F3942E4B}">
                          <a14:imgProps xmlns:a14="http://schemas.microsoft.com/office/drawing/2010/main">
                            <a14:imgLayer r:embed="rId13">
                              <a14:imgEffect>
                                <a14:sharpenSoften amount="50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200015" cy="2908300"/>
                    </a:xfrm>
                    <a:prstGeom prst="rect">
                      <a:avLst/>
                    </a:prstGeom>
                  </pic:spPr>
                </pic:pic>
              </a:graphicData>
            </a:graphic>
            <wp14:sizeRelH relativeFrom="margin">
              <wp14:pctWidth>0</wp14:pctWidth>
            </wp14:sizeRelH>
            <wp14:sizeRelV relativeFrom="margin">
              <wp14:pctHeight>0</wp14:pctHeight>
            </wp14:sizeRelV>
          </wp:anchor>
        </w:drawing>
      </w:r>
      <w:r w:rsidR="00194C36" w:rsidRPr="00356100">
        <w:rPr>
          <w:rFonts w:ascii="Arial" w:eastAsiaTheme="minorHAnsi" w:hAnsi="Arial" w:cs="Arial"/>
          <w:b/>
          <w:bCs/>
          <w:kern w:val="2"/>
          <w:sz w:val="20"/>
          <w:szCs w:val="20"/>
          <w:lang w:eastAsia="en-US"/>
          <w14:ligatures w14:val="standardContextual"/>
        </w:rPr>
        <w:t>Figura 2</w:t>
      </w:r>
      <w:r w:rsidRPr="00356100">
        <w:rPr>
          <w:rFonts w:ascii="Arial" w:eastAsiaTheme="minorHAnsi" w:hAnsi="Arial" w:cs="Arial"/>
          <w:b/>
          <w:bCs/>
          <w:kern w:val="2"/>
          <w:sz w:val="20"/>
          <w:szCs w:val="20"/>
          <w:lang w:eastAsia="en-US"/>
          <w14:ligatures w14:val="standardContextual"/>
        </w:rPr>
        <w:t xml:space="preserve">. </w:t>
      </w:r>
      <w:r w:rsidR="00194C36" w:rsidRPr="00356100">
        <w:rPr>
          <w:rFonts w:ascii="Arial" w:eastAsiaTheme="minorHAnsi" w:hAnsi="Arial" w:cs="Arial"/>
          <w:b/>
          <w:iCs/>
          <w:kern w:val="2"/>
          <w:sz w:val="20"/>
          <w:szCs w:val="20"/>
          <w:lang w:eastAsia="en-US"/>
          <w14:ligatures w14:val="standardContextual"/>
        </w:rPr>
        <w:t>Aspectos y componentes de un programa de curso</w:t>
      </w:r>
    </w:p>
    <w:p w14:paraId="4ABAFD77" w14:textId="77777777" w:rsidR="0062205A" w:rsidRDefault="0062205A" w:rsidP="0062205A">
      <w:pPr>
        <w:jc w:val="both"/>
        <w:rPr>
          <w:rFonts w:ascii="Arial" w:hAnsi="Arial" w:cs="Arial"/>
          <w:lang w:val="es-ES" w:eastAsia="es-CR"/>
        </w:rPr>
      </w:pPr>
    </w:p>
    <w:p w14:paraId="6B6937FE" w14:textId="029AA423" w:rsidR="00194C36" w:rsidRPr="00194C36" w:rsidRDefault="00194C36" w:rsidP="0062205A">
      <w:pPr>
        <w:spacing w:line="360" w:lineRule="auto"/>
        <w:jc w:val="both"/>
        <w:rPr>
          <w:rFonts w:ascii="Arial" w:hAnsi="Arial" w:cs="Arial"/>
          <w:lang w:val="es-ES" w:eastAsia="es-CR"/>
        </w:rPr>
      </w:pPr>
      <w:r w:rsidRPr="00194C36">
        <w:rPr>
          <w:rFonts w:ascii="Arial" w:hAnsi="Arial" w:cs="Arial"/>
          <w:lang w:val="es-ES" w:eastAsia="es-CR"/>
        </w:rPr>
        <w:t xml:space="preserve">En resumen, el programa de curso es un documento oficial integrado al plan de estudios del postgrado, esencial para la gestión táctica de los procesos formativos. Facilita la planificación, organiza el proceso educativo, a su vez, asegura la coherencia transversal y longitudinal del aprendizaje en la carrera o postgrado. </w:t>
      </w:r>
      <w:r w:rsidRPr="00194C36">
        <w:rPr>
          <w:rFonts w:ascii="Arial" w:hAnsi="Arial" w:cs="Arial"/>
          <w:lang w:val="es-ES" w:eastAsia="es-CR"/>
        </w:rPr>
        <w:lastRenderedPageBreak/>
        <w:t>Sirve como herramienta de comunicación entre docentes y estudiantes, igualmente, apoya la autoevaluación y el reconocimiento de estudios.</w:t>
      </w:r>
    </w:p>
    <w:p w14:paraId="3E960375" w14:textId="77777777" w:rsidR="00194C36" w:rsidRPr="00194C36" w:rsidRDefault="00194C36" w:rsidP="00883AC0">
      <w:pPr>
        <w:spacing w:before="100" w:beforeAutospacing="1" w:after="100" w:afterAutospacing="1" w:line="360" w:lineRule="auto"/>
        <w:jc w:val="both"/>
        <w:rPr>
          <w:rFonts w:ascii="Arial" w:hAnsi="Arial" w:cs="Arial"/>
          <w:lang w:val="es-ES" w:eastAsia="es-CR"/>
        </w:rPr>
      </w:pPr>
      <w:r w:rsidRPr="00194C36">
        <w:rPr>
          <w:rFonts w:ascii="Arial" w:hAnsi="Arial" w:cs="Arial"/>
          <w:lang w:val="es-ES" w:eastAsia="es-CR"/>
        </w:rPr>
        <w:t>Un programa de curso bien definido debe incluir elementos como datos administrativos, descripción general del curso, objetivos, contenidos, metodología, evaluación y recursos necesarios, entre otros. Esta configuración no solo simplifica la administración del curso, sino que también contribuye a mejorar la calidad educativa universitaria, proporcionando una guía clara para la gestión del proceso de aprendizaje y asegurando su eficacia y consistencia.</w:t>
      </w:r>
    </w:p>
    <w:p w14:paraId="1AB45F5D" w14:textId="75356955" w:rsidR="00194C36" w:rsidRPr="00194C36" w:rsidRDefault="00883AC0" w:rsidP="0036573A">
      <w:pPr>
        <w:spacing w:before="100" w:beforeAutospacing="1" w:after="100" w:afterAutospacing="1" w:line="360" w:lineRule="auto"/>
        <w:jc w:val="both"/>
        <w:rPr>
          <w:rFonts w:ascii="Arial" w:hAnsi="Arial" w:cs="Arial"/>
          <w:b/>
          <w:bCs/>
          <w:lang w:eastAsia="es-CR"/>
        </w:rPr>
      </w:pPr>
      <w:bookmarkStart w:id="15" w:name="_Hlk182240181"/>
      <w:r w:rsidRPr="00194C36">
        <w:rPr>
          <w:rFonts w:ascii="Arial" w:hAnsi="Arial" w:cs="Arial"/>
          <w:b/>
          <w:bCs/>
          <w:lang w:eastAsia="es-CR"/>
        </w:rPr>
        <w:t>METODOLOGÍA</w:t>
      </w:r>
    </w:p>
    <w:p w14:paraId="6E77BED0" w14:textId="7B63C745" w:rsidR="00194C36" w:rsidRPr="00883AC0" w:rsidRDefault="00194C36" w:rsidP="0036573A">
      <w:pPr>
        <w:autoSpaceDE w:val="0"/>
        <w:autoSpaceDN w:val="0"/>
        <w:spacing w:before="100" w:beforeAutospacing="1" w:after="100" w:afterAutospacing="1" w:line="360" w:lineRule="auto"/>
        <w:jc w:val="both"/>
        <w:rPr>
          <w:rFonts w:ascii="Arial" w:hAnsi="Arial" w:cs="Arial"/>
          <w:b/>
          <w:bCs/>
          <w:iCs/>
          <w:lang w:eastAsia="es-CR"/>
          <w14:ligatures w14:val="standardContextual"/>
        </w:rPr>
      </w:pPr>
      <w:r w:rsidRPr="00883AC0">
        <w:rPr>
          <w:rFonts w:ascii="Arial" w:hAnsi="Arial" w:cs="Arial"/>
          <w:b/>
          <w:bCs/>
          <w:iCs/>
          <w:lang w:eastAsia="es-CR"/>
          <w14:ligatures w14:val="standardContextual"/>
        </w:rPr>
        <w:t>Objetivo y tipo de la investigación</w:t>
      </w:r>
    </w:p>
    <w:p w14:paraId="02E035F7" w14:textId="77777777" w:rsidR="00194C36" w:rsidRPr="00194C36" w:rsidRDefault="00194C36" w:rsidP="00883AC0">
      <w:pPr>
        <w:autoSpaceDE w:val="0"/>
        <w:autoSpaceDN w:val="0"/>
        <w:spacing w:before="100" w:beforeAutospacing="1" w:after="100" w:afterAutospacing="1" w:line="360" w:lineRule="auto"/>
        <w:jc w:val="both"/>
        <w:rPr>
          <w:rFonts w:ascii="Arial" w:hAnsi="Arial" w:cs="Arial"/>
          <w:lang w:val="es-ES" w:eastAsia="es-CR"/>
        </w:rPr>
      </w:pPr>
      <w:r w:rsidRPr="00194C36">
        <w:rPr>
          <w:rFonts w:ascii="Arial" w:hAnsi="Arial" w:cs="Arial"/>
          <w:lang w:val="es-ES" w:eastAsia="es-CR"/>
        </w:rPr>
        <w:t>El objetivo del estudio es determinar la estructura típica de los programas de cursos en las ofertas académicas de grado y postgrado de universidades centroamericanas, y evaluar su conformidad con los criterios de calidad de la ACAP. Acorde con este objetivo, el estudio se enmarca en el ámbito de la investigación educativa y evaluativa, especialmente en el estrato táctico de la planificación curricular de los doctorados, maestrías, licenciaturas y bachilleratos. Tiene un “enfoque exploratorio-descriptivo” y utiliza un “diseño no experimental”, basado en investigación documental y análisis fundamentalmente cualitativo (Pineda-Castillo y Ruiz-Espinoza, 2021, p. 162).</w:t>
      </w:r>
    </w:p>
    <w:p w14:paraId="313F5D84" w14:textId="4E129DB9" w:rsidR="00194C36" w:rsidRPr="00973B1B" w:rsidRDefault="00194C36" w:rsidP="0036573A">
      <w:pPr>
        <w:autoSpaceDE w:val="0"/>
        <w:autoSpaceDN w:val="0"/>
        <w:spacing w:before="100" w:beforeAutospacing="1" w:after="100" w:afterAutospacing="1" w:line="360" w:lineRule="auto"/>
        <w:jc w:val="both"/>
        <w:rPr>
          <w:rFonts w:ascii="Arial" w:hAnsi="Arial" w:cs="Arial"/>
          <w:b/>
          <w:bCs/>
          <w:iCs/>
          <w:lang w:eastAsia="es-CR"/>
          <w14:ligatures w14:val="standardContextual"/>
        </w:rPr>
      </w:pPr>
      <w:r w:rsidRPr="00973B1B">
        <w:rPr>
          <w:rFonts w:ascii="Arial" w:hAnsi="Arial" w:cs="Arial"/>
          <w:b/>
          <w:bCs/>
          <w:iCs/>
          <w:lang w:eastAsia="es-CR"/>
          <w14:ligatures w14:val="standardContextual"/>
        </w:rPr>
        <w:lastRenderedPageBreak/>
        <w:t>Grupo de estudio y muestreo</w:t>
      </w:r>
    </w:p>
    <w:p w14:paraId="14EBDA21" w14:textId="77777777" w:rsidR="00DB7B10" w:rsidRDefault="00194C36" w:rsidP="00973B1B">
      <w:pPr>
        <w:autoSpaceDE w:val="0"/>
        <w:autoSpaceDN w:val="0"/>
        <w:spacing w:before="100" w:beforeAutospacing="1" w:after="100" w:afterAutospacing="1" w:line="360" w:lineRule="auto"/>
        <w:jc w:val="both"/>
        <w:rPr>
          <w:rFonts w:ascii="Arial" w:hAnsi="Arial" w:cs="Arial"/>
          <w:lang w:val="es-ES" w:eastAsia="es-CR"/>
        </w:rPr>
      </w:pPr>
      <w:r w:rsidRPr="00194C36">
        <w:rPr>
          <w:rFonts w:ascii="Arial" w:hAnsi="Arial" w:cs="Arial"/>
          <w:lang w:val="es-ES" w:eastAsia="es-CR"/>
        </w:rPr>
        <w:t xml:space="preserve">El estudio incluye programas de cursos de universidades públicas y privadas de Panamá, Costa Rica, Nicaragua, Honduras, El Salvador, Guatemala, Belice y República Dominicana, representadas en la Agencia Centroamericana de Acreditación de Postgrado (ACAP, 2020). </w:t>
      </w:r>
    </w:p>
    <w:p w14:paraId="66F360C0" w14:textId="199D8743" w:rsidR="00194C36" w:rsidRPr="00194C36" w:rsidRDefault="00194C36" w:rsidP="00973B1B">
      <w:pPr>
        <w:autoSpaceDE w:val="0"/>
        <w:autoSpaceDN w:val="0"/>
        <w:spacing w:before="100" w:beforeAutospacing="1" w:after="100" w:afterAutospacing="1" w:line="360" w:lineRule="auto"/>
        <w:jc w:val="both"/>
        <w:rPr>
          <w:rFonts w:ascii="Arial" w:hAnsi="Arial" w:cs="Arial"/>
          <w:lang w:val="es-ES" w:eastAsia="es-CR"/>
        </w:rPr>
      </w:pPr>
      <w:r w:rsidRPr="00194C36">
        <w:rPr>
          <w:rFonts w:ascii="Arial" w:hAnsi="Arial" w:cs="Arial"/>
          <w:lang w:val="es-ES" w:eastAsia="es-CR"/>
        </w:rPr>
        <w:t>Participan 21 IES, 14 de las cuales son miembros de la ACAP. Las universidades involucradas son: Universidad Tecnológica de Panamá (UTP), Universidad Autónoma de Chiriquí (UNACHI), Universidad de Costa Rica (</w:t>
      </w:r>
      <w:hyperlink r:id="rId14" w:history="1">
        <w:r w:rsidRPr="00194C36">
          <w:rPr>
            <w:rFonts w:ascii="Arial" w:hAnsi="Arial" w:cs="Arial"/>
            <w:lang w:val="es-ES" w:eastAsia="es-CR"/>
          </w:rPr>
          <w:t>UCR</w:t>
        </w:r>
      </w:hyperlink>
      <w:r w:rsidRPr="00194C36">
        <w:rPr>
          <w:rFonts w:ascii="Arial" w:hAnsi="Arial" w:cs="Arial"/>
          <w:lang w:val="es-ES" w:eastAsia="es-CR"/>
        </w:rPr>
        <w:t xml:space="preserve">), Instituto Tecnológico de Costa Rica (ITCR o </w:t>
      </w:r>
      <w:hyperlink r:id="rId15" w:history="1">
        <w:r w:rsidRPr="00194C36">
          <w:rPr>
            <w:rFonts w:ascii="Arial" w:hAnsi="Arial" w:cs="Arial"/>
            <w:lang w:val="es-ES" w:eastAsia="es-CR"/>
          </w:rPr>
          <w:t>TEC</w:t>
        </w:r>
      </w:hyperlink>
      <w:r w:rsidRPr="00194C36">
        <w:rPr>
          <w:rFonts w:ascii="Arial" w:hAnsi="Arial" w:cs="Arial"/>
          <w:lang w:val="es-ES" w:eastAsia="es-CR"/>
        </w:rPr>
        <w:t>), Universidad Nacional (</w:t>
      </w:r>
      <w:hyperlink r:id="rId16" w:history="1">
        <w:r w:rsidRPr="00194C36">
          <w:rPr>
            <w:rFonts w:ascii="Arial" w:hAnsi="Arial" w:cs="Arial"/>
            <w:lang w:val="es-ES" w:eastAsia="es-CR"/>
          </w:rPr>
          <w:t>UNA</w:t>
        </w:r>
      </w:hyperlink>
      <w:r w:rsidRPr="00194C36">
        <w:rPr>
          <w:rFonts w:ascii="Arial" w:hAnsi="Arial" w:cs="Arial"/>
          <w:lang w:val="es-ES" w:eastAsia="es-CR"/>
        </w:rPr>
        <w:t>), Universidad Estatal a Distancia (</w:t>
      </w:r>
      <w:hyperlink r:id="rId17" w:history="1">
        <w:r w:rsidRPr="00194C36">
          <w:rPr>
            <w:rFonts w:ascii="Arial" w:hAnsi="Arial" w:cs="Arial"/>
            <w:lang w:val="es-ES" w:eastAsia="es-CR"/>
          </w:rPr>
          <w:t>UNED</w:t>
        </w:r>
      </w:hyperlink>
      <w:r w:rsidRPr="00194C36">
        <w:rPr>
          <w:rFonts w:ascii="Arial" w:hAnsi="Arial" w:cs="Arial"/>
          <w:lang w:val="es-ES" w:eastAsia="es-CR"/>
        </w:rPr>
        <w:t>), Universidad Lead (</w:t>
      </w:r>
      <w:hyperlink r:id="rId18" w:history="1">
        <w:r w:rsidRPr="00194C36">
          <w:rPr>
            <w:rFonts w:ascii="Arial" w:hAnsi="Arial" w:cs="Arial"/>
            <w:lang w:val="es-ES" w:eastAsia="es-CR"/>
          </w:rPr>
          <w:t>ULEAD</w:t>
        </w:r>
      </w:hyperlink>
      <w:r w:rsidRPr="00194C36">
        <w:rPr>
          <w:rFonts w:ascii="Arial" w:hAnsi="Arial" w:cs="Arial"/>
          <w:lang w:val="es-ES" w:eastAsia="es-CR"/>
        </w:rPr>
        <w:t>), Universidad CENFOTEC (U</w:t>
      </w:r>
      <w:hyperlink r:id="rId19" w:history="1">
        <w:r w:rsidRPr="00194C36">
          <w:rPr>
            <w:rFonts w:ascii="Arial" w:hAnsi="Arial" w:cs="Arial"/>
            <w:lang w:val="es-ES" w:eastAsia="es-CR"/>
          </w:rPr>
          <w:t>CENFOTEC</w:t>
        </w:r>
      </w:hyperlink>
      <w:r w:rsidRPr="00194C36">
        <w:rPr>
          <w:rFonts w:ascii="Arial" w:hAnsi="Arial" w:cs="Arial"/>
          <w:lang w:val="es-ES" w:eastAsia="es-CR"/>
        </w:rPr>
        <w:t>), Universidad Latina (</w:t>
      </w:r>
      <w:proofErr w:type="spellStart"/>
      <w:r w:rsidRPr="00194C36">
        <w:rPr>
          <w:rFonts w:ascii="Arial" w:hAnsi="Arial" w:cs="Arial"/>
          <w:lang w:eastAsia="en-US"/>
          <w14:ligatures w14:val="standardContextual"/>
        </w:rPr>
        <w:fldChar w:fldCharType="begin"/>
      </w:r>
      <w:r w:rsidRPr="00194C36">
        <w:rPr>
          <w:rFonts w:ascii="Arial" w:hAnsi="Arial" w:cs="Arial"/>
          <w:lang w:eastAsia="en-US"/>
          <w14:ligatures w14:val="standardContextual"/>
        </w:rPr>
        <w:instrText xml:space="preserve"> HYPERLINK "https://www.ulatina.ac.cr/" </w:instrText>
      </w:r>
      <w:r w:rsidRPr="00194C36">
        <w:rPr>
          <w:rFonts w:ascii="Arial" w:hAnsi="Arial" w:cs="Arial"/>
          <w:lang w:eastAsia="en-US"/>
          <w14:ligatures w14:val="standardContextual"/>
        </w:rPr>
        <w:fldChar w:fldCharType="separate"/>
      </w:r>
      <w:r w:rsidRPr="00194C36">
        <w:rPr>
          <w:rFonts w:ascii="Arial" w:hAnsi="Arial" w:cs="Arial"/>
          <w:lang w:val="es-ES" w:eastAsia="es-CR"/>
        </w:rPr>
        <w:t>ULatina</w:t>
      </w:r>
      <w:proofErr w:type="spellEnd"/>
      <w:r w:rsidRPr="00194C36">
        <w:rPr>
          <w:rFonts w:ascii="Arial" w:hAnsi="Arial" w:cs="Arial"/>
          <w:lang w:val="es-ES" w:eastAsia="es-CR"/>
        </w:rPr>
        <w:fldChar w:fldCharType="end"/>
      </w:r>
      <w:r w:rsidRPr="00194C36">
        <w:rPr>
          <w:rFonts w:ascii="Arial" w:hAnsi="Arial" w:cs="Arial"/>
          <w:lang w:val="es-ES" w:eastAsia="es-CR"/>
        </w:rPr>
        <w:t>), Universidad Nacional Autónoma de Nicaragua (</w:t>
      </w:r>
      <w:hyperlink r:id="rId20" w:history="1">
        <w:r w:rsidRPr="00194C36">
          <w:rPr>
            <w:rFonts w:ascii="Arial" w:hAnsi="Arial" w:cs="Arial"/>
            <w:lang w:val="es-ES" w:eastAsia="es-CR"/>
          </w:rPr>
          <w:t>UNAN</w:t>
        </w:r>
      </w:hyperlink>
      <w:r w:rsidRPr="00194C36">
        <w:rPr>
          <w:rFonts w:ascii="Arial" w:hAnsi="Arial" w:cs="Arial"/>
          <w:lang w:val="es-ES" w:eastAsia="es-CR"/>
        </w:rPr>
        <w:t>), Universidad Nacional de Ingeniería (</w:t>
      </w:r>
      <w:hyperlink r:id="rId21" w:history="1">
        <w:r w:rsidRPr="00194C36">
          <w:rPr>
            <w:rFonts w:ascii="Arial" w:hAnsi="Arial" w:cs="Arial"/>
            <w:lang w:val="es-ES" w:eastAsia="es-CR"/>
          </w:rPr>
          <w:t>UNI</w:t>
        </w:r>
      </w:hyperlink>
      <w:r w:rsidRPr="00194C36">
        <w:rPr>
          <w:rFonts w:ascii="Arial" w:hAnsi="Arial" w:cs="Arial"/>
          <w:lang w:val="es-ES" w:eastAsia="es-CR"/>
        </w:rPr>
        <w:t>), Universidad Nacional Autónoma de Honduras (</w:t>
      </w:r>
      <w:hyperlink r:id="rId22" w:history="1">
        <w:r w:rsidRPr="00194C36">
          <w:rPr>
            <w:rFonts w:ascii="Arial" w:hAnsi="Arial" w:cs="Arial"/>
            <w:lang w:val="es-ES" w:eastAsia="es-CR"/>
          </w:rPr>
          <w:t>UNAH</w:t>
        </w:r>
      </w:hyperlink>
      <w:r w:rsidRPr="00194C36">
        <w:rPr>
          <w:rFonts w:ascii="Arial" w:hAnsi="Arial" w:cs="Arial"/>
          <w:lang w:val="es-ES" w:eastAsia="es-CR"/>
        </w:rPr>
        <w:t>), Universidad Pedagógica Nacional Francisco Morazán (</w:t>
      </w:r>
      <w:hyperlink r:id="rId23" w:history="1">
        <w:r w:rsidRPr="00194C36">
          <w:rPr>
            <w:rFonts w:ascii="Arial" w:hAnsi="Arial" w:cs="Arial"/>
            <w:lang w:val="es-ES" w:eastAsia="es-CR"/>
          </w:rPr>
          <w:t>UPNFM</w:t>
        </w:r>
      </w:hyperlink>
      <w:r w:rsidRPr="00194C36">
        <w:rPr>
          <w:rFonts w:ascii="Arial" w:hAnsi="Arial" w:cs="Arial"/>
          <w:lang w:val="es-ES" w:eastAsia="es-CR"/>
        </w:rPr>
        <w:t>), Universidad de El Salvador (</w:t>
      </w:r>
      <w:hyperlink r:id="rId24" w:history="1">
        <w:r w:rsidRPr="00194C36">
          <w:rPr>
            <w:rFonts w:ascii="Arial" w:hAnsi="Arial" w:cs="Arial"/>
            <w:lang w:val="es-ES" w:eastAsia="es-CR"/>
          </w:rPr>
          <w:t>UES</w:t>
        </w:r>
      </w:hyperlink>
      <w:r w:rsidRPr="00194C36">
        <w:rPr>
          <w:rFonts w:ascii="Arial" w:hAnsi="Arial" w:cs="Arial"/>
          <w:lang w:val="es-ES" w:eastAsia="es-CR"/>
        </w:rPr>
        <w:t>), Universidad Centroamericana José Simeón Cañas (</w:t>
      </w:r>
      <w:hyperlink r:id="rId25" w:history="1">
        <w:r w:rsidRPr="00194C36">
          <w:rPr>
            <w:rFonts w:ascii="Arial" w:hAnsi="Arial" w:cs="Arial"/>
            <w:lang w:val="es-ES" w:eastAsia="es-CR"/>
          </w:rPr>
          <w:t>UCA</w:t>
        </w:r>
      </w:hyperlink>
      <w:r w:rsidRPr="00194C36">
        <w:rPr>
          <w:rFonts w:ascii="Arial" w:hAnsi="Arial" w:cs="Arial"/>
          <w:lang w:val="es-ES" w:eastAsia="es-CR"/>
        </w:rPr>
        <w:t>), Universidad de San Carlos (</w:t>
      </w:r>
      <w:hyperlink r:id="rId26" w:history="1">
        <w:r w:rsidRPr="00194C36">
          <w:rPr>
            <w:rFonts w:ascii="Arial" w:hAnsi="Arial" w:cs="Arial"/>
            <w:lang w:val="es-ES" w:eastAsia="es-CR"/>
          </w:rPr>
          <w:t>USAC</w:t>
        </w:r>
      </w:hyperlink>
      <w:r w:rsidRPr="00194C36">
        <w:rPr>
          <w:rFonts w:ascii="Arial" w:hAnsi="Arial" w:cs="Arial"/>
          <w:lang w:val="es-ES" w:eastAsia="es-CR"/>
        </w:rPr>
        <w:t>), Universidad Rafael Landívar (</w:t>
      </w:r>
      <w:hyperlink r:id="rId27" w:history="1">
        <w:r w:rsidRPr="00194C36">
          <w:rPr>
            <w:rFonts w:ascii="Arial" w:hAnsi="Arial" w:cs="Arial"/>
            <w:lang w:val="es-ES" w:eastAsia="es-CR"/>
          </w:rPr>
          <w:t>URL</w:t>
        </w:r>
      </w:hyperlink>
      <w:r w:rsidRPr="00194C36">
        <w:rPr>
          <w:rFonts w:ascii="Arial" w:hAnsi="Arial" w:cs="Arial"/>
          <w:lang w:val="es-ES" w:eastAsia="es-CR"/>
        </w:rPr>
        <w:t>), Universidad Francisco Marroquín (</w:t>
      </w:r>
      <w:hyperlink r:id="rId28" w:history="1">
        <w:r w:rsidRPr="00194C36">
          <w:rPr>
            <w:rFonts w:ascii="Arial" w:hAnsi="Arial" w:cs="Arial"/>
            <w:lang w:val="es-ES" w:eastAsia="es-CR"/>
          </w:rPr>
          <w:t>UFM</w:t>
        </w:r>
      </w:hyperlink>
      <w:r w:rsidRPr="00194C36">
        <w:rPr>
          <w:rFonts w:ascii="Arial" w:hAnsi="Arial" w:cs="Arial"/>
          <w:lang w:val="es-ES" w:eastAsia="es-CR"/>
        </w:rPr>
        <w:t xml:space="preserve">), </w:t>
      </w:r>
      <w:proofErr w:type="spellStart"/>
      <w:r w:rsidRPr="00194C36">
        <w:rPr>
          <w:rFonts w:ascii="Arial" w:hAnsi="Arial" w:cs="Arial"/>
          <w:lang w:val="es-ES" w:eastAsia="es-CR"/>
        </w:rPr>
        <w:t>University</w:t>
      </w:r>
      <w:proofErr w:type="spellEnd"/>
      <w:r w:rsidRPr="00194C36">
        <w:rPr>
          <w:rFonts w:ascii="Arial" w:hAnsi="Arial" w:cs="Arial"/>
          <w:lang w:val="es-ES" w:eastAsia="es-CR"/>
        </w:rPr>
        <w:t xml:space="preserve"> </w:t>
      </w:r>
      <w:proofErr w:type="spellStart"/>
      <w:r w:rsidRPr="00194C36">
        <w:rPr>
          <w:rFonts w:ascii="Arial" w:hAnsi="Arial" w:cs="Arial"/>
          <w:lang w:val="es-ES" w:eastAsia="es-CR"/>
        </w:rPr>
        <w:t>of</w:t>
      </w:r>
      <w:proofErr w:type="spellEnd"/>
      <w:r w:rsidRPr="00194C36">
        <w:rPr>
          <w:rFonts w:ascii="Arial" w:hAnsi="Arial" w:cs="Arial"/>
          <w:lang w:val="es-ES" w:eastAsia="es-CR"/>
        </w:rPr>
        <w:t xml:space="preserve"> </w:t>
      </w:r>
      <w:proofErr w:type="spellStart"/>
      <w:r w:rsidRPr="00194C36">
        <w:rPr>
          <w:rFonts w:ascii="Arial" w:hAnsi="Arial" w:cs="Arial"/>
          <w:lang w:val="es-ES" w:eastAsia="es-CR"/>
        </w:rPr>
        <w:t>Belize</w:t>
      </w:r>
      <w:proofErr w:type="spellEnd"/>
      <w:r w:rsidRPr="00194C36">
        <w:rPr>
          <w:rFonts w:ascii="Arial" w:hAnsi="Arial" w:cs="Arial"/>
          <w:lang w:val="es-ES" w:eastAsia="es-CR"/>
        </w:rPr>
        <w:t xml:space="preserve"> (</w:t>
      </w:r>
      <w:hyperlink r:id="rId29" w:history="1">
        <w:r w:rsidRPr="00194C36">
          <w:rPr>
            <w:rFonts w:ascii="Arial" w:hAnsi="Arial" w:cs="Arial"/>
            <w:lang w:val="es-ES" w:eastAsia="es-CR"/>
          </w:rPr>
          <w:t>UB</w:t>
        </w:r>
      </w:hyperlink>
      <w:r w:rsidRPr="00194C36">
        <w:rPr>
          <w:rFonts w:ascii="Arial" w:hAnsi="Arial" w:cs="Arial"/>
          <w:lang w:val="es-ES" w:eastAsia="es-CR"/>
        </w:rPr>
        <w:t>), Universidad Autónoma de Santo Domingo (</w:t>
      </w:r>
      <w:hyperlink r:id="rId30" w:history="1">
        <w:r w:rsidRPr="00194C36">
          <w:rPr>
            <w:rFonts w:ascii="Arial" w:hAnsi="Arial" w:cs="Arial"/>
            <w:lang w:val="es-ES" w:eastAsia="es-CR"/>
          </w:rPr>
          <w:t>UASD</w:t>
        </w:r>
      </w:hyperlink>
      <w:r w:rsidRPr="00194C36">
        <w:rPr>
          <w:rFonts w:ascii="Arial" w:hAnsi="Arial" w:cs="Arial"/>
          <w:lang w:val="es-ES" w:eastAsia="es-CR"/>
        </w:rPr>
        <w:t>) y Pontificia Universidad Católica Madre y Maestra (</w:t>
      </w:r>
      <w:hyperlink r:id="rId31" w:history="1">
        <w:r w:rsidRPr="00194C36">
          <w:rPr>
            <w:rFonts w:ascii="Arial" w:hAnsi="Arial" w:cs="Arial"/>
            <w:lang w:val="es-ES" w:eastAsia="es-CR"/>
          </w:rPr>
          <w:t>PUCMM</w:t>
        </w:r>
      </w:hyperlink>
      <w:r w:rsidRPr="00194C36">
        <w:rPr>
          <w:rFonts w:ascii="Arial" w:hAnsi="Arial" w:cs="Arial"/>
          <w:lang w:val="es-ES" w:eastAsia="es-CR"/>
        </w:rPr>
        <w:t xml:space="preserve">). Se analizan 40 programas de cursos: 30 de grado </w:t>
      </w:r>
      <w:r w:rsidR="002358E2">
        <w:rPr>
          <w:rFonts w:ascii="Arial" w:hAnsi="Arial" w:cs="Arial"/>
          <w:lang w:val="es-ES" w:eastAsia="es-CR"/>
        </w:rPr>
        <w:t xml:space="preserve">y </w:t>
      </w:r>
      <w:r w:rsidRPr="00194C36">
        <w:rPr>
          <w:rFonts w:ascii="Arial" w:hAnsi="Arial" w:cs="Arial"/>
          <w:lang w:val="es-ES" w:eastAsia="es-CR"/>
        </w:rPr>
        <w:t xml:space="preserve">10 de postgrado, como se muestra en la Figura 3.  </w:t>
      </w:r>
    </w:p>
    <w:p w14:paraId="4C64D7E9" w14:textId="74B8C46B" w:rsidR="00194C36" w:rsidRPr="00D60EDE" w:rsidRDefault="00194C36" w:rsidP="00D60EDE">
      <w:pPr>
        <w:autoSpaceDE w:val="0"/>
        <w:autoSpaceDN w:val="0"/>
        <w:spacing w:after="100" w:afterAutospacing="1"/>
        <w:jc w:val="center"/>
        <w:rPr>
          <w:rFonts w:ascii="Arial" w:hAnsi="Arial" w:cs="Arial"/>
          <w:b/>
          <w:iCs/>
          <w:sz w:val="20"/>
          <w:szCs w:val="20"/>
          <w:lang w:eastAsia="en-US"/>
          <w14:ligatures w14:val="standardContextual"/>
        </w:rPr>
      </w:pPr>
      <w:r w:rsidRPr="00D60EDE">
        <w:rPr>
          <w:rFonts w:ascii="Arial" w:hAnsi="Arial" w:cs="Arial"/>
          <w:b/>
          <w:bCs/>
          <w:sz w:val="20"/>
          <w:szCs w:val="20"/>
          <w:lang w:eastAsia="en-US"/>
          <w14:ligatures w14:val="standardContextual"/>
        </w:rPr>
        <w:lastRenderedPageBreak/>
        <w:t>Figura 3</w:t>
      </w:r>
      <w:r w:rsidR="00D60EDE" w:rsidRPr="00D60EDE">
        <w:rPr>
          <w:rFonts w:ascii="Arial" w:hAnsi="Arial" w:cs="Arial"/>
          <w:b/>
          <w:bCs/>
          <w:sz w:val="20"/>
          <w:szCs w:val="20"/>
          <w:lang w:eastAsia="en-US"/>
          <w14:ligatures w14:val="standardContextual"/>
        </w:rPr>
        <w:t xml:space="preserve">. </w:t>
      </w:r>
      <w:r w:rsidRPr="00D60EDE">
        <w:rPr>
          <w:rFonts w:ascii="Arial" w:hAnsi="Arial" w:cs="Arial"/>
          <w:b/>
          <w:iCs/>
          <w:sz w:val="20"/>
          <w:szCs w:val="20"/>
          <w:lang w:eastAsia="en-US"/>
          <w14:ligatures w14:val="standardContextual"/>
        </w:rPr>
        <w:t>Cantidad de programas de cursos analizados según grado académico</w:t>
      </w:r>
    </w:p>
    <w:p w14:paraId="53BBEE65" w14:textId="2E636144" w:rsidR="00194C36" w:rsidRPr="00194C36" w:rsidRDefault="00194C36" w:rsidP="00D60EDE">
      <w:pPr>
        <w:autoSpaceDE w:val="0"/>
        <w:autoSpaceDN w:val="0"/>
        <w:spacing w:line="360" w:lineRule="auto"/>
        <w:jc w:val="center"/>
        <w:rPr>
          <w:rFonts w:ascii="Arial" w:hAnsi="Arial" w:cs="Arial"/>
          <w:lang w:val="es-ES" w:eastAsia="es-CR"/>
        </w:rPr>
      </w:pPr>
      <w:r w:rsidRPr="00194C36">
        <w:rPr>
          <w:rFonts w:ascii="Arial" w:hAnsi="Arial" w:cs="Arial"/>
          <w:noProof/>
          <w:lang w:eastAsia="en-US"/>
          <w14:ligatures w14:val="standardContextual"/>
        </w:rPr>
        <w:drawing>
          <wp:inline distT="0" distB="0" distL="0" distR="0" wp14:anchorId="61A00B6A" wp14:editId="340B40A9">
            <wp:extent cx="4579952" cy="2321781"/>
            <wp:effectExtent l="0" t="0" r="11430" b="2540"/>
            <wp:docPr id="1" name="Gráfico 1">
              <a:extLst xmlns:a="http://schemas.openxmlformats.org/drawingml/2006/main">
                <a:ext uri="{FF2B5EF4-FFF2-40B4-BE49-F238E27FC236}">
                  <a16:creationId xmlns:a16="http://schemas.microsoft.com/office/drawing/2014/main" id="{36E98779-50B0-733C-A152-1B981E0135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194D3D8" w14:textId="77777777" w:rsidR="00BF46F5" w:rsidRDefault="00BF46F5" w:rsidP="00BF46F5">
      <w:pPr>
        <w:autoSpaceDE w:val="0"/>
        <w:autoSpaceDN w:val="0"/>
        <w:jc w:val="both"/>
        <w:rPr>
          <w:rFonts w:ascii="Arial" w:hAnsi="Arial" w:cs="Arial"/>
          <w:lang w:eastAsia="es-CR"/>
        </w:rPr>
      </w:pPr>
    </w:p>
    <w:p w14:paraId="2A95E17A" w14:textId="77F9B4AA" w:rsidR="00194C36" w:rsidRPr="00194C36" w:rsidRDefault="00194C36" w:rsidP="00BF46F5">
      <w:pPr>
        <w:autoSpaceDE w:val="0"/>
        <w:autoSpaceDN w:val="0"/>
        <w:spacing w:line="360" w:lineRule="auto"/>
        <w:jc w:val="both"/>
        <w:rPr>
          <w:rFonts w:ascii="Arial" w:hAnsi="Arial" w:cs="Arial"/>
          <w:lang w:eastAsia="es-CR"/>
        </w:rPr>
      </w:pPr>
      <w:r w:rsidRPr="00194C36">
        <w:rPr>
          <w:rFonts w:ascii="Arial" w:hAnsi="Arial" w:cs="Arial"/>
          <w:lang w:eastAsia="es-CR"/>
        </w:rPr>
        <w:t xml:space="preserve">Los programas fueron proporcionados por académicos de las universidades, a través de una solicitud enviada el 9 de abril de 2024 a la </w:t>
      </w:r>
      <w:proofErr w:type="spellStart"/>
      <w:r w:rsidRPr="00194C36">
        <w:rPr>
          <w:rFonts w:ascii="Arial" w:hAnsi="Arial" w:cs="Arial"/>
          <w:lang w:eastAsia="es-CR"/>
        </w:rPr>
        <w:t>Research</w:t>
      </w:r>
      <w:proofErr w:type="spellEnd"/>
      <w:r w:rsidRPr="00194C36">
        <w:rPr>
          <w:rFonts w:ascii="Arial" w:hAnsi="Arial" w:cs="Arial"/>
          <w:lang w:eastAsia="es-CR"/>
        </w:rPr>
        <w:t xml:space="preserve"> in </w:t>
      </w:r>
      <w:proofErr w:type="spellStart"/>
      <w:r w:rsidRPr="00194C36">
        <w:rPr>
          <w:rFonts w:ascii="Arial" w:hAnsi="Arial" w:cs="Arial"/>
          <w:lang w:eastAsia="es-CR"/>
        </w:rPr>
        <w:t>Engineering</w:t>
      </w:r>
      <w:proofErr w:type="spellEnd"/>
      <w:r w:rsidRPr="00194C36">
        <w:rPr>
          <w:rFonts w:ascii="Arial" w:hAnsi="Arial" w:cs="Arial"/>
          <w:lang w:eastAsia="es-CR"/>
        </w:rPr>
        <w:t xml:space="preserve"> </w:t>
      </w:r>
      <w:proofErr w:type="spellStart"/>
      <w:r w:rsidRPr="00194C36">
        <w:rPr>
          <w:rFonts w:ascii="Arial" w:hAnsi="Arial" w:cs="Arial"/>
          <w:lang w:eastAsia="es-CR"/>
        </w:rPr>
        <w:t>Edication</w:t>
      </w:r>
      <w:proofErr w:type="spellEnd"/>
      <w:r w:rsidRPr="00194C36">
        <w:rPr>
          <w:rFonts w:ascii="Arial" w:hAnsi="Arial" w:cs="Arial"/>
          <w:lang w:eastAsia="es-CR"/>
        </w:rPr>
        <w:t xml:space="preserve"> Network (REEN), y a contactos de las bases de datos de CSUCA, ACAP y los directorios web de las universidades. El muestreo es de tipo archivístico, con un enfoque </w:t>
      </w:r>
      <w:r w:rsidRPr="00194C36">
        <w:rPr>
          <w:rFonts w:ascii="Arial" w:hAnsi="Arial" w:cs="Arial"/>
          <w:lang w:val="es-ES" w:eastAsia="es-CR"/>
        </w:rPr>
        <w:t xml:space="preserve">intencional, considerado como “una técnica válida de aplicar en la etapa de una evaluación documental” (Pineda-Castillo y Ruiz-Espinoza, 2021, p. 162). </w:t>
      </w:r>
    </w:p>
    <w:p w14:paraId="0828115E" w14:textId="71750444" w:rsidR="00194C36" w:rsidRPr="00F576E1" w:rsidRDefault="00194C36" w:rsidP="0061439D">
      <w:pPr>
        <w:autoSpaceDE w:val="0"/>
        <w:autoSpaceDN w:val="0"/>
        <w:spacing w:before="100" w:beforeAutospacing="1" w:after="100" w:afterAutospacing="1" w:line="360" w:lineRule="auto"/>
        <w:jc w:val="both"/>
        <w:rPr>
          <w:rFonts w:ascii="Arial" w:hAnsi="Arial" w:cs="Arial"/>
          <w:b/>
          <w:bCs/>
          <w:iCs/>
          <w:lang w:eastAsia="es-CR"/>
          <w14:ligatures w14:val="standardContextual"/>
        </w:rPr>
      </w:pPr>
      <w:r w:rsidRPr="00F576E1">
        <w:rPr>
          <w:rFonts w:ascii="Arial" w:hAnsi="Arial" w:cs="Arial"/>
          <w:b/>
          <w:bCs/>
          <w:iCs/>
          <w:lang w:eastAsia="es-CR"/>
          <w14:ligatures w14:val="standardContextual"/>
        </w:rPr>
        <w:t>Variables</w:t>
      </w:r>
    </w:p>
    <w:p w14:paraId="042EED30" w14:textId="77777777" w:rsidR="00194C36" w:rsidRPr="00194C36" w:rsidRDefault="00194C36" w:rsidP="0061439D">
      <w:pPr>
        <w:autoSpaceDE w:val="0"/>
        <w:autoSpaceDN w:val="0"/>
        <w:spacing w:before="100" w:beforeAutospacing="1" w:after="100" w:afterAutospacing="1" w:line="360" w:lineRule="auto"/>
        <w:jc w:val="both"/>
        <w:rPr>
          <w:rFonts w:ascii="Arial" w:hAnsi="Arial" w:cs="Arial"/>
          <w:lang w:eastAsia="es-CR"/>
        </w:rPr>
      </w:pPr>
      <w:r w:rsidRPr="00194C36">
        <w:rPr>
          <w:rFonts w:ascii="Arial" w:hAnsi="Arial" w:cs="Arial"/>
          <w:lang w:eastAsia="es-CR"/>
        </w:rPr>
        <w:t xml:space="preserve">El estudio se centra en un constructo denominado “programa de curso o asignatura”, desglosado para los propósitos de análisis en 10 variables: a) portada del programa de curso, b) datos generales o administrativos, c) descripción general, </w:t>
      </w:r>
      <w:r w:rsidRPr="00194C36">
        <w:rPr>
          <w:rFonts w:ascii="Arial" w:hAnsi="Arial" w:cs="Arial"/>
          <w:lang w:eastAsia="es-CR"/>
        </w:rPr>
        <w:lastRenderedPageBreak/>
        <w:t xml:space="preserve">d) objetivo u objetivos del curso, e) contenidos, f) metodología, g) evaluación de los aprendizajes, h) bibliografía y otros recursos, i) información del profesor, y j) registro de actualización del programa. Estas variables coinciden con los componentes habituales en los programas de curso según el sondeo documental previo, mencionado en el marco conceptual y con el criterio de calidad 4.1.g, de la Guía de autoevaluación de la ACAP, donde se establece que los programas deben incluir componentes como “datos generales (por ejemplo: nombre, código, tipo de curso, créditos, requisitos), descripción, objetivos, contenidos, estrategias metodológicas y evaluativas, bibliografía básica pertinente y actualizada” (ACAP, 2020, p. 28). </w:t>
      </w:r>
    </w:p>
    <w:p w14:paraId="25803247" w14:textId="1892A00E" w:rsidR="00194C36" w:rsidRPr="009C1B37" w:rsidRDefault="00194C36" w:rsidP="0061439D">
      <w:pPr>
        <w:autoSpaceDE w:val="0"/>
        <w:autoSpaceDN w:val="0"/>
        <w:spacing w:before="100" w:beforeAutospacing="1" w:after="100" w:afterAutospacing="1" w:line="360" w:lineRule="auto"/>
        <w:jc w:val="both"/>
        <w:rPr>
          <w:rFonts w:ascii="Arial" w:hAnsi="Arial" w:cs="Arial"/>
          <w:b/>
          <w:bCs/>
          <w:iCs/>
          <w:lang w:eastAsia="es-CR"/>
          <w14:ligatures w14:val="standardContextual"/>
        </w:rPr>
      </w:pPr>
      <w:r w:rsidRPr="009C1B37">
        <w:rPr>
          <w:rFonts w:ascii="Arial" w:hAnsi="Arial" w:cs="Arial"/>
          <w:b/>
          <w:bCs/>
          <w:iCs/>
          <w:lang w:eastAsia="es-CR"/>
          <w14:ligatures w14:val="standardContextual"/>
        </w:rPr>
        <w:t>Instrumento</w:t>
      </w:r>
    </w:p>
    <w:p w14:paraId="4215932D" w14:textId="77777777" w:rsidR="00194C36" w:rsidRPr="00194C36" w:rsidRDefault="00194C36" w:rsidP="009C1B37">
      <w:pPr>
        <w:autoSpaceDE w:val="0"/>
        <w:autoSpaceDN w:val="0"/>
        <w:spacing w:before="100" w:beforeAutospacing="1" w:after="100" w:afterAutospacing="1" w:line="360" w:lineRule="auto"/>
        <w:jc w:val="both"/>
        <w:rPr>
          <w:rFonts w:ascii="Arial" w:hAnsi="Arial" w:cs="Arial"/>
          <w:lang w:eastAsia="es-CR"/>
        </w:rPr>
      </w:pPr>
      <w:r w:rsidRPr="00194C36">
        <w:rPr>
          <w:rFonts w:ascii="Arial" w:hAnsi="Arial" w:cs="Arial"/>
          <w:lang w:eastAsia="es-CR"/>
        </w:rPr>
        <w:t>Para alcanzar el objetivo planteado, registrar y verificar los datos, se diseñó una lista de verificación múltiple. Las listas de verificación han demostrado ser efectivas para control de calidad en distintas áreas, incluidas medicina, industria, jurisprudencia y educación (</w:t>
      </w:r>
      <w:r w:rsidRPr="00194C36">
        <w:rPr>
          <w:rFonts w:ascii="Arial" w:hAnsi="Arial" w:cs="Arial"/>
          <w:lang w:eastAsia="en-US"/>
          <w14:ligatures w14:val="standardContextual"/>
        </w:rPr>
        <w:t>Estévez y Daza, 2022; Gómez, 2013; Medina et al., 2022)</w:t>
      </w:r>
      <w:r w:rsidRPr="00194C36">
        <w:rPr>
          <w:rFonts w:ascii="Arial" w:hAnsi="Arial" w:cs="Arial"/>
          <w:lang w:eastAsia="es-CR"/>
        </w:rPr>
        <w:t xml:space="preserve">. La Figura 4 muestra un ejemplo de esta lista aplicada a un programa de curso de la UNED. </w:t>
      </w:r>
    </w:p>
    <w:p w14:paraId="50BC06D4" w14:textId="77777777" w:rsidR="00194C36" w:rsidRPr="00194C36" w:rsidRDefault="00194C36" w:rsidP="009C1B37">
      <w:pPr>
        <w:autoSpaceDE w:val="0"/>
        <w:autoSpaceDN w:val="0"/>
        <w:spacing w:before="100" w:beforeAutospacing="1" w:after="100" w:afterAutospacing="1" w:line="360" w:lineRule="auto"/>
        <w:jc w:val="both"/>
        <w:rPr>
          <w:rFonts w:ascii="Arial" w:hAnsi="Arial" w:cs="Arial"/>
          <w:lang w:eastAsia="es-CR"/>
        </w:rPr>
      </w:pPr>
      <w:r w:rsidRPr="00194C36">
        <w:rPr>
          <w:rFonts w:ascii="Arial" w:hAnsi="Arial" w:cs="Arial"/>
          <w:lang w:eastAsia="es-CR"/>
        </w:rPr>
        <w:t xml:space="preserve">El instrumento incluye dos grupos de aspectos: identificación (universidad, país, membrecía en ACAP, carrera o postgrado, asignatura) y componentes del programa (apartados del programa de curso y anotaciones). En total, el instrumento puede verificar y registrar hasta 22 aspectos sobre cada programa. </w:t>
      </w:r>
    </w:p>
    <w:p w14:paraId="49B48A69" w14:textId="6AB2F59F" w:rsidR="00194C36" w:rsidRPr="00407F36" w:rsidRDefault="00194C36" w:rsidP="00407F36">
      <w:pPr>
        <w:autoSpaceDE w:val="0"/>
        <w:autoSpaceDN w:val="0"/>
        <w:spacing w:after="100" w:afterAutospacing="1"/>
        <w:contextualSpacing/>
        <w:jc w:val="center"/>
        <w:rPr>
          <w:rFonts w:ascii="Arial" w:hAnsi="Arial" w:cs="Arial"/>
          <w:b/>
          <w:iCs/>
          <w:sz w:val="20"/>
          <w:szCs w:val="20"/>
          <w:lang w:eastAsia="es-CR"/>
        </w:rPr>
      </w:pPr>
      <w:r w:rsidRPr="00407F36">
        <w:rPr>
          <w:rFonts w:ascii="Arial" w:hAnsi="Arial" w:cs="Arial"/>
          <w:b/>
          <w:bCs/>
          <w:sz w:val="20"/>
          <w:szCs w:val="20"/>
          <w:lang w:eastAsia="es-CR"/>
        </w:rPr>
        <w:lastRenderedPageBreak/>
        <w:t>Figura 4</w:t>
      </w:r>
      <w:r w:rsidR="00407F36" w:rsidRPr="00407F36">
        <w:rPr>
          <w:rFonts w:ascii="Arial" w:hAnsi="Arial" w:cs="Arial"/>
          <w:b/>
          <w:bCs/>
          <w:sz w:val="20"/>
          <w:szCs w:val="20"/>
          <w:lang w:eastAsia="es-CR"/>
        </w:rPr>
        <w:t xml:space="preserve">. </w:t>
      </w:r>
      <w:r w:rsidRPr="00407F36">
        <w:rPr>
          <w:rFonts w:ascii="Arial" w:hAnsi="Arial" w:cs="Arial"/>
          <w:b/>
          <w:iCs/>
          <w:sz w:val="20"/>
          <w:szCs w:val="20"/>
          <w:lang w:eastAsia="es-CR"/>
        </w:rPr>
        <w:t>Ejemplo de la lista de verificación empleada en el estudio</w:t>
      </w:r>
    </w:p>
    <w:p w14:paraId="2E2EAC39" w14:textId="77777777" w:rsidR="00194C36" w:rsidRPr="00194C36" w:rsidRDefault="00194C36" w:rsidP="00194C36">
      <w:pPr>
        <w:autoSpaceDE w:val="0"/>
        <w:autoSpaceDN w:val="0"/>
        <w:ind w:firstLine="284"/>
        <w:jc w:val="both"/>
        <w:rPr>
          <w:rFonts w:ascii="Arial" w:hAnsi="Arial" w:cs="Arial"/>
          <w:lang w:eastAsia="es-CR"/>
        </w:rPr>
      </w:pPr>
    </w:p>
    <w:tbl>
      <w:tblPr>
        <w:tblStyle w:val="Tablaconcuadrcula1"/>
        <w:tblW w:w="9793" w:type="dxa"/>
        <w:jc w:val="center"/>
        <w:tblLayout w:type="fixed"/>
        <w:tblLook w:val="04A0" w:firstRow="1" w:lastRow="0" w:firstColumn="1" w:lastColumn="0" w:noHBand="0" w:noVBand="1"/>
      </w:tblPr>
      <w:tblGrid>
        <w:gridCol w:w="1553"/>
        <w:gridCol w:w="811"/>
        <w:gridCol w:w="1683"/>
        <w:gridCol w:w="2380"/>
        <w:gridCol w:w="3366"/>
      </w:tblGrid>
      <w:tr w:rsidR="00194C36" w:rsidRPr="00194C36" w14:paraId="262D1CE7" w14:textId="77777777" w:rsidTr="00676948">
        <w:trPr>
          <w:trHeight w:val="348"/>
          <w:jc w:val="center"/>
        </w:trPr>
        <w:tc>
          <w:tcPr>
            <w:tcW w:w="9793" w:type="dxa"/>
            <w:gridSpan w:val="5"/>
            <w:vAlign w:val="center"/>
          </w:tcPr>
          <w:bookmarkEnd w:id="15"/>
          <w:p w14:paraId="4F91C486" w14:textId="77777777" w:rsidR="00194C36" w:rsidRPr="00194C36" w:rsidRDefault="00194C36" w:rsidP="00194C36">
            <w:pPr>
              <w:autoSpaceDE w:val="0"/>
              <w:autoSpaceDN w:val="0"/>
              <w:jc w:val="center"/>
              <w:rPr>
                <w:rFonts w:ascii="Arial" w:hAnsi="Arial" w:cs="Arial"/>
                <w:b/>
                <w:bCs/>
                <w:color w:val="000000" w:themeColor="text1"/>
                <w:sz w:val="16"/>
                <w:szCs w:val="16"/>
                <w:lang w:eastAsia="es-CR"/>
              </w:rPr>
            </w:pPr>
            <w:r w:rsidRPr="00194C36">
              <w:rPr>
                <w:rFonts w:ascii="Arial" w:hAnsi="Arial" w:cs="Arial"/>
                <w:b/>
                <w:bCs/>
                <w:color w:val="000000" w:themeColor="text1"/>
                <w:sz w:val="18"/>
                <w:szCs w:val="18"/>
                <w:lang w:eastAsia="es-CR"/>
              </w:rPr>
              <w:t>Lista de verificación para registrar y comprobar los datos relativos al programa de curso</w:t>
            </w:r>
          </w:p>
        </w:tc>
      </w:tr>
      <w:tr w:rsidR="00194C36" w:rsidRPr="00194C36" w14:paraId="0E11E79C" w14:textId="77777777" w:rsidTr="00676948">
        <w:trPr>
          <w:trHeight w:val="352"/>
          <w:jc w:val="center"/>
        </w:trPr>
        <w:tc>
          <w:tcPr>
            <w:tcW w:w="1553" w:type="dxa"/>
            <w:vMerge w:val="restart"/>
            <w:tcBorders>
              <w:right w:val="nil"/>
            </w:tcBorders>
            <w:vAlign w:val="center"/>
          </w:tcPr>
          <w:p w14:paraId="2BBA83B0"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 xml:space="preserve">1. Universidad </w:t>
            </w:r>
          </w:p>
        </w:tc>
        <w:tc>
          <w:tcPr>
            <w:tcW w:w="2494" w:type="dxa"/>
            <w:gridSpan w:val="2"/>
            <w:tcBorders>
              <w:left w:val="nil"/>
              <w:bottom w:val="single" w:sz="4" w:space="0" w:color="auto"/>
            </w:tcBorders>
            <w:vAlign w:val="center"/>
          </w:tcPr>
          <w:p w14:paraId="2D5AD280"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1.1 Nombre</w:t>
            </w:r>
          </w:p>
        </w:tc>
        <w:tc>
          <w:tcPr>
            <w:tcW w:w="5745" w:type="dxa"/>
            <w:gridSpan w:val="2"/>
            <w:vAlign w:val="center"/>
          </w:tcPr>
          <w:p w14:paraId="104A50FE"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Universidad Estatal a Distancia</w:t>
            </w:r>
          </w:p>
        </w:tc>
      </w:tr>
      <w:tr w:rsidR="00194C36" w:rsidRPr="00194C36" w14:paraId="7D935F4E" w14:textId="77777777" w:rsidTr="00676948">
        <w:trPr>
          <w:trHeight w:val="342"/>
          <w:jc w:val="center"/>
        </w:trPr>
        <w:tc>
          <w:tcPr>
            <w:tcW w:w="1553" w:type="dxa"/>
            <w:vMerge/>
            <w:tcBorders>
              <w:right w:val="nil"/>
            </w:tcBorders>
            <w:vAlign w:val="center"/>
          </w:tcPr>
          <w:p w14:paraId="5FEEFC26"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bottom w:val="single" w:sz="4" w:space="0" w:color="auto"/>
            </w:tcBorders>
            <w:vAlign w:val="center"/>
          </w:tcPr>
          <w:p w14:paraId="6E4C2BA6"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1.2 Siglas</w:t>
            </w:r>
          </w:p>
        </w:tc>
        <w:tc>
          <w:tcPr>
            <w:tcW w:w="5745" w:type="dxa"/>
            <w:gridSpan w:val="2"/>
            <w:vAlign w:val="center"/>
          </w:tcPr>
          <w:p w14:paraId="7B336414"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UNED</w:t>
            </w:r>
          </w:p>
        </w:tc>
      </w:tr>
      <w:tr w:rsidR="00194C36" w:rsidRPr="00194C36" w14:paraId="6008620F" w14:textId="77777777" w:rsidTr="00676948">
        <w:trPr>
          <w:trHeight w:val="330"/>
          <w:jc w:val="center"/>
        </w:trPr>
        <w:tc>
          <w:tcPr>
            <w:tcW w:w="1553" w:type="dxa"/>
            <w:vMerge/>
            <w:tcBorders>
              <w:right w:val="nil"/>
            </w:tcBorders>
            <w:vAlign w:val="center"/>
          </w:tcPr>
          <w:p w14:paraId="19BC1FE9"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bottom w:val="single" w:sz="4" w:space="0" w:color="auto"/>
            </w:tcBorders>
            <w:vAlign w:val="center"/>
          </w:tcPr>
          <w:p w14:paraId="6120E8C3"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1.3 Página web</w:t>
            </w:r>
          </w:p>
        </w:tc>
        <w:tc>
          <w:tcPr>
            <w:tcW w:w="5745" w:type="dxa"/>
            <w:gridSpan w:val="2"/>
            <w:vAlign w:val="center"/>
          </w:tcPr>
          <w:p w14:paraId="468E66BE" w14:textId="77777777" w:rsidR="00194C36" w:rsidRPr="00194C36" w:rsidRDefault="00EB58F3" w:rsidP="00194C36">
            <w:pPr>
              <w:autoSpaceDE w:val="0"/>
              <w:autoSpaceDN w:val="0"/>
              <w:rPr>
                <w:rFonts w:ascii="Arial" w:hAnsi="Arial" w:cs="Arial"/>
                <w:i/>
                <w:iCs/>
                <w:color w:val="2F5496" w:themeColor="accent1" w:themeShade="BF"/>
                <w:sz w:val="16"/>
                <w:szCs w:val="16"/>
                <w:lang w:eastAsia="es-CR"/>
              </w:rPr>
            </w:pPr>
            <w:hyperlink r:id="rId33" w:history="1">
              <w:r w:rsidR="00194C36" w:rsidRPr="00194C36">
                <w:rPr>
                  <w:rFonts w:ascii="Arial" w:hAnsi="Arial" w:cs="Arial"/>
                  <w:i/>
                  <w:iCs/>
                  <w:color w:val="2F5496" w:themeColor="accent1" w:themeShade="BF"/>
                  <w:sz w:val="16"/>
                  <w:szCs w:val="16"/>
                  <w:u w:val="single"/>
                  <w:lang w:eastAsia="es-CR"/>
                </w:rPr>
                <w:t>https://www.uned.ac.cr/</w:t>
              </w:r>
            </w:hyperlink>
            <w:r w:rsidR="00194C36" w:rsidRPr="00194C36">
              <w:rPr>
                <w:rFonts w:ascii="Arial" w:hAnsi="Arial" w:cs="Arial"/>
                <w:i/>
                <w:iCs/>
                <w:color w:val="2F5496" w:themeColor="accent1" w:themeShade="BF"/>
                <w:sz w:val="16"/>
                <w:szCs w:val="16"/>
                <w:lang w:eastAsia="es-CR"/>
              </w:rPr>
              <w:t xml:space="preserve"> </w:t>
            </w:r>
          </w:p>
        </w:tc>
      </w:tr>
      <w:tr w:rsidR="00194C36" w:rsidRPr="00194C36" w14:paraId="1251C408" w14:textId="77777777" w:rsidTr="00676948">
        <w:trPr>
          <w:trHeight w:val="351"/>
          <w:jc w:val="center"/>
        </w:trPr>
        <w:tc>
          <w:tcPr>
            <w:tcW w:w="1553" w:type="dxa"/>
            <w:tcBorders>
              <w:right w:val="nil"/>
            </w:tcBorders>
            <w:vAlign w:val="center"/>
          </w:tcPr>
          <w:p w14:paraId="3CA6CDE3"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2. País</w:t>
            </w:r>
          </w:p>
        </w:tc>
        <w:tc>
          <w:tcPr>
            <w:tcW w:w="2494" w:type="dxa"/>
            <w:gridSpan w:val="2"/>
            <w:tcBorders>
              <w:left w:val="nil"/>
              <w:bottom w:val="single" w:sz="4" w:space="0" w:color="auto"/>
            </w:tcBorders>
            <w:vAlign w:val="center"/>
          </w:tcPr>
          <w:p w14:paraId="663561A4"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5745" w:type="dxa"/>
            <w:gridSpan w:val="2"/>
            <w:vAlign w:val="center"/>
          </w:tcPr>
          <w:p w14:paraId="28EFCB2A"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República de Costa Rica</w:t>
            </w:r>
          </w:p>
        </w:tc>
      </w:tr>
      <w:tr w:rsidR="00194C36" w:rsidRPr="00194C36" w14:paraId="3CE2B168" w14:textId="77777777" w:rsidTr="00676948">
        <w:trPr>
          <w:trHeight w:val="338"/>
          <w:jc w:val="center"/>
        </w:trPr>
        <w:tc>
          <w:tcPr>
            <w:tcW w:w="4047" w:type="dxa"/>
            <w:gridSpan w:val="3"/>
            <w:vAlign w:val="center"/>
          </w:tcPr>
          <w:p w14:paraId="65DA1C1A"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b/>
                <w:bCs/>
                <w:color w:val="000000" w:themeColor="text1"/>
                <w:sz w:val="16"/>
                <w:szCs w:val="16"/>
                <w:lang w:eastAsia="es-CR"/>
              </w:rPr>
              <w:t>3. Membrecía en la ACAP</w:t>
            </w:r>
          </w:p>
        </w:tc>
        <w:tc>
          <w:tcPr>
            <w:tcW w:w="5745" w:type="dxa"/>
            <w:gridSpan w:val="2"/>
            <w:vAlign w:val="center"/>
          </w:tcPr>
          <w:tbl>
            <w:tblPr>
              <w:tblStyle w:val="Tablaconcuadrcula1"/>
              <w:tblW w:w="0" w:type="auto"/>
              <w:tblInd w:w="10" w:type="dxa"/>
              <w:tblLayout w:type="fixed"/>
              <w:tblLook w:val="04A0" w:firstRow="1" w:lastRow="0" w:firstColumn="1" w:lastColumn="0" w:noHBand="0" w:noVBand="1"/>
            </w:tblPr>
            <w:tblGrid>
              <w:gridCol w:w="592"/>
              <w:gridCol w:w="310"/>
              <w:gridCol w:w="373"/>
              <w:gridCol w:w="553"/>
              <w:gridCol w:w="255"/>
            </w:tblGrid>
            <w:tr w:rsidR="00194C36" w:rsidRPr="00194C36" w14:paraId="2F567F5F" w14:textId="77777777" w:rsidTr="00676948">
              <w:trPr>
                <w:trHeight w:val="219"/>
              </w:trPr>
              <w:tc>
                <w:tcPr>
                  <w:tcW w:w="592" w:type="dxa"/>
                  <w:tcBorders>
                    <w:top w:val="nil"/>
                    <w:left w:val="nil"/>
                    <w:bottom w:val="nil"/>
                  </w:tcBorders>
                </w:tcPr>
                <w:p w14:paraId="7B75104C"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Si</w:t>
                  </w:r>
                </w:p>
              </w:tc>
              <w:tc>
                <w:tcPr>
                  <w:tcW w:w="310" w:type="dxa"/>
                </w:tcPr>
                <w:p w14:paraId="54FF214E"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x</w:t>
                  </w:r>
                </w:p>
              </w:tc>
              <w:tc>
                <w:tcPr>
                  <w:tcW w:w="373" w:type="dxa"/>
                  <w:tcBorders>
                    <w:top w:val="nil"/>
                    <w:bottom w:val="nil"/>
                    <w:right w:val="nil"/>
                  </w:tcBorders>
                </w:tcPr>
                <w:p w14:paraId="5AAD842D"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553" w:type="dxa"/>
                  <w:tcBorders>
                    <w:top w:val="nil"/>
                    <w:left w:val="nil"/>
                    <w:bottom w:val="nil"/>
                  </w:tcBorders>
                </w:tcPr>
                <w:p w14:paraId="4DB4A031"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No</w:t>
                  </w:r>
                </w:p>
              </w:tc>
              <w:tc>
                <w:tcPr>
                  <w:tcW w:w="255" w:type="dxa"/>
                </w:tcPr>
                <w:p w14:paraId="25725C95" w14:textId="77777777" w:rsidR="00194C36" w:rsidRPr="00194C36" w:rsidRDefault="00194C36" w:rsidP="00194C36">
                  <w:pPr>
                    <w:autoSpaceDE w:val="0"/>
                    <w:autoSpaceDN w:val="0"/>
                    <w:rPr>
                      <w:rFonts w:ascii="Arial" w:hAnsi="Arial" w:cs="Arial"/>
                      <w:color w:val="000000" w:themeColor="text1"/>
                      <w:sz w:val="16"/>
                      <w:szCs w:val="16"/>
                      <w:lang w:eastAsia="es-CR"/>
                    </w:rPr>
                  </w:pPr>
                </w:p>
              </w:tc>
            </w:tr>
          </w:tbl>
          <w:p w14:paraId="24611EAE" w14:textId="77777777" w:rsidR="00194C36" w:rsidRPr="00194C36" w:rsidRDefault="00194C36" w:rsidP="00194C36">
            <w:pPr>
              <w:autoSpaceDE w:val="0"/>
              <w:autoSpaceDN w:val="0"/>
              <w:rPr>
                <w:rFonts w:ascii="Arial" w:hAnsi="Arial" w:cs="Arial"/>
                <w:color w:val="000000" w:themeColor="text1"/>
                <w:sz w:val="16"/>
                <w:szCs w:val="16"/>
                <w:lang w:eastAsia="es-CR"/>
              </w:rPr>
            </w:pPr>
          </w:p>
        </w:tc>
      </w:tr>
      <w:tr w:rsidR="00194C36" w:rsidRPr="00194C36" w14:paraId="5347FC79" w14:textId="77777777" w:rsidTr="00676948">
        <w:trPr>
          <w:trHeight w:val="348"/>
          <w:jc w:val="center"/>
        </w:trPr>
        <w:tc>
          <w:tcPr>
            <w:tcW w:w="1553" w:type="dxa"/>
            <w:vMerge w:val="restart"/>
            <w:tcBorders>
              <w:right w:val="nil"/>
            </w:tcBorders>
            <w:vAlign w:val="center"/>
          </w:tcPr>
          <w:p w14:paraId="5FBCC576"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4. Carrera o postgrado</w:t>
            </w:r>
          </w:p>
        </w:tc>
        <w:tc>
          <w:tcPr>
            <w:tcW w:w="811" w:type="dxa"/>
            <w:vMerge w:val="restart"/>
            <w:tcBorders>
              <w:left w:val="nil"/>
              <w:right w:val="nil"/>
            </w:tcBorders>
            <w:vAlign w:val="center"/>
          </w:tcPr>
          <w:p w14:paraId="67F0222C"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4.1 Grado</w:t>
            </w:r>
          </w:p>
        </w:tc>
        <w:tc>
          <w:tcPr>
            <w:tcW w:w="1682" w:type="dxa"/>
            <w:tcBorders>
              <w:left w:val="nil"/>
            </w:tcBorders>
            <w:vAlign w:val="center"/>
          </w:tcPr>
          <w:p w14:paraId="025BD7D1"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Pregrado y grado</w:t>
            </w:r>
          </w:p>
        </w:tc>
        <w:tc>
          <w:tcPr>
            <w:tcW w:w="5745" w:type="dxa"/>
            <w:gridSpan w:val="2"/>
            <w:vAlign w:val="center"/>
          </w:tcPr>
          <w:tbl>
            <w:tblPr>
              <w:tblStyle w:val="Tablaconcuadrcula1"/>
              <w:tblW w:w="4814" w:type="dxa"/>
              <w:tblInd w:w="10" w:type="dxa"/>
              <w:tblLayout w:type="fixed"/>
              <w:tblLook w:val="04A0" w:firstRow="1" w:lastRow="0" w:firstColumn="1" w:lastColumn="0" w:noHBand="0" w:noVBand="1"/>
            </w:tblPr>
            <w:tblGrid>
              <w:gridCol w:w="1113"/>
              <w:gridCol w:w="255"/>
              <w:gridCol w:w="255"/>
              <w:gridCol w:w="1197"/>
              <w:gridCol w:w="255"/>
              <w:gridCol w:w="255"/>
              <w:gridCol w:w="1229"/>
              <w:gridCol w:w="255"/>
            </w:tblGrid>
            <w:tr w:rsidR="00676948" w:rsidRPr="00194C36" w14:paraId="74895E56" w14:textId="77777777" w:rsidTr="00676948">
              <w:trPr>
                <w:trHeight w:val="219"/>
              </w:trPr>
              <w:tc>
                <w:tcPr>
                  <w:tcW w:w="1113" w:type="dxa"/>
                  <w:tcBorders>
                    <w:top w:val="nil"/>
                    <w:left w:val="nil"/>
                    <w:bottom w:val="nil"/>
                  </w:tcBorders>
                </w:tcPr>
                <w:p w14:paraId="18731AA3"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Diplomado</w:t>
                  </w:r>
                </w:p>
              </w:tc>
              <w:tc>
                <w:tcPr>
                  <w:tcW w:w="255" w:type="dxa"/>
                </w:tcPr>
                <w:p w14:paraId="12D18B0E"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255" w:type="dxa"/>
                  <w:tcBorders>
                    <w:top w:val="nil"/>
                    <w:bottom w:val="nil"/>
                    <w:right w:val="nil"/>
                  </w:tcBorders>
                </w:tcPr>
                <w:p w14:paraId="0BD0462C"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1197" w:type="dxa"/>
                  <w:tcBorders>
                    <w:top w:val="nil"/>
                    <w:left w:val="nil"/>
                    <w:bottom w:val="nil"/>
                  </w:tcBorders>
                </w:tcPr>
                <w:p w14:paraId="5020AE4C"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Bachillerato</w:t>
                  </w:r>
                </w:p>
              </w:tc>
              <w:tc>
                <w:tcPr>
                  <w:tcW w:w="255" w:type="dxa"/>
                </w:tcPr>
                <w:p w14:paraId="10CB68D0"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255" w:type="dxa"/>
                  <w:tcBorders>
                    <w:top w:val="nil"/>
                    <w:bottom w:val="nil"/>
                    <w:right w:val="nil"/>
                  </w:tcBorders>
                </w:tcPr>
                <w:p w14:paraId="6680A6D0"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1229" w:type="dxa"/>
                  <w:tcBorders>
                    <w:top w:val="nil"/>
                    <w:left w:val="nil"/>
                    <w:bottom w:val="nil"/>
                  </w:tcBorders>
                </w:tcPr>
                <w:p w14:paraId="708C5CB1"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Licenciatura</w:t>
                  </w:r>
                </w:p>
              </w:tc>
              <w:tc>
                <w:tcPr>
                  <w:tcW w:w="255" w:type="dxa"/>
                </w:tcPr>
                <w:p w14:paraId="53CCD80D" w14:textId="77777777" w:rsidR="00194C36" w:rsidRPr="00194C36" w:rsidRDefault="00194C36" w:rsidP="00194C36">
                  <w:pPr>
                    <w:autoSpaceDE w:val="0"/>
                    <w:autoSpaceDN w:val="0"/>
                    <w:rPr>
                      <w:rFonts w:ascii="Arial" w:hAnsi="Arial" w:cs="Arial"/>
                      <w:color w:val="000000" w:themeColor="text1"/>
                      <w:sz w:val="16"/>
                      <w:szCs w:val="16"/>
                      <w:lang w:eastAsia="es-CR"/>
                    </w:rPr>
                  </w:pPr>
                </w:p>
              </w:tc>
            </w:tr>
          </w:tbl>
          <w:p w14:paraId="54F4ED7F" w14:textId="77777777" w:rsidR="00194C36" w:rsidRPr="00194C36" w:rsidRDefault="00194C36" w:rsidP="00194C36">
            <w:pPr>
              <w:autoSpaceDE w:val="0"/>
              <w:autoSpaceDN w:val="0"/>
              <w:rPr>
                <w:rFonts w:ascii="Arial" w:hAnsi="Arial" w:cs="Arial"/>
                <w:color w:val="000000" w:themeColor="text1"/>
                <w:sz w:val="16"/>
                <w:szCs w:val="16"/>
                <w:lang w:eastAsia="es-CR"/>
              </w:rPr>
            </w:pPr>
          </w:p>
        </w:tc>
      </w:tr>
      <w:tr w:rsidR="00194C36" w:rsidRPr="00194C36" w14:paraId="4BCF83D8" w14:textId="77777777" w:rsidTr="00676948">
        <w:trPr>
          <w:trHeight w:val="354"/>
          <w:jc w:val="center"/>
        </w:trPr>
        <w:tc>
          <w:tcPr>
            <w:tcW w:w="1553" w:type="dxa"/>
            <w:vMerge/>
            <w:tcBorders>
              <w:right w:val="nil"/>
            </w:tcBorders>
            <w:vAlign w:val="center"/>
          </w:tcPr>
          <w:p w14:paraId="0BAD97E9"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811" w:type="dxa"/>
            <w:vMerge/>
            <w:tcBorders>
              <w:left w:val="nil"/>
              <w:right w:val="nil"/>
            </w:tcBorders>
            <w:vAlign w:val="center"/>
          </w:tcPr>
          <w:p w14:paraId="1DA972FB"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1682" w:type="dxa"/>
            <w:tcBorders>
              <w:left w:val="nil"/>
            </w:tcBorders>
            <w:vAlign w:val="center"/>
          </w:tcPr>
          <w:p w14:paraId="08ACB68B"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Postgrado</w:t>
            </w:r>
          </w:p>
        </w:tc>
        <w:tc>
          <w:tcPr>
            <w:tcW w:w="5745" w:type="dxa"/>
            <w:gridSpan w:val="2"/>
            <w:vAlign w:val="center"/>
          </w:tcPr>
          <w:tbl>
            <w:tblPr>
              <w:tblStyle w:val="Tablaconcuadrcula1"/>
              <w:tblW w:w="0" w:type="auto"/>
              <w:tblInd w:w="10" w:type="dxa"/>
              <w:tblLayout w:type="fixed"/>
              <w:tblLook w:val="04A0" w:firstRow="1" w:lastRow="0" w:firstColumn="1" w:lastColumn="0" w:noHBand="0" w:noVBand="1"/>
            </w:tblPr>
            <w:tblGrid>
              <w:gridCol w:w="1153"/>
              <w:gridCol w:w="255"/>
              <w:gridCol w:w="476"/>
              <w:gridCol w:w="981"/>
              <w:gridCol w:w="255"/>
              <w:gridCol w:w="255"/>
              <w:gridCol w:w="1343"/>
              <w:gridCol w:w="255"/>
            </w:tblGrid>
            <w:tr w:rsidR="00676948" w:rsidRPr="00194C36" w14:paraId="4CDE7B30" w14:textId="77777777" w:rsidTr="00676948">
              <w:trPr>
                <w:trHeight w:val="219"/>
              </w:trPr>
              <w:tc>
                <w:tcPr>
                  <w:tcW w:w="1153" w:type="dxa"/>
                  <w:tcBorders>
                    <w:top w:val="nil"/>
                    <w:left w:val="nil"/>
                    <w:bottom w:val="nil"/>
                  </w:tcBorders>
                </w:tcPr>
                <w:p w14:paraId="64E39E2D"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Especialidad</w:t>
                  </w:r>
                </w:p>
              </w:tc>
              <w:tc>
                <w:tcPr>
                  <w:tcW w:w="255" w:type="dxa"/>
                </w:tcPr>
                <w:p w14:paraId="0B382095"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476" w:type="dxa"/>
                  <w:tcBorders>
                    <w:top w:val="nil"/>
                    <w:bottom w:val="nil"/>
                    <w:right w:val="nil"/>
                  </w:tcBorders>
                </w:tcPr>
                <w:p w14:paraId="0346ADC1"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981" w:type="dxa"/>
                  <w:tcBorders>
                    <w:top w:val="nil"/>
                    <w:left w:val="nil"/>
                    <w:bottom w:val="nil"/>
                  </w:tcBorders>
                </w:tcPr>
                <w:p w14:paraId="49846C60"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Maestría</w:t>
                  </w:r>
                </w:p>
              </w:tc>
              <w:tc>
                <w:tcPr>
                  <w:tcW w:w="255" w:type="dxa"/>
                </w:tcPr>
                <w:p w14:paraId="783E7F9B" w14:textId="77777777" w:rsidR="00194C36" w:rsidRPr="00194C36" w:rsidRDefault="00194C36" w:rsidP="00194C36">
                  <w:pPr>
                    <w:autoSpaceDE w:val="0"/>
                    <w:autoSpaceDN w:val="0"/>
                    <w:jc w:val="center"/>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x</w:t>
                  </w:r>
                </w:p>
              </w:tc>
              <w:tc>
                <w:tcPr>
                  <w:tcW w:w="255" w:type="dxa"/>
                  <w:tcBorders>
                    <w:top w:val="nil"/>
                    <w:bottom w:val="nil"/>
                    <w:right w:val="nil"/>
                  </w:tcBorders>
                </w:tcPr>
                <w:p w14:paraId="10B26143"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1343" w:type="dxa"/>
                  <w:tcBorders>
                    <w:top w:val="nil"/>
                    <w:left w:val="nil"/>
                    <w:bottom w:val="nil"/>
                  </w:tcBorders>
                </w:tcPr>
                <w:p w14:paraId="2649F5DF"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Doctorado</w:t>
                  </w:r>
                </w:p>
              </w:tc>
              <w:tc>
                <w:tcPr>
                  <w:tcW w:w="255" w:type="dxa"/>
                </w:tcPr>
                <w:p w14:paraId="7E6A3E21" w14:textId="77777777" w:rsidR="00194C36" w:rsidRPr="00194C36" w:rsidRDefault="00194C36" w:rsidP="00194C36">
                  <w:pPr>
                    <w:autoSpaceDE w:val="0"/>
                    <w:autoSpaceDN w:val="0"/>
                    <w:rPr>
                      <w:rFonts w:ascii="Arial" w:hAnsi="Arial" w:cs="Arial"/>
                      <w:color w:val="000000" w:themeColor="text1"/>
                      <w:sz w:val="16"/>
                      <w:szCs w:val="16"/>
                      <w:lang w:eastAsia="es-CR"/>
                    </w:rPr>
                  </w:pPr>
                </w:p>
              </w:tc>
            </w:tr>
          </w:tbl>
          <w:p w14:paraId="0E28BC61" w14:textId="77777777" w:rsidR="00194C36" w:rsidRPr="00194C36" w:rsidRDefault="00194C36" w:rsidP="00194C36">
            <w:pPr>
              <w:autoSpaceDE w:val="0"/>
              <w:autoSpaceDN w:val="0"/>
              <w:rPr>
                <w:rFonts w:ascii="Arial" w:hAnsi="Arial" w:cs="Arial"/>
                <w:color w:val="000000" w:themeColor="text1"/>
                <w:sz w:val="16"/>
                <w:szCs w:val="16"/>
                <w:lang w:eastAsia="es-CR"/>
              </w:rPr>
            </w:pPr>
          </w:p>
        </w:tc>
      </w:tr>
      <w:tr w:rsidR="00194C36" w:rsidRPr="00194C36" w14:paraId="704DDE1D" w14:textId="77777777" w:rsidTr="00676948">
        <w:trPr>
          <w:trHeight w:val="424"/>
          <w:jc w:val="center"/>
        </w:trPr>
        <w:tc>
          <w:tcPr>
            <w:tcW w:w="1553" w:type="dxa"/>
            <w:vMerge/>
            <w:tcBorders>
              <w:right w:val="nil"/>
            </w:tcBorders>
            <w:vAlign w:val="center"/>
          </w:tcPr>
          <w:p w14:paraId="7301CE8E"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bottom w:val="single" w:sz="4" w:space="0" w:color="auto"/>
            </w:tcBorders>
            <w:vAlign w:val="center"/>
          </w:tcPr>
          <w:p w14:paraId="275E1CAB"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4.2 Título</w:t>
            </w:r>
          </w:p>
        </w:tc>
        <w:tc>
          <w:tcPr>
            <w:tcW w:w="5745" w:type="dxa"/>
            <w:gridSpan w:val="2"/>
            <w:vAlign w:val="center"/>
          </w:tcPr>
          <w:p w14:paraId="607E81FE"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ES"/>
              </w:rPr>
              <w:t>Manejo de recursos naturales</w:t>
            </w:r>
          </w:p>
        </w:tc>
      </w:tr>
      <w:tr w:rsidR="00194C36" w:rsidRPr="00194C36" w14:paraId="263C186B" w14:textId="77777777" w:rsidTr="00676948">
        <w:trPr>
          <w:trHeight w:val="350"/>
          <w:jc w:val="center"/>
        </w:trPr>
        <w:tc>
          <w:tcPr>
            <w:tcW w:w="1553" w:type="dxa"/>
            <w:vMerge w:val="restart"/>
            <w:tcBorders>
              <w:right w:val="nil"/>
            </w:tcBorders>
            <w:vAlign w:val="center"/>
          </w:tcPr>
          <w:p w14:paraId="764EED80"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5. Curso (asignatura)</w:t>
            </w:r>
          </w:p>
        </w:tc>
        <w:tc>
          <w:tcPr>
            <w:tcW w:w="2494" w:type="dxa"/>
            <w:gridSpan w:val="2"/>
            <w:tcBorders>
              <w:left w:val="nil"/>
            </w:tcBorders>
            <w:vAlign w:val="center"/>
          </w:tcPr>
          <w:p w14:paraId="4CFA4827"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5.1 Código</w:t>
            </w:r>
          </w:p>
        </w:tc>
        <w:tc>
          <w:tcPr>
            <w:tcW w:w="5745" w:type="dxa"/>
            <w:gridSpan w:val="2"/>
            <w:vAlign w:val="center"/>
          </w:tcPr>
          <w:p w14:paraId="38AED55D"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06709</w:t>
            </w:r>
          </w:p>
        </w:tc>
      </w:tr>
      <w:tr w:rsidR="00194C36" w:rsidRPr="00194C36" w14:paraId="65ED0CA8" w14:textId="77777777" w:rsidTr="00676948">
        <w:trPr>
          <w:trHeight w:val="390"/>
          <w:jc w:val="center"/>
        </w:trPr>
        <w:tc>
          <w:tcPr>
            <w:tcW w:w="1553" w:type="dxa"/>
            <w:vMerge/>
            <w:tcBorders>
              <w:right w:val="nil"/>
            </w:tcBorders>
            <w:vAlign w:val="center"/>
          </w:tcPr>
          <w:p w14:paraId="6A818D39"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tcBorders>
            <w:vAlign w:val="center"/>
          </w:tcPr>
          <w:p w14:paraId="0713A112"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5.2 Nombre</w:t>
            </w:r>
          </w:p>
        </w:tc>
        <w:tc>
          <w:tcPr>
            <w:tcW w:w="5745" w:type="dxa"/>
            <w:gridSpan w:val="2"/>
            <w:vAlign w:val="center"/>
          </w:tcPr>
          <w:p w14:paraId="1716EF75"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ES"/>
              </w:rPr>
              <w:t>Inducción a la investigación científica</w:t>
            </w:r>
          </w:p>
        </w:tc>
      </w:tr>
      <w:tr w:rsidR="00194C36" w:rsidRPr="00194C36" w14:paraId="4F4A722D" w14:textId="77777777" w:rsidTr="00676948">
        <w:trPr>
          <w:trHeight w:val="346"/>
          <w:jc w:val="center"/>
        </w:trPr>
        <w:tc>
          <w:tcPr>
            <w:tcW w:w="1553" w:type="dxa"/>
            <w:vMerge/>
            <w:tcBorders>
              <w:right w:val="nil"/>
            </w:tcBorders>
            <w:vAlign w:val="center"/>
          </w:tcPr>
          <w:p w14:paraId="520B68DD"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bottom w:val="single" w:sz="4" w:space="0" w:color="auto"/>
            </w:tcBorders>
            <w:vAlign w:val="center"/>
          </w:tcPr>
          <w:p w14:paraId="1AC2CC57"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5.3 Año</w:t>
            </w:r>
          </w:p>
        </w:tc>
        <w:tc>
          <w:tcPr>
            <w:tcW w:w="5745" w:type="dxa"/>
            <w:gridSpan w:val="2"/>
            <w:vAlign w:val="center"/>
          </w:tcPr>
          <w:p w14:paraId="3E25E838"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2024</w:t>
            </w:r>
          </w:p>
        </w:tc>
      </w:tr>
      <w:tr w:rsidR="00194C36" w:rsidRPr="00194C36" w14:paraId="348F3014" w14:textId="77777777" w:rsidTr="00676948">
        <w:trPr>
          <w:trHeight w:val="385"/>
          <w:jc w:val="center"/>
        </w:trPr>
        <w:tc>
          <w:tcPr>
            <w:tcW w:w="1553" w:type="dxa"/>
            <w:vMerge w:val="restart"/>
            <w:tcBorders>
              <w:right w:val="nil"/>
            </w:tcBorders>
            <w:vAlign w:val="center"/>
          </w:tcPr>
          <w:p w14:paraId="760B0D46"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6. Componentes o apartados del programa de curso (variables)</w:t>
            </w:r>
          </w:p>
        </w:tc>
        <w:tc>
          <w:tcPr>
            <w:tcW w:w="2494" w:type="dxa"/>
            <w:gridSpan w:val="2"/>
            <w:tcBorders>
              <w:left w:val="nil"/>
            </w:tcBorders>
            <w:vAlign w:val="center"/>
          </w:tcPr>
          <w:p w14:paraId="210929F9"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6.1 Portada</w:t>
            </w:r>
          </w:p>
        </w:tc>
        <w:tc>
          <w:tcPr>
            <w:tcW w:w="2380" w:type="dxa"/>
            <w:vAlign w:val="center"/>
          </w:tcPr>
          <w:tbl>
            <w:tblPr>
              <w:tblStyle w:val="Tablaconcuadrcula1"/>
              <w:tblW w:w="2144" w:type="dxa"/>
              <w:tblInd w:w="10" w:type="dxa"/>
              <w:tblLayout w:type="fixed"/>
              <w:tblLook w:val="04A0" w:firstRow="1" w:lastRow="0" w:firstColumn="1" w:lastColumn="0" w:noHBand="0" w:noVBand="1"/>
            </w:tblPr>
            <w:tblGrid>
              <w:gridCol w:w="592"/>
              <w:gridCol w:w="310"/>
              <w:gridCol w:w="373"/>
              <w:gridCol w:w="553"/>
              <w:gridCol w:w="316"/>
            </w:tblGrid>
            <w:tr w:rsidR="00194C36" w:rsidRPr="00194C36" w14:paraId="32FF09EC" w14:textId="77777777" w:rsidTr="00676948">
              <w:trPr>
                <w:trHeight w:val="219"/>
              </w:trPr>
              <w:tc>
                <w:tcPr>
                  <w:tcW w:w="592" w:type="dxa"/>
                  <w:tcBorders>
                    <w:top w:val="nil"/>
                    <w:left w:val="nil"/>
                    <w:bottom w:val="nil"/>
                  </w:tcBorders>
                </w:tcPr>
                <w:p w14:paraId="779BEC87"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Si</w:t>
                  </w:r>
                </w:p>
              </w:tc>
              <w:tc>
                <w:tcPr>
                  <w:tcW w:w="310" w:type="dxa"/>
                </w:tcPr>
                <w:p w14:paraId="33CDE44A"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x</w:t>
                  </w:r>
                </w:p>
              </w:tc>
              <w:tc>
                <w:tcPr>
                  <w:tcW w:w="373" w:type="dxa"/>
                  <w:tcBorders>
                    <w:top w:val="nil"/>
                    <w:bottom w:val="nil"/>
                    <w:right w:val="nil"/>
                  </w:tcBorders>
                </w:tcPr>
                <w:p w14:paraId="7CBBBE6D"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553" w:type="dxa"/>
                  <w:tcBorders>
                    <w:top w:val="nil"/>
                    <w:left w:val="nil"/>
                    <w:bottom w:val="nil"/>
                  </w:tcBorders>
                </w:tcPr>
                <w:p w14:paraId="498549BE"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No</w:t>
                  </w:r>
                </w:p>
              </w:tc>
              <w:tc>
                <w:tcPr>
                  <w:tcW w:w="316" w:type="dxa"/>
                </w:tcPr>
                <w:p w14:paraId="196AD877" w14:textId="77777777" w:rsidR="00194C36" w:rsidRPr="00194C36" w:rsidRDefault="00194C36" w:rsidP="00194C36">
                  <w:pPr>
                    <w:autoSpaceDE w:val="0"/>
                    <w:autoSpaceDN w:val="0"/>
                    <w:rPr>
                      <w:rFonts w:ascii="Arial" w:hAnsi="Arial" w:cs="Arial"/>
                      <w:color w:val="000000" w:themeColor="text1"/>
                      <w:sz w:val="16"/>
                      <w:szCs w:val="16"/>
                      <w:lang w:eastAsia="es-CR"/>
                    </w:rPr>
                  </w:pPr>
                </w:p>
              </w:tc>
            </w:tr>
          </w:tbl>
          <w:p w14:paraId="7D2C8184"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3365" w:type="dxa"/>
            <w:vAlign w:val="center"/>
          </w:tcPr>
          <w:p w14:paraId="2F719C8A" w14:textId="77777777" w:rsidR="00194C36" w:rsidRPr="00194C36" w:rsidRDefault="00194C36" w:rsidP="00194C36">
            <w:pPr>
              <w:rPr>
                <w:rFonts w:ascii="Arial" w:hAnsi="Arial" w:cs="Arial"/>
                <w:color w:val="000000" w:themeColor="text1"/>
                <w:sz w:val="16"/>
                <w:szCs w:val="16"/>
                <w:lang w:eastAsia="es-CR"/>
              </w:rPr>
            </w:pPr>
            <w:r w:rsidRPr="00194C36">
              <w:rPr>
                <w:rFonts w:ascii="Arial" w:hAnsi="Arial" w:cs="Arial"/>
                <w:color w:val="000000" w:themeColor="text1"/>
                <w:sz w:val="12"/>
                <w:szCs w:val="12"/>
                <w:lang w:eastAsia="es-CR"/>
              </w:rPr>
              <w:t xml:space="preserve">Anotación: </w:t>
            </w:r>
          </w:p>
        </w:tc>
      </w:tr>
      <w:tr w:rsidR="00194C36" w:rsidRPr="00194C36" w14:paraId="44152529" w14:textId="77777777" w:rsidTr="00676948">
        <w:trPr>
          <w:trHeight w:val="336"/>
          <w:jc w:val="center"/>
        </w:trPr>
        <w:tc>
          <w:tcPr>
            <w:tcW w:w="1553" w:type="dxa"/>
            <w:vMerge/>
            <w:tcBorders>
              <w:right w:val="nil"/>
            </w:tcBorders>
            <w:vAlign w:val="center"/>
          </w:tcPr>
          <w:p w14:paraId="74342FDA"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tcBorders>
            <w:vAlign w:val="center"/>
          </w:tcPr>
          <w:p w14:paraId="111CAE11"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6.2 Datos generales</w:t>
            </w:r>
          </w:p>
        </w:tc>
        <w:tc>
          <w:tcPr>
            <w:tcW w:w="2380" w:type="dxa"/>
            <w:vAlign w:val="center"/>
          </w:tcPr>
          <w:tbl>
            <w:tblPr>
              <w:tblStyle w:val="Tablaconcuadrcula1"/>
              <w:tblW w:w="2144" w:type="dxa"/>
              <w:tblInd w:w="10" w:type="dxa"/>
              <w:tblLayout w:type="fixed"/>
              <w:tblLook w:val="04A0" w:firstRow="1" w:lastRow="0" w:firstColumn="1" w:lastColumn="0" w:noHBand="0" w:noVBand="1"/>
            </w:tblPr>
            <w:tblGrid>
              <w:gridCol w:w="592"/>
              <w:gridCol w:w="310"/>
              <w:gridCol w:w="373"/>
              <w:gridCol w:w="553"/>
              <w:gridCol w:w="316"/>
            </w:tblGrid>
            <w:tr w:rsidR="00194C36" w:rsidRPr="00194C36" w14:paraId="5E12E12E" w14:textId="77777777" w:rsidTr="00676948">
              <w:trPr>
                <w:trHeight w:val="219"/>
              </w:trPr>
              <w:tc>
                <w:tcPr>
                  <w:tcW w:w="592" w:type="dxa"/>
                  <w:tcBorders>
                    <w:top w:val="nil"/>
                    <w:left w:val="nil"/>
                    <w:bottom w:val="nil"/>
                  </w:tcBorders>
                </w:tcPr>
                <w:p w14:paraId="144E7CFF"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Si</w:t>
                  </w:r>
                </w:p>
              </w:tc>
              <w:tc>
                <w:tcPr>
                  <w:tcW w:w="310" w:type="dxa"/>
                </w:tcPr>
                <w:p w14:paraId="221E0CAB"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x</w:t>
                  </w:r>
                </w:p>
              </w:tc>
              <w:tc>
                <w:tcPr>
                  <w:tcW w:w="373" w:type="dxa"/>
                  <w:tcBorders>
                    <w:top w:val="nil"/>
                    <w:bottom w:val="nil"/>
                    <w:right w:val="nil"/>
                  </w:tcBorders>
                </w:tcPr>
                <w:p w14:paraId="75D8C147"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553" w:type="dxa"/>
                  <w:tcBorders>
                    <w:top w:val="nil"/>
                    <w:left w:val="nil"/>
                    <w:bottom w:val="nil"/>
                  </w:tcBorders>
                </w:tcPr>
                <w:p w14:paraId="177BB3BC"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No</w:t>
                  </w:r>
                </w:p>
              </w:tc>
              <w:tc>
                <w:tcPr>
                  <w:tcW w:w="316" w:type="dxa"/>
                </w:tcPr>
                <w:p w14:paraId="7FAAFF58" w14:textId="77777777" w:rsidR="00194C36" w:rsidRPr="00194C36" w:rsidRDefault="00194C36" w:rsidP="00194C36">
                  <w:pPr>
                    <w:autoSpaceDE w:val="0"/>
                    <w:autoSpaceDN w:val="0"/>
                    <w:rPr>
                      <w:rFonts w:ascii="Arial" w:hAnsi="Arial" w:cs="Arial"/>
                      <w:color w:val="000000" w:themeColor="text1"/>
                      <w:sz w:val="16"/>
                      <w:szCs w:val="16"/>
                      <w:lang w:eastAsia="es-CR"/>
                    </w:rPr>
                  </w:pPr>
                </w:p>
              </w:tc>
            </w:tr>
          </w:tbl>
          <w:p w14:paraId="155598A0"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3365" w:type="dxa"/>
            <w:vAlign w:val="center"/>
          </w:tcPr>
          <w:p w14:paraId="0FCCEFB8" w14:textId="77777777" w:rsidR="00194C36" w:rsidRPr="00194C36" w:rsidRDefault="00194C36" w:rsidP="00194C36">
            <w:pPr>
              <w:rPr>
                <w:rFonts w:ascii="Arial" w:hAnsi="Arial" w:cs="Arial"/>
                <w:color w:val="000000" w:themeColor="text1"/>
                <w:sz w:val="12"/>
                <w:szCs w:val="12"/>
                <w:lang w:eastAsia="es-CR"/>
              </w:rPr>
            </w:pPr>
            <w:r w:rsidRPr="00194C36">
              <w:rPr>
                <w:rFonts w:ascii="Arial" w:hAnsi="Arial" w:cs="Arial"/>
                <w:color w:val="000000" w:themeColor="text1"/>
                <w:sz w:val="12"/>
                <w:szCs w:val="12"/>
                <w:lang w:eastAsia="es-CR"/>
              </w:rPr>
              <w:t>Anotación:</w:t>
            </w:r>
          </w:p>
        </w:tc>
      </w:tr>
      <w:tr w:rsidR="00194C36" w:rsidRPr="00194C36" w14:paraId="1103B50E" w14:textId="77777777" w:rsidTr="00676948">
        <w:trPr>
          <w:trHeight w:val="335"/>
          <w:jc w:val="center"/>
        </w:trPr>
        <w:tc>
          <w:tcPr>
            <w:tcW w:w="1553" w:type="dxa"/>
            <w:vMerge/>
            <w:tcBorders>
              <w:right w:val="nil"/>
            </w:tcBorders>
            <w:vAlign w:val="center"/>
          </w:tcPr>
          <w:p w14:paraId="7A3F5C06"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tcBorders>
            <w:vAlign w:val="center"/>
          </w:tcPr>
          <w:p w14:paraId="6BBA52FB"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6.3 Descripción general</w:t>
            </w:r>
          </w:p>
        </w:tc>
        <w:tc>
          <w:tcPr>
            <w:tcW w:w="2380" w:type="dxa"/>
            <w:vAlign w:val="center"/>
          </w:tcPr>
          <w:tbl>
            <w:tblPr>
              <w:tblStyle w:val="Tablaconcuadrcula1"/>
              <w:tblW w:w="2138" w:type="dxa"/>
              <w:tblInd w:w="10" w:type="dxa"/>
              <w:tblLayout w:type="fixed"/>
              <w:tblLook w:val="04A0" w:firstRow="1" w:lastRow="0" w:firstColumn="1" w:lastColumn="0" w:noHBand="0" w:noVBand="1"/>
            </w:tblPr>
            <w:tblGrid>
              <w:gridCol w:w="592"/>
              <w:gridCol w:w="310"/>
              <w:gridCol w:w="373"/>
              <w:gridCol w:w="553"/>
              <w:gridCol w:w="310"/>
            </w:tblGrid>
            <w:tr w:rsidR="00194C36" w:rsidRPr="00194C36" w14:paraId="208BCF54" w14:textId="77777777" w:rsidTr="00676948">
              <w:trPr>
                <w:trHeight w:val="219"/>
              </w:trPr>
              <w:tc>
                <w:tcPr>
                  <w:tcW w:w="592" w:type="dxa"/>
                  <w:tcBorders>
                    <w:top w:val="nil"/>
                    <w:left w:val="nil"/>
                    <w:bottom w:val="nil"/>
                  </w:tcBorders>
                </w:tcPr>
                <w:p w14:paraId="660E4A50"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Si</w:t>
                  </w:r>
                </w:p>
              </w:tc>
              <w:tc>
                <w:tcPr>
                  <w:tcW w:w="310" w:type="dxa"/>
                </w:tcPr>
                <w:p w14:paraId="4D45C4E4"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x</w:t>
                  </w:r>
                </w:p>
              </w:tc>
              <w:tc>
                <w:tcPr>
                  <w:tcW w:w="373" w:type="dxa"/>
                  <w:tcBorders>
                    <w:top w:val="nil"/>
                    <w:bottom w:val="nil"/>
                    <w:right w:val="nil"/>
                  </w:tcBorders>
                </w:tcPr>
                <w:p w14:paraId="089F32E7"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553" w:type="dxa"/>
                  <w:tcBorders>
                    <w:top w:val="nil"/>
                    <w:left w:val="nil"/>
                    <w:bottom w:val="nil"/>
                  </w:tcBorders>
                </w:tcPr>
                <w:p w14:paraId="5E7073C0"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No</w:t>
                  </w:r>
                </w:p>
              </w:tc>
              <w:tc>
                <w:tcPr>
                  <w:tcW w:w="310" w:type="dxa"/>
                </w:tcPr>
                <w:p w14:paraId="1B15708F" w14:textId="77777777" w:rsidR="00194C36" w:rsidRPr="00194C36" w:rsidRDefault="00194C36" w:rsidP="00194C36">
                  <w:pPr>
                    <w:autoSpaceDE w:val="0"/>
                    <w:autoSpaceDN w:val="0"/>
                    <w:rPr>
                      <w:rFonts w:ascii="Arial" w:hAnsi="Arial" w:cs="Arial"/>
                      <w:color w:val="000000" w:themeColor="text1"/>
                      <w:sz w:val="16"/>
                      <w:szCs w:val="16"/>
                      <w:lang w:eastAsia="es-CR"/>
                    </w:rPr>
                  </w:pPr>
                </w:p>
              </w:tc>
            </w:tr>
          </w:tbl>
          <w:p w14:paraId="2E9D97E4"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3365" w:type="dxa"/>
            <w:vAlign w:val="center"/>
          </w:tcPr>
          <w:p w14:paraId="6ED8DF84" w14:textId="77777777" w:rsidR="00194C36" w:rsidRPr="00194C36" w:rsidRDefault="00194C36" w:rsidP="00194C36">
            <w:pPr>
              <w:rPr>
                <w:rFonts w:ascii="Arial" w:hAnsi="Arial" w:cs="Arial"/>
                <w:color w:val="000000" w:themeColor="text1"/>
                <w:sz w:val="12"/>
                <w:szCs w:val="12"/>
                <w:lang w:eastAsia="es-CR"/>
              </w:rPr>
            </w:pPr>
            <w:r w:rsidRPr="00194C36">
              <w:rPr>
                <w:rFonts w:ascii="Arial" w:hAnsi="Arial" w:cs="Arial"/>
                <w:color w:val="000000" w:themeColor="text1"/>
                <w:sz w:val="12"/>
                <w:szCs w:val="12"/>
                <w:lang w:eastAsia="es-CR"/>
              </w:rPr>
              <w:t>Anotación:</w:t>
            </w:r>
          </w:p>
        </w:tc>
      </w:tr>
      <w:tr w:rsidR="00194C36" w:rsidRPr="00194C36" w14:paraId="16FB7CE3" w14:textId="77777777" w:rsidTr="00676948">
        <w:trPr>
          <w:trHeight w:val="301"/>
          <w:jc w:val="center"/>
        </w:trPr>
        <w:tc>
          <w:tcPr>
            <w:tcW w:w="1553" w:type="dxa"/>
            <w:vMerge/>
            <w:tcBorders>
              <w:right w:val="nil"/>
            </w:tcBorders>
            <w:vAlign w:val="center"/>
          </w:tcPr>
          <w:p w14:paraId="5645955A"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tcBorders>
            <w:vAlign w:val="center"/>
          </w:tcPr>
          <w:p w14:paraId="467F9189"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6.4 Objetivos</w:t>
            </w:r>
          </w:p>
        </w:tc>
        <w:tc>
          <w:tcPr>
            <w:tcW w:w="2380" w:type="dxa"/>
            <w:vAlign w:val="center"/>
          </w:tcPr>
          <w:tbl>
            <w:tblPr>
              <w:tblStyle w:val="Tablaconcuadrcula1"/>
              <w:tblW w:w="2144" w:type="dxa"/>
              <w:tblInd w:w="10" w:type="dxa"/>
              <w:tblLayout w:type="fixed"/>
              <w:tblLook w:val="04A0" w:firstRow="1" w:lastRow="0" w:firstColumn="1" w:lastColumn="0" w:noHBand="0" w:noVBand="1"/>
            </w:tblPr>
            <w:tblGrid>
              <w:gridCol w:w="592"/>
              <w:gridCol w:w="310"/>
              <w:gridCol w:w="373"/>
              <w:gridCol w:w="553"/>
              <w:gridCol w:w="316"/>
            </w:tblGrid>
            <w:tr w:rsidR="00194C36" w:rsidRPr="00194C36" w14:paraId="3AB27A39" w14:textId="77777777" w:rsidTr="00676948">
              <w:trPr>
                <w:trHeight w:val="219"/>
              </w:trPr>
              <w:tc>
                <w:tcPr>
                  <w:tcW w:w="592" w:type="dxa"/>
                  <w:tcBorders>
                    <w:top w:val="nil"/>
                    <w:left w:val="nil"/>
                    <w:bottom w:val="nil"/>
                  </w:tcBorders>
                </w:tcPr>
                <w:p w14:paraId="26FF0791"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Si</w:t>
                  </w:r>
                </w:p>
              </w:tc>
              <w:tc>
                <w:tcPr>
                  <w:tcW w:w="310" w:type="dxa"/>
                </w:tcPr>
                <w:p w14:paraId="20D21481"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x</w:t>
                  </w:r>
                </w:p>
              </w:tc>
              <w:tc>
                <w:tcPr>
                  <w:tcW w:w="373" w:type="dxa"/>
                  <w:tcBorders>
                    <w:top w:val="nil"/>
                    <w:bottom w:val="nil"/>
                    <w:right w:val="nil"/>
                  </w:tcBorders>
                </w:tcPr>
                <w:p w14:paraId="36694FA3"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553" w:type="dxa"/>
                  <w:tcBorders>
                    <w:top w:val="nil"/>
                    <w:left w:val="nil"/>
                    <w:bottom w:val="nil"/>
                  </w:tcBorders>
                </w:tcPr>
                <w:p w14:paraId="0120F197"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No</w:t>
                  </w:r>
                </w:p>
              </w:tc>
              <w:tc>
                <w:tcPr>
                  <w:tcW w:w="316" w:type="dxa"/>
                </w:tcPr>
                <w:p w14:paraId="67E0EB5F" w14:textId="77777777" w:rsidR="00194C36" w:rsidRPr="00194C36" w:rsidRDefault="00194C36" w:rsidP="00194C36">
                  <w:pPr>
                    <w:autoSpaceDE w:val="0"/>
                    <w:autoSpaceDN w:val="0"/>
                    <w:rPr>
                      <w:rFonts w:ascii="Arial" w:hAnsi="Arial" w:cs="Arial"/>
                      <w:color w:val="000000" w:themeColor="text1"/>
                      <w:sz w:val="16"/>
                      <w:szCs w:val="16"/>
                      <w:lang w:eastAsia="es-CR"/>
                    </w:rPr>
                  </w:pPr>
                </w:p>
              </w:tc>
            </w:tr>
          </w:tbl>
          <w:p w14:paraId="6C07B26C"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3365" w:type="dxa"/>
            <w:vAlign w:val="center"/>
          </w:tcPr>
          <w:p w14:paraId="7E54D1A4" w14:textId="77777777" w:rsidR="00194C36" w:rsidRPr="00194C36" w:rsidRDefault="00194C36" w:rsidP="00194C36">
            <w:pPr>
              <w:rPr>
                <w:rFonts w:ascii="Arial" w:hAnsi="Arial" w:cs="Arial"/>
                <w:color w:val="000000" w:themeColor="text1"/>
                <w:sz w:val="12"/>
                <w:szCs w:val="12"/>
                <w:lang w:eastAsia="es-CR"/>
              </w:rPr>
            </w:pPr>
            <w:r w:rsidRPr="00194C36">
              <w:rPr>
                <w:rFonts w:ascii="Arial" w:hAnsi="Arial" w:cs="Arial"/>
                <w:color w:val="000000" w:themeColor="text1"/>
                <w:sz w:val="12"/>
                <w:szCs w:val="12"/>
                <w:lang w:eastAsia="es-CR"/>
              </w:rPr>
              <w:t>Anotación:</w:t>
            </w:r>
          </w:p>
        </w:tc>
      </w:tr>
      <w:tr w:rsidR="00194C36" w:rsidRPr="00194C36" w14:paraId="1A578342" w14:textId="77777777" w:rsidTr="00676948">
        <w:trPr>
          <w:trHeight w:val="335"/>
          <w:jc w:val="center"/>
        </w:trPr>
        <w:tc>
          <w:tcPr>
            <w:tcW w:w="1553" w:type="dxa"/>
            <w:vMerge/>
            <w:tcBorders>
              <w:right w:val="nil"/>
            </w:tcBorders>
            <w:vAlign w:val="center"/>
          </w:tcPr>
          <w:p w14:paraId="48F2D121"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tcBorders>
            <w:vAlign w:val="center"/>
          </w:tcPr>
          <w:p w14:paraId="264DAF77"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6.5 Contenidos</w:t>
            </w:r>
          </w:p>
        </w:tc>
        <w:tc>
          <w:tcPr>
            <w:tcW w:w="2380" w:type="dxa"/>
            <w:vAlign w:val="center"/>
          </w:tcPr>
          <w:tbl>
            <w:tblPr>
              <w:tblStyle w:val="Tablaconcuadrcula1"/>
              <w:tblW w:w="2144" w:type="dxa"/>
              <w:tblInd w:w="10" w:type="dxa"/>
              <w:tblLayout w:type="fixed"/>
              <w:tblLook w:val="04A0" w:firstRow="1" w:lastRow="0" w:firstColumn="1" w:lastColumn="0" w:noHBand="0" w:noVBand="1"/>
            </w:tblPr>
            <w:tblGrid>
              <w:gridCol w:w="592"/>
              <w:gridCol w:w="310"/>
              <w:gridCol w:w="373"/>
              <w:gridCol w:w="553"/>
              <w:gridCol w:w="316"/>
            </w:tblGrid>
            <w:tr w:rsidR="00194C36" w:rsidRPr="00194C36" w14:paraId="5AE1CB67" w14:textId="77777777" w:rsidTr="00676948">
              <w:trPr>
                <w:trHeight w:val="219"/>
              </w:trPr>
              <w:tc>
                <w:tcPr>
                  <w:tcW w:w="592" w:type="dxa"/>
                  <w:tcBorders>
                    <w:top w:val="nil"/>
                    <w:left w:val="nil"/>
                    <w:bottom w:val="nil"/>
                  </w:tcBorders>
                </w:tcPr>
                <w:p w14:paraId="0D511EDB"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Si</w:t>
                  </w:r>
                </w:p>
              </w:tc>
              <w:tc>
                <w:tcPr>
                  <w:tcW w:w="310" w:type="dxa"/>
                </w:tcPr>
                <w:p w14:paraId="7C197AFE"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x</w:t>
                  </w:r>
                </w:p>
              </w:tc>
              <w:tc>
                <w:tcPr>
                  <w:tcW w:w="373" w:type="dxa"/>
                  <w:tcBorders>
                    <w:top w:val="nil"/>
                    <w:bottom w:val="nil"/>
                    <w:right w:val="nil"/>
                  </w:tcBorders>
                </w:tcPr>
                <w:p w14:paraId="78904E64"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553" w:type="dxa"/>
                  <w:tcBorders>
                    <w:top w:val="nil"/>
                    <w:left w:val="nil"/>
                    <w:bottom w:val="nil"/>
                  </w:tcBorders>
                </w:tcPr>
                <w:p w14:paraId="531C56BA"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No</w:t>
                  </w:r>
                </w:p>
              </w:tc>
              <w:tc>
                <w:tcPr>
                  <w:tcW w:w="316" w:type="dxa"/>
                </w:tcPr>
                <w:p w14:paraId="0137F5EA" w14:textId="77777777" w:rsidR="00194C36" w:rsidRPr="00194C36" w:rsidRDefault="00194C36" w:rsidP="00194C36">
                  <w:pPr>
                    <w:autoSpaceDE w:val="0"/>
                    <w:autoSpaceDN w:val="0"/>
                    <w:rPr>
                      <w:rFonts w:ascii="Arial" w:hAnsi="Arial" w:cs="Arial"/>
                      <w:color w:val="000000" w:themeColor="text1"/>
                      <w:sz w:val="16"/>
                      <w:szCs w:val="16"/>
                      <w:lang w:eastAsia="es-CR"/>
                    </w:rPr>
                  </w:pPr>
                </w:p>
              </w:tc>
            </w:tr>
          </w:tbl>
          <w:p w14:paraId="23450D81"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3365" w:type="dxa"/>
            <w:vAlign w:val="center"/>
          </w:tcPr>
          <w:p w14:paraId="2B23E010" w14:textId="77777777" w:rsidR="00194C36" w:rsidRPr="00194C36" w:rsidRDefault="00194C36" w:rsidP="00194C36">
            <w:pPr>
              <w:rPr>
                <w:rFonts w:ascii="Arial" w:hAnsi="Arial" w:cs="Arial"/>
                <w:color w:val="000000" w:themeColor="text1"/>
                <w:sz w:val="12"/>
                <w:szCs w:val="12"/>
                <w:lang w:eastAsia="es-CR"/>
              </w:rPr>
            </w:pPr>
            <w:r w:rsidRPr="00194C36">
              <w:rPr>
                <w:rFonts w:ascii="Arial" w:hAnsi="Arial" w:cs="Arial"/>
                <w:color w:val="000000" w:themeColor="text1"/>
                <w:sz w:val="12"/>
                <w:szCs w:val="12"/>
                <w:lang w:eastAsia="es-CR"/>
              </w:rPr>
              <w:t>Anotación:</w:t>
            </w:r>
          </w:p>
        </w:tc>
      </w:tr>
      <w:tr w:rsidR="00194C36" w:rsidRPr="00194C36" w14:paraId="651BB83E" w14:textId="77777777" w:rsidTr="00676948">
        <w:trPr>
          <w:trHeight w:val="320"/>
          <w:jc w:val="center"/>
        </w:trPr>
        <w:tc>
          <w:tcPr>
            <w:tcW w:w="1553" w:type="dxa"/>
            <w:vMerge/>
            <w:tcBorders>
              <w:right w:val="nil"/>
            </w:tcBorders>
            <w:vAlign w:val="center"/>
          </w:tcPr>
          <w:p w14:paraId="2A532C5B"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tcBorders>
            <w:vAlign w:val="center"/>
          </w:tcPr>
          <w:p w14:paraId="53D96D6F"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6.6 Metodología</w:t>
            </w:r>
          </w:p>
        </w:tc>
        <w:tc>
          <w:tcPr>
            <w:tcW w:w="2380" w:type="dxa"/>
            <w:vAlign w:val="center"/>
          </w:tcPr>
          <w:tbl>
            <w:tblPr>
              <w:tblStyle w:val="Tablaconcuadrcula1"/>
              <w:tblW w:w="2138" w:type="dxa"/>
              <w:tblInd w:w="10" w:type="dxa"/>
              <w:tblLayout w:type="fixed"/>
              <w:tblLook w:val="04A0" w:firstRow="1" w:lastRow="0" w:firstColumn="1" w:lastColumn="0" w:noHBand="0" w:noVBand="1"/>
            </w:tblPr>
            <w:tblGrid>
              <w:gridCol w:w="592"/>
              <w:gridCol w:w="310"/>
              <w:gridCol w:w="373"/>
              <w:gridCol w:w="553"/>
              <w:gridCol w:w="310"/>
            </w:tblGrid>
            <w:tr w:rsidR="00194C36" w:rsidRPr="00194C36" w14:paraId="1661DF14" w14:textId="77777777" w:rsidTr="00676948">
              <w:trPr>
                <w:trHeight w:val="219"/>
              </w:trPr>
              <w:tc>
                <w:tcPr>
                  <w:tcW w:w="592" w:type="dxa"/>
                  <w:tcBorders>
                    <w:top w:val="nil"/>
                    <w:left w:val="nil"/>
                    <w:bottom w:val="nil"/>
                  </w:tcBorders>
                </w:tcPr>
                <w:p w14:paraId="57481503"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Si</w:t>
                  </w:r>
                </w:p>
              </w:tc>
              <w:tc>
                <w:tcPr>
                  <w:tcW w:w="310" w:type="dxa"/>
                </w:tcPr>
                <w:p w14:paraId="035AFE31"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x</w:t>
                  </w:r>
                </w:p>
              </w:tc>
              <w:tc>
                <w:tcPr>
                  <w:tcW w:w="373" w:type="dxa"/>
                  <w:tcBorders>
                    <w:top w:val="nil"/>
                    <w:bottom w:val="nil"/>
                    <w:right w:val="nil"/>
                  </w:tcBorders>
                </w:tcPr>
                <w:p w14:paraId="54D65911"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553" w:type="dxa"/>
                  <w:tcBorders>
                    <w:top w:val="nil"/>
                    <w:left w:val="nil"/>
                    <w:bottom w:val="nil"/>
                  </w:tcBorders>
                </w:tcPr>
                <w:p w14:paraId="3E23D504"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No</w:t>
                  </w:r>
                </w:p>
              </w:tc>
              <w:tc>
                <w:tcPr>
                  <w:tcW w:w="310" w:type="dxa"/>
                </w:tcPr>
                <w:p w14:paraId="7FAFCD3F" w14:textId="77777777" w:rsidR="00194C36" w:rsidRPr="00194C36" w:rsidRDefault="00194C36" w:rsidP="00194C36">
                  <w:pPr>
                    <w:autoSpaceDE w:val="0"/>
                    <w:autoSpaceDN w:val="0"/>
                    <w:rPr>
                      <w:rFonts w:ascii="Arial" w:hAnsi="Arial" w:cs="Arial"/>
                      <w:color w:val="000000" w:themeColor="text1"/>
                      <w:sz w:val="16"/>
                      <w:szCs w:val="16"/>
                      <w:lang w:eastAsia="es-CR"/>
                    </w:rPr>
                  </w:pPr>
                </w:p>
              </w:tc>
            </w:tr>
          </w:tbl>
          <w:p w14:paraId="43B7B90A"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3365" w:type="dxa"/>
            <w:vAlign w:val="center"/>
          </w:tcPr>
          <w:p w14:paraId="7A428600" w14:textId="77777777" w:rsidR="00194C36" w:rsidRPr="00194C36" w:rsidRDefault="00194C36" w:rsidP="00194C36">
            <w:pPr>
              <w:rPr>
                <w:rFonts w:ascii="Arial" w:hAnsi="Arial" w:cs="Arial"/>
                <w:color w:val="000000" w:themeColor="text1"/>
                <w:sz w:val="12"/>
                <w:szCs w:val="12"/>
                <w:lang w:eastAsia="es-CR"/>
              </w:rPr>
            </w:pPr>
            <w:r w:rsidRPr="00194C36">
              <w:rPr>
                <w:rFonts w:ascii="Arial" w:hAnsi="Arial" w:cs="Arial"/>
                <w:color w:val="000000" w:themeColor="text1"/>
                <w:sz w:val="12"/>
                <w:szCs w:val="12"/>
                <w:lang w:eastAsia="es-CR"/>
              </w:rPr>
              <w:t>Anotación:</w:t>
            </w:r>
          </w:p>
        </w:tc>
      </w:tr>
      <w:tr w:rsidR="00194C36" w:rsidRPr="00194C36" w14:paraId="0ADB0664" w14:textId="77777777" w:rsidTr="00676948">
        <w:trPr>
          <w:trHeight w:val="283"/>
          <w:jc w:val="center"/>
        </w:trPr>
        <w:tc>
          <w:tcPr>
            <w:tcW w:w="1553" w:type="dxa"/>
            <w:vMerge/>
            <w:tcBorders>
              <w:right w:val="nil"/>
            </w:tcBorders>
            <w:vAlign w:val="center"/>
          </w:tcPr>
          <w:p w14:paraId="7378014E"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tcBorders>
            <w:vAlign w:val="center"/>
          </w:tcPr>
          <w:p w14:paraId="5DD704EC"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6.7 Evaluación</w:t>
            </w:r>
          </w:p>
        </w:tc>
        <w:tc>
          <w:tcPr>
            <w:tcW w:w="2380" w:type="dxa"/>
            <w:vAlign w:val="center"/>
          </w:tcPr>
          <w:tbl>
            <w:tblPr>
              <w:tblStyle w:val="Tablaconcuadrcula1"/>
              <w:tblW w:w="0" w:type="auto"/>
              <w:tblInd w:w="10" w:type="dxa"/>
              <w:tblLayout w:type="fixed"/>
              <w:tblLook w:val="04A0" w:firstRow="1" w:lastRow="0" w:firstColumn="1" w:lastColumn="0" w:noHBand="0" w:noVBand="1"/>
            </w:tblPr>
            <w:tblGrid>
              <w:gridCol w:w="592"/>
              <w:gridCol w:w="310"/>
              <w:gridCol w:w="373"/>
              <w:gridCol w:w="553"/>
              <w:gridCol w:w="297"/>
            </w:tblGrid>
            <w:tr w:rsidR="00194C36" w:rsidRPr="00194C36" w14:paraId="473328F6" w14:textId="77777777" w:rsidTr="00676948">
              <w:trPr>
                <w:trHeight w:val="219"/>
              </w:trPr>
              <w:tc>
                <w:tcPr>
                  <w:tcW w:w="592" w:type="dxa"/>
                  <w:tcBorders>
                    <w:top w:val="nil"/>
                    <w:left w:val="nil"/>
                    <w:bottom w:val="nil"/>
                  </w:tcBorders>
                </w:tcPr>
                <w:p w14:paraId="1CE4A7AE"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Si</w:t>
                  </w:r>
                </w:p>
              </w:tc>
              <w:tc>
                <w:tcPr>
                  <w:tcW w:w="310" w:type="dxa"/>
                </w:tcPr>
                <w:p w14:paraId="0B017ECD"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x</w:t>
                  </w:r>
                </w:p>
              </w:tc>
              <w:tc>
                <w:tcPr>
                  <w:tcW w:w="373" w:type="dxa"/>
                  <w:tcBorders>
                    <w:top w:val="nil"/>
                    <w:bottom w:val="nil"/>
                    <w:right w:val="nil"/>
                  </w:tcBorders>
                </w:tcPr>
                <w:p w14:paraId="536A47FA"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553" w:type="dxa"/>
                  <w:tcBorders>
                    <w:top w:val="nil"/>
                    <w:left w:val="nil"/>
                    <w:bottom w:val="nil"/>
                  </w:tcBorders>
                </w:tcPr>
                <w:p w14:paraId="2F5822EE"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No</w:t>
                  </w:r>
                </w:p>
              </w:tc>
              <w:tc>
                <w:tcPr>
                  <w:tcW w:w="297" w:type="dxa"/>
                </w:tcPr>
                <w:p w14:paraId="6340C785" w14:textId="77777777" w:rsidR="00194C36" w:rsidRPr="00194C36" w:rsidRDefault="00194C36" w:rsidP="00194C36">
                  <w:pPr>
                    <w:autoSpaceDE w:val="0"/>
                    <w:autoSpaceDN w:val="0"/>
                    <w:rPr>
                      <w:rFonts w:ascii="Arial" w:hAnsi="Arial" w:cs="Arial"/>
                      <w:color w:val="000000" w:themeColor="text1"/>
                      <w:sz w:val="16"/>
                      <w:szCs w:val="16"/>
                      <w:lang w:eastAsia="es-CR"/>
                    </w:rPr>
                  </w:pPr>
                </w:p>
              </w:tc>
            </w:tr>
          </w:tbl>
          <w:p w14:paraId="10B73193"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3365" w:type="dxa"/>
            <w:vAlign w:val="center"/>
          </w:tcPr>
          <w:p w14:paraId="5EF57D76" w14:textId="77777777" w:rsidR="00194C36" w:rsidRPr="00194C36" w:rsidRDefault="00194C36" w:rsidP="00194C36">
            <w:pPr>
              <w:rPr>
                <w:rFonts w:ascii="Arial" w:hAnsi="Arial" w:cs="Arial"/>
                <w:color w:val="000000" w:themeColor="text1"/>
                <w:sz w:val="12"/>
                <w:szCs w:val="12"/>
                <w:lang w:eastAsia="es-CR"/>
              </w:rPr>
            </w:pPr>
            <w:r w:rsidRPr="00194C36">
              <w:rPr>
                <w:rFonts w:ascii="Arial" w:hAnsi="Arial" w:cs="Arial"/>
                <w:color w:val="000000" w:themeColor="text1"/>
                <w:sz w:val="12"/>
                <w:szCs w:val="12"/>
                <w:lang w:eastAsia="es-CR"/>
              </w:rPr>
              <w:t>Anotación:</w:t>
            </w:r>
          </w:p>
        </w:tc>
      </w:tr>
      <w:tr w:rsidR="00194C36" w:rsidRPr="00194C36" w14:paraId="75506471" w14:textId="77777777" w:rsidTr="00676948">
        <w:trPr>
          <w:trHeight w:val="320"/>
          <w:jc w:val="center"/>
        </w:trPr>
        <w:tc>
          <w:tcPr>
            <w:tcW w:w="1553" w:type="dxa"/>
            <w:vMerge/>
            <w:tcBorders>
              <w:right w:val="nil"/>
            </w:tcBorders>
            <w:vAlign w:val="center"/>
          </w:tcPr>
          <w:p w14:paraId="0F90DABC"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tcBorders>
            <w:vAlign w:val="center"/>
          </w:tcPr>
          <w:p w14:paraId="43241ECF"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6.8 Recursos</w:t>
            </w:r>
          </w:p>
        </w:tc>
        <w:tc>
          <w:tcPr>
            <w:tcW w:w="2380" w:type="dxa"/>
            <w:vAlign w:val="center"/>
          </w:tcPr>
          <w:tbl>
            <w:tblPr>
              <w:tblStyle w:val="Tablaconcuadrcula1"/>
              <w:tblW w:w="2144" w:type="dxa"/>
              <w:tblInd w:w="10" w:type="dxa"/>
              <w:tblLayout w:type="fixed"/>
              <w:tblLook w:val="04A0" w:firstRow="1" w:lastRow="0" w:firstColumn="1" w:lastColumn="0" w:noHBand="0" w:noVBand="1"/>
            </w:tblPr>
            <w:tblGrid>
              <w:gridCol w:w="592"/>
              <w:gridCol w:w="310"/>
              <w:gridCol w:w="373"/>
              <w:gridCol w:w="553"/>
              <w:gridCol w:w="316"/>
            </w:tblGrid>
            <w:tr w:rsidR="00194C36" w:rsidRPr="00194C36" w14:paraId="34C51F54" w14:textId="77777777" w:rsidTr="00676948">
              <w:trPr>
                <w:trHeight w:val="219"/>
              </w:trPr>
              <w:tc>
                <w:tcPr>
                  <w:tcW w:w="592" w:type="dxa"/>
                  <w:tcBorders>
                    <w:top w:val="nil"/>
                    <w:left w:val="nil"/>
                    <w:bottom w:val="nil"/>
                  </w:tcBorders>
                </w:tcPr>
                <w:p w14:paraId="5BBED419"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Si</w:t>
                  </w:r>
                </w:p>
              </w:tc>
              <w:tc>
                <w:tcPr>
                  <w:tcW w:w="310" w:type="dxa"/>
                </w:tcPr>
                <w:p w14:paraId="42DBA84F"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x</w:t>
                  </w:r>
                </w:p>
              </w:tc>
              <w:tc>
                <w:tcPr>
                  <w:tcW w:w="373" w:type="dxa"/>
                  <w:tcBorders>
                    <w:top w:val="nil"/>
                    <w:bottom w:val="nil"/>
                    <w:right w:val="nil"/>
                  </w:tcBorders>
                </w:tcPr>
                <w:p w14:paraId="7FD4C7BF"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553" w:type="dxa"/>
                  <w:tcBorders>
                    <w:top w:val="nil"/>
                    <w:left w:val="nil"/>
                    <w:bottom w:val="nil"/>
                  </w:tcBorders>
                </w:tcPr>
                <w:p w14:paraId="20FFDD8E"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No</w:t>
                  </w:r>
                </w:p>
              </w:tc>
              <w:tc>
                <w:tcPr>
                  <w:tcW w:w="316" w:type="dxa"/>
                </w:tcPr>
                <w:p w14:paraId="12E34B1C" w14:textId="77777777" w:rsidR="00194C36" w:rsidRPr="00194C36" w:rsidRDefault="00194C36" w:rsidP="00194C36">
                  <w:pPr>
                    <w:autoSpaceDE w:val="0"/>
                    <w:autoSpaceDN w:val="0"/>
                    <w:rPr>
                      <w:rFonts w:ascii="Arial" w:hAnsi="Arial" w:cs="Arial"/>
                      <w:color w:val="000000" w:themeColor="text1"/>
                      <w:sz w:val="16"/>
                      <w:szCs w:val="16"/>
                      <w:lang w:eastAsia="es-CR"/>
                    </w:rPr>
                  </w:pPr>
                </w:p>
              </w:tc>
            </w:tr>
          </w:tbl>
          <w:p w14:paraId="094FAF2A"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3365" w:type="dxa"/>
            <w:vAlign w:val="center"/>
          </w:tcPr>
          <w:p w14:paraId="50FF82F9" w14:textId="77777777" w:rsidR="00194C36" w:rsidRPr="00194C36" w:rsidRDefault="00194C36" w:rsidP="00194C36">
            <w:pPr>
              <w:rPr>
                <w:rFonts w:ascii="Arial" w:hAnsi="Arial" w:cs="Arial"/>
                <w:color w:val="000000" w:themeColor="text1"/>
                <w:sz w:val="12"/>
                <w:szCs w:val="12"/>
                <w:lang w:eastAsia="es-CR"/>
              </w:rPr>
            </w:pPr>
            <w:r w:rsidRPr="00194C36">
              <w:rPr>
                <w:rFonts w:ascii="Arial" w:hAnsi="Arial" w:cs="Arial"/>
                <w:color w:val="000000" w:themeColor="text1"/>
                <w:sz w:val="12"/>
                <w:szCs w:val="12"/>
                <w:lang w:eastAsia="es-CR"/>
              </w:rPr>
              <w:t>Anotación:</w:t>
            </w:r>
          </w:p>
        </w:tc>
      </w:tr>
      <w:tr w:rsidR="00194C36" w:rsidRPr="00194C36" w14:paraId="39F8B2E4" w14:textId="77777777" w:rsidTr="00676948">
        <w:trPr>
          <w:trHeight w:val="320"/>
          <w:jc w:val="center"/>
        </w:trPr>
        <w:tc>
          <w:tcPr>
            <w:tcW w:w="1553" w:type="dxa"/>
            <w:vMerge/>
            <w:tcBorders>
              <w:right w:val="nil"/>
            </w:tcBorders>
            <w:vAlign w:val="center"/>
          </w:tcPr>
          <w:p w14:paraId="282A4906"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tcBorders>
            <w:vAlign w:val="center"/>
          </w:tcPr>
          <w:p w14:paraId="79403C53"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6.9 Profesores</w:t>
            </w:r>
          </w:p>
        </w:tc>
        <w:tc>
          <w:tcPr>
            <w:tcW w:w="2380" w:type="dxa"/>
            <w:vAlign w:val="center"/>
          </w:tcPr>
          <w:tbl>
            <w:tblPr>
              <w:tblStyle w:val="Tablaconcuadrcula1"/>
              <w:tblW w:w="2138" w:type="dxa"/>
              <w:tblInd w:w="10" w:type="dxa"/>
              <w:tblLayout w:type="fixed"/>
              <w:tblLook w:val="04A0" w:firstRow="1" w:lastRow="0" w:firstColumn="1" w:lastColumn="0" w:noHBand="0" w:noVBand="1"/>
            </w:tblPr>
            <w:tblGrid>
              <w:gridCol w:w="592"/>
              <w:gridCol w:w="310"/>
              <w:gridCol w:w="373"/>
              <w:gridCol w:w="553"/>
              <w:gridCol w:w="310"/>
            </w:tblGrid>
            <w:tr w:rsidR="00194C36" w:rsidRPr="00194C36" w14:paraId="5AA1728E" w14:textId="77777777" w:rsidTr="00676948">
              <w:trPr>
                <w:trHeight w:val="219"/>
              </w:trPr>
              <w:tc>
                <w:tcPr>
                  <w:tcW w:w="592" w:type="dxa"/>
                  <w:tcBorders>
                    <w:top w:val="nil"/>
                    <w:left w:val="nil"/>
                    <w:bottom w:val="nil"/>
                  </w:tcBorders>
                </w:tcPr>
                <w:p w14:paraId="3057317E"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Si</w:t>
                  </w:r>
                </w:p>
              </w:tc>
              <w:tc>
                <w:tcPr>
                  <w:tcW w:w="310" w:type="dxa"/>
                </w:tcPr>
                <w:p w14:paraId="1C1273A3"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x</w:t>
                  </w:r>
                </w:p>
              </w:tc>
              <w:tc>
                <w:tcPr>
                  <w:tcW w:w="373" w:type="dxa"/>
                  <w:tcBorders>
                    <w:top w:val="nil"/>
                    <w:bottom w:val="nil"/>
                    <w:right w:val="nil"/>
                  </w:tcBorders>
                </w:tcPr>
                <w:p w14:paraId="0AEAE4EC"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553" w:type="dxa"/>
                  <w:tcBorders>
                    <w:top w:val="nil"/>
                    <w:left w:val="nil"/>
                    <w:bottom w:val="nil"/>
                  </w:tcBorders>
                </w:tcPr>
                <w:p w14:paraId="705CE7C1"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No</w:t>
                  </w:r>
                </w:p>
              </w:tc>
              <w:tc>
                <w:tcPr>
                  <w:tcW w:w="310" w:type="dxa"/>
                </w:tcPr>
                <w:p w14:paraId="3733D5E5" w14:textId="77777777" w:rsidR="00194C36" w:rsidRPr="00194C36" w:rsidRDefault="00194C36" w:rsidP="00194C36">
                  <w:pPr>
                    <w:autoSpaceDE w:val="0"/>
                    <w:autoSpaceDN w:val="0"/>
                    <w:rPr>
                      <w:rFonts w:ascii="Arial" w:hAnsi="Arial" w:cs="Arial"/>
                      <w:color w:val="000000" w:themeColor="text1"/>
                      <w:sz w:val="16"/>
                      <w:szCs w:val="16"/>
                      <w:lang w:eastAsia="es-CR"/>
                    </w:rPr>
                  </w:pPr>
                </w:p>
              </w:tc>
            </w:tr>
          </w:tbl>
          <w:p w14:paraId="7EB48C8C"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3365" w:type="dxa"/>
            <w:vAlign w:val="center"/>
          </w:tcPr>
          <w:p w14:paraId="6F80C454" w14:textId="77777777" w:rsidR="00194C36" w:rsidRPr="00194C36" w:rsidRDefault="00194C36" w:rsidP="00194C36">
            <w:pPr>
              <w:rPr>
                <w:rFonts w:ascii="Arial" w:hAnsi="Arial" w:cs="Arial"/>
                <w:color w:val="000000" w:themeColor="text1"/>
                <w:sz w:val="12"/>
                <w:szCs w:val="12"/>
                <w:lang w:eastAsia="es-CR"/>
              </w:rPr>
            </w:pPr>
            <w:r w:rsidRPr="00194C36">
              <w:rPr>
                <w:rFonts w:ascii="Arial" w:hAnsi="Arial" w:cs="Arial"/>
                <w:color w:val="000000" w:themeColor="text1"/>
                <w:sz w:val="12"/>
                <w:szCs w:val="12"/>
                <w:lang w:eastAsia="es-CR"/>
              </w:rPr>
              <w:t>Anotación:</w:t>
            </w:r>
          </w:p>
        </w:tc>
      </w:tr>
      <w:tr w:rsidR="00194C36" w:rsidRPr="00194C36" w14:paraId="3745F1FE" w14:textId="77777777" w:rsidTr="00676948">
        <w:trPr>
          <w:trHeight w:val="335"/>
          <w:jc w:val="center"/>
        </w:trPr>
        <w:tc>
          <w:tcPr>
            <w:tcW w:w="1553" w:type="dxa"/>
            <w:vMerge/>
            <w:tcBorders>
              <w:right w:val="nil"/>
            </w:tcBorders>
            <w:vAlign w:val="center"/>
          </w:tcPr>
          <w:p w14:paraId="14F3AFB8"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tcBorders>
            <w:vAlign w:val="center"/>
          </w:tcPr>
          <w:p w14:paraId="63A8E5FB"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6.10 Actualización</w:t>
            </w:r>
          </w:p>
        </w:tc>
        <w:tc>
          <w:tcPr>
            <w:tcW w:w="2380" w:type="dxa"/>
            <w:vAlign w:val="center"/>
          </w:tcPr>
          <w:tbl>
            <w:tblPr>
              <w:tblStyle w:val="Tablaconcuadrcula1"/>
              <w:tblW w:w="0" w:type="auto"/>
              <w:tblInd w:w="10" w:type="dxa"/>
              <w:tblLayout w:type="fixed"/>
              <w:tblLook w:val="04A0" w:firstRow="1" w:lastRow="0" w:firstColumn="1" w:lastColumn="0" w:noHBand="0" w:noVBand="1"/>
            </w:tblPr>
            <w:tblGrid>
              <w:gridCol w:w="592"/>
              <w:gridCol w:w="310"/>
              <w:gridCol w:w="373"/>
              <w:gridCol w:w="553"/>
              <w:gridCol w:w="302"/>
            </w:tblGrid>
            <w:tr w:rsidR="00194C36" w:rsidRPr="00194C36" w14:paraId="182FBB5C" w14:textId="77777777" w:rsidTr="00676948">
              <w:trPr>
                <w:trHeight w:val="219"/>
              </w:trPr>
              <w:tc>
                <w:tcPr>
                  <w:tcW w:w="592" w:type="dxa"/>
                  <w:tcBorders>
                    <w:top w:val="nil"/>
                    <w:left w:val="nil"/>
                    <w:bottom w:val="nil"/>
                  </w:tcBorders>
                </w:tcPr>
                <w:p w14:paraId="618BBA9A"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Si</w:t>
                  </w:r>
                </w:p>
              </w:tc>
              <w:tc>
                <w:tcPr>
                  <w:tcW w:w="310" w:type="dxa"/>
                </w:tcPr>
                <w:p w14:paraId="48829FC7"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x</w:t>
                  </w:r>
                </w:p>
              </w:tc>
              <w:tc>
                <w:tcPr>
                  <w:tcW w:w="373" w:type="dxa"/>
                  <w:tcBorders>
                    <w:top w:val="nil"/>
                    <w:bottom w:val="nil"/>
                    <w:right w:val="nil"/>
                  </w:tcBorders>
                </w:tcPr>
                <w:p w14:paraId="56387C78"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553" w:type="dxa"/>
                  <w:tcBorders>
                    <w:top w:val="nil"/>
                    <w:left w:val="nil"/>
                    <w:bottom w:val="nil"/>
                  </w:tcBorders>
                </w:tcPr>
                <w:p w14:paraId="500BE601"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No</w:t>
                  </w:r>
                </w:p>
              </w:tc>
              <w:tc>
                <w:tcPr>
                  <w:tcW w:w="302" w:type="dxa"/>
                </w:tcPr>
                <w:p w14:paraId="7383891B" w14:textId="77777777" w:rsidR="00194C36" w:rsidRPr="00194C36" w:rsidRDefault="00194C36" w:rsidP="00194C36">
                  <w:pPr>
                    <w:autoSpaceDE w:val="0"/>
                    <w:autoSpaceDN w:val="0"/>
                    <w:rPr>
                      <w:rFonts w:ascii="Arial" w:hAnsi="Arial" w:cs="Arial"/>
                      <w:color w:val="000000" w:themeColor="text1"/>
                      <w:sz w:val="16"/>
                      <w:szCs w:val="16"/>
                      <w:lang w:eastAsia="es-CR"/>
                    </w:rPr>
                  </w:pPr>
                </w:p>
              </w:tc>
            </w:tr>
          </w:tbl>
          <w:p w14:paraId="7A337749"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3365" w:type="dxa"/>
            <w:vAlign w:val="center"/>
          </w:tcPr>
          <w:p w14:paraId="23741492" w14:textId="77777777" w:rsidR="00194C36" w:rsidRPr="00194C36" w:rsidRDefault="00194C36" w:rsidP="00194C36">
            <w:pPr>
              <w:rPr>
                <w:rFonts w:ascii="Arial" w:hAnsi="Arial" w:cs="Arial"/>
                <w:color w:val="000000" w:themeColor="text1"/>
                <w:sz w:val="12"/>
                <w:szCs w:val="12"/>
                <w:lang w:eastAsia="es-CR"/>
              </w:rPr>
            </w:pPr>
            <w:r w:rsidRPr="00194C36">
              <w:rPr>
                <w:rFonts w:ascii="Arial" w:hAnsi="Arial" w:cs="Arial"/>
                <w:color w:val="000000" w:themeColor="text1"/>
                <w:sz w:val="12"/>
                <w:szCs w:val="12"/>
                <w:lang w:eastAsia="es-CR"/>
              </w:rPr>
              <w:t>Anotación:</w:t>
            </w:r>
          </w:p>
        </w:tc>
      </w:tr>
      <w:tr w:rsidR="00194C36" w:rsidRPr="00194C36" w14:paraId="1E1DF686" w14:textId="77777777" w:rsidTr="00676948">
        <w:trPr>
          <w:trHeight w:val="354"/>
          <w:jc w:val="center"/>
        </w:trPr>
        <w:tc>
          <w:tcPr>
            <w:tcW w:w="1553" w:type="dxa"/>
            <w:vMerge/>
            <w:tcBorders>
              <w:right w:val="nil"/>
            </w:tcBorders>
            <w:vAlign w:val="center"/>
          </w:tcPr>
          <w:p w14:paraId="116165A8" w14:textId="77777777" w:rsidR="00194C36" w:rsidRPr="00194C36" w:rsidRDefault="00194C36" w:rsidP="00194C36">
            <w:pPr>
              <w:autoSpaceDE w:val="0"/>
              <w:autoSpaceDN w:val="0"/>
              <w:rPr>
                <w:rFonts w:ascii="Arial" w:hAnsi="Arial" w:cs="Arial"/>
                <w:b/>
                <w:bCs/>
                <w:color w:val="000000" w:themeColor="text1"/>
                <w:sz w:val="16"/>
                <w:szCs w:val="16"/>
                <w:lang w:eastAsia="es-CR"/>
              </w:rPr>
            </w:pPr>
          </w:p>
        </w:tc>
        <w:tc>
          <w:tcPr>
            <w:tcW w:w="2494" w:type="dxa"/>
            <w:gridSpan w:val="2"/>
            <w:tcBorders>
              <w:left w:val="nil"/>
            </w:tcBorders>
            <w:vAlign w:val="center"/>
          </w:tcPr>
          <w:p w14:paraId="6085A357"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6.11 Otro (indicar cuál o cuáles)</w:t>
            </w:r>
          </w:p>
        </w:tc>
        <w:tc>
          <w:tcPr>
            <w:tcW w:w="2380" w:type="dxa"/>
            <w:vAlign w:val="center"/>
          </w:tcPr>
          <w:tbl>
            <w:tblPr>
              <w:tblStyle w:val="Tablaconcuadrcula1"/>
              <w:tblW w:w="2138" w:type="dxa"/>
              <w:tblInd w:w="10" w:type="dxa"/>
              <w:tblLayout w:type="fixed"/>
              <w:tblLook w:val="04A0" w:firstRow="1" w:lastRow="0" w:firstColumn="1" w:lastColumn="0" w:noHBand="0" w:noVBand="1"/>
            </w:tblPr>
            <w:tblGrid>
              <w:gridCol w:w="592"/>
              <w:gridCol w:w="310"/>
              <w:gridCol w:w="373"/>
              <w:gridCol w:w="553"/>
              <w:gridCol w:w="310"/>
            </w:tblGrid>
            <w:tr w:rsidR="00194C36" w:rsidRPr="00194C36" w14:paraId="7B5D7F35" w14:textId="77777777" w:rsidTr="00676948">
              <w:trPr>
                <w:trHeight w:val="219"/>
              </w:trPr>
              <w:tc>
                <w:tcPr>
                  <w:tcW w:w="592" w:type="dxa"/>
                  <w:tcBorders>
                    <w:top w:val="nil"/>
                    <w:left w:val="nil"/>
                    <w:bottom w:val="nil"/>
                  </w:tcBorders>
                </w:tcPr>
                <w:p w14:paraId="01D81B1F"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Si</w:t>
                  </w:r>
                </w:p>
              </w:tc>
              <w:tc>
                <w:tcPr>
                  <w:tcW w:w="310" w:type="dxa"/>
                </w:tcPr>
                <w:p w14:paraId="5A9537EC"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373" w:type="dxa"/>
                  <w:tcBorders>
                    <w:top w:val="nil"/>
                    <w:bottom w:val="nil"/>
                    <w:right w:val="nil"/>
                  </w:tcBorders>
                </w:tcPr>
                <w:p w14:paraId="298F3367"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553" w:type="dxa"/>
                  <w:tcBorders>
                    <w:top w:val="nil"/>
                    <w:left w:val="nil"/>
                    <w:bottom w:val="nil"/>
                  </w:tcBorders>
                </w:tcPr>
                <w:p w14:paraId="75B3B8A7" w14:textId="77777777" w:rsidR="00194C36" w:rsidRPr="00194C36" w:rsidRDefault="00194C36" w:rsidP="00194C36">
                  <w:pPr>
                    <w:autoSpaceDE w:val="0"/>
                    <w:autoSpaceDN w:val="0"/>
                    <w:rPr>
                      <w:rFonts w:ascii="Arial" w:hAnsi="Arial" w:cs="Arial"/>
                      <w:color w:val="000000" w:themeColor="text1"/>
                      <w:sz w:val="16"/>
                      <w:szCs w:val="16"/>
                      <w:lang w:eastAsia="es-CR"/>
                    </w:rPr>
                  </w:pPr>
                  <w:r w:rsidRPr="00194C36">
                    <w:rPr>
                      <w:rFonts w:ascii="Arial" w:hAnsi="Arial" w:cs="Arial"/>
                      <w:color w:val="000000" w:themeColor="text1"/>
                      <w:sz w:val="16"/>
                      <w:szCs w:val="16"/>
                      <w:lang w:eastAsia="es-CR"/>
                    </w:rPr>
                    <w:t>No</w:t>
                  </w:r>
                </w:p>
              </w:tc>
              <w:tc>
                <w:tcPr>
                  <w:tcW w:w="310" w:type="dxa"/>
                </w:tcPr>
                <w:p w14:paraId="0ABFCE64"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x</w:t>
                  </w:r>
                </w:p>
              </w:tc>
            </w:tr>
          </w:tbl>
          <w:p w14:paraId="4CE60CE3" w14:textId="77777777" w:rsidR="00194C36" w:rsidRPr="00194C36" w:rsidRDefault="00194C36" w:rsidP="00194C36">
            <w:pPr>
              <w:autoSpaceDE w:val="0"/>
              <w:autoSpaceDN w:val="0"/>
              <w:rPr>
                <w:rFonts w:ascii="Arial" w:hAnsi="Arial" w:cs="Arial"/>
                <w:color w:val="000000" w:themeColor="text1"/>
                <w:sz w:val="16"/>
                <w:szCs w:val="16"/>
                <w:lang w:eastAsia="es-CR"/>
              </w:rPr>
            </w:pPr>
          </w:p>
        </w:tc>
        <w:tc>
          <w:tcPr>
            <w:tcW w:w="3365" w:type="dxa"/>
            <w:vAlign w:val="center"/>
          </w:tcPr>
          <w:p w14:paraId="30894B64" w14:textId="77777777" w:rsidR="00194C36" w:rsidRPr="00194C36" w:rsidRDefault="00194C36" w:rsidP="00194C36">
            <w:pPr>
              <w:rPr>
                <w:rFonts w:ascii="Arial" w:hAnsi="Arial" w:cs="Arial"/>
                <w:color w:val="000000" w:themeColor="text1"/>
                <w:sz w:val="12"/>
                <w:szCs w:val="12"/>
                <w:lang w:eastAsia="es-CR"/>
              </w:rPr>
            </w:pPr>
            <w:r w:rsidRPr="00194C36">
              <w:rPr>
                <w:rFonts w:ascii="Arial" w:hAnsi="Arial" w:cs="Arial"/>
                <w:color w:val="000000" w:themeColor="text1"/>
                <w:sz w:val="12"/>
                <w:szCs w:val="12"/>
                <w:lang w:eastAsia="es-CR"/>
              </w:rPr>
              <w:t>Anotación:</w:t>
            </w:r>
          </w:p>
        </w:tc>
      </w:tr>
      <w:tr w:rsidR="00194C36" w:rsidRPr="00194C36" w14:paraId="1ED21A83" w14:textId="77777777" w:rsidTr="00676948">
        <w:trPr>
          <w:trHeight w:val="359"/>
          <w:jc w:val="center"/>
        </w:trPr>
        <w:tc>
          <w:tcPr>
            <w:tcW w:w="4047" w:type="dxa"/>
            <w:gridSpan w:val="3"/>
            <w:vAlign w:val="center"/>
          </w:tcPr>
          <w:p w14:paraId="7E87392F" w14:textId="77777777" w:rsidR="00194C36" w:rsidRPr="00194C36" w:rsidRDefault="00194C36" w:rsidP="00194C36">
            <w:pPr>
              <w:autoSpaceDE w:val="0"/>
              <w:autoSpaceDN w:val="0"/>
              <w:rPr>
                <w:rFonts w:ascii="Arial" w:hAnsi="Arial" w:cs="Arial"/>
                <w:b/>
                <w:bCs/>
                <w:color w:val="000000" w:themeColor="text1"/>
                <w:sz w:val="16"/>
                <w:szCs w:val="16"/>
                <w:lang w:eastAsia="es-CR"/>
              </w:rPr>
            </w:pPr>
            <w:r w:rsidRPr="00194C36">
              <w:rPr>
                <w:rFonts w:ascii="Arial" w:hAnsi="Arial" w:cs="Arial"/>
                <w:b/>
                <w:bCs/>
                <w:color w:val="000000" w:themeColor="text1"/>
                <w:sz w:val="16"/>
                <w:szCs w:val="16"/>
                <w:lang w:eastAsia="es-CR"/>
              </w:rPr>
              <w:t>7. Anotaciones relativas al programa de curso</w:t>
            </w:r>
          </w:p>
        </w:tc>
        <w:tc>
          <w:tcPr>
            <w:tcW w:w="5745" w:type="dxa"/>
            <w:gridSpan w:val="2"/>
            <w:vAlign w:val="center"/>
          </w:tcPr>
          <w:p w14:paraId="24A9BD5B" w14:textId="77777777" w:rsidR="00194C36" w:rsidRPr="00194C36" w:rsidRDefault="00194C36" w:rsidP="00194C36">
            <w:pPr>
              <w:autoSpaceDE w:val="0"/>
              <w:autoSpaceDN w:val="0"/>
              <w:rPr>
                <w:rFonts w:ascii="Arial" w:hAnsi="Arial" w:cs="Arial"/>
                <w:i/>
                <w:iCs/>
                <w:color w:val="2F5496" w:themeColor="accent1" w:themeShade="BF"/>
                <w:sz w:val="16"/>
                <w:szCs w:val="16"/>
                <w:lang w:eastAsia="es-CR"/>
              </w:rPr>
            </w:pPr>
            <w:r w:rsidRPr="00194C36">
              <w:rPr>
                <w:rFonts w:ascii="Arial" w:hAnsi="Arial" w:cs="Arial"/>
                <w:i/>
                <w:iCs/>
                <w:color w:val="2F5496" w:themeColor="accent1" w:themeShade="BF"/>
                <w:sz w:val="16"/>
                <w:szCs w:val="16"/>
                <w:lang w:eastAsia="es-CR"/>
              </w:rPr>
              <w:t>El documento no se llama “programa de curso”, sino “orientación académica”</w:t>
            </w:r>
          </w:p>
        </w:tc>
      </w:tr>
    </w:tbl>
    <w:p w14:paraId="2D260A59" w14:textId="6F362EF9" w:rsidR="00194C36" w:rsidRPr="00D27950" w:rsidRDefault="00194C36" w:rsidP="00D27950">
      <w:pPr>
        <w:autoSpaceDE w:val="0"/>
        <w:autoSpaceDN w:val="0"/>
        <w:spacing w:before="100" w:beforeAutospacing="1" w:after="100" w:afterAutospacing="1" w:line="360" w:lineRule="auto"/>
        <w:jc w:val="both"/>
        <w:rPr>
          <w:rFonts w:ascii="Arial" w:hAnsi="Arial" w:cs="Arial"/>
          <w:b/>
          <w:bCs/>
          <w:iCs/>
          <w:lang w:eastAsia="es-CR"/>
          <w14:ligatures w14:val="standardContextual"/>
        </w:rPr>
      </w:pPr>
      <w:bookmarkStart w:id="16" w:name="_Hlk182240241"/>
      <w:r w:rsidRPr="00D27950">
        <w:rPr>
          <w:rFonts w:ascii="Arial" w:hAnsi="Arial" w:cs="Arial"/>
          <w:b/>
          <w:bCs/>
          <w:iCs/>
          <w:lang w:eastAsia="es-CR"/>
          <w14:ligatures w14:val="standardContextual"/>
        </w:rPr>
        <w:lastRenderedPageBreak/>
        <w:t>Análisis de datos</w:t>
      </w:r>
    </w:p>
    <w:p w14:paraId="2767C955" w14:textId="77777777" w:rsidR="00194C36" w:rsidRPr="00194C36" w:rsidRDefault="00194C36" w:rsidP="00D27950">
      <w:pPr>
        <w:spacing w:before="100" w:beforeAutospacing="1" w:after="100" w:afterAutospacing="1" w:line="360" w:lineRule="auto"/>
        <w:jc w:val="both"/>
        <w:rPr>
          <w:rFonts w:ascii="Arial" w:hAnsi="Arial" w:cs="Arial"/>
          <w:lang w:val="es-ES" w:eastAsia="es-CR"/>
        </w:rPr>
      </w:pPr>
      <w:r w:rsidRPr="00194C36">
        <w:rPr>
          <w:rFonts w:ascii="Arial" w:hAnsi="Arial" w:cs="Arial"/>
          <w:lang w:eastAsia="es-CR"/>
        </w:rPr>
        <w:t xml:space="preserve">Inicialmente, se revisaron los documentos obtenidos para filtrar aquellos que correspondían a la definición de “programa de curso”, excluyendo otros materiales como planes de estudio, planes didácticos y reglamentos. Dos semanas después del envío de la solicitud, se disponía de programas de grado y postgrado de IES representativas de todos los países de la región. Además, se consideró la membresía en ACAP o su presencia en rankings regionales como </w:t>
      </w:r>
      <w:proofErr w:type="spellStart"/>
      <w:r w:rsidRPr="00194C36">
        <w:rPr>
          <w:rFonts w:ascii="Arial" w:hAnsi="Arial" w:cs="Arial"/>
          <w:lang w:eastAsia="es-CR"/>
        </w:rPr>
        <w:t>Webometrics</w:t>
      </w:r>
      <w:proofErr w:type="spellEnd"/>
      <w:r w:rsidRPr="00194C36">
        <w:rPr>
          <w:rFonts w:ascii="Arial" w:hAnsi="Arial" w:cs="Arial"/>
          <w:lang w:eastAsia="es-CR"/>
        </w:rPr>
        <w:t xml:space="preserve"> y </w:t>
      </w:r>
      <w:proofErr w:type="spellStart"/>
      <w:r w:rsidRPr="00194C36">
        <w:rPr>
          <w:rFonts w:ascii="Arial" w:hAnsi="Arial" w:cs="Arial"/>
          <w:lang w:eastAsia="es-CR"/>
        </w:rPr>
        <w:t>Scimago</w:t>
      </w:r>
      <w:proofErr w:type="spellEnd"/>
      <w:r w:rsidRPr="00194C36">
        <w:rPr>
          <w:rFonts w:ascii="Arial" w:hAnsi="Arial" w:cs="Arial"/>
          <w:lang w:eastAsia="es-CR"/>
        </w:rPr>
        <w:t>. Siempre que fue posible, se seleccionaron al menos una universidad pública y una privada por país.</w:t>
      </w:r>
    </w:p>
    <w:p w14:paraId="53A382EA" w14:textId="074DE4E6" w:rsidR="00194C36" w:rsidRPr="00194C36" w:rsidRDefault="00194C36" w:rsidP="00D27950">
      <w:pPr>
        <w:spacing w:before="100" w:beforeAutospacing="1" w:after="100" w:afterAutospacing="1" w:line="360" w:lineRule="auto"/>
        <w:jc w:val="both"/>
        <w:rPr>
          <w:rFonts w:ascii="Arial" w:hAnsi="Arial" w:cs="Arial"/>
          <w:lang w:eastAsia="es-CR"/>
        </w:rPr>
      </w:pPr>
      <w:r w:rsidRPr="00194C36">
        <w:rPr>
          <w:rFonts w:ascii="Arial" w:hAnsi="Arial" w:cs="Arial"/>
          <w:lang w:eastAsia="es-CR"/>
        </w:rPr>
        <w:t>El análisis se realizó revisando los programas de manera sistemática según los criterios establecidos. Se analizaron 40 programas de 14 universidades, asegurando representatividad - generalmente con dos programas por universidad: 30 de grado (diplomado, bachillerato y licenciatura) y 10 de postgrado (maestría y doctorado). Esto permitió abarcar diversos niveles y disciplinas, aportando una base robusta para el análisis.</w:t>
      </w:r>
    </w:p>
    <w:p w14:paraId="42E23E53" w14:textId="77777777" w:rsidR="00194C36" w:rsidRPr="00194C36" w:rsidRDefault="00194C36" w:rsidP="00D27950">
      <w:pPr>
        <w:spacing w:before="100" w:beforeAutospacing="1" w:after="100" w:afterAutospacing="1" w:line="360" w:lineRule="auto"/>
        <w:jc w:val="both"/>
        <w:rPr>
          <w:rFonts w:ascii="Arial" w:hAnsi="Arial" w:cs="Arial"/>
          <w:lang w:eastAsia="es-CR"/>
        </w:rPr>
      </w:pPr>
      <w:r w:rsidRPr="00194C36">
        <w:rPr>
          <w:rFonts w:ascii="Arial" w:hAnsi="Arial" w:cs="Arial"/>
          <w:lang w:eastAsia="es-CR"/>
        </w:rPr>
        <w:t xml:space="preserve">El procedimiento metodológico incluyó el registro detallado y el conteo sistemático de componentes clave en cada programa de curso: portada, datos administrativos generales, descripción general del curso, objetivos, contenidos y cronograma, metodología, evaluación, bibliografía y otros recursos, información sobre el profesor y datos de actualización. También se registraron variaciones en la terminología y el </w:t>
      </w:r>
      <w:r w:rsidRPr="00194C36">
        <w:rPr>
          <w:rFonts w:ascii="Arial" w:hAnsi="Arial" w:cs="Arial"/>
          <w:lang w:eastAsia="es-CR"/>
        </w:rPr>
        <w:lastRenderedPageBreak/>
        <w:t>contenido de cada apartado. Aunque simple, este enfoque fue diseñado para capturar las características esenciales y diferencias entre los programas y niveles educativos, asegurando objetividad y coherencia.</w:t>
      </w:r>
    </w:p>
    <w:p w14:paraId="7C7DBE88" w14:textId="77777777" w:rsidR="00194C36" w:rsidRPr="00194C36" w:rsidRDefault="00194C36" w:rsidP="00D27950">
      <w:pPr>
        <w:spacing w:before="100" w:beforeAutospacing="1" w:after="100" w:afterAutospacing="1" w:line="360" w:lineRule="auto"/>
        <w:jc w:val="both"/>
        <w:rPr>
          <w:rFonts w:ascii="Arial" w:hAnsi="Arial" w:cs="Arial"/>
          <w:lang w:val="es-ES" w:eastAsia="es-CR"/>
        </w:rPr>
      </w:pPr>
      <w:r w:rsidRPr="00194C36">
        <w:rPr>
          <w:rFonts w:ascii="Arial" w:hAnsi="Arial" w:cs="Arial"/>
          <w:lang w:val="es-ES" w:eastAsia="es-CR"/>
        </w:rPr>
        <w:t>Finalmente, los datos fueron sometidos a un análisis descriptivo, organizando y sintetizando los resultados para identificar patrones y tendencias generales. Se utilizaron estadísticas descriptivas básicas para resumir y visualizar la información. El rigor en la revisión y registro de los programas garantiza la fiabilidad de los resultados, permitiendo interpretar con claridad la estructura de los programas de cursos en las universidades centroamericanas.</w:t>
      </w:r>
    </w:p>
    <w:p w14:paraId="3D9700DB" w14:textId="797877EB" w:rsidR="00194C36" w:rsidRPr="00194C36" w:rsidRDefault="00D27950" w:rsidP="00D27950">
      <w:pPr>
        <w:spacing w:before="100" w:beforeAutospacing="1" w:after="100" w:afterAutospacing="1" w:line="360" w:lineRule="auto"/>
        <w:jc w:val="both"/>
        <w:rPr>
          <w:rFonts w:ascii="Arial" w:hAnsi="Arial" w:cs="Arial"/>
          <w:b/>
          <w:bCs/>
          <w:lang w:eastAsia="es-CR"/>
        </w:rPr>
      </w:pPr>
      <w:bookmarkStart w:id="17" w:name="_Hlk182585117"/>
      <w:bookmarkEnd w:id="16"/>
      <w:r w:rsidRPr="00194C36">
        <w:rPr>
          <w:rFonts w:ascii="Arial" w:hAnsi="Arial" w:cs="Arial"/>
          <w:b/>
          <w:bCs/>
          <w:lang w:eastAsia="es-CR"/>
        </w:rPr>
        <w:t>RESULTADOS</w:t>
      </w:r>
    </w:p>
    <w:p w14:paraId="165F93DA" w14:textId="77777777" w:rsidR="00194C36" w:rsidRPr="00194C36" w:rsidRDefault="00194C36" w:rsidP="00D27950">
      <w:pPr>
        <w:autoSpaceDE w:val="0"/>
        <w:autoSpaceDN w:val="0"/>
        <w:spacing w:before="100" w:beforeAutospacing="1" w:after="100" w:afterAutospacing="1" w:line="360" w:lineRule="auto"/>
        <w:jc w:val="both"/>
        <w:rPr>
          <w:rFonts w:ascii="Arial" w:hAnsi="Arial" w:cs="Arial"/>
          <w:lang w:eastAsia="en-US"/>
          <w14:ligatures w14:val="standardContextual"/>
        </w:rPr>
      </w:pPr>
      <w:bookmarkStart w:id="18" w:name="_Hlk169182256"/>
      <w:r w:rsidRPr="00194C36">
        <w:rPr>
          <w:rFonts w:ascii="Arial" w:hAnsi="Arial" w:cs="Arial"/>
          <w:lang w:eastAsia="en-US"/>
          <w14:ligatures w14:val="standardContextual"/>
        </w:rPr>
        <w:t>Los resultados obtenidos mediante la lista de verificación aplicada a los programas de curso se resumen en la Tabla 1. Esta tabla muestra la presencia de 7 componentes del indicador 4.1.g de la ACAP: datos generales (DAT), descripción general (DES), objetivos (OBJ), contenidos (CON), metodología (MET), evaluación (EVA) y recursos bibliográficos (REC) en 40 programas de asignaturas revisados (ACAP, 2020). Además, se añadieron 3 componentes adicionales identificados en la revisión bibliográfica: portada (POR), información sobre profesores (PRO) y registro de actualización (ACT), considerados relevantes para la mejora de la calidad académica.</w:t>
      </w:r>
    </w:p>
    <w:p w14:paraId="08EA7F14" w14:textId="38D00582" w:rsidR="00194C36" w:rsidRPr="000070BC" w:rsidRDefault="00194C36" w:rsidP="000070BC">
      <w:pPr>
        <w:spacing w:after="100" w:afterAutospacing="1"/>
        <w:jc w:val="center"/>
        <w:rPr>
          <w:rFonts w:ascii="Arial" w:eastAsiaTheme="minorHAnsi" w:hAnsi="Arial" w:cs="Arial"/>
          <w:b/>
          <w:iCs/>
          <w:kern w:val="2"/>
          <w:sz w:val="20"/>
          <w:szCs w:val="20"/>
          <w:lang w:eastAsia="en-US"/>
          <w14:ligatures w14:val="standardContextual"/>
        </w:rPr>
      </w:pPr>
      <w:r w:rsidRPr="000070BC">
        <w:rPr>
          <w:rFonts w:ascii="Arial" w:eastAsiaTheme="minorHAnsi" w:hAnsi="Arial" w:cs="Arial"/>
          <w:b/>
          <w:bCs/>
          <w:kern w:val="2"/>
          <w:sz w:val="20"/>
          <w:szCs w:val="20"/>
          <w:lang w:eastAsia="en-US"/>
          <w14:ligatures w14:val="standardContextual"/>
        </w:rPr>
        <w:lastRenderedPageBreak/>
        <w:t>Tabla 1</w:t>
      </w:r>
      <w:r w:rsidR="000070BC" w:rsidRPr="000070BC">
        <w:rPr>
          <w:rFonts w:ascii="Arial" w:eastAsiaTheme="minorHAnsi" w:hAnsi="Arial" w:cs="Arial"/>
          <w:b/>
          <w:bCs/>
          <w:kern w:val="2"/>
          <w:sz w:val="20"/>
          <w:szCs w:val="20"/>
          <w:lang w:eastAsia="en-US"/>
          <w14:ligatures w14:val="standardContextual"/>
        </w:rPr>
        <w:t xml:space="preserve">. </w:t>
      </w:r>
      <w:r w:rsidRPr="000070BC">
        <w:rPr>
          <w:rFonts w:ascii="Arial" w:eastAsiaTheme="minorHAnsi" w:hAnsi="Arial" w:cs="Arial"/>
          <w:b/>
          <w:iCs/>
          <w:kern w:val="2"/>
          <w:sz w:val="20"/>
          <w:szCs w:val="20"/>
          <w:lang w:eastAsia="en-US"/>
          <w14:ligatures w14:val="standardContextual"/>
        </w:rPr>
        <w:t>Resultados generales de verificación de los componentes de los programas de curso en 21 universidades centroamericanas</w:t>
      </w:r>
    </w:p>
    <w:tbl>
      <w:tblPr>
        <w:tblStyle w:val="Tablaconcuadrcula1"/>
        <w:tblW w:w="10103" w:type="dxa"/>
        <w:jc w:val="center"/>
        <w:tblLayout w:type="fixed"/>
        <w:tblLook w:val="04A0" w:firstRow="1" w:lastRow="0" w:firstColumn="1" w:lastColumn="0" w:noHBand="0" w:noVBand="1"/>
      </w:tblPr>
      <w:tblGrid>
        <w:gridCol w:w="1384"/>
        <w:gridCol w:w="709"/>
        <w:gridCol w:w="1984"/>
        <w:gridCol w:w="2554"/>
        <w:gridCol w:w="350"/>
        <w:gridCol w:w="357"/>
        <w:gridCol w:w="343"/>
        <w:gridCol w:w="336"/>
        <w:gridCol w:w="364"/>
        <w:gridCol w:w="350"/>
        <w:gridCol w:w="350"/>
        <w:gridCol w:w="350"/>
        <w:gridCol w:w="336"/>
        <w:gridCol w:w="336"/>
      </w:tblGrid>
      <w:tr w:rsidR="00194C36" w:rsidRPr="00194C36" w14:paraId="6519D024" w14:textId="77777777" w:rsidTr="00281E2B">
        <w:trPr>
          <w:tblHeader/>
          <w:jc w:val="center"/>
        </w:trPr>
        <w:tc>
          <w:tcPr>
            <w:tcW w:w="1384" w:type="dxa"/>
            <w:vMerge w:val="restart"/>
            <w:shd w:val="clear" w:color="auto" w:fill="auto"/>
            <w:vAlign w:val="center"/>
          </w:tcPr>
          <w:p w14:paraId="2719D9C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país</w:t>
            </w:r>
          </w:p>
        </w:tc>
        <w:tc>
          <w:tcPr>
            <w:tcW w:w="709" w:type="dxa"/>
            <w:vMerge w:val="restart"/>
            <w:shd w:val="clear" w:color="auto" w:fill="auto"/>
            <w:vAlign w:val="center"/>
          </w:tcPr>
          <w:p w14:paraId="25C4E4B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Memb.</w:t>
            </w:r>
          </w:p>
          <w:p w14:paraId="0D86FB2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ACAP</w:t>
            </w:r>
          </w:p>
        </w:tc>
        <w:tc>
          <w:tcPr>
            <w:tcW w:w="1984" w:type="dxa"/>
            <w:vMerge w:val="restart"/>
            <w:shd w:val="clear" w:color="auto" w:fill="auto"/>
            <w:vAlign w:val="center"/>
          </w:tcPr>
          <w:p w14:paraId="0E5DC344"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Carrera o programa</w:t>
            </w:r>
          </w:p>
        </w:tc>
        <w:tc>
          <w:tcPr>
            <w:tcW w:w="2554" w:type="dxa"/>
            <w:vMerge w:val="restart"/>
            <w:shd w:val="clear" w:color="auto" w:fill="auto"/>
            <w:vAlign w:val="center"/>
          </w:tcPr>
          <w:p w14:paraId="3E18AEB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Código, nombre y año del curso</w:t>
            </w:r>
          </w:p>
        </w:tc>
        <w:tc>
          <w:tcPr>
            <w:tcW w:w="3472" w:type="dxa"/>
            <w:gridSpan w:val="10"/>
            <w:shd w:val="clear" w:color="auto" w:fill="auto"/>
            <w:vAlign w:val="center"/>
          </w:tcPr>
          <w:p w14:paraId="53F47ADA"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Componentes del programa*</w:t>
            </w:r>
          </w:p>
        </w:tc>
      </w:tr>
      <w:tr w:rsidR="00194C36" w:rsidRPr="00194C36" w14:paraId="50CCD548" w14:textId="77777777" w:rsidTr="00281E2B">
        <w:trPr>
          <w:trHeight w:val="361"/>
          <w:tblHeader/>
          <w:jc w:val="center"/>
        </w:trPr>
        <w:tc>
          <w:tcPr>
            <w:tcW w:w="1384" w:type="dxa"/>
            <w:vMerge/>
            <w:shd w:val="clear" w:color="auto" w:fill="auto"/>
            <w:vAlign w:val="center"/>
          </w:tcPr>
          <w:p w14:paraId="2A52D1D7"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4648FA00" w14:textId="77777777" w:rsidR="00194C36" w:rsidRPr="00194C36" w:rsidRDefault="00194C36" w:rsidP="00194C36">
            <w:pPr>
              <w:jc w:val="center"/>
              <w:rPr>
                <w:rFonts w:ascii="Arial" w:eastAsiaTheme="minorEastAsia" w:hAnsi="Arial" w:cs="Arial"/>
                <w:sz w:val="16"/>
                <w:szCs w:val="16"/>
                <w:lang w:eastAsia="es-ES"/>
              </w:rPr>
            </w:pPr>
          </w:p>
        </w:tc>
        <w:tc>
          <w:tcPr>
            <w:tcW w:w="1984" w:type="dxa"/>
            <w:vMerge/>
            <w:shd w:val="clear" w:color="auto" w:fill="auto"/>
            <w:vAlign w:val="center"/>
          </w:tcPr>
          <w:p w14:paraId="78ABA41E" w14:textId="77777777" w:rsidR="00194C36" w:rsidRPr="00194C36" w:rsidRDefault="00194C36" w:rsidP="00194C36">
            <w:pPr>
              <w:jc w:val="center"/>
              <w:rPr>
                <w:rFonts w:ascii="Arial" w:eastAsiaTheme="minorEastAsia" w:hAnsi="Arial" w:cs="Arial"/>
                <w:sz w:val="16"/>
                <w:szCs w:val="16"/>
                <w:lang w:eastAsia="es-ES"/>
              </w:rPr>
            </w:pPr>
          </w:p>
        </w:tc>
        <w:tc>
          <w:tcPr>
            <w:tcW w:w="2554" w:type="dxa"/>
            <w:vMerge/>
            <w:shd w:val="clear" w:color="auto" w:fill="auto"/>
            <w:vAlign w:val="center"/>
          </w:tcPr>
          <w:p w14:paraId="6BC41618" w14:textId="77777777" w:rsidR="00194C36" w:rsidRPr="00194C36" w:rsidRDefault="00194C36" w:rsidP="00194C36">
            <w:pPr>
              <w:jc w:val="center"/>
              <w:rPr>
                <w:rFonts w:ascii="Arial" w:eastAsiaTheme="minorEastAsia" w:hAnsi="Arial" w:cs="Arial"/>
                <w:sz w:val="16"/>
                <w:szCs w:val="16"/>
                <w:lang w:eastAsia="es-ES"/>
              </w:rPr>
            </w:pPr>
          </w:p>
        </w:tc>
        <w:tc>
          <w:tcPr>
            <w:tcW w:w="350" w:type="dxa"/>
            <w:shd w:val="clear" w:color="auto" w:fill="auto"/>
            <w:vAlign w:val="center"/>
          </w:tcPr>
          <w:p w14:paraId="5C909905" w14:textId="77777777" w:rsidR="00194C36" w:rsidRPr="00194C36" w:rsidRDefault="00194C36" w:rsidP="00194C36">
            <w:pPr>
              <w:ind w:left="-106" w:right="-106"/>
              <w:jc w:val="center"/>
              <w:rPr>
                <w:rFonts w:ascii="Arial" w:eastAsiaTheme="minorEastAsia" w:hAnsi="Arial" w:cs="Arial"/>
                <w:sz w:val="14"/>
                <w:szCs w:val="14"/>
                <w:lang w:eastAsia="es-ES"/>
              </w:rPr>
            </w:pPr>
            <w:r w:rsidRPr="00194C36">
              <w:rPr>
                <w:rFonts w:ascii="Arial" w:eastAsiaTheme="minorEastAsia" w:hAnsi="Arial" w:cs="Arial"/>
                <w:sz w:val="14"/>
                <w:szCs w:val="14"/>
                <w:lang w:eastAsia="es-ES"/>
              </w:rPr>
              <w:t>POR</w:t>
            </w:r>
          </w:p>
        </w:tc>
        <w:tc>
          <w:tcPr>
            <w:tcW w:w="357" w:type="dxa"/>
            <w:shd w:val="clear" w:color="auto" w:fill="auto"/>
            <w:vAlign w:val="center"/>
          </w:tcPr>
          <w:p w14:paraId="324B29DC" w14:textId="77777777" w:rsidR="00194C36" w:rsidRPr="00194C36" w:rsidRDefault="00194C36" w:rsidP="00194C36">
            <w:pPr>
              <w:ind w:left="-106" w:right="-106"/>
              <w:jc w:val="center"/>
              <w:rPr>
                <w:rFonts w:ascii="Arial" w:eastAsiaTheme="minorEastAsia" w:hAnsi="Arial" w:cs="Arial"/>
                <w:sz w:val="14"/>
                <w:szCs w:val="14"/>
                <w:lang w:eastAsia="es-ES"/>
              </w:rPr>
            </w:pPr>
            <w:r w:rsidRPr="00194C36">
              <w:rPr>
                <w:rFonts w:ascii="Arial" w:eastAsiaTheme="minorEastAsia" w:hAnsi="Arial" w:cs="Arial"/>
                <w:sz w:val="14"/>
                <w:szCs w:val="14"/>
                <w:lang w:eastAsia="es-ES"/>
              </w:rPr>
              <w:t>DAT</w:t>
            </w:r>
          </w:p>
        </w:tc>
        <w:tc>
          <w:tcPr>
            <w:tcW w:w="343" w:type="dxa"/>
            <w:shd w:val="clear" w:color="auto" w:fill="auto"/>
            <w:vAlign w:val="center"/>
          </w:tcPr>
          <w:p w14:paraId="0891BCFC" w14:textId="77777777" w:rsidR="00194C36" w:rsidRPr="00194C36" w:rsidRDefault="00194C36" w:rsidP="00194C36">
            <w:pPr>
              <w:ind w:left="-106" w:right="-106"/>
              <w:jc w:val="center"/>
              <w:rPr>
                <w:rFonts w:ascii="Arial" w:eastAsiaTheme="minorEastAsia" w:hAnsi="Arial" w:cs="Arial"/>
                <w:sz w:val="14"/>
                <w:szCs w:val="14"/>
                <w:lang w:eastAsia="es-ES"/>
              </w:rPr>
            </w:pPr>
            <w:r w:rsidRPr="00194C36">
              <w:rPr>
                <w:rFonts w:ascii="Arial" w:eastAsiaTheme="minorEastAsia" w:hAnsi="Arial" w:cs="Arial"/>
                <w:sz w:val="14"/>
                <w:szCs w:val="14"/>
                <w:lang w:eastAsia="es-ES"/>
              </w:rPr>
              <w:t>DES</w:t>
            </w:r>
          </w:p>
        </w:tc>
        <w:tc>
          <w:tcPr>
            <w:tcW w:w="336" w:type="dxa"/>
            <w:shd w:val="clear" w:color="auto" w:fill="auto"/>
            <w:vAlign w:val="center"/>
          </w:tcPr>
          <w:p w14:paraId="5A0BBDC7" w14:textId="77777777" w:rsidR="00194C36" w:rsidRPr="00194C36" w:rsidRDefault="00194C36" w:rsidP="00194C36">
            <w:pPr>
              <w:ind w:left="-106" w:right="-106"/>
              <w:jc w:val="center"/>
              <w:rPr>
                <w:rFonts w:ascii="Arial" w:eastAsiaTheme="minorEastAsia" w:hAnsi="Arial" w:cs="Arial"/>
                <w:sz w:val="14"/>
                <w:szCs w:val="14"/>
                <w:lang w:eastAsia="es-ES"/>
              </w:rPr>
            </w:pPr>
            <w:r w:rsidRPr="00194C36">
              <w:rPr>
                <w:rFonts w:ascii="Arial" w:eastAsiaTheme="minorEastAsia" w:hAnsi="Arial" w:cs="Arial"/>
                <w:sz w:val="14"/>
                <w:szCs w:val="14"/>
                <w:lang w:eastAsia="es-ES"/>
              </w:rPr>
              <w:t>OBJ</w:t>
            </w:r>
          </w:p>
        </w:tc>
        <w:tc>
          <w:tcPr>
            <w:tcW w:w="364" w:type="dxa"/>
            <w:shd w:val="clear" w:color="auto" w:fill="auto"/>
            <w:vAlign w:val="center"/>
          </w:tcPr>
          <w:p w14:paraId="0F7C57E8" w14:textId="77777777" w:rsidR="00194C36" w:rsidRPr="00194C36" w:rsidRDefault="00194C36" w:rsidP="00194C36">
            <w:pPr>
              <w:ind w:left="-106" w:right="-106"/>
              <w:jc w:val="center"/>
              <w:rPr>
                <w:rFonts w:ascii="Arial" w:eastAsiaTheme="minorEastAsia" w:hAnsi="Arial" w:cs="Arial"/>
                <w:sz w:val="14"/>
                <w:szCs w:val="14"/>
                <w:lang w:eastAsia="es-ES"/>
              </w:rPr>
            </w:pPr>
            <w:r w:rsidRPr="00194C36">
              <w:rPr>
                <w:rFonts w:ascii="Arial" w:eastAsiaTheme="minorEastAsia" w:hAnsi="Arial" w:cs="Arial"/>
                <w:sz w:val="14"/>
                <w:szCs w:val="14"/>
                <w:lang w:eastAsia="es-ES"/>
              </w:rPr>
              <w:t>CON</w:t>
            </w:r>
          </w:p>
        </w:tc>
        <w:tc>
          <w:tcPr>
            <w:tcW w:w="350" w:type="dxa"/>
            <w:shd w:val="clear" w:color="auto" w:fill="auto"/>
            <w:vAlign w:val="center"/>
          </w:tcPr>
          <w:p w14:paraId="3045263D" w14:textId="77777777" w:rsidR="00194C36" w:rsidRPr="00194C36" w:rsidRDefault="00194C36" w:rsidP="00194C36">
            <w:pPr>
              <w:ind w:left="-106" w:right="-106"/>
              <w:jc w:val="center"/>
              <w:rPr>
                <w:rFonts w:ascii="Arial" w:eastAsiaTheme="minorEastAsia" w:hAnsi="Arial" w:cs="Arial"/>
                <w:sz w:val="14"/>
                <w:szCs w:val="14"/>
                <w:lang w:eastAsia="es-ES"/>
              </w:rPr>
            </w:pPr>
            <w:r w:rsidRPr="00194C36">
              <w:rPr>
                <w:rFonts w:ascii="Arial" w:eastAsiaTheme="minorEastAsia" w:hAnsi="Arial" w:cs="Arial"/>
                <w:sz w:val="14"/>
                <w:szCs w:val="14"/>
                <w:lang w:eastAsia="es-ES"/>
              </w:rPr>
              <w:t>MET</w:t>
            </w:r>
          </w:p>
        </w:tc>
        <w:tc>
          <w:tcPr>
            <w:tcW w:w="350" w:type="dxa"/>
            <w:shd w:val="clear" w:color="auto" w:fill="auto"/>
            <w:vAlign w:val="center"/>
          </w:tcPr>
          <w:p w14:paraId="67D8CC86" w14:textId="77777777" w:rsidR="00194C36" w:rsidRPr="00194C36" w:rsidRDefault="00194C36" w:rsidP="00194C36">
            <w:pPr>
              <w:ind w:left="-106" w:right="-106"/>
              <w:jc w:val="center"/>
              <w:rPr>
                <w:rFonts w:ascii="Arial" w:eastAsiaTheme="minorEastAsia" w:hAnsi="Arial" w:cs="Arial"/>
                <w:sz w:val="14"/>
                <w:szCs w:val="14"/>
                <w:lang w:eastAsia="es-ES"/>
              </w:rPr>
            </w:pPr>
            <w:r w:rsidRPr="00194C36">
              <w:rPr>
                <w:rFonts w:ascii="Arial" w:eastAsiaTheme="minorEastAsia" w:hAnsi="Arial" w:cs="Arial"/>
                <w:sz w:val="14"/>
                <w:szCs w:val="14"/>
                <w:lang w:eastAsia="es-ES"/>
              </w:rPr>
              <w:t>EVA</w:t>
            </w:r>
          </w:p>
        </w:tc>
        <w:tc>
          <w:tcPr>
            <w:tcW w:w="350" w:type="dxa"/>
            <w:shd w:val="clear" w:color="auto" w:fill="auto"/>
            <w:vAlign w:val="center"/>
          </w:tcPr>
          <w:p w14:paraId="032B0CC5" w14:textId="77777777" w:rsidR="00194C36" w:rsidRPr="00194C36" w:rsidRDefault="00194C36" w:rsidP="00194C36">
            <w:pPr>
              <w:ind w:left="-106" w:right="-106"/>
              <w:jc w:val="center"/>
              <w:rPr>
                <w:rFonts w:ascii="Arial" w:eastAsiaTheme="minorEastAsia" w:hAnsi="Arial" w:cs="Arial"/>
                <w:sz w:val="14"/>
                <w:szCs w:val="14"/>
                <w:lang w:eastAsia="es-ES"/>
              </w:rPr>
            </w:pPr>
            <w:r w:rsidRPr="00194C36">
              <w:rPr>
                <w:rFonts w:ascii="Arial" w:eastAsiaTheme="minorEastAsia" w:hAnsi="Arial" w:cs="Arial"/>
                <w:sz w:val="14"/>
                <w:szCs w:val="14"/>
                <w:lang w:eastAsia="es-ES"/>
              </w:rPr>
              <w:t>REC</w:t>
            </w:r>
          </w:p>
        </w:tc>
        <w:tc>
          <w:tcPr>
            <w:tcW w:w="336" w:type="dxa"/>
            <w:shd w:val="clear" w:color="auto" w:fill="auto"/>
            <w:vAlign w:val="center"/>
          </w:tcPr>
          <w:p w14:paraId="25959E1C" w14:textId="77777777" w:rsidR="00194C36" w:rsidRPr="00194C36" w:rsidRDefault="00194C36" w:rsidP="00194C36">
            <w:pPr>
              <w:ind w:left="-106" w:right="-106"/>
              <w:jc w:val="center"/>
              <w:rPr>
                <w:rFonts w:ascii="Arial" w:eastAsiaTheme="minorEastAsia" w:hAnsi="Arial" w:cs="Arial"/>
                <w:sz w:val="14"/>
                <w:szCs w:val="14"/>
                <w:lang w:eastAsia="es-ES"/>
              </w:rPr>
            </w:pPr>
            <w:r w:rsidRPr="00194C36">
              <w:rPr>
                <w:rFonts w:ascii="Arial" w:eastAsiaTheme="minorEastAsia" w:hAnsi="Arial" w:cs="Arial"/>
                <w:sz w:val="14"/>
                <w:szCs w:val="14"/>
                <w:lang w:eastAsia="es-ES"/>
              </w:rPr>
              <w:t>PRO</w:t>
            </w:r>
          </w:p>
        </w:tc>
        <w:tc>
          <w:tcPr>
            <w:tcW w:w="336" w:type="dxa"/>
            <w:shd w:val="clear" w:color="auto" w:fill="auto"/>
            <w:vAlign w:val="center"/>
          </w:tcPr>
          <w:p w14:paraId="77DF6905" w14:textId="77777777" w:rsidR="00194C36" w:rsidRPr="00194C36" w:rsidRDefault="00194C36" w:rsidP="00194C36">
            <w:pPr>
              <w:ind w:left="-106" w:right="-106"/>
              <w:jc w:val="center"/>
              <w:rPr>
                <w:rFonts w:ascii="Arial" w:eastAsiaTheme="minorEastAsia" w:hAnsi="Arial" w:cs="Arial"/>
                <w:sz w:val="14"/>
                <w:szCs w:val="14"/>
                <w:lang w:eastAsia="es-ES"/>
              </w:rPr>
            </w:pPr>
            <w:r w:rsidRPr="00194C36">
              <w:rPr>
                <w:rFonts w:ascii="Arial" w:eastAsiaTheme="minorEastAsia" w:hAnsi="Arial" w:cs="Arial"/>
                <w:sz w:val="14"/>
                <w:szCs w:val="14"/>
                <w:lang w:eastAsia="es-ES"/>
              </w:rPr>
              <w:t>ACT</w:t>
            </w:r>
          </w:p>
        </w:tc>
      </w:tr>
      <w:tr w:rsidR="00194C36" w:rsidRPr="00194C36" w14:paraId="1BD8662C" w14:textId="77777777" w:rsidTr="00281E2B">
        <w:trPr>
          <w:trHeight w:val="340"/>
          <w:jc w:val="center"/>
        </w:trPr>
        <w:tc>
          <w:tcPr>
            <w:tcW w:w="1384" w:type="dxa"/>
            <w:vMerge w:val="restart"/>
            <w:shd w:val="clear" w:color="auto" w:fill="auto"/>
            <w:vAlign w:val="center"/>
          </w:tcPr>
          <w:p w14:paraId="5D1F1DB8"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Tecnológica de Panamá (UTP), Panamá</w:t>
            </w:r>
          </w:p>
        </w:tc>
        <w:tc>
          <w:tcPr>
            <w:tcW w:w="709" w:type="dxa"/>
            <w:vMerge w:val="restart"/>
            <w:shd w:val="clear" w:color="auto" w:fill="auto"/>
            <w:vAlign w:val="center"/>
          </w:tcPr>
          <w:p w14:paraId="0DC411A2" w14:textId="782B72A8"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S</w:t>
            </w:r>
            <w:r w:rsidR="00194C36" w:rsidRPr="00194C36">
              <w:rPr>
                <w:rFonts w:ascii="Arial" w:eastAsiaTheme="minorEastAsia" w:hAnsi="Arial" w:cs="Arial"/>
                <w:sz w:val="16"/>
                <w:szCs w:val="16"/>
                <w:lang w:eastAsia="es-ES"/>
              </w:rPr>
              <w:t>í</w:t>
            </w:r>
          </w:p>
        </w:tc>
        <w:tc>
          <w:tcPr>
            <w:tcW w:w="1984" w:type="dxa"/>
            <w:shd w:val="clear" w:color="auto" w:fill="auto"/>
            <w:vAlign w:val="center"/>
          </w:tcPr>
          <w:p w14:paraId="35E53C02"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Ingeniería Civil</w:t>
            </w:r>
          </w:p>
        </w:tc>
        <w:tc>
          <w:tcPr>
            <w:tcW w:w="2554" w:type="dxa"/>
            <w:shd w:val="clear" w:color="auto" w:fill="auto"/>
            <w:vAlign w:val="center"/>
          </w:tcPr>
          <w:p w14:paraId="363BEF7F"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8014</w:t>
            </w:r>
          </w:p>
          <w:p w14:paraId="345F9BA7"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Estructura I (2022)</w:t>
            </w:r>
          </w:p>
        </w:tc>
        <w:tc>
          <w:tcPr>
            <w:tcW w:w="350" w:type="dxa"/>
            <w:shd w:val="clear" w:color="auto" w:fill="auto"/>
            <w:vAlign w:val="center"/>
          </w:tcPr>
          <w:p w14:paraId="52E31834"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6D24681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28BB2FF3"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302B4A3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07CB81D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253FF43D" w14:textId="77777777" w:rsidR="00194C36" w:rsidRPr="00194C36" w:rsidRDefault="00194C36" w:rsidP="00194C36">
            <w:pPr>
              <w:jc w:val="center"/>
              <w:rPr>
                <w:rFonts w:ascii="Arial" w:eastAsiaTheme="minorEastAsia" w:hAnsi="Arial" w:cs="Arial"/>
                <w:sz w:val="16"/>
                <w:szCs w:val="16"/>
                <w:lang w:eastAsia="es-ES"/>
              </w:rPr>
            </w:pPr>
          </w:p>
        </w:tc>
        <w:tc>
          <w:tcPr>
            <w:tcW w:w="350" w:type="dxa"/>
            <w:shd w:val="clear" w:color="auto" w:fill="auto"/>
            <w:vAlign w:val="center"/>
          </w:tcPr>
          <w:p w14:paraId="21897C5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3272CCB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7924AFDE"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0F7BCF9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r>
      <w:tr w:rsidR="00194C36" w:rsidRPr="00194C36" w14:paraId="458322D1" w14:textId="77777777" w:rsidTr="00281E2B">
        <w:trPr>
          <w:trHeight w:val="563"/>
          <w:jc w:val="center"/>
        </w:trPr>
        <w:tc>
          <w:tcPr>
            <w:tcW w:w="1384" w:type="dxa"/>
            <w:vMerge/>
            <w:shd w:val="clear" w:color="auto" w:fill="auto"/>
            <w:vAlign w:val="center"/>
          </w:tcPr>
          <w:p w14:paraId="57D458EF"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0864B673"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1AB8034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Ingeniería de Sistemas y Computación</w:t>
            </w:r>
          </w:p>
        </w:tc>
        <w:tc>
          <w:tcPr>
            <w:tcW w:w="2554" w:type="dxa"/>
            <w:shd w:val="clear" w:color="auto" w:fill="auto"/>
            <w:vAlign w:val="center"/>
          </w:tcPr>
          <w:p w14:paraId="2062F97D"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8362</w:t>
            </w:r>
          </w:p>
          <w:p w14:paraId="1009EE74"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Estructura de Datos I (2017)</w:t>
            </w:r>
          </w:p>
        </w:tc>
        <w:tc>
          <w:tcPr>
            <w:tcW w:w="350" w:type="dxa"/>
            <w:shd w:val="clear" w:color="auto" w:fill="auto"/>
            <w:vAlign w:val="center"/>
          </w:tcPr>
          <w:p w14:paraId="680D9AE6"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6CFC63A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298933A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0F8E4F2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617E5BD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795F91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5F817A6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0541070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2AB84475"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7A2701F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r>
      <w:tr w:rsidR="00194C36" w:rsidRPr="00194C36" w14:paraId="5085B135" w14:textId="77777777" w:rsidTr="00281E2B">
        <w:trPr>
          <w:trHeight w:val="421"/>
          <w:jc w:val="center"/>
        </w:trPr>
        <w:tc>
          <w:tcPr>
            <w:tcW w:w="1384" w:type="dxa"/>
            <w:vMerge w:val="restart"/>
            <w:shd w:val="clear" w:color="auto" w:fill="auto"/>
            <w:vAlign w:val="center"/>
          </w:tcPr>
          <w:p w14:paraId="52DB8DDB"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Autónoma de Chiriquí (UNACHI), Panamá</w:t>
            </w:r>
          </w:p>
        </w:tc>
        <w:tc>
          <w:tcPr>
            <w:tcW w:w="709" w:type="dxa"/>
            <w:vMerge w:val="restart"/>
            <w:shd w:val="clear" w:color="auto" w:fill="auto"/>
            <w:vAlign w:val="center"/>
          </w:tcPr>
          <w:p w14:paraId="4BDDF3E8" w14:textId="6CD2F86A"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S</w:t>
            </w:r>
            <w:r w:rsidR="00194C36" w:rsidRPr="00194C36">
              <w:rPr>
                <w:rFonts w:ascii="Arial" w:eastAsiaTheme="minorEastAsia" w:hAnsi="Arial" w:cs="Arial"/>
                <w:sz w:val="16"/>
                <w:szCs w:val="16"/>
                <w:lang w:eastAsia="es-ES"/>
              </w:rPr>
              <w:t>í</w:t>
            </w:r>
          </w:p>
        </w:tc>
        <w:tc>
          <w:tcPr>
            <w:tcW w:w="1984" w:type="dxa"/>
            <w:shd w:val="clear" w:color="auto" w:fill="F2F2F2" w:themeFill="background1" w:themeFillShade="F2"/>
            <w:vAlign w:val="center"/>
          </w:tcPr>
          <w:p w14:paraId="1CE2F3F5"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Maestría en Biología</w:t>
            </w:r>
          </w:p>
        </w:tc>
        <w:tc>
          <w:tcPr>
            <w:tcW w:w="2554" w:type="dxa"/>
            <w:shd w:val="clear" w:color="auto" w:fill="F2F2F2" w:themeFill="background1" w:themeFillShade="F2"/>
            <w:vAlign w:val="center"/>
          </w:tcPr>
          <w:p w14:paraId="49B5CE54"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MB-814</w:t>
            </w:r>
          </w:p>
          <w:p w14:paraId="5EB93B90"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Fisiología Integrada (2020)</w:t>
            </w:r>
          </w:p>
        </w:tc>
        <w:tc>
          <w:tcPr>
            <w:tcW w:w="350" w:type="dxa"/>
            <w:shd w:val="clear" w:color="auto" w:fill="F2F2F2" w:themeFill="background1" w:themeFillShade="F2"/>
            <w:vAlign w:val="center"/>
          </w:tcPr>
          <w:p w14:paraId="032EF55B"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F2F2F2" w:themeFill="background1" w:themeFillShade="F2"/>
            <w:vAlign w:val="center"/>
          </w:tcPr>
          <w:p w14:paraId="3B87691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F2F2F2" w:themeFill="background1" w:themeFillShade="F2"/>
            <w:vAlign w:val="center"/>
          </w:tcPr>
          <w:p w14:paraId="54D6962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474C4DD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F2F2F2" w:themeFill="background1" w:themeFillShade="F2"/>
            <w:vAlign w:val="center"/>
          </w:tcPr>
          <w:p w14:paraId="5553C10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0920BD54"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480BF13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0D30CF0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2483EEE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7471E5B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r>
      <w:tr w:rsidR="00194C36" w:rsidRPr="00194C36" w14:paraId="29F15DD4" w14:textId="77777777" w:rsidTr="00281E2B">
        <w:trPr>
          <w:trHeight w:val="570"/>
          <w:jc w:val="center"/>
        </w:trPr>
        <w:tc>
          <w:tcPr>
            <w:tcW w:w="1384" w:type="dxa"/>
            <w:vMerge/>
            <w:shd w:val="clear" w:color="auto" w:fill="auto"/>
            <w:vAlign w:val="center"/>
          </w:tcPr>
          <w:p w14:paraId="33EC2C79"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0672FF38"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04B5B1FB"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Biología</w:t>
            </w:r>
          </w:p>
        </w:tc>
        <w:tc>
          <w:tcPr>
            <w:tcW w:w="2554" w:type="dxa"/>
            <w:shd w:val="clear" w:color="auto" w:fill="auto"/>
            <w:vAlign w:val="center"/>
          </w:tcPr>
          <w:p w14:paraId="4979AB39"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BIO-210</w:t>
            </w:r>
          </w:p>
          <w:p w14:paraId="5BAA76A8"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Biología Celular y Molecular (2023)</w:t>
            </w:r>
          </w:p>
        </w:tc>
        <w:tc>
          <w:tcPr>
            <w:tcW w:w="350" w:type="dxa"/>
            <w:shd w:val="clear" w:color="auto" w:fill="auto"/>
            <w:vAlign w:val="center"/>
          </w:tcPr>
          <w:p w14:paraId="3596F9C7"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7BF90C9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1C654A7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74E6548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434599B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026868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102BCD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21140E0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196AEEA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365304F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r>
      <w:tr w:rsidR="00194C36" w:rsidRPr="00194C36" w14:paraId="1ACE0609" w14:textId="77777777" w:rsidTr="00281E2B">
        <w:trPr>
          <w:trHeight w:val="465"/>
          <w:jc w:val="center"/>
        </w:trPr>
        <w:tc>
          <w:tcPr>
            <w:tcW w:w="1384" w:type="dxa"/>
            <w:vMerge w:val="restart"/>
            <w:shd w:val="clear" w:color="auto" w:fill="auto"/>
            <w:vAlign w:val="center"/>
          </w:tcPr>
          <w:p w14:paraId="2BA96469"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de Costa Rica (UCR), Costa Rica</w:t>
            </w:r>
          </w:p>
        </w:tc>
        <w:tc>
          <w:tcPr>
            <w:tcW w:w="709" w:type="dxa"/>
            <w:vMerge w:val="restart"/>
            <w:shd w:val="clear" w:color="auto" w:fill="auto"/>
            <w:vAlign w:val="center"/>
          </w:tcPr>
          <w:p w14:paraId="1C7DD42F" w14:textId="2C580BE2"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S</w:t>
            </w:r>
            <w:r w:rsidR="00194C36" w:rsidRPr="00194C36">
              <w:rPr>
                <w:rFonts w:ascii="Arial" w:eastAsiaTheme="minorEastAsia" w:hAnsi="Arial" w:cs="Arial"/>
                <w:sz w:val="16"/>
                <w:szCs w:val="16"/>
                <w:lang w:eastAsia="es-ES"/>
              </w:rPr>
              <w:t>í</w:t>
            </w:r>
          </w:p>
        </w:tc>
        <w:tc>
          <w:tcPr>
            <w:tcW w:w="1984" w:type="dxa"/>
            <w:shd w:val="clear" w:color="auto" w:fill="F2F2F2" w:themeFill="background1" w:themeFillShade="F2"/>
            <w:vAlign w:val="center"/>
          </w:tcPr>
          <w:p w14:paraId="2241BFDB"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Maestría Académica en Ciencias del Movimiento Humano</w:t>
            </w:r>
          </w:p>
        </w:tc>
        <w:tc>
          <w:tcPr>
            <w:tcW w:w="2554" w:type="dxa"/>
            <w:shd w:val="clear" w:color="auto" w:fill="F2F2F2" w:themeFill="background1" w:themeFillShade="F2"/>
            <w:vAlign w:val="center"/>
          </w:tcPr>
          <w:p w14:paraId="4F69F18D"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SP-4435</w:t>
            </w:r>
          </w:p>
          <w:p w14:paraId="2E648285"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Análisis Estadístico para la Investigación Socioeducativa (2024)</w:t>
            </w:r>
          </w:p>
        </w:tc>
        <w:tc>
          <w:tcPr>
            <w:tcW w:w="350" w:type="dxa"/>
            <w:shd w:val="clear" w:color="auto" w:fill="F2F2F2" w:themeFill="background1" w:themeFillShade="F2"/>
            <w:vAlign w:val="center"/>
          </w:tcPr>
          <w:p w14:paraId="60EFE90E"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F2F2F2" w:themeFill="background1" w:themeFillShade="F2"/>
            <w:vAlign w:val="center"/>
          </w:tcPr>
          <w:p w14:paraId="6ECC958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F2F2F2" w:themeFill="background1" w:themeFillShade="F2"/>
            <w:vAlign w:val="center"/>
          </w:tcPr>
          <w:p w14:paraId="399134E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12A7929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F2F2F2" w:themeFill="background1" w:themeFillShade="F2"/>
            <w:vAlign w:val="center"/>
          </w:tcPr>
          <w:p w14:paraId="41B0147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1B0E9A2A"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1A3CEAD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2E09183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2DF1AF1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2BD80F41"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5878A8C2" w14:textId="77777777" w:rsidTr="00281E2B">
        <w:trPr>
          <w:trHeight w:val="450"/>
          <w:jc w:val="center"/>
        </w:trPr>
        <w:tc>
          <w:tcPr>
            <w:tcW w:w="1384" w:type="dxa"/>
            <w:vMerge/>
            <w:shd w:val="clear" w:color="auto" w:fill="auto"/>
            <w:vAlign w:val="center"/>
          </w:tcPr>
          <w:p w14:paraId="6CCA3D71"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25A3FE68"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1F63940E"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Ingeniería Industrial</w:t>
            </w:r>
          </w:p>
        </w:tc>
        <w:tc>
          <w:tcPr>
            <w:tcW w:w="2554" w:type="dxa"/>
            <w:shd w:val="clear" w:color="auto" w:fill="auto"/>
            <w:vAlign w:val="center"/>
          </w:tcPr>
          <w:p w14:paraId="4A33A05F"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II-0703</w:t>
            </w:r>
          </w:p>
          <w:p w14:paraId="399C3AB3"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Ingeniería de Operaciones (2020)</w:t>
            </w:r>
          </w:p>
        </w:tc>
        <w:tc>
          <w:tcPr>
            <w:tcW w:w="350" w:type="dxa"/>
            <w:shd w:val="clear" w:color="auto" w:fill="auto"/>
            <w:vAlign w:val="center"/>
          </w:tcPr>
          <w:p w14:paraId="3984A4DE"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30B5A93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4428C71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6B6BAF9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1D3B86E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0FB2FFF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1139654"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77AF34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52D4A232"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425F2E1B"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06EB371E" w14:textId="77777777" w:rsidTr="00281E2B">
        <w:trPr>
          <w:trHeight w:val="600"/>
          <w:jc w:val="center"/>
        </w:trPr>
        <w:tc>
          <w:tcPr>
            <w:tcW w:w="1384" w:type="dxa"/>
            <w:vMerge w:val="restart"/>
            <w:shd w:val="clear" w:color="auto" w:fill="auto"/>
            <w:vAlign w:val="center"/>
          </w:tcPr>
          <w:p w14:paraId="27EF0A59"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Instituto Tecnológico de Costa Rica (TEC), Costa Rica</w:t>
            </w:r>
          </w:p>
        </w:tc>
        <w:tc>
          <w:tcPr>
            <w:tcW w:w="709" w:type="dxa"/>
            <w:vMerge w:val="restart"/>
            <w:shd w:val="clear" w:color="auto" w:fill="auto"/>
            <w:vAlign w:val="center"/>
          </w:tcPr>
          <w:p w14:paraId="186CB314" w14:textId="03D4F647"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S</w:t>
            </w:r>
            <w:r w:rsidR="00194C36" w:rsidRPr="00194C36">
              <w:rPr>
                <w:rFonts w:ascii="Arial" w:eastAsiaTheme="minorEastAsia" w:hAnsi="Arial" w:cs="Arial"/>
                <w:sz w:val="16"/>
                <w:szCs w:val="16"/>
                <w:lang w:eastAsia="es-ES"/>
              </w:rPr>
              <w:t>í</w:t>
            </w:r>
          </w:p>
        </w:tc>
        <w:tc>
          <w:tcPr>
            <w:tcW w:w="1984" w:type="dxa"/>
            <w:shd w:val="clear" w:color="auto" w:fill="F2F2F2" w:themeFill="background1" w:themeFillShade="F2"/>
            <w:vAlign w:val="center"/>
          </w:tcPr>
          <w:p w14:paraId="1D1EC954"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Maestría en Diseño y Construcción Sostenible</w:t>
            </w:r>
          </w:p>
        </w:tc>
        <w:tc>
          <w:tcPr>
            <w:tcW w:w="2554" w:type="dxa"/>
            <w:shd w:val="clear" w:color="auto" w:fill="F2F2F2" w:themeFill="background1" w:themeFillShade="F2"/>
            <w:vAlign w:val="center"/>
          </w:tcPr>
          <w:p w14:paraId="411E64CC"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DC-1202</w:t>
            </w:r>
          </w:p>
          <w:p w14:paraId="460DB250"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Legislación, Normativa y Evaluación Ambiental de las Edificaciones (2018)</w:t>
            </w:r>
          </w:p>
        </w:tc>
        <w:tc>
          <w:tcPr>
            <w:tcW w:w="350" w:type="dxa"/>
            <w:shd w:val="clear" w:color="auto" w:fill="F2F2F2" w:themeFill="background1" w:themeFillShade="F2"/>
            <w:vAlign w:val="center"/>
          </w:tcPr>
          <w:p w14:paraId="167E767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7" w:type="dxa"/>
            <w:shd w:val="clear" w:color="auto" w:fill="F2F2F2" w:themeFill="background1" w:themeFillShade="F2"/>
            <w:vAlign w:val="center"/>
          </w:tcPr>
          <w:p w14:paraId="0C946192"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F2F2F2" w:themeFill="background1" w:themeFillShade="F2"/>
            <w:vAlign w:val="center"/>
          </w:tcPr>
          <w:p w14:paraId="336FCE72"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634FABE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F2F2F2" w:themeFill="background1" w:themeFillShade="F2"/>
            <w:vAlign w:val="center"/>
          </w:tcPr>
          <w:p w14:paraId="02838C0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0B9E9AD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5EA7F95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6D153C0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62AD141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24E882B6"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3AE8042E" w14:textId="77777777" w:rsidTr="00281E2B">
        <w:trPr>
          <w:trHeight w:val="363"/>
          <w:jc w:val="center"/>
        </w:trPr>
        <w:tc>
          <w:tcPr>
            <w:tcW w:w="1384" w:type="dxa"/>
            <w:vMerge/>
            <w:shd w:val="clear" w:color="auto" w:fill="auto"/>
            <w:vAlign w:val="center"/>
          </w:tcPr>
          <w:p w14:paraId="08AE39D1"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1EECB815"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7A5EB718"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Ingeniería Mecatrónica</w:t>
            </w:r>
          </w:p>
        </w:tc>
        <w:tc>
          <w:tcPr>
            <w:tcW w:w="2554" w:type="dxa"/>
            <w:shd w:val="clear" w:color="auto" w:fill="auto"/>
            <w:vAlign w:val="center"/>
          </w:tcPr>
          <w:p w14:paraId="1EA32023"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MT-9007</w:t>
            </w:r>
          </w:p>
          <w:p w14:paraId="7314A179"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Instrumentación en Ingeniería Biomédica (2019)</w:t>
            </w:r>
          </w:p>
        </w:tc>
        <w:tc>
          <w:tcPr>
            <w:tcW w:w="350" w:type="dxa"/>
            <w:shd w:val="clear" w:color="auto" w:fill="auto"/>
            <w:vAlign w:val="center"/>
          </w:tcPr>
          <w:p w14:paraId="7983991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7" w:type="dxa"/>
            <w:shd w:val="clear" w:color="auto" w:fill="auto"/>
            <w:vAlign w:val="center"/>
          </w:tcPr>
          <w:p w14:paraId="4894E43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130307B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764CB2A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776DA39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4293D8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7D2B53D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023D38F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01BF93A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2D915148"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4425D645" w14:textId="77777777" w:rsidTr="00281E2B">
        <w:trPr>
          <w:trHeight w:val="465"/>
          <w:jc w:val="center"/>
        </w:trPr>
        <w:tc>
          <w:tcPr>
            <w:tcW w:w="1384" w:type="dxa"/>
            <w:vMerge w:val="restart"/>
            <w:shd w:val="clear" w:color="auto" w:fill="auto"/>
            <w:vAlign w:val="center"/>
          </w:tcPr>
          <w:p w14:paraId="71F5206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Nacional (UNA), Costa Rica</w:t>
            </w:r>
          </w:p>
        </w:tc>
        <w:tc>
          <w:tcPr>
            <w:tcW w:w="709" w:type="dxa"/>
            <w:vMerge w:val="restart"/>
            <w:shd w:val="clear" w:color="auto" w:fill="auto"/>
            <w:vAlign w:val="center"/>
          </w:tcPr>
          <w:p w14:paraId="63E97C31" w14:textId="3B549DDE"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S</w:t>
            </w:r>
            <w:r w:rsidR="00194C36" w:rsidRPr="00194C36">
              <w:rPr>
                <w:rFonts w:ascii="Arial" w:eastAsiaTheme="minorEastAsia" w:hAnsi="Arial" w:cs="Arial"/>
                <w:sz w:val="16"/>
                <w:szCs w:val="16"/>
                <w:lang w:eastAsia="es-ES"/>
              </w:rPr>
              <w:t>í</w:t>
            </w:r>
          </w:p>
        </w:tc>
        <w:tc>
          <w:tcPr>
            <w:tcW w:w="1984" w:type="dxa"/>
            <w:shd w:val="clear" w:color="auto" w:fill="auto"/>
            <w:vAlign w:val="center"/>
          </w:tcPr>
          <w:p w14:paraId="0F4E3D0B"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Economía</w:t>
            </w:r>
          </w:p>
        </w:tc>
        <w:tc>
          <w:tcPr>
            <w:tcW w:w="2554" w:type="dxa"/>
            <w:shd w:val="clear" w:color="auto" w:fill="auto"/>
            <w:vAlign w:val="center"/>
          </w:tcPr>
          <w:p w14:paraId="47888F49"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ECF-5230</w:t>
            </w:r>
          </w:p>
          <w:p w14:paraId="5CEDB783"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Modelos Macroeconómicos (2024)</w:t>
            </w:r>
          </w:p>
        </w:tc>
        <w:tc>
          <w:tcPr>
            <w:tcW w:w="350" w:type="dxa"/>
            <w:shd w:val="clear" w:color="auto" w:fill="auto"/>
            <w:vAlign w:val="center"/>
          </w:tcPr>
          <w:p w14:paraId="26A60E2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7" w:type="dxa"/>
            <w:shd w:val="clear" w:color="auto" w:fill="auto"/>
            <w:vAlign w:val="center"/>
          </w:tcPr>
          <w:p w14:paraId="4B7AE2A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44555E9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1A1A4C0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7DE3707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195EBA2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2196A0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040556E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5BE4876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692B7B4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r>
      <w:tr w:rsidR="00194C36" w:rsidRPr="00194C36" w14:paraId="62E1BD98" w14:textId="77777777" w:rsidTr="00281E2B">
        <w:trPr>
          <w:trHeight w:val="772"/>
          <w:jc w:val="center"/>
        </w:trPr>
        <w:tc>
          <w:tcPr>
            <w:tcW w:w="1384" w:type="dxa"/>
            <w:vMerge/>
            <w:tcBorders>
              <w:bottom w:val="single" w:sz="4" w:space="0" w:color="auto"/>
            </w:tcBorders>
            <w:shd w:val="clear" w:color="auto" w:fill="auto"/>
            <w:vAlign w:val="center"/>
          </w:tcPr>
          <w:p w14:paraId="7A99EFBA"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7E8EAA87"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F2F2F2" w:themeFill="background1" w:themeFillShade="F2"/>
            <w:vAlign w:val="center"/>
          </w:tcPr>
          <w:p w14:paraId="4230F5E7"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 xml:space="preserve">Maestría en </w:t>
            </w:r>
            <w:proofErr w:type="spellStart"/>
            <w:r w:rsidRPr="00194C36">
              <w:rPr>
                <w:rFonts w:ascii="Arial" w:eastAsiaTheme="minorEastAsia" w:hAnsi="Arial" w:cs="Arial"/>
                <w:sz w:val="16"/>
                <w:szCs w:val="16"/>
                <w:lang w:eastAsia="es-ES"/>
              </w:rPr>
              <w:t>Ecotoxicología</w:t>
            </w:r>
            <w:proofErr w:type="spellEnd"/>
            <w:r w:rsidRPr="00194C36">
              <w:rPr>
                <w:rFonts w:ascii="Arial" w:eastAsiaTheme="minorEastAsia" w:hAnsi="Arial" w:cs="Arial"/>
                <w:sz w:val="16"/>
                <w:szCs w:val="16"/>
                <w:lang w:eastAsia="es-ES"/>
              </w:rPr>
              <w:t xml:space="preserve"> Tropical</w:t>
            </w:r>
          </w:p>
        </w:tc>
        <w:tc>
          <w:tcPr>
            <w:tcW w:w="2554" w:type="dxa"/>
            <w:shd w:val="clear" w:color="auto" w:fill="F2F2F2" w:themeFill="background1" w:themeFillShade="F2"/>
            <w:vAlign w:val="center"/>
          </w:tcPr>
          <w:p w14:paraId="6B56784E"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ECT-708</w:t>
            </w:r>
          </w:p>
          <w:p w14:paraId="6F523CEC"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Tesis (2024)</w:t>
            </w:r>
          </w:p>
        </w:tc>
        <w:tc>
          <w:tcPr>
            <w:tcW w:w="350" w:type="dxa"/>
            <w:shd w:val="clear" w:color="auto" w:fill="F2F2F2" w:themeFill="background1" w:themeFillShade="F2"/>
            <w:vAlign w:val="center"/>
          </w:tcPr>
          <w:p w14:paraId="40F81BDA"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F2F2F2" w:themeFill="background1" w:themeFillShade="F2"/>
            <w:vAlign w:val="center"/>
          </w:tcPr>
          <w:p w14:paraId="0951464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F2F2F2" w:themeFill="background1" w:themeFillShade="F2"/>
            <w:vAlign w:val="center"/>
          </w:tcPr>
          <w:p w14:paraId="0E00C6B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4ED5110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F2F2F2" w:themeFill="background1" w:themeFillShade="F2"/>
            <w:vAlign w:val="center"/>
          </w:tcPr>
          <w:p w14:paraId="5EFC427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0E8EBD2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14FB468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06CE70B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38C68F4B"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F2F2F2" w:themeFill="background1" w:themeFillShade="F2"/>
            <w:vAlign w:val="center"/>
          </w:tcPr>
          <w:p w14:paraId="34740B49"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427EB2F7" w14:textId="77777777" w:rsidTr="00281E2B">
        <w:trPr>
          <w:trHeight w:val="600"/>
          <w:jc w:val="center"/>
        </w:trPr>
        <w:tc>
          <w:tcPr>
            <w:tcW w:w="1384" w:type="dxa"/>
            <w:vMerge w:val="restart"/>
            <w:tcBorders>
              <w:top w:val="single" w:sz="4" w:space="0" w:color="auto"/>
            </w:tcBorders>
            <w:shd w:val="clear" w:color="auto" w:fill="auto"/>
            <w:vAlign w:val="center"/>
          </w:tcPr>
          <w:p w14:paraId="09335467"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Estatal a Distancia (UNED), Costa Rica</w:t>
            </w:r>
          </w:p>
        </w:tc>
        <w:tc>
          <w:tcPr>
            <w:tcW w:w="709" w:type="dxa"/>
            <w:vMerge w:val="restart"/>
            <w:shd w:val="clear" w:color="auto" w:fill="auto"/>
            <w:vAlign w:val="center"/>
          </w:tcPr>
          <w:p w14:paraId="1139A147" w14:textId="4EB6931C"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S</w:t>
            </w:r>
            <w:r w:rsidR="00194C36" w:rsidRPr="00194C36">
              <w:rPr>
                <w:rFonts w:ascii="Arial" w:eastAsiaTheme="minorEastAsia" w:hAnsi="Arial" w:cs="Arial"/>
                <w:sz w:val="16"/>
                <w:szCs w:val="16"/>
                <w:lang w:eastAsia="es-ES"/>
              </w:rPr>
              <w:t>í</w:t>
            </w:r>
          </w:p>
        </w:tc>
        <w:tc>
          <w:tcPr>
            <w:tcW w:w="1984" w:type="dxa"/>
            <w:shd w:val="clear" w:color="auto" w:fill="auto"/>
            <w:vAlign w:val="center"/>
          </w:tcPr>
          <w:p w14:paraId="6AECDA8F"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Diplomado en Registros y Estadísticas de Salud</w:t>
            </w:r>
          </w:p>
        </w:tc>
        <w:tc>
          <w:tcPr>
            <w:tcW w:w="2554" w:type="dxa"/>
            <w:shd w:val="clear" w:color="auto" w:fill="auto"/>
            <w:vAlign w:val="center"/>
          </w:tcPr>
          <w:p w14:paraId="1B89A1E1"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03151</w:t>
            </w:r>
          </w:p>
          <w:p w14:paraId="0A13E705"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Anatomía y Fisiología Humana I (2021)</w:t>
            </w:r>
          </w:p>
        </w:tc>
        <w:tc>
          <w:tcPr>
            <w:tcW w:w="350" w:type="dxa"/>
            <w:shd w:val="clear" w:color="auto" w:fill="auto"/>
            <w:vAlign w:val="center"/>
          </w:tcPr>
          <w:p w14:paraId="389259B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7" w:type="dxa"/>
            <w:shd w:val="clear" w:color="auto" w:fill="auto"/>
            <w:vAlign w:val="center"/>
          </w:tcPr>
          <w:p w14:paraId="6188DCC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5A8BB96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3D558EB2"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1650256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1BB8632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0BC0642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ECEDA3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109797E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22AC2E73" w14:textId="77777777" w:rsidR="00194C36" w:rsidRPr="00194C36" w:rsidRDefault="00194C36" w:rsidP="00194C36">
            <w:pPr>
              <w:rPr>
                <w:rFonts w:ascii="Arial" w:eastAsiaTheme="minorEastAsia" w:hAnsi="Arial" w:cs="Arial"/>
                <w:sz w:val="16"/>
                <w:szCs w:val="16"/>
                <w:lang w:eastAsia="es-ES"/>
              </w:rPr>
            </w:pPr>
          </w:p>
        </w:tc>
      </w:tr>
      <w:tr w:rsidR="00194C36" w:rsidRPr="00194C36" w14:paraId="12B5875F" w14:textId="77777777" w:rsidTr="00281E2B">
        <w:trPr>
          <w:trHeight w:val="555"/>
          <w:jc w:val="center"/>
        </w:trPr>
        <w:tc>
          <w:tcPr>
            <w:tcW w:w="1384" w:type="dxa"/>
            <w:vMerge/>
            <w:shd w:val="clear" w:color="auto" w:fill="auto"/>
            <w:vAlign w:val="center"/>
          </w:tcPr>
          <w:p w14:paraId="11A4889F"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7019FBE6"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F2F2F2" w:themeFill="background1" w:themeFillShade="F2"/>
            <w:vAlign w:val="center"/>
          </w:tcPr>
          <w:p w14:paraId="2FE192F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Maestría en Manejo de Recursos Naturales</w:t>
            </w:r>
          </w:p>
        </w:tc>
        <w:tc>
          <w:tcPr>
            <w:tcW w:w="2554" w:type="dxa"/>
            <w:shd w:val="clear" w:color="auto" w:fill="F2F2F2" w:themeFill="background1" w:themeFillShade="F2"/>
            <w:vAlign w:val="center"/>
          </w:tcPr>
          <w:p w14:paraId="7BD0545D"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06709</w:t>
            </w:r>
          </w:p>
          <w:p w14:paraId="024161EF"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Inducción a la Investigación Científica (2024)</w:t>
            </w:r>
          </w:p>
        </w:tc>
        <w:tc>
          <w:tcPr>
            <w:tcW w:w="350" w:type="dxa"/>
            <w:shd w:val="clear" w:color="auto" w:fill="F2F2F2" w:themeFill="background1" w:themeFillShade="F2"/>
            <w:vAlign w:val="center"/>
          </w:tcPr>
          <w:p w14:paraId="2156C1E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7" w:type="dxa"/>
            <w:shd w:val="clear" w:color="auto" w:fill="F2F2F2" w:themeFill="background1" w:themeFillShade="F2"/>
            <w:vAlign w:val="center"/>
          </w:tcPr>
          <w:p w14:paraId="1859779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F2F2F2" w:themeFill="background1" w:themeFillShade="F2"/>
            <w:vAlign w:val="center"/>
          </w:tcPr>
          <w:p w14:paraId="3B4E917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502F240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F2F2F2" w:themeFill="background1" w:themeFillShade="F2"/>
            <w:vAlign w:val="center"/>
          </w:tcPr>
          <w:p w14:paraId="3B85D0F2"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17ADBAC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7EE3C04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02546F6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7C41EBB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07FD1259"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3486E4EF" w14:textId="77777777" w:rsidTr="00281E2B">
        <w:trPr>
          <w:trHeight w:val="450"/>
          <w:jc w:val="center"/>
        </w:trPr>
        <w:tc>
          <w:tcPr>
            <w:tcW w:w="1384" w:type="dxa"/>
            <w:vMerge w:val="restart"/>
            <w:shd w:val="clear" w:color="auto" w:fill="auto"/>
            <w:vAlign w:val="center"/>
          </w:tcPr>
          <w:p w14:paraId="59171357"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Lead (</w:t>
            </w:r>
            <w:proofErr w:type="spellStart"/>
            <w:r w:rsidRPr="00194C36">
              <w:rPr>
                <w:rFonts w:ascii="Arial" w:eastAsiaTheme="minorEastAsia" w:hAnsi="Arial" w:cs="Arial"/>
                <w:sz w:val="16"/>
                <w:szCs w:val="16"/>
                <w:lang w:eastAsia="es-ES"/>
              </w:rPr>
              <w:t>ULead</w:t>
            </w:r>
            <w:proofErr w:type="spellEnd"/>
            <w:r w:rsidRPr="00194C36">
              <w:rPr>
                <w:rFonts w:ascii="Arial" w:eastAsiaTheme="minorEastAsia" w:hAnsi="Arial" w:cs="Arial"/>
                <w:sz w:val="16"/>
                <w:szCs w:val="16"/>
                <w:lang w:eastAsia="es-ES"/>
              </w:rPr>
              <w:t>), Costa Rica</w:t>
            </w:r>
          </w:p>
        </w:tc>
        <w:tc>
          <w:tcPr>
            <w:tcW w:w="709" w:type="dxa"/>
            <w:vMerge w:val="restart"/>
            <w:shd w:val="clear" w:color="auto" w:fill="auto"/>
            <w:vAlign w:val="center"/>
          </w:tcPr>
          <w:p w14:paraId="654DC38D" w14:textId="59B77F0B"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N</w:t>
            </w:r>
            <w:r w:rsidR="00194C36" w:rsidRPr="00194C36">
              <w:rPr>
                <w:rFonts w:ascii="Arial" w:eastAsiaTheme="minorEastAsia" w:hAnsi="Arial" w:cs="Arial"/>
                <w:sz w:val="16"/>
                <w:szCs w:val="16"/>
                <w:lang w:eastAsia="es-ES"/>
              </w:rPr>
              <w:t>o</w:t>
            </w:r>
          </w:p>
        </w:tc>
        <w:tc>
          <w:tcPr>
            <w:tcW w:w="1984" w:type="dxa"/>
            <w:shd w:val="clear" w:color="auto" w:fill="auto"/>
            <w:vAlign w:val="center"/>
          </w:tcPr>
          <w:p w14:paraId="7353D4FB"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Bach. en Ingeniería en Ciencia de Datos</w:t>
            </w:r>
          </w:p>
        </w:tc>
        <w:tc>
          <w:tcPr>
            <w:tcW w:w="2554" w:type="dxa"/>
            <w:shd w:val="clear" w:color="auto" w:fill="auto"/>
            <w:vAlign w:val="center"/>
          </w:tcPr>
          <w:p w14:paraId="721E9C70"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BCE-7105</w:t>
            </w:r>
          </w:p>
          <w:p w14:paraId="1B646D40"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Ética Profesional (2023)</w:t>
            </w:r>
          </w:p>
        </w:tc>
        <w:tc>
          <w:tcPr>
            <w:tcW w:w="350" w:type="dxa"/>
            <w:shd w:val="clear" w:color="auto" w:fill="auto"/>
            <w:vAlign w:val="center"/>
          </w:tcPr>
          <w:p w14:paraId="76BFEDC3"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3C1156EA" w14:textId="77777777" w:rsidR="00194C36" w:rsidRPr="00194C36" w:rsidRDefault="00194C36" w:rsidP="00194C36">
            <w:pPr>
              <w:jc w:val="center"/>
              <w:rPr>
                <w:rFonts w:ascii="Arial" w:eastAsiaTheme="minorEastAsia" w:hAnsi="Arial" w:cs="Arial"/>
                <w:sz w:val="16"/>
                <w:szCs w:val="16"/>
                <w:lang w:eastAsia="es-ES"/>
              </w:rPr>
            </w:pPr>
          </w:p>
        </w:tc>
        <w:tc>
          <w:tcPr>
            <w:tcW w:w="343" w:type="dxa"/>
            <w:shd w:val="clear" w:color="auto" w:fill="auto"/>
            <w:vAlign w:val="center"/>
          </w:tcPr>
          <w:p w14:paraId="00401944"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3615F96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040DCB0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2031740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243DE14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74F8305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70645C3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5533851F"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12EB303E" w14:textId="77777777" w:rsidTr="00281E2B">
        <w:trPr>
          <w:trHeight w:val="589"/>
          <w:jc w:val="center"/>
        </w:trPr>
        <w:tc>
          <w:tcPr>
            <w:tcW w:w="1384" w:type="dxa"/>
            <w:vMerge/>
            <w:shd w:val="clear" w:color="auto" w:fill="auto"/>
            <w:vAlign w:val="center"/>
          </w:tcPr>
          <w:p w14:paraId="3609632A"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212E20E5"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01B0B47B"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Bach. en Ingeniería en Ciencia de Datos</w:t>
            </w:r>
          </w:p>
        </w:tc>
        <w:tc>
          <w:tcPr>
            <w:tcW w:w="2554" w:type="dxa"/>
            <w:shd w:val="clear" w:color="auto" w:fill="auto"/>
            <w:vAlign w:val="center"/>
          </w:tcPr>
          <w:p w14:paraId="73088A81"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BCD-4303</w:t>
            </w:r>
          </w:p>
          <w:p w14:paraId="29B65D12"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Administración de Proyectos (2024)</w:t>
            </w:r>
          </w:p>
        </w:tc>
        <w:tc>
          <w:tcPr>
            <w:tcW w:w="350" w:type="dxa"/>
            <w:shd w:val="clear" w:color="auto" w:fill="auto"/>
            <w:vAlign w:val="center"/>
          </w:tcPr>
          <w:p w14:paraId="541D3CCD"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00B2665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570C86E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169FEBF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102D245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2ED74EB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14F3455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53B77D9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415A9832"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w:t>
            </w:r>
          </w:p>
        </w:tc>
        <w:tc>
          <w:tcPr>
            <w:tcW w:w="336" w:type="dxa"/>
            <w:shd w:val="clear" w:color="auto" w:fill="auto"/>
            <w:vAlign w:val="center"/>
          </w:tcPr>
          <w:p w14:paraId="4B8D9DCA"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7849B57E" w14:textId="77777777" w:rsidTr="00281E2B">
        <w:trPr>
          <w:trHeight w:val="345"/>
          <w:jc w:val="center"/>
        </w:trPr>
        <w:tc>
          <w:tcPr>
            <w:tcW w:w="1384" w:type="dxa"/>
            <w:vMerge w:val="restart"/>
            <w:shd w:val="clear" w:color="auto" w:fill="auto"/>
            <w:vAlign w:val="center"/>
          </w:tcPr>
          <w:p w14:paraId="63A6768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CENFOTEC (</w:t>
            </w:r>
            <w:proofErr w:type="spellStart"/>
            <w:r w:rsidRPr="00194C36">
              <w:rPr>
                <w:rFonts w:ascii="Arial" w:eastAsiaTheme="minorEastAsia" w:hAnsi="Arial" w:cs="Arial"/>
                <w:sz w:val="16"/>
                <w:szCs w:val="16"/>
                <w:lang w:eastAsia="es-ES"/>
              </w:rPr>
              <w:t>UCenfotec</w:t>
            </w:r>
            <w:proofErr w:type="spellEnd"/>
            <w:r w:rsidRPr="00194C36">
              <w:rPr>
                <w:rFonts w:ascii="Arial" w:eastAsiaTheme="minorEastAsia" w:hAnsi="Arial" w:cs="Arial"/>
                <w:sz w:val="16"/>
                <w:szCs w:val="16"/>
                <w:lang w:eastAsia="es-ES"/>
              </w:rPr>
              <w:t>), Costa Rica</w:t>
            </w:r>
          </w:p>
        </w:tc>
        <w:tc>
          <w:tcPr>
            <w:tcW w:w="709" w:type="dxa"/>
            <w:vMerge w:val="restart"/>
            <w:shd w:val="clear" w:color="auto" w:fill="auto"/>
            <w:vAlign w:val="center"/>
          </w:tcPr>
          <w:p w14:paraId="041E78EF" w14:textId="41461BBC"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N</w:t>
            </w:r>
            <w:r w:rsidR="00194C36" w:rsidRPr="00194C36">
              <w:rPr>
                <w:rFonts w:ascii="Arial" w:eastAsiaTheme="minorEastAsia" w:hAnsi="Arial" w:cs="Arial"/>
                <w:sz w:val="16"/>
                <w:szCs w:val="16"/>
                <w:lang w:eastAsia="es-ES"/>
              </w:rPr>
              <w:t>o</w:t>
            </w:r>
          </w:p>
        </w:tc>
        <w:tc>
          <w:tcPr>
            <w:tcW w:w="1984" w:type="dxa"/>
            <w:shd w:val="clear" w:color="auto" w:fill="F2F2F2" w:themeFill="background1" w:themeFillShade="F2"/>
            <w:vAlign w:val="center"/>
          </w:tcPr>
          <w:p w14:paraId="20121269"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Maestría en Ingeniería del Software</w:t>
            </w:r>
          </w:p>
        </w:tc>
        <w:tc>
          <w:tcPr>
            <w:tcW w:w="2554" w:type="dxa"/>
            <w:shd w:val="clear" w:color="auto" w:fill="F2F2F2" w:themeFill="background1" w:themeFillShade="F2"/>
            <w:vAlign w:val="center"/>
          </w:tcPr>
          <w:p w14:paraId="705918B6"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PSWE-12</w:t>
            </w:r>
          </w:p>
          <w:p w14:paraId="251604C4"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Arquitectura de Sistemas de Software (2018)</w:t>
            </w:r>
          </w:p>
        </w:tc>
        <w:tc>
          <w:tcPr>
            <w:tcW w:w="350" w:type="dxa"/>
            <w:shd w:val="clear" w:color="auto" w:fill="F2F2F2" w:themeFill="background1" w:themeFillShade="F2"/>
            <w:vAlign w:val="center"/>
          </w:tcPr>
          <w:p w14:paraId="58C1966A"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F2F2F2" w:themeFill="background1" w:themeFillShade="F2"/>
            <w:vAlign w:val="center"/>
          </w:tcPr>
          <w:p w14:paraId="15B437BA"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F2F2F2" w:themeFill="background1" w:themeFillShade="F2"/>
            <w:vAlign w:val="center"/>
          </w:tcPr>
          <w:p w14:paraId="3DCA9E8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2130979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F2F2F2" w:themeFill="background1" w:themeFillShade="F2"/>
            <w:vAlign w:val="center"/>
          </w:tcPr>
          <w:p w14:paraId="6033F03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43944E7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2B922FA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223BC58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6A15C96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60DC2379"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30E6B7FE" w14:textId="77777777" w:rsidTr="00281E2B">
        <w:trPr>
          <w:trHeight w:val="477"/>
          <w:jc w:val="center"/>
        </w:trPr>
        <w:tc>
          <w:tcPr>
            <w:tcW w:w="1384" w:type="dxa"/>
            <w:vMerge/>
            <w:shd w:val="clear" w:color="auto" w:fill="auto"/>
            <w:vAlign w:val="center"/>
          </w:tcPr>
          <w:p w14:paraId="3EC48920"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14CD6F43"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283220A1"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Bach. en Tecnologías de Información</w:t>
            </w:r>
          </w:p>
        </w:tc>
        <w:tc>
          <w:tcPr>
            <w:tcW w:w="2554" w:type="dxa"/>
            <w:shd w:val="clear" w:color="auto" w:fill="auto"/>
            <w:vAlign w:val="center"/>
          </w:tcPr>
          <w:p w14:paraId="261A7850"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SINT-01</w:t>
            </w:r>
          </w:p>
          <w:p w14:paraId="608654E6"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Internet de las Cosas (2018)</w:t>
            </w:r>
          </w:p>
        </w:tc>
        <w:tc>
          <w:tcPr>
            <w:tcW w:w="350" w:type="dxa"/>
            <w:shd w:val="clear" w:color="auto" w:fill="auto"/>
            <w:vAlign w:val="center"/>
          </w:tcPr>
          <w:p w14:paraId="1C73F278"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2729A33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036627C2"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010FDD4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58A7945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2FF2173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7571368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1344BC12"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4EEFC3D9"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5F393658"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090E1108" w14:textId="77777777" w:rsidTr="00281E2B">
        <w:trPr>
          <w:trHeight w:val="525"/>
          <w:jc w:val="center"/>
        </w:trPr>
        <w:tc>
          <w:tcPr>
            <w:tcW w:w="1384" w:type="dxa"/>
            <w:vMerge w:val="restart"/>
            <w:shd w:val="clear" w:color="auto" w:fill="auto"/>
            <w:vAlign w:val="center"/>
          </w:tcPr>
          <w:p w14:paraId="1E2D65F0"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Latina (</w:t>
            </w:r>
            <w:proofErr w:type="spellStart"/>
            <w:r w:rsidRPr="00194C36">
              <w:rPr>
                <w:rFonts w:ascii="Arial" w:eastAsiaTheme="minorEastAsia" w:hAnsi="Arial" w:cs="Arial"/>
                <w:sz w:val="16"/>
                <w:szCs w:val="16"/>
                <w:lang w:eastAsia="es-ES"/>
              </w:rPr>
              <w:t>ULatina</w:t>
            </w:r>
            <w:proofErr w:type="spellEnd"/>
            <w:r w:rsidRPr="00194C36">
              <w:rPr>
                <w:rFonts w:ascii="Arial" w:eastAsiaTheme="minorEastAsia" w:hAnsi="Arial" w:cs="Arial"/>
                <w:sz w:val="16"/>
                <w:szCs w:val="16"/>
                <w:lang w:eastAsia="es-ES"/>
              </w:rPr>
              <w:t>), Costa Rica</w:t>
            </w:r>
          </w:p>
        </w:tc>
        <w:tc>
          <w:tcPr>
            <w:tcW w:w="709" w:type="dxa"/>
            <w:vMerge w:val="restart"/>
            <w:shd w:val="clear" w:color="auto" w:fill="auto"/>
            <w:vAlign w:val="center"/>
          </w:tcPr>
          <w:p w14:paraId="4EAC79C9" w14:textId="34818C4A"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N</w:t>
            </w:r>
            <w:r w:rsidR="00194C36" w:rsidRPr="00194C36">
              <w:rPr>
                <w:rFonts w:ascii="Arial" w:eastAsiaTheme="minorEastAsia" w:hAnsi="Arial" w:cs="Arial"/>
                <w:sz w:val="16"/>
                <w:szCs w:val="16"/>
                <w:lang w:eastAsia="es-ES"/>
              </w:rPr>
              <w:t>o</w:t>
            </w:r>
          </w:p>
        </w:tc>
        <w:tc>
          <w:tcPr>
            <w:tcW w:w="1984" w:type="dxa"/>
            <w:shd w:val="clear" w:color="auto" w:fill="auto"/>
            <w:vAlign w:val="center"/>
          </w:tcPr>
          <w:p w14:paraId="49C8E671"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Bach. en Administración de Negocios</w:t>
            </w:r>
          </w:p>
        </w:tc>
        <w:tc>
          <w:tcPr>
            <w:tcW w:w="2554" w:type="dxa"/>
            <w:shd w:val="clear" w:color="auto" w:fill="auto"/>
            <w:vAlign w:val="center"/>
          </w:tcPr>
          <w:p w14:paraId="3B3D4F66"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BMA-09</w:t>
            </w:r>
          </w:p>
          <w:p w14:paraId="3A1BC76F"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Estadística I (2023)</w:t>
            </w:r>
          </w:p>
        </w:tc>
        <w:tc>
          <w:tcPr>
            <w:tcW w:w="350" w:type="dxa"/>
            <w:shd w:val="clear" w:color="auto" w:fill="auto"/>
            <w:vAlign w:val="center"/>
          </w:tcPr>
          <w:p w14:paraId="56BEBCD2" w14:textId="77777777" w:rsidR="00194C36" w:rsidRPr="00194C36" w:rsidRDefault="00194C36" w:rsidP="00194C36">
            <w:pPr>
              <w:rPr>
                <w:rFonts w:ascii="Arial" w:eastAsiaTheme="minorEastAsia" w:hAnsi="Arial" w:cs="Arial"/>
                <w:sz w:val="16"/>
                <w:szCs w:val="16"/>
                <w:lang w:eastAsia="es-ES"/>
              </w:rPr>
            </w:pPr>
          </w:p>
        </w:tc>
        <w:tc>
          <w:tcPr>
            <w:tcW w:w="357" w:type="dxa"/>
            <w:shd w:val="clear" w:color="auto" w:fill="auto"/>
            <w:vAlign w:val="center"/>
          </w:tcPr>
          <w:p w14:paraId="6E5EB9C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4309D9F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6BFAB38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0BC594F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35EF87D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13B15FA"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12C6ED9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7496790C"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4BAEB978"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6572682B" w14:textId="77777777" w:rsidTr="00281E2B">
        <w:trPr>
          <w:trHeight w:val="463"/>
          <w:jc w:val="center"/>
        </w:trPr>
        <w:tc>
          <w:tcPr>
            <w:tcW w:w="1384" w:type="dxa"/>
            <w:vMerge/>
            <w:shd w:val="clear" w:color="auto" w:fill="auto"/>
            <w:vAlign w:val="center"/>
          </w:tcPr>
          <w:p w14:paraId="7BB00A9D"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2B941768"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6B52B9AF"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Bach. en Ingeniería en Electromedicina</w:t>
            </w:r>
          </w:p>
        </w:tc>
        <w:tc>
          <w:tcPr>
            <w:tcW w:w="2554" w:type="dxa"/>
            <w:shd w:val="clear" w:color="auto" w:fill="auto"/>
            <w:vAlign w:val="center"/>
          </w:tcPr>
          <w:p w14:paraId="5FAA64A9"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BIE-13</w:t>
            </w:r>
          </w:p>
          <w:p w14:paraId="26E48B6D"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 xml:space="preserve">Análisis </w:t>
            </w:r>
            <w:proofErr w:type="spellStart"/>
            <w:r w:rsidRPr="00194C36">
              <w:rPr>
                <w:rFonts w:ascii="Arial" w:eastAsiaTheme="minorEastAsia" w:hAnsi="Arial" w:cs="Arial"/>
                <w:sz w:val="16"/>
                <w:szCs w:val="16"/>
                <w:lang w:eastAsia="es-ES"/>
              </w:rPr>
              <w:t>Bioclínico</w:t>
            </w:r>
            <w:proofErr w:type="spellEnd"/>
            <w:r w:rsidRPr="00194C36">
              <w:rPr>
                <w:rFonts w:ascii="Arial" w:eastAsiaTheme="minorEastAsia" w:hAnsi="Arial" w:cs="Arial"/>
                <w:sz w:val="16"/>
                <w:szCs w:val="16"/>
                <w:lang w:eastAsia="es-ES"/>
              </w:rPr>
              <w:t xml:space="preserve"> I (2024)</w:t>
            </w:r>
          </w:p>
        </w:tc>
        <w:tc>
          <w:tcPr>
            <w:tcW w:w="350" w:type="dxa"/>
            <w:shd w:val="clear" w:color="auto" w:fill="auto"/>
            <w:vAlign w:val="center"/>
          </w:tcPr>
          <w:p w14:paraId="28C59AE2"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3FD3921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32993D5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3BD35ED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36EB34D4"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78567C1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28E428D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5400BFAA"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3BC5AFA1"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29EF8948"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0C26CEC0" w14:textId="77777777" w:rsidTr="00281E2B">
        <w:trPr>
          <w:trHeight w:val="795"/>
          <w:jc w:val="center"/>
        </w:trPr>
        <w:tc>
          <w:tcPr>
            <w:tcW w:w="1384" w:type="dxa"/>
            <w:shd w:val="clear" w:color="auto" w:fill="auto"/>
            <w:vAlign w:val="center"/>
          </w:tcPr>
          <w:p w14:paraId="711331B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Nacional Autónoma (UNAN), Nicaragua</w:t>
            </w:r>
          </w:p>
        </w:tc>
        <w:tc>
          <w:tcPr>
            <w:tcW w:w="709" w:type="dxa"/>
            <w:shd w:val="clear" w:color="auto" w:fill="auto"/>
            <w:vAlign w:val="center"/>
          </w:tcPr>
          <w:p w14:paraId="0867B34C" w14:textId="1AE64D35"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S</w:t>
            </w:r>
            <w:r w:rsidR="00194C36" w:rsidRPr="00194C36">
              <w:rPr>
                <w:rFonts w:ascii="Arial" w:eastAsiaTheme="minorEastAsia" w:hAnsi="Arial" w:cs="Arial"/>
                <w:sz w:val="16"/>
                <w:szCs w:val="16"/>
                <w:lang w:eastAsia="es-ES"/>
              </w:rPr>
              <w:t>í</w:t>
            </w:r>
          </w:p>
        </w:tc>
        <w:tc>
          <w:tcPr>
            <w:tcW w:w="1984" w:type="dxa"/>
            <w:shd w:val="clear" w:color="auto" w:fill="F2F2F2" w:themeFill="background1" w:themeFillShade="F2"/>
            <w:vAlign w:val="center"/>
          </w:tcPr>
          <w:p w14:paraId="0D560E81"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Maestría en Telecomunicaciones y redes Teleinformática</w:t>
            </w:r>
          </w:p>
        </w:tc>
        <w:tc>
          <w:tcPr>
            <w:tcW w:w="2554" w:type="dxa"/>
            <w:shd w:val="clear" w:color="auto" w:fill="F2F2F2" w:themeFill="background1" w:themeFillShade="F2"/>
            <w:vAlign w:val="center"/>
          </w:tcPr>
          <w:p w14:paraId="39771E91"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Protocolo TP/IP (2021)</w:t>
            </w:r>
          </w:p>
        </w:tc>
        <w:tc>
          <w:tcPr>
            <w:tcW w:w="350" w:type="dxa"/>
            <w:shd w:val="clear" w:color="auto" w:fill="F2F2F2" w:themeFill="background1" w:themeFillShade="F2"/>
            <w:vAlign w:val="center"/>
          </w:tcPr>
          <w:p w14:paraId="29DC60E4"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7" w:type="dxa"/>
            <w:shd w:val="clear" w:color="auto" w:fill="F2F2F2" w:themeFill="background1" w:themeFillShade="F2"/>
            <w:vAlign w:val="center"/>
          </w:tcPr>
          <w:p w14:paraId="067DD7D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F2F2F2" w:themeFill="background1" w:themeFillShade="F2"/>
            <w:vAlign w:val="center"/>
          </w:tcPr>
          <w:p w14:paraId="24CEBBE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2A0B9AD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F2F2F2" w:themeFill="background1" w:themeFillShade="F2"/>
            <w:vAlign w:val="center"/>
          </w:tcPr>
          <w:p w14:paraId="1A3FB84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198CEF3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4EC18A5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71E3F28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50DC329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2A8D5C9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r>
      <w:tr w:rsidR="00194C36" w:rsidRPr="00194C36" w14:paraId="2E2163F5" w14:textId="77777777" w:rsidTr="00281E2B">
        <w:trPr>
          <w:trHeight w:val="491"/>
          <w:jc w:val="center"/>
        </w:trPr>
        <w:tc>
          <w:tcPr>
            <w:tcW w:w="1384" w:type="dxa"/>
            <w:vMerge w:val="restart"/>
            <w:shd w:val="clear" w:color="auto" w:fill="auto"/>
            <w:vAlign w:val="center"/>
          </w:tcPr>
          <w:p w14:paraId="47D65BD0"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Nacional de Ingeniería (UNI), Nicaragua</w:t>
            </w:r>
          </w:p>
        </w:tc>
        <w:tc>
          <w:tcPr>
            <w:tcW w:w="709" w:type="dxa"/>
            <w:vMerge w:val="restart"/>
            <w:shd w:val="clear" w:color="auto" w:fill="auto"/>
            <w:vAlign w:val="center"/>
          </w:tcPr>
          <w:p w14:paraId="058D2005" w14:textId="1A6F8353"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S</w:t>
            </w:r>
            <w:r w:rsidR="00194C36" w:rsidRPr="00194C36">
              <w:rPr>
                <w:rFonts w:ascii="Arial" w:eastAsiaTheme="minorEastAsia" w:hAnsi="Arial" w:cs="Arial"/>
                <w:sz w:val="16"/>
                <w:szCs w:val="16"/>
                <w:lang w:eastAsia="es-ES"/>
              </w:rPr>
              <w:t>í</w:t>
            </w:r>
          </w:p>
        </w:tc>
        <w:tc>
          <w:tcPr>
            <w:tcW w:w="1984" w:type="dxa"/>
            <w:shd w:val="clear" w:color="auto" w:fill="auto"/>
            <w:vAlign w:val="center"/>
          </w:tcPr>
          <w:p w14:paraId="1212110C"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Maestría en Ciencias Ambientales</w:t>
            </w:r>
          </w:p>
        </w:tc>
        <w:tc>
          <w:tcPr>
            <w:tcW w:w="2554" w:type="dxa"/>
            <w:shd w:val="clear" w:color="auto" w:fill="auto"/>
            <w:vAlign w:val="center"/>
          </w:tcPr>
          <w:p w14:paraId="5A24B9CC"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07-P-PIENSA-MCA-04</w:t>
            </w:r>
          </w:p>
          <w:p w14:paraId="4DF8A90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Hidrología Aplicada (2021)</w:t>
            </w:r>
          </w:p>
        </w:tc>
        <w:tc>
          <w:tcPr>
            <w:tcW w:w="350" w:type="dxa"/>
            <w:shd w:val="clear" w:color="auto" w:fill="auto"/>
            <w:vAlign w:val="center"/>
          </w:tcPr>
          <w:p w14:paraId="5779CDF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7" w:type="dxa"/>
            <w:shd w:val="clear" w:color="auto" w:fill="auto"/>
            <w:vAlign w:val="center"/>
          </w:tcPr>
          <w:p w14:paraId="76DFFED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0A410E4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7CCC55E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4609A3D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7AE040C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082311C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46DCB5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431ED6D2"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112406B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r>
      <w:tr w:rsidR="00194C36" w:rsidRPr="00194C36" w14:paraId="61286D8F" w14:textId="77777777" w:rsidTr="00281E2B">
        <w:trPr>
          <w:trHeight w:val="449"/>
          <w:jc w:val="center"/>
        </w:trPr>
        <w:tc>
          <w:tcPr>
            <w:tcW w:w="1384" w:type="dxa"/>
            <w:vMerge/>
            <w:shd w:val="clear" w:color="auto" w:fill="auto"/>
            <w:vAlign w:val="center"/>
          </w:tcPr>
          <w:p w14:paraId="5204758F"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101EDAB3"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0AB8C026"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Ingeniería en Computación</w:t>
            </w:r>
          </w:p>
        </w:tc>
        <w:tc>
          <w:tcPr>
            <w:tcW w:w="2554" w:type="dxa"/>
            <w:shd w:val="clear" w:color="auto" w:fill="auto"/>
            <w:vAlign w:val="center"/>
          </w:tcPr>
          <w:p w14:paraId="6CB03157"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Ingeniería de Software (2018)</w:t>
            </w:r>
          </w:p>
        </w:tc>
        <w:tc>
          <w:tcPr>
            <w:tcW w:w="350" w:type="dxa"/>
            <w:shd w:val="clear" w:color="auto" w:fill="auto"/>
            <w:vAlign w:val="center"/>
          </w:tcPr>
          <w:p w14:paraId="3E61D802"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4AA892E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40178686"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619092C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025BBCC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1466DC84"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92677D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3D0535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4A190698"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3D1EC99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r>
      <w:tr w:rsidR="00194C36" w:rsidRPr="00194C36" w14:paraId="53649C7F" w14:textId="77777777" w:rsidTr="00281E2B">
        <w:trPr>
          <w:trHeight w:val="561"/>
          <w:jc w:val="center"/>
        </w:trPr>
        <w:tc>
          <w:tcPr>
            <w:tcW w:w="1384" w:type="dxa"/>
            <w:vMerge w:val="restart"/>
            <w:shd w:val="clear" w:color="auto" w:fill="auto"/>
            <w:vAlign w:val="center"/>
          </w:tcPr>
          <w:p w14:paraId="670000A1"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Nacional Autónoma de Honduras (UNAH), Honduras</w:t>
            </w:r>
          </w:p>
        </w:tc>
        <w:tc>
          <w:tcPr>
            <w:tcW w:w="709" w:type="dxa"/>
            <w:vMerge w:val="restart"/>
            <w:shd w:val="clear" w:color="auto" w:fill="auto"/>
            <w:vAlign w:val="center"/>
          </w:tcPr>
          <w:p w14:paraId="06252018" w14:textId="0224D400"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S</w:t>
            </w:r>
            <w:r w:rsidR="00194C36" w:rsidRPr="00194C36">
              <w:rPr>
                <w:rFonts w:ascii="Arial" w:eastAsiaTheme="minorEastAsia" w:hAnsi="Arial" w:cs="Arial"/>
                <w:sz w:val="16"/>
                <w:szCs w:val="16"/>
                <w:lang w:eastAsia="es-ES"/>
              </w:rPr>
              <w:t>í</w:t>
            </w:r>
          </w:p>
        </w:tc>
        <w:tc>
          <w:tcPr>
            <w:tcW w:w="1984" w:type="dxa"/>
            <w:shd w:val="clear" w:color="auto" w:fill="auto"/>
            <w:vAlign w:val="center"/>
          </w:tcPr>
          <w:p w14:paraId="594CF902"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Ingeniería Eléctrica</w:t>
            </w:r>
          </w:p>
        </w:tc>
        <w:tc>
          <w:tcPr>
            <w:tcW w:w="2554" w:type="dxa"/>
            <w:shd w:val="clear" w:color="auto" w:fill="auto"/>
            <w:vAlign w:val="center"/>
          </w:tcPr>
          <w:p w14:paraId="78F995B8"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MM-202</w:t>
            </w:r>
          </w:p>
          <w:p w14:paraId="19F1A570"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Cálculo II (2023)</w:t>
            </w:r>
          </w:p>
        </w:tc>
        <w:tc>
          <w:tcPr>
            <w:tcW w:w="350" w:type="dxa"/>
            <w:shd w:val="clear" w:color="auto" w:fill="auto"/>
            <w:vAlign w:val="center"/>
          </w:tcPr>
          <w:p w14:paraId="66647B3F"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37D91D9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1F52084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2915138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289B7D5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7024FF4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5662EE62"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2C60157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7D247DB3"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7BF72573"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21EE6355" w14:textId="77777777" w:rsidTr="00281E2B">
        <w:trPr>
          <w:trHeight w:val="291"/>
          <w:jc w:val="center"/>
        </w:trPr>
        <w:tc>
          <w:tcPr>
            <w:tcW w:w="1384" w:type="dxa"/>
            <w:vMerge/>
            <w:shd w:val="clear" w:color="auto" w:fill="auto"/>
            <w:vAlign w:val="center"/>
          </w:tcPr>
          <w:p w14:paraId="55D48762"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555A8CDF"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0DDB31C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Geología</w:t>
            </w:r>
          </w:p>
        </w:tc>
        <w:tc>
          <w:tcPr>
            <w:tcW w:w="2554" w:type="dxa"/>
            <w:shd w:val="clear" w:color="auto" w:fill="auto"/>
            <w:vAlign w:val="center"/>
          </w:tcPr>
          <w:p w14:paraId="2D11BFA4"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AN-113</w:t>
            </w:r>
          </w:p>
          <w:p w14:paraId="1CF1C555"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Astronomía y Universo (2019)</w:t>
            </w:r>
          </w:p>
        </w:tc>
        <w:tc>
          <w:tcPr>
            <w:tcW w:w="350" w:type="dxa"/>
            <w:shd w:val="clear" w:color="auto" w:fill="auto"/>
            <w:vAlign w:val="center"/>
          </w:tcPr>
          <w:p w14:paraId="022BFDB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7" w:type="dxa"/>
            <w:shd w:val="clear" w:color="auto" w:fill="auto"/>
            <w:vAlign w:val="center"/>
          </w:tcPr>
          <w:p w14:paraId="6CAFF81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35CC87A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027E178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3A592614"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0916A22A"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457E80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7B6CDB9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1A30E62E"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60FB40B6"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236C85B8" w14:textId="77777777" w:rsidTr="00281E2B">
        <w:trPr>
          <w:trHeight w:val="575"/>
          <w:jc w:val="center"/>
        </w:trPr>
        <w:tc>
          <w:tcPr>
            <w:tcW w:w="1384" w:type="dxa"/>
            <w:vMerge w:val="restart"/>
            <w:shd w:val="clear" w:color="auto" w:fill="auto"/>
            <w:vAlign w:val="center"/>
          </w:tcPr>
          <w:p w14:paraId="516565DB"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Pedagógica Nacional Francisco Morazán (UPNFM), Honduras</w:t>
            </w:r>
          </w:p>
        </w:tc>
        <w:tc>
          <w:tcPr>
            <w:tcW w:w="709" w:type="dxa"/>
            <w:vMerge w:val="restart"/>
            <w:shd w:val="clear" w:color="auto" w:fill="auto"/>
            <w:vAlign w:val="center"/>
          </w:tcPr>
          <w:p w14:paraId="3A016251" w14:textId="5A35D217"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S</w:t>
            </w:r>
            <w:r w:rsidR="00194C36" w:rsidRPr="00194C36">
              <w:rPr>
                <w:rFonts w:ascii="Arial" w:eastAsiaTheme="minorEastAsia" w:hAnsi="Arial" w:cs="Arial"/>
                <w:sz w:val="16"/>
                <w:szCs w:val="16"/>
                <w:lang w:eastAsia="es-ES"/>
              </w:rPr>
              <w:t>í</w:t>
            </w:r>
          </w:p>
        </w:tc>
        <w:tc>
          <w:tcPr>
            <w:tcW w:w="1984" w:type="dxa"/>
            <w:shd w:val="clear" w:color="auto" w:fill="auto"/>
            <w:vAlign w:val="center"/>
          </w:tcPr>
          <w:p w14:paraId="62259C82"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Profesorado en Matemáticas</w:t>
            </w:r>
          </w:p>
        </w:tc>
        <w:tc>
          <w:tcPr>
            <w:tcW w:w="2554" w:type="dxa"/>
            <w:shd w:val="clear" w:color="auto" w:fill="auto"/>
            <w:vAlign w:val="center"/>
          </w:tcPr>
          <w:p w14:paraId="57F21452"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EEH-3601</w:t>
            </w:r>
          </w:p>
          <w:p w14:paraId="7D02799C"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Antropología General (2023)</w:t>
            </w:r>
          </w:p>
        </w:tc>
        <w:tc>
          <w:tcPr>
            <w:tcW w:w="350" w:type="dxa"/>
            <w:shd w:val="clear" w:color="auto" w:fill="auto"/>
            <w:vAlign w:val="center"/>
          </w:tcPr>
          <w:p w14:paraId="63003E1F"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1B5C0D32"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3572FA2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16F36C7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13957B02"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89CCAC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21BFFF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737B87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5FAC923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7A72DBF0" w14:textId="77777777" w:rsidR="00194C36" w:rsidRPr="00194C36" w:rsidRDefault="00194C36" w:rsidP="00194C36">
            <w:pPr>
              <w:rPr>
                <w:rFonts w:ascii="Arial" w:eastAsiaTheme="minorEastAsia" w:hAnsi="Arial" w:cs="Arial"/>
                <w:sz w:val="16"/>
                <w:szCs w:val="16"/>
                <w:lang w:eastAsia="es-ES"/>
              </w:rPr>
            </w:pPr>
          </w:p>
        </w:tc>
      </w:tr>
      <w:tr w:rsidR="00194C36" w:rsidRPr="00194C36" w14:paraId="370118F2" w14:textId="77777777" w:rsidTr="00281E2B">
        <w:trPr>
          <w:trHeight w:val="115"/>
          <w:jc w:val="center"/>
        </w:trPr>
        <w:tc>
          <w:tcPr>
            <w:tcW w:w="1384" w:type="dxa"/>
            <w:vMerge/>
            <w:shd w:val="clear" w:color="auto" w:fill="auto"/>
            <w:vAlign w:val="center"/>
          </w:tcPr>
          <w:p w14:paraId="15529D51"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1D69EC1E"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F2F2F2" w:themeFill="background1" w:themeFillShade="F2"/>
            <w:vAlign w:val="center"/>
          </w:tcPr>
          <w:p w14:paraId="0393FD84"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Doctorado en Educación</w:t>
            </w:r>
          </w:p>
        </w:tc>
        <w:tc>
          <w:tcPr>
            <w:tcW w:w="2554" w:type="dxa"/>
            <w:shd w:val="clear" w:color="auto" w:fill="F2F2F2" w:themeFill="background1" w:themeFillShade="F2"/>
            <w:vAlign w:val="center"/>
          </w:tcPr>
          <w:p w14:paraId="5F71506C"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DOE-620</w:t>
            </w:r>
          </w:p>
          <w:p w14:paraId="1927242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Teoría y desarrollo curricular (2024)</w:t>
            </w:r>
          </w:p>
        </w:tc>
        <w:tc>
          <w:tcPr>
            <w:tcW w:w="350" w:type="dxa"/>
            <w:shd w:val="clear" w:color="auto" w:fill="F2F2F2" w:themeFill="background1" w:themeFillShade="F2"/>
            <w:vAlign w:val="center"/>
          </w:tcPr>
          <w:p w14:paraId="0DA32C70"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F2F2F2" w:themeFill="background1" w:themeFillShade="F2"/>
            <w:vAlign w:val="center"/>
          </w:tcPr>
          <w:p w14:paraId="47EC7B9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F2F2F2" w:themeFill="background1" w:themeFillShade="F2"/>
            <w:vAlign w:val="center"/>
          </w:tcPr>
          <w:p w14:paraId="564EEEF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2D32EED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F2F2F2" w:themeFill="background1" w:themeFillShade="F2"/>
            <w:vAlign w:val="center"/>
          </w:tcPr>
          <w:p w14:paraId="1600CDC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37E201F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7472119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57196B7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053C1165"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F2F2F2" w:themeFill="background1" w:themeFillShade="F2"/>
            <w:vAlign w:val="center"/>
          </w:tcPr>
          <w:p w14:paraId="6C73F168"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48BC98E5" w14:textId="77777777" w:rsidTr="00281E2B">
        <w:trPr>
          <w:trHeight w:val="519"/>
          <w:jc w:val="center"/>
        </w:trPr>
        <w:tc>
          <w:tcPr>
            <w:tcW w:w="1384" w:type="dxa"/>
            <w:vMerge w:val="restart"/>
            <w:shd w:val="clear" w:color="auto" w:fill="auto"/>
            <w:vAlign w:val="center"/>
          </w:tcPr>
          <w:p w14:paraId="4026C0A0"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de El Salvador (UES), El Salvador</w:t>
            </w:r>
          </w:p>
        </w:tc>
        <w:tc>
          <w:tcPr>
            <w:tcW w:w="709" w:type="dxa"/>
            <w:vMerge w:val="restart"/>
            <w:shd w:val="clear" w:color="auto" w:fill="auto"/>
            <w:vAlign w:val="center"/>
          </w:tcPr>
          <w:p w14:paraId="29B88342" w14:textId="1DEF1BA9"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S</w:t>
            </w:r>
            <w:r w:rsidR="00194C36" w:rsidRPr="00194C36">
              <w:rPr>
                <w:rFonts w:ascii="Arial" w:eastAsiaTheme="minorEastAsia" w:hAnsi="Arial" w:cs="Arial"/>
                <w:sz w:val="16"/>
                <w:szCs w:val="16"/>
                <w:lang w:eastAsia="es-ES"/>
              </w:rPr>
              <w:t>í</w:t>
            </w:r>
          </w:p>
        </w:tc>
        <w:tc>
          <w:tcPr>
            <w:tcW w:w="1984" w:type="dxa"/>
            <w:shd w:val="clear" w:color="auto" w:fill="auto"/>
            <w:vAlign w:val="center"/>
          </w:tcPr>
          <w:p w14:paraId="2690393E"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Ingeniería Mecánica</w:t>
            </w:r>
          </w:p>
        </w:tc>
        <w:tc>
          <w:tcPr>
            <w:tcW w:w="2554" w:type="dxa"/>
            <w:shd w:val="clear" w:color="auto" w:fill="auto"/>
            <w:vAlign w:val="center"/>
          </w:tcPr>
          <w:p w14:paraId="05F0D732"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MSO-315</w:t>
            </w:r>
          </w:p>
          <w:p w14:paraId="037C3A36"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Mecánica de los Sólidos (2019)</w:t>
            </w:r>
          </w:p>
        </w:tc>
        <w:tc>
          <w:tcPr>
            <w:tcW w:w="350" w:type="dxa"/>
            <w:shd w:val="clear" w:color="auto" w:fill="auto"/>
            <w:vAlign w:val="center"/>
          </w:tcPr>
          <w:p w14:paraId="4FD1E110" w14:textId="77777777" w:rsidR="00194C36" w:rsidRPr="00194C36" w:rsidRDefault="00194C36" w:rsidP="00194C36">
            <w:pPr>
              <w:rPr>
                <w:rFonts w:ascii="Arial" w:eastAsiaTheme="minorEastAsia" w:hAnsi="Arial" w:cs="Arial"/>
                <w:sz w:val="16"/>
                <w:szCs w:val="16"/>
                <w:lang w:eastAsia="es-ES"/>
              </w:rPr>
            </w:pPr>
          </w:p>
        </w:tc>
        <w:tc>
          <w:tcPr>
            <w:tcW w:w="357" w:type="dxa"/>
            <w:shd w:val="clear" w:color="auto" w:fill="auto"/>
            <w:vAlign w:val="center"/>
          </w:tcPr>
          <w:p w14:paraId="41B40C8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3351C8E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6395E7D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08EB0DDA"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3C7F1E44"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73B8E7C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17A0854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0426A3E2"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5969BE76"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215B36E4" w14:textId="77777777" w:rsidTr="00281E2B">
        <w:trPr>
          <w:trHeight w:val="198"/>
          <w:jc w:val="center"/>
        </w:trPr>
        <w:tc>
          <w:tcPr>
            <w:tcW w:w="1384" w:type="dxa"/>
            <w:vMerge/>
            <w:shd w:val="clear" w:color="auto" w:fill="auto"/>
            <w:vAlign w:val="center"/>
          </w:tcPr>
          <w:p w14:paraId="064275D7"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3EAF7B1E"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6D1308B6"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Economía</w:t>
            </w:r>
          </w:p>
        </w:tc>
        <w:tc>
          <w:tcPr>
            <w:tcW w:w="2554" w:type="dxa"/>
            <w:shd w:val="clear" w:color="auto" w:fill="auto"/>
            <w:vAlign w:val="center"/>
          </w:tcPr>
          <w:p w14:paraId="0E420DA7"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INE-118</w:t>
            </w:r>
          </w:p>
          <w:p w14:paraId="171289ED"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Introducción a la Economía I (2024)</w:t>
            </w:r>
          </w:p>
        </w:tc>
        <w:tc>
          <w:tcPr>
            <w:tcW w:w="350" w:type="dxa"/>
            <w:shd w:val="clear" w:color="auto" w:fill="auto"/>
            <w:vAlign w:val="center"/>
          </w:tcPr>
          <w:p w14:paraId="3D41FCC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7" w:type="dxa"/>
            <w:shd w:val="clear" w:color="auto" w:fill="auto"/>
            <w:vAlign w:val="center"/>
          </w:tcPr>
          <w:p w14:paraId="278C04B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419CA0F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30D7F31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67952DD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10B85D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1219631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72FA493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06D8564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34725608"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47867C2A" w14:textId="77777777" w:rsidTr="00281E2B">
        <w:trPr>
          <w:trHeight w:val="449"/>
          <w:jc w:val="center"/>
        </w:trPr>
        <w:tc>
          <w:tcPr>
            <w:tcW w:w="1384" w:type="dxa"/>
            <w:vMerge w:val="restart"/>
            <w:shd w:val="clear" w:color="auto" w:fill="auto"/>
            <w:vAlign w:val="center"/>
          </w:tcPr>
          <w:p w14:paraId="43559554"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Centroamerican</w:t>
            </w:r>
            <w:r w:rsidRPr="00194C36">
              <w:rPr>
                <w:rFonts w:ascii="Arial" w:eastAsiaTheme="minorEastAsia" w:hAnsi="Arial" w:cs="Arial"/>
                <w:sz w:val="16"/>
                <w:szCs w:val="16"/>
                <w:lang w:eastAsia="es-ES"/>
              </w:rPr>
              <w:lastRenderedPageBreak/>
              <w:t>a José Simeón Cañas (UCA), El Salvador</w:t>
            </w:r>
          </w:p>
        </w:tc>
        <w:tc>
          <w:tcPr>
            <w:tcW w:w="709" w:type="dxa"/>
            <w:vMerge w:val="restart"/>
            <w:shd w:val="clear" w:color="auto" w:fill="auto"/>
            <w:vAlign w:val="center"/>
          </w:tcPr>
          <w:p w14:paraId="454EA2D0" w14:textId="4B53C940"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lastRenderedPageBreak/>
              <w:t>S</w:t>
            </w:r>
            <w:r w:rsidR="00194C36" w:rsidRPr="00194C36">
              <w:rPr>
                <w:rFonts w:ascii="Arial" w:eastAsiaTheme="minorEastAsia" w:hAnsi="Arial" w:cs="Arial"/>
                <w:sz w:val="16"/>
                <w:szCs w:val="16"/>
                <w:lang w:eastAsia="es-ES"/>
              </w:rPr>
              <w:t>í</w:t>
            </w:r>
          </w:p>
        </w:tc>
        <w:tc>
          <w:tcPr>
            <w:tcW w:w="1984" w:type="dxa"/>
            <w:shd w:val="clear" w:color="auto" w:fill="auto"/>
            <w:vAlign w:val="center"/>
          </w:tcPr>
          <w:p w14:paraId="74C8E398"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Bach. en Ingeniería Industrial</w:t>
            </w:r>
          </w:p>
        </w:tc>
        <w:tc>
          <w:tcPr>
            <w:tcW w:w="2554" w:type="dxa"/>
            <w:shd w:val="clear" w:color="auto" w:fill="auto"/>
            <w:vAlign w:val="center"/>
          </w:tcPr>
          <w:p w14:paraId="59D03CD9"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28-250009</w:t>
            </w:r>
          </w:p>
          <w:p w14:paraId="24BB29C6"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lastRenderedPageBreak/>
              <w:t>Investigación de operaciones II (2020)</w:t>
            </w:r>
          </w:p>
        </w:tc>
        <w:tc>
          <w:tcPr>
            <w:tcW w:w="350" w:type="dxa"/>
            <w:shd w:val="clear" w:color="auto" w:fill="auto"/>
            <w:vAlign w:val="center"/>
          </w:tcPr>
          <w:p w14:paraId="3B3E5BB5"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6251133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5B5BAE8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674340B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1A15A35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B28F13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7CB9A66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7932F50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32EEB508"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0AA3C342"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37322C83" w14:textId="77777777" w:rsidTr="00281E2B">
        <w:trPr>
          <w:trHeight w:val="432"/>
          <w:jc w:val="center"/>
        </w:trPr>
        <w:tc>
          <w:tcPr>
            <w:tcW w:w="1384" w:type="dxa"/>
            <w:vMerge/>
            <w:shd w:val="clear" w:color="auto" w:fill="auto"/>
            <w:vAlign w:val="center"/>
          </w:tcPr>
          <w:p w14:paraId="0D563226"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3ECE9BF2"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174158F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Administración de Empresas</w:t>
            </w:r>
          </w:p>
        </w:tc>
        <w:tc>
          <w:tcPr>
            <w:tcW w:w="2554" w:type="dxa"/>
            <w:shd w:val="clear" w:color="auto" w:fill="auto"/>
            <w:vAlign w:val="center"/>
          </w:tcPr>
          <w:p w14:paraId="40FF1BED"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35-020245</w:t>
            </w:r>
          </w:p>
          <w:p w14:paraId="15DF3A47"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Gestión de operaciones II (2019)</w:t>
            </w:r>
          </w:p>
        </w:tc>
        <w:tc>
          <w:tcPr>
            <w:tcW w:w="350" w:type="dxa"/>
            <w:shd w:val="clear" w:color="auto" w:fill="auto"/>
            <w:vAlign w:val="center"/>
          </w:tcPr>
          <w:p w14:paraId="2FCB6DD7"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2A41A5DA"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33846062"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78724E5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5433548A"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503F072D" w14:textId="77777777" w:rsidR="00194C36" w:rsidRPr="00194C36" w:rsidRDefault="00194C36" w:rsidP="00194C36">
            <w:pPr>
              <w:jc w:val="center"/>
              <w:rPr>
                <w:rFonts w:ascii="Arial" w:eastAsiaTheme="minorEastAsia" w:hAnsi="Arial" w:cs="Arial"/>
                <w:sz w:val="16"/>
                <w:szCs w:val="16"/>
                <w:lang w:eastAsia="es-ES"/>
              </w:rPr>
            </w:pPr>
          </w:p>
        </w:tc>
        <w:tc>
          <w:tcPr>
            <w:tcW w:w="350" w:type="dxa"/>
            <w:shd w:val="clear" w:color="auto" w:fill="auto"/>
            <w:vAlign w:val="center"/>
          </w:tcPr>
          <w:p w14:paraId="1D032968" w14:textId="77777777" w:rsidR="00194C36" w:rsidRPr="00194C36" w:rsidRDefault="00194C36" w:rsidP="00194C36">
            <w:pPr>
              <w:jc w:val="center"/>
              <w:rPr>
                <w:rFonts w:ascii="Arial" w:eastAsiaTheme="minorEastAsia" w:hAnsi="Arial" w:cs="Arial"/>
                <w:sz w:val="16"/>
                <w:szCs w:val="16"/>
                <w:lang w:eastAsia="es-ES"/>
              </w:rPr>
            </w:pPr>
          </w:p>
        </w:tc>
        <w:tc>
          <w:tcPr>
            <w:tcW w:w="350" w:type="dxa"/>
            <w:shd w:val="clear" w:color="auto" w:fill="auto"/>
            <w:vAlign w:val="center"/>
          </w:tcPr>
          <w:p w14:paraId="1D584F6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5FE9F27C"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2D086C5E"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49CEB5E2" w14:textId="77777777" w:rsidTr="00281E2B">
        <w:trPr>
          <w:trHeight w:val="212"/>
          <w:jc w:val="center"/>
        </w:trPr>
        <w:tc>
          <w:tcPr>
            <w:tcW w:w="1384" w:type="dxa"/>
            <w:vMerge w:val="restart"/>
            <w:shd w:val="clear" w:color="auto" w:fill="auto"/>
            <w:vAlign w:val="center"/>
          </w:tcPr>
          <w:p w14:paraId="1AE279AE"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de San Carlos (USAC), Guatemala</w:t>
            </w:r>
          </w:p>
        </w:tc>
        <w:tc>
          <w:tcPr>
            <w:tcW w:w="709" w:type="dxa"/>
            <w:vMerge w:val="restart"/>
            <w:shd w:val="clear" w:color="auto" w:fill="auto"/>
            <w:vAlign w:val="center"/>
          </w:tcPr>
          <w:p w14:paraId="7D62C4C0" w14:textId="3E4220FE"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S</w:t>
            </w:r>
            <w:r w:rsidR="00194C36" w:rsidRPr="00194C36">
              <w:rPr>
                <w:rFonts w:ascii="Arial" w:eastAsiaTheme="minorEastAsia" w:hAnsi="Arial" w:cs="Arial"/>
                <w:sz w:val="16"/>
                <w:szCs w:val="16"/>
                <w:lang w:eastAsia="es-ES"/>
              </w:rPr>
              <w:t>í</w:t>
            </w:r>
          </w:p>
        </w:tc>
        <w:tc>
          <w:tcPr>
            <w:tcW w:w="1984" w:type="dxa"/>
            <w:shd w:val="clear" w:color="auto" w:fill="auto"/>
            <w:vAlign w:val="center"/>
          </w:tcPr>
          <w:p w14:paraId="5122F0F6"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Ingeniería Civil</w:t>
            </w:r>
          </w:p>
        </w:tc>
        <w:tc>
          <w:tcPr>
            <w:tcW w:w="2554" w:type="dxa"/>
            <w:shd w:val="clear" w:color="auto" w:fill="auto"/>
            <w:vAlign w:val="center"/>
          </w:tcPr>
          <w:p w14:paraId="4482E6E8"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0300</w:t>
            </w:r>
          </w:p>
          <w:p w14:paraId="6CE12E71"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Laboratorio de Resistencia de Materiales I (2023)</w:t>
            </w:r>
          </w:p>
        </w:tc>
        <w:tc>
          <w:tcPr>
            <w:tcW w:w="350" w:type="dxa"/>
            <w:shd w:val="clear" w:color="auto" w:fill="auto"/>
            <w:vAlign w:val="center"/>
          </w:tcPr>
          <w:p w14:paraId="15BF8EED"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70DAE6E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18D8E65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540A4B5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29F8FC02" w14:textId="77777777" w:rsidR="00194C36" w:rsidRPr="00194C36" w:rsidRDefault="00194C36" w:rsidP="00194C36">
            <w:pPr>
              <w:jc w:val="center"/>
              <w:rPr>
                <w:rFonts w:ascii="Arial" w:eastAsiaTheme="minorEastAsia" w:hAnsi="Arial" w:cs="Arial"/>
                <w:sz w:val="16"/>
                <w:szCs w:val="16"/>
                <w:lang w:eastAsia="es-ES"/>
              </w:rPr>
            </w:pPr>
          </w:p>
        </w:tc>
        <w:tc>
          <w:tcPr>
            <w:tcW w:w="350" w:type="dxa"/>
            <w:shd w:val="clear" w:color="auto" w:fill="auto"/>
            <w:vAlign w:val="center"/>
          </w:tcPr>
          <w:p w14:paraId="4FE8A36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2AD2907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AFD3FC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1085B77A"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74DC7DB0"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34378639" w14:textId="77777777" w:rsidTr="00281E2B">
        <w:trPr>
          <w:trHeight w:val="365"/>
          <w:jc w:val="center"/>
        </w:trPr>
        <w:tc>
          <w:tcPr>
            <w:tcW w:w="1384" w:type="dxa"/>
            <w:vMerge/>
            <w:shd w:val="clear" w:color="auto" w:fill="auto"/>
            <w:vAlign w:val="center"/>
          </w:tcPr>
          <w:p w14:paraId="1A247D24"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04E17FFC"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F2F2F2" w:themeFill="background1" w:themeFillShade="F2"/>
            <w:vAlign w:val="center"/>
          </w:tcPr>
          <w:p w14:paraId="59F798F9"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Maestría en Administración Financiera</w:t>
            </w:r>
          </w:p>
        </w:tc>
        <w:tc>
          <w:tcPr>
            <w:tcW w:w="2554" w:type="dxa"/>
            <w:shd w:val="clear" w:color="auto" w:fill="F2F2F2" w:themeFill="background1" w:themeFillShade="F2"/>
            <w:vAlign w:val="center"/>
          </w:tcPr>
          <w:p w14:paraId="0AB46BA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004AF</w:t>
            </w:r>
          </w:p>
          <w:p w14:paraId="46931F1E"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Contabilidad Financiera y Administrativa (2022)</w:t>
            </w:r>
          </w:p>
        </w:tc>
        <w:tc>
          <w:tcPr>
            <w:tcW w:w="350" w:type="dxa"/>
            <w:shd w:val="clear" w:color="auto" w:fill="F2F2F2" w:themeFill="background1" w:themeFillShade="F2"/>
            <w:vAlign w:val="center"/>
          </w:tcPr>
          <w:p w14:paraId="151D8AE2"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F2F2F2" w:themeFill="background1" w:themeFillShade="F2"/>
            <w:vAlign w:val="center"/>
          </w:tcPr>
          <w:p w14:paraId="2965B06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F2F2F2" w:themeFill="background1" w:themeFillShade="F2"/>
            <w:vAlign w:val="center"/>
          </w:tcPr>
          <w:p w14:paraId="3D2E4BD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342170A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F2F2F2" w:themeFill="background1" w:themeFillShade="F2"/>
            <w:vAlign w:val="center"/>
          </w:tcPr>
          <w:p w14:paraId="01EC34F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5DB9210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2234EAF4"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F2F2F2" w:themeFill="background1" w:themeFillShade="F2"/>
            <w:vAlign w:val="center"/>
          </w:tcPr>
          <w:p w14:paraId="6326623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5292AE1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F2F2F2" w:themeFill="background1" w:themeFillShade="F2"/>
            <w:vAlign w:val="center"/>
          </w:tcPr>
          <w:p w14:paraId="602CDD6D"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07D3762F" w14:textId="77777777" w:rsidTr="00281E2B">
        <w:trPr>
          <w:trHeight w:val="390"/>
          <w:jc w:val="center"/>
        </w:trPr>
        <w:tc>
          <w:tcPr>
            <w:tcW w:w="1384" w:type="dxa"/>
            <w:vMerge w:val="restart"/>
            <w:shd w:val="clear" w:color="auto" w:fill="auto"/>
            <w:vAlign w:val="center"/>
          </w:tcPr>
          <w:p w14:paraId="51251A90"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Rafael Landívar (URL), Guatemala</w:t>
            </w:r>
          </w:p>
        </w:tc>
        <w:tc>
          <w:tcPr>
            <w:tcW w:w="709" w:type="dxa"/>
            <w:vMerge w:val="restart"/>
            <w:shd w:val="clear" w:color="auto" w:fill="auto"/>
            <w:vAlign w:val="center"/>
          </w:tcPr>
          <w:p w14:paraId="1778E8B2" w14:textId="1F9503AC"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N</w:t>
            </w:r>
            <w:r w:rsidR="00194C36" w:rsidRPr="00194C36">
              <w:rPr>
                <w:rFonts w:ascii="Arial" w:eastAsiaTheme="minorEastAsia" w:hAnsi="Arial" w:cs="Arial"/>
                <w:sz w:val="16"/>
                <w:szCs w:val="16"/>
                <w:lang w:eastAsia="es-ES"/>
              </w:rPr>
              <w:t>o</w:t>
            </w:r>
          </w:p>
        </w:tc>
        <w:tc>
          <w:tcPr>
            <w:tcW w:w="1984" w:type="dxa"/>
            <w:shd w:val="clear" w:color="auto" w:fill="auto"/>
            <w:vAlign w:val="center"/>
          </w:tcPr>
          <w:p w14:paraId="1483BB1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Nutrición</w:t>
            </w:r>
          </w:p>
        </w:tc>
        <w:tc>
          <w:tcPr>
            <w:tcW w:w="2554" w:type="dxa"/>
            <w:shd w:val="clear" w:color="auto" w:fill="auto"/>
            <w:vAlign w:val="center"/>
          </w:tcPr>
          <w:p w14:paraId="1CAD7E08"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11001</w:t>
            </w:r>
          </w:p>
          <w:p w14:paraId="46C8CB7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Seguridad Alimentaria I (2024)</w:t>
            </w:r>
          </w:p>
        </w:tc>
        <w:tc>
          <w:tcPr>
            <w:tcW w:w="350" w:type="dxa"/>
            <w:shd w:val="clear" w:color="auto" w:fill="auto"/>
            <w:vAlign w:val="center"/>
          </w:tcPr>
          <w:p w14:paraId="2032E79B"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5BEBE87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04412DA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53819AD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2E1DF9E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F08FDEA"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2701E28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0E5C642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097B29D4"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55004E94"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14473C5B" w14:textId="77777777" w:rsidTr="00281E2B">
        <w:trPr>
          <w:trHeight w:val="345"/>
          <w:jc w:val="center"/>
        </w:trPr>
        <w:tc>
          <w:tcPr>
            <w:tcW w:w="1384" w:type="dxa"/>
            <w:vMerge/>
            <w:shd w:val="clear" w:color="auto" w:fill="auto"/>
            <w:vAlign w:val="center"/>
          </w:tcPr>
          <w:p w14:paraId="5669AA8F"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2EC126B6"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42F6EA23"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Ingeniería Agrícola</w:t>
            </w:r>
          </w:p>
        </w:tc>
        <w:tc>
          <w:tcPr>
            <w:tcW w:w="2554" w:type="dxa"/>
            <w:shd w:val="clear" w:color="auto" w:fill="auto"/>
            <w:vAlign w:val="center"/>
          </w:tcPr>
          <w:p w14:paraId="15810846"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Botánica 01 y 02 (2023)</w:t>
            </w:r>
          </w:p>
        </w:tc>
        <w:tc>
          <w:tcPr>
            <w:tcW w:w="350" w:type="dxa"/>
            <w:shd w:val="clear" w:color="auto" w:fill="auto"/>
            <w:vAlign w:val="center"/>
          </w:tcPr>
          <w:p w14:paraId="12272AD1"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03A24F0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04BF3EE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37DCD89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2E6E0D4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F00DA6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EC85BD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1777411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5507B81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242E0374"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r>
      <w:tr w:rsidR="00194C36" w:rsidRPr="00194C36" w14:paraId="1E903914" w14:textId="77777777" w:rsidTr="00281E2B">
        <w:trPr>
          <w:trHeight w:val="495"/>
          <w:jc w:val="center"/>
        </w:trPr>
        <w:tc>
          <w:tcPr>
            <w:tcW w:w="1384" w:type="dxa"/>
            <w:vMerge w:val="restart"/>
            <w:shd w:val="clear" w:color="auto" w:fill="auto"/>
            <w:vAlign w:val="center"/>
          </w:tcPr>
          <w:p w14:paraId="0BE31FE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Francisco Marroquín (UFM), Guatemala</w:t>
            </w:r>
          </w:p>
        </w:tc>
        <w:tc>
          <w:tcPr>
            <w:tcW w:w="709" w:type="dxa"/>
            <w:vMerge w:val="restart"/>
            <w:shd w:val="clear" w:color="auto" w:fill="auto"/>
            <w:vAlign w:val="center"/>
          </w:tcPr>
          <w:p w14:paraId="234C17F8" w14:textId="3F82438D"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N</w:t>
            </w:r>
            <w:r w:rsidR="00194C36" w:rsidRPr="00194C36">
              <w:rPr>
                <w:rFonts w:ascii="Arial" w:eastAsiaTheme="minorEastAsia" w:hAnsi="Arial" w:cs="Arial"/>
                <w:sz w:val="16"/>
                <w:szCs w:val="16"/>
                <w:lang w:eastAsia="es-ES"/>
              </w:rPr>
              <w:t>o</w:t>
            </w:r>
          </w:p>
        </w:tc>
        <w:tc>
          <w:tcPr>
            <w:tcW w:w="1984" w:type="dxa"/>
            <w:shd w:val="clear" w:color="auto" w:fill="auto"/>
            <w:vAlign w:val="center"/>
          </w:tcPr>
          <w:p w14:paraId="39405545"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Ciencias Jurídicas y Sociales</w:t>
            </w:r>
          </w:p>
        </w:tc>
        <w:tc>
          <w:tcPr>
            <w:tcW w:w="2554" w:type="dxa"/>
            <w:shd w:val="clear" w:color="auto" w:fill="auto"/>
            <w:vAlign w:val="center"/>
          </w:tcPr>
          <w:p w14:paraId="7413F92D"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Obligaciones Civiles I (2022)</w:t>
            </w:r>
          </w:p>
        </w:tc>
        <w:tc>
          <w:tcPr>
            <w:tcW w:w="350" w:type="dxa"/>
            <w:shd w:val="clear" w:color="auto" w:fill="auto"/>
            <w:vAlign w:val="center"/>
          </w:tcPr>
          <w:p w14:paraId="3D4B2DA2" w14:textId="77777777" w:rsidR="00194C36" w:rsidRPr="00194C36" w:rsidRDefault="00194C36" w:rsidP="00194C36">
            <w:pPr>
              <w:rPr>
                <w:rFonts w:ascii="Arial" w:eastAsiaTheme="minorEastAsia" w:hAnsi="Arial" w:cs="Arial"/>
                <w:sz w:val="16"/>
                <w:szCs w:val="16"/>
                <w:lang w:eastAsia="es-ES"/>
              </w:rPr>
            </w:pPr>
          </w:p>
        </w:tc>
        <w:tc>
          <w:tcPr>
            <w:tcW w:w="357" w:type="dxa"/>
            <w:shd w:val="clear" w:color="auto" w:fill="auto"/>
            <w:vAlign w:val="center"/>
          </w:tcPr>
          <w:p w14:paraId="0822641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2A67723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5D95A55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50F4A9A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551D94E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AE754D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7AD8E0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682F3E2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776FFED5"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45916BFB" w14:textId="77777777" w:rsidTr="00281E2B">
        <w:trPr>
          <w:trHeight w:val="420"/>
          <w:jc w:val="center"/>
        </w:trPr>
        <w:tc>
          <w:tcPr>
            <w:tcW w:w="1384" w:type="dxa"/>
            <w:vMerge/>
            <w:shd w:val="clear" w:color="auto" w:fill="auto"/>
            <w:vAlign w:val="center"/>
          </w:tcPr>
          <w:p w14:paraId="1DEA65F2"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4455B8CD"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279F59AE"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Ciencias Jurídicas y Sociales</w:t>
            </w:r>
          </w:p>
        </w:tc>
        <w:tc>
          <w:tcPr>
            <w:tcW w:w="2554" w:type="dxa"/>
            <w:shd w:val="clear" w:color="auto" w:fill="auto"/>
            <w:vAlign w:val="center"/>
          </w:tcPr>
          <w:p w14:paraId="27402D72"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Derecho Procesal Civil (2023)</w:t>
            </w:r>
          </w:p>
        </w:tc>
        <w:tc>
          <w:tcPr>
            <w:tcW w:w="350" w:type="dxa"/>
            <w:shd w:val="clear" w:color="auto" w:fill="auto"/>
            <w:vAlign w:val="center"/>
          </w:tcPr>
          <w:p w14:paraId="641C41F5"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2B1B422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4FC5861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67B61BD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5056C7C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2C3AA10A"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040D99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32E96C3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3FE8A649"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5B401C7A"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2BC7193D" w14:textId="77777777" w:rsidTr="00281E2B">
        <w:trPr>
          <w:jc w:val="center"/>
        </w:trPr>
        <w:tc>
          <w:tcPr>
            <w:tcW w:w="1384" w:type="dxa"/>
            <w:shd w:val="clear" w:color="auto" w:fill="auto"/>
            <w:vAlign w:val="center"/>
          </w:tcPr>
          <w:p w14:paraId="76E85917" w14:textId="77777777" w:rsidR="00194C36" w:rsidRPr="00194C36" w:rsidRDefault="00194C36" w:rsidP="00194C36">
            <w:pPr>
              <w:rPr>
                <w:rFonts w:ascii="Arial" w:eastAsiaTheme="minorEastAsia" w:hAnsi="Arial" w:cs="Arial"/>
                <w:sz w:val="16"/>
                <w:szCs w:val="16"/>
                <w:lang w:val="en-GB" w:eastAsia="es-ES"/>
              </w:rPr>
            </w:pPr>
            <w:r w:rsidRPr="00194C36">
              <w:rPr>
                <w:rFonts w:ascii="Arial" w:eastAsiaTheme="minorEastAsia" w:hAnsi="Arial" w:cs="Arial"/>
                <w:sz w:val="16"/>
                <w:szCs w:val="16"/>
                <w:lang w:val="en-GB" w:eastAsia="es-ES"/>
              </w:rPr>
              <w:t xml:space="preserve">University of Belize (UB), </w:t>
            </w:r>
            <w:proofErr w:type="spellStart"/>
            <w:r w:rsidRPr="00194C36">
              <w:rPr>
                <w:rFonts w:ascii="Arial" w:eastAsiaTheme="minorEastAsia" w:hAnsi="Arial" w:cs="Arial"/>
                <w:sz w:val="16"/>
                <w:szCs w:val="16"/>
                <w:lang w:val="en-GB" w:eastAsia="es-ES"/>
              </w:rPr>
              <w:t>Belice</w:t>
            </w:r>
            <w:proofErr w:type="spellEnd"/>
          </w:p>
        </w:tc>
        <w:tc>
          <w:tcPr>
            <w:tcW w:w="709" w:type="dxa"/>
            <w:shd w:val="clear" w:color="auto" w:fill="auto"/>
            <w:vAlign w:val="center"/>
          </w:tcPr>
          <w:p w14:paraId="4AAED08D" w14:textId="04F45DAE" w:rsidR="00194C36" w:rsidRPr="00194C36" w:rsidRDefault="009F710C" w:rsidP="00194C36">
            <w:pPr>
              <w:jc w:val="center"/>
              <w:rPr>
                <w:rFonts w:ascii="Arial" w:eastAsiaTheme="minorEastAsia" w:hAnsi="Arial" w:cs="Arial"/>
                <w:sz w:val="16"/>
                <w:szCs w:val="16"/>
                <w:lang w:val="en-GB" w:eastAsia="es-ES"/>
              </w:rPr>
            </w:pPr>
            <w:proofErr w:type="spellStart"/>
            <w:r w:rsidRPr="00194C36">
              <w:rPr>
                <w:rFonts w:ascii="Arial" w:eastAsiaTheme="minorEastAsia" w:hAnsi="Arial" w:cs="Arial"/>
                <w:sz w:val="16"/>
                <w:szCs w:val="16"/>
                <w:lang w:val="en-GB" w:eastAsia="es-ES"/>
              </w:rPr>
              <w:t>S</w:t>
            </w:r>
            <w:r w:rsidR="00194C36" w:rsidRPr="00194C36">
              <w:rPr>
                <w:rFonts w:ascii="Arial" w:eastAsiaTheme="minorEastAsia" w:hAnsi="Arial" w:cs="Arial"/>
                <w:sz w:val="16"/>
                <w:szCs w:val="16"/>
                <w:lang w:val="en-GB" w:eastAsia="es-ES"/>
              </w:rPr>
              <w:t>í</w:t>
            </w:r>
            <w:proofErr w:type="spellEnd"/>
          </w:p>
        </w:tc>
        <w:tc>
          <w:tcPr>
            <w:tcW w:w="1984" w:type="dxa"/>
            <w:shd w:val="clear" w:color="auto" w:fill="auto"/>
            <w:vAlign w:val="center"/>
          </w:tcPr>
          <w:p w14:paraId="2F837B2E" w14:textId="77777777" w:rsidR="00194C36" w:rsidRPr="00194C36" w:rsidRDefault="00194C36" w:rsidP="00194C36">
            <w:pPr>
              <w:rPr>
                <w:rFonts w:ascii="Arial" w:eastAsiaTheme="minorEastAsia" w:hAnsi="Arial" w:cs="Arial"/>
                <w:sz w:val="16"/>
                <w:szCs w:val="16"/>
                <w:lang w:val="en-GB" w:eastAsia="es-ES"/>
              </w:rPr>
            </w:pPr>
            <w:r w:rsidRPr="00194C36">
              <w:rPr>
                <w:rFonts w:ascii="Arial" w:eastAsiaTheme="minorEastAsia" w:hAnsi="Arial" w:cs="Arial"/>
                <w:sz w:val="16"/>
                <w:szCs w:val="16"/>
                <w:lang w:val="en-GB" w:eastAsia="es-ES"/>
              </w:rPr>
              <w:t>Bach. of Accounting</w:t>
            </w:r>
          </w:p>
        </w:tc>
        <w:tc>
          <w:tcPr>
            <w:tcW w:w="2554" w:type="dxa"/>
            <w:shd w:val="clear" w:color="auto" w:fill="auto"/>
            <w:vAlign w:val="center"/>
          </w:tcPr>
          <w:p w14:paraId="621951E6" w14:textId="77777777" w:rsidR="00194C36" w:rsidRPr="00194C36" w:rsidRDefault="00194C36" w:rsidP="00194C36">
            <w:pPr>
              <w:rPr>
                <w:rFonts w:ascii="Arial" w:eastAsiaTheme="minorEastAsia" w:hAnsi="Arial" w:cs="Arial"/>
                <w:sz w:val="16"/>
                <w:szCs w:val="16"/>
                <w:lang w:val="en-GB" w:eastAsia="es-ES"/>
              </w:rPr>
            </w:pPr>
            <w:r w:rsidRPr="00194C36">
              <w:rPr>
                <w:rFonts w:ascii="Arial" w:eastAsiaTheme="minorEastAsia" w:hAnsi="Arial" w:cs="Arial"/>
                <w:sz w:val="16"/>
                <w:szCs w:val="16"/>
                <w:lang w:val="en-GB" w:eastAsia="es-ES"/>
              </w:rPr>
              <w:t>ACTG-4011</w:t>
            </w:r>
          </w:p>
          <w:p w14:paraId="0067DB9F" w14:textId="77777777" w:rsidR="00194C36" w:rsidRPr="00194C36" w:rsidRDefault="00194C36" w:rsidP="00194C36">
            <w:pPr>
              <w:rPr>
                <w:rFonts w:ascii="Arial" w:eastAsiaTheme="minorEastAsia" w:hAnsi="Arial" w:cs="Arial"/>
                <w:sz w:val="16"/>
                <w:szCs w:val="16"/>
                <w:lang w:val="en-GB" w:eastAsia="es-ES"/>
              </w:rPr>
            </w:pPr>
            <w:r w:rsidRPr="00194C36">
              <w:rPr>
                <w:rFonts w:ascii="Arial" w:eastAsiaTheme="minorEastAsia" w:hAnsi="Arial" w:cs="Arial"/>
                <w:sz w:val="16"/>
                <w:szCs w:val="16"/>
                <w:lang w:val="en-GB" w:eastAsia="es-ES"/>
              </w:rPr>
              <w:t>Advance Financial Accounting 1 (2023)</w:t>
            </w:r>
          </w:p>
        </w:tc>
        <w:tc>
          <w:tcPr>
            <w:tcW w:w="350" w:type="dxa"/>
            <w:shd w:val="clear" w:color="auto" w:fill="auto"/>
            <w:vAlign w:val="center"/>
          </w:tcPr>
          <w:p w14:paraId="2B6107EE" w14:textId="77777777" w:rsidR="00194C36" w:rsidRPr="00194C36" w:rsidRDefault="00194C36" w:rsidP="00194C36">
            <w:pPr>
              <w:jc w:val="center"/>
              <w:rPr>
                <w:rFonts w:ascii="Arial" w:eastAsiaTheme="minorEastAsia" w:hAnsi="Arial" w:cs="Arial"/>
                <w:sz w:val="16"/>
                <w:szCs w:val="16"/>
                <w:lang w:val="en-GB" w:eastAsia="es-ES"/>
              </w:rPr>
            </w:pPr>
          </w:p>
        </w:tc>
        <w:tc>
          <w:tcPr>
            <w:tcW w:w="357" w:type="dxa"/>
            <w:shd w:val="clear" w:color="auto" w:fill="auto"/>
            <w:vAlign w:val="center"/>
          </w:tcPr>
          <w:p w14:paraId="4479EC89" w14:textId="77777777" w:rsidR="00194C36" w:rsidRPr="00194C36" w:rsidRDefault="00194C36" w:rsidP="00194C36">
            <w:pPr>
              <w:jc w:val="center"/>
              <w:rPr>
                <w:rFonts w:ascii="Arial" w:eastAsiaTheme="minorEastAsia" w:hAnsi="Arial" w:cs="Arial"/>
                <w:sz w:val="16"/>
                <w:szCs w:val="16"/>
                <w:lang w:val="en-GB" w:eastAsia="es-ES"/>
              </w:rPr>
            </w:pPr>
            <w:r w:rsidRPr="00194C36">
              <w:rPr>
                <w:rFonts w:ascii="Arial" w:eastAsiaTheme="minorEastAsia" w:hAnsi="Arial" w:cs="Arial"/>
                <w:sz w:val="16"/>
                <w:szCs w:val="16"/>
                <w:lang w:val="en-GB" w:eastAsia="es-ES"/>
              </w:rPr>
              <w:t>x</w:t>
            </w:r>
          </w:p>
        </w:tc>
        <w:tc>
          <w:tcPr>
            <w:tcW w:w="343" w:type="dxa"/>
            <w:shd w:val="clear" w:color="auto" w:fill="auto"/>
            <w:vAlign w:val="center"/>
          </w:tcPr>
          <w:p w14:paraId="1474190A" w14:textId="77777777" w:rsidR="00194C36" w:rsidRPr="00194C36" w:rsidRDefault="00194C36" w:rsidP="00194C36">
            <w:pPr>
              <w:jc w:val="center"/>
              <w:rPr>
                <w:rFonts w:ascii="Arial" w:eastAsiaTheme="minorEastAsia" w:hAnsi="Arial" w:cs="Arial"/>
                <w:sz w:val="16"/>
                <w:szCs w:val="16"/>
                <w:lang w:val="en-GB" w:eastAsia="es-ES"/>
              </w:rPr>
            </w:pPr>
            <w:r w:rsidRPr="00194C36">
              <w:rPr>
                <w:rFonts w:ascii="Arial" w:eastAsiaTheme="minorEastAsia" w:hAnsi="Arial" w:cs="Arial"/>
                <w:sz w:val="16"/>
                <w:szCs w:val="16"/>
                <w:lang w:val="en-GB" w:eastAsia="es-ES"/>
              </w:rPr>
              <w:t>x</w:t>
            </w:r>
          </w:p>
        </w:tc>
        <w:tc>
          <w:tcPr>
            <w:tcW w:w="336" w:type="dxa"/>
            <w:shd w:val="clear" w:color="auto" w:fill="auto"/>
            <w:vAlign w:val="center"/>
          </w:tcPr>
          <w:p w14:paraId="44F1633C" w14:textId="77777777" w:rsidR="00194C36" w:rsidRPr="00194C36" w:rsidRDefault="00194C36" w:rsidP="00194C36">
            <w:pPr>
              <w:jc w:val="center"/>
              <w:rPr>
                <w:rFonts w:ascii="Arial" w:eastAsiaTheme="minorEastAsia" w:hAnsi="Arial" w:cs="Arial"/>
                <w:sz w:val="16"/>
                <w:szCs w:val="16"/>
                <w:lang w:val="en-GB" w:eastAsia="es-ES"/>
              </w:rPr>
            </w:pPr>
            <w:r w:rsidRPr="00194C36">
              <w:rPr>
                <w:rFonts w:ascii="Arial" w:eastAsiaTheme="minorEastAsia" w:hAnsi="Arial" w:cs="Arial"/>
                <w:sz w:val="16"/>
                <w:szCs w:val="16"/>
                <w:lang w:val="en-GB" w:eastAsia="es-ES"/>
              </w:rPr>
              <w:t>x</w:t>
            </w:r>
          </w:p>
        </w:tc>
        <w:tc>
          <w:tcPr>
            <w:tcW w:w="364" w:type="dxa"/>
            <w:shd w:val="clear" w:color="auto" w:fill="auto"/>
            <w:vAlign w:val="center"/>
          </w:tcPr>
          <w:p w14:paraId="7B78BD06" w14:textId="77777777" w:rsidR="00194C36" w:rsidRPr="00194C36" w:rsidRDefault="00194C36" w:rsidP="00194C36">
            <w:pPr>
              <w:jc w:val="center"/>
              <w:rPr>
                <w:rFonts w:ascii="Arial" w:eastAsiaTheme="minorEastAsia" w:hAnsi="Arial" w:cs="Arial"/>
                <w:sz w:val="16"/>
                <w:szCs w:val="16"/>
                <w:lang w:val="en-GB" w:eastAsia="es-ES"/>
              </w:rPr>
            </w:pPr>
            <w:r w:rsidRPr="00194C36">
              <w:rPr>
                <w:rFonts w:ascii="Arial" w:eastAsiaTheme="minorEastAsia" w:hAnsi="Arial" w:cs="Arial"/>
                <w:sz w:val="16"/>
                <w:szCs w:val="16"/>
                <w:lang w:val="en-GB" w:eastAsia="es-ES"/>
              </w:rPr>
              <w:t>x</w:t>
            </w:r>
          </w:p>
        </w:tc>
        <w:tc>
          <w:tcPr>
            <w:tcW w:w="350" w:type="dxa"/>
            <w:shd w:val="clear" w:color="auto" w:fill="auto"/>
            <w:vAlign w:val="center"/>
          </w:tcPr>
          <w:p w14:paraId="61F89347" w14:textId="77777777" w:rsidR="00194C36" w:rsidRPr="00194C36" w:rsidRDefault="00194C36" w:rsidP="00194C36">
            <w:pPr>
              <w:jc w:val="center"/>
              <w:rPr>
                <w:rFonts w:ascii="Arial" w:eastAsiaTheme="minorEastAsia" w:hAnsi="Arial" w:cs="Arial"/>
                <w:sz w:val="16"/>
                <w:szCs w:val="16"/>
                <w:lang w:val="en-GB" w:eastAsia="es-ES"/>
              </w:rPr>
            </w:pPr>
            <w:r w:rsidRPr="00194C36">
              <w:rPr>
                <w:rFonts w:ascii="Arial" w:eastAsiaTheme="minorEastAsia" w:hAnsi="Arial" w:cs="Arial"/>
                <w:sz w:val="16"/>
                <w:szCs w:val="16"/>
                <w:lang w:val="en-GB" w:eastAsia="es-ES"/>
              </w:rPr>
              <w:t>x</w:t>
            </w:r>
          </w:p>
        </w:tc>
        <w:tc>
          <w:tcPr>
            <w:tcW w:w="350" w:type="dxa"/>
            <w:shd w:val="clear" w:color="auto" w:fill="auto"/>
            <w:vAlign w:val="center"/>
          </w:tcPr>
          <w:p w14:paraId="1836EDA0" w14:textId="77777777" w:rsidR="00194C36" w:rsidRPr="00194C36" w:rsidRDefault="00194C36" w:rsidP="00194C36">
            <w:pPr>
              <w:jc w:val="center"/>
              <w:rPr>
                <w:rFonts w:ascii="Arial" w:eastAsiaTheme="minorEastAsia" w:hAnsi="Arial" w:cs="Arial"/>
                <w:sz w:val="16"/>
                <w:szCs w:val="16"/>
                <w:lang w:val="en-GB" w:eastAsia="es-ES"/>
              </w:rPr>
            </w:pPr>
            <w:r w:rsidRPr="00194C36">
              <w:rPr>
                <w:rFonts w:ascii="Arial" w:eastAsiaTheme="minorEastAsia" w:hAnsi="Arial" w:cs="Arial"/>
                <w:sz w:val="16"/>
                <w:szCs w:val="16"/>
                <w:lang w:val="en-GB" w:eastAsia="es-ES"/>
              </w:rPr>
              <w:t>x</w:t>
            </w:r>
          </w:p>
        </w:tc>
        <w:tc>
          <w:tcPr>
            <w:tcW w:w="350" w:type="dxa"/>
            <w:shd w:val="clear" w:color="auto" w:fill="auto"/>
            <w:vAlign w:val="center"/>
          </w:tcPr>
          <w:p w14:paraId="0E46DD02" w14:textId="77777777" w:rsidR="00194C36" w:rsidRPr="00194C36" w:rsidRDefault="00194C36" w:rsidP="00194C36">
            <w:pPr>
              <w:jc w:val="center"/>
              <w:rPr>
                <w:rFonts w:ascii="Arial" w:eastAsiaTheme="minorEastAsia" w:hAnsi="Arial" w:cs="Arial"/>
                <w:sz w:val="16"/>
                <w:szCs w:val="16"/>
                <w:lang w:val="en-GB" w:eastAsia="es-ES"/>
              </w:rPr>
            </w:pPr>
            <w:r w:rsidRPr="00194C36">
              <w:rPr>
                <w:rFonts w:ascii="Arial" w:eastAsiaTheme="minorEastAsia" w:hAnsi="Arial" w:cs="Arial"/>
                <w:sz w:val="16"/>
                <w:szCs w:val="16"/>
                <w:lang w:val="en-GB" w:eastAsia="es-ES"/>
              </w:rPr>
              <w:t>x</w:t>
            </w:r>
          </w:p>
        </w:tc>
        <w:tc>
          <w:tcPr>
            <w:tcW w:w="336" w:type="dxa"/>
            <w:shd w:val="clear" w:color="auto" w:fill="auto"/>
            <w:vAlign w:val="center"/>
          </w:tcPr>
          <w:p w14:paraId="4F994CF3" w14:textId="77777777" w:rsidR="00194C36" w:rsidRPr="00194C36" w:rsidRDefault="00194C36" w:rsidP="00194C36">
            <w:pPr>
              <w:jc w:val="center"/>
              <w:rPr>
                <w:rFonts w:ascii="Arial" w:eastAsiaTheme="minorEastAsia" w:hAnsi="Arial" w:cs="Arial"/>
                <w:sz w:val="16"/>
                <w:szCs w:val="16"/>
                <w:lang w:val="en-GB" w:eastAsia="es-ES"/>
              </w:rPr>
            </w:pPr>
            <w:r w:rsidRPr="00194C36">
              <w:rPr>
                <w:rFonts w:ascii="Arial" w:eastAsiaTheme="minorEastAsia" w:hAnsi="Arial" w:cs="Arial"/>
                <w:sz w:val="16"/>
                <w:szCs w:val="16"/>
                <w:lang w:val="en-GB" w:eastAsia="es-ES"/>
              </w:rPr>
              <w:t>x</w:t>
            </w:r>
          </w:p>
        </w:tc>
        <w:tc>
          <w:tcPr>
            <w:tcW w:w="336" w:type="dxa"/>
            <w:shd w:val="clear" w:color="auto" w:fill="auto"/>
            <w:vAlign w:val="center"/>
          </w:tcPr>
          <w:p w14:paraId="4729DB19" w14:textId="77777777" w:rsidR="00194C36" w:rsidRPr="00194C36" w:rsidRDefault="00194C36" w:rsidP="00194C36">
            <w:pPr>
              <w:jc w:val="center"/>
              <w:rPr>
                <w:rFonts w:ascii="Arial" w:eastAsiaTheme="minorEastAsia" w:hAnsi="Arial" w:cs="Arial"/>
                <w:sz w:val="16"/>
                <w:szCs w:val="16"/>
                <w:lang w:val="en-GB" w:eastAsia="es-ES"/>
              </w:rPr>
            </w:pPr>
          </w:p>
        </w:tc>
      </w:tr>
      <w:tr w:rsidR="00194C36" w:rsidRPr="00194C36" w14:paraId="5A870E67" w14:textId="77777777" w:rsidTr="00281E2B">
        <w:trPr>
          <w:trHeight w:val="547"/>
          <w:jc w:val="center"/>
        </w:trPr>
        <w:tc>
          <w:tcPr>
            <w:tcW w:w="1384" w:type="dxa"/>
            <w:vMerge w:val="restart"/>
            <w:shd w:val="clear" w:color="auto" w:fill="auto"/>
            <w:vAlign w:val="center"/>
          </w:tcPr>
          <w:p w14:paraId="101FF3C2"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Universidad Autónoma de Santo Domingo (UASD), República Dominicana</w:t>
            </w:r>
          </w:p>
        </w:tc>
        <w:tc>
          <w:tcPr>
            <w:tcW w:w="709" w:type="dxa"/>
            <w:vMerge w:val="restart"/>
            <w:shd w:val="clear" w:color="auto" w:fill="auto"/>
            <w:vAlign w:val="center"/>
          </w:tcPr>
          <w:p w14:paraId="34D70E9A" w14:textId="6B7D09B5"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N</w:t>
            </w:r>
            <w:r w:rsidR="00194C36" w:rsidRPr="00194C36">
              <w:rPr>
                <w:rFonts w:ascii="Arial" w:eastAsiaTheme="minorEastAsia" w:hAnsi="Arial" w:cs="Arial"/>
                <w:sz w:val="16"/>
                <w:szCs w:val="16"/>
                <w:lang w:eastAsia="es-ES"/>
              </w:rPr>
              <w:t>o</w:t>
            </w:r>
          </w:p>
        </w:tc>
        <w:tc>
          <w:tcPr>
            <w:tcW w:w="1984" w:type="dxa"/>
            <w:shd w:val="clear" w:color="auto" w:fill="auto"/>
            <w:vAlign w:val="center"/>
          </w:tcPr>
          <w:p w14:paraId="3957FB78"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Agrimensura</w:t>
            </w:r>
          </w:p>
        </w:tc>
        <w:tc>
          <w:tcPr>
            <w:tcW w:w="2554" w:type="dxa"/>
            <w:shd w:val="clear" w:color="auto" w:fill="auto"/>
            <w:vAlign w:val="center"/>
          </w:tcPr>
          <w:p w14:paraId="7F56F60B"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AGM-3402</w:t>
            </w:r>
          </w:p>
          <w:p w14:paraId="462A00D4"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Geodesia Espacial (2019)</w:t>
            </w:r>
          </w:p>
        </w:tc>
        <w:tc>
          <w:tcPr>
            <w:tcW w:w="350" w:type="dxa"/>
            <w:shd w:val="clear" w:color="auto" w:fill="auto"/>
            <w:vAlign w:val="center"/>
          </w:tcPr>
          <w:p w14:paraId="546E902B"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309DA294"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2A72E34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14850623"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4E49382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69FCA016"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1B965D5C"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7288657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75A883C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5CD46081"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r>
      <w:tr w:rsidR="00194C36" w:rsidRPr="00194C36" w14:paraId="65E1A48C" w14:textId="77777777" w:rsidTr="00281E2B">
        <w:trPr>
          <w:trHeight w:val="635"/>
          <w:jc w:val="center"/>
        </w:trPr>
        <w:tc>
          <w:tcPr>
            <w:tcW w:w="1384" w:type="dxa"/>
            <w:vMerge/>
            <w:shd w:val="clear" w:color="auto" w:fill="auto"/>
            <w:vAlign w:val="center"/>
          </w:tcPr>
          <w:p w14:paraId="0A406195"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vAlign w:val="center"/>
          </w:tcPr>
          <w:p w14:paraId="62EC54A3" w14:textId="77777777" w:rsidR="00194C36" w:rsidRPr="00194C36" w:rsidRDefault="00194C36" w:rsidP="00194C36">
            <w:pPr>
              <w:jc w:val="center"/>
              <w:rPr>
                <w:rFonts w:ascii="Arial" w:eastAsiaTheme="minorEastAsia" w:hAnsi="Arial" w:cs="Arial"/>
                <w:sz w:val="16"/>
                <w:szCs w:val="16"/>
                <w:lang w:eastAsia="es-ES"/>
              </w:rPr>
            </w:pPr>
          </w:p>
        </w:tc>
        <w:tc>
          <w:tcPr>
            <w:tcW w:w="1984" w:type="dxa"/>
            <w:shd w:val="clear" w:color="auto" w:fill="auto"/>
            <w:vAlign w:val="center"/>
          </w:tcPr>
          <w:p w14:paraId="1F77E44F"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de Física</w:t>
            </w:r>
          </w:p>
        </w:tc>
        <w:tc>
          <w:tcPr>
            <w:tcW w:w="2554" w:type="dxa"/>
            <w:shd w:val="clear" w:color="auto" w:fill="auto"/>
            <w:vAlign w:val="center"/>
          </w:tcPr>
          <w:p w14:paraId="557E5E2D"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MAT-0140</w:t>
            </w:r>
          </w:p>
          <w:p w14:paraId="6BEFB604"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Matemática Básica (2016)</w:t>
            </w:r>
          </w:p>
        </w:tc>
        <w:tc>
          <w:tcPr>
            <w:tcW w:w="350" w:type="dxa"/>
            <w:shd w:val="clear" w:color="auto" w:fill="auto"/>
            <w:vAlign w:val="center"/>
          </w:tcPr>
          <w:p w14:paraId="6626B734"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764F3A8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58862C4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2E5E9A8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7E5C1AD7"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2E7EA178"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B0539B5"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2283A8AD"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2FEAB91C"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5ACC2CD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r>
      <w:tr w:rsidR="00194C36" w:rsidRPr="00194C36" w14:paraId="01A55268" w14:textId="77777777" w:rsidTr="00281E2B">
        <w:trPr>
          <w:trHeight w:val="600"/>
          <w:jc w:val="center"/>
        </w:trPr>
        <w:tc>
          <w:tcPr>
            <w:tcW w:w="1384" w:type="dxa"/>
            <w:vMerge w:val="restart"/>
            <w:shd w:val="clear" w:color="auto" w:fill="auto"/>
            <w:vAlign w:val="center"/>
          </w:tcPr>
          <w:p w14:paraId="1C728AA5"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Pontificia Universidad Católica Madre y Maestra (PUCMM), República Dominicana</w:t>
            </w:r>
          </w:p>
        </w:tc>
        <w:tc>
          <w:tcPr>
            <w:tcW w:w="709" w:type="dxa"/>
            <w:vMerge w:val="restart"/>
            <w:shd w:val="clear" w:color="auto" w:fill="auto"/>
            <w:vAlign w:val="center"/>
          </w:tcPr>
          <w:p w14:paraId="713D921D" w14:textId="5724B449" w:rsidR="00194C36" w:rsidRPr="00194C36" w:rsidRDefault="009F710C"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N</w:t>
            </w:r>
            <w:r w:rsidR="00194C36" w:rsidRPr="00194C36">
              <w:rPr>
                <w:rFonts w:ascii="Arial" w:eastAsiaTheme="minorEastAsia" w:hAnsi="Arial" w:cs="Arial"/>
                <w:sz w:val="16"/>
                <w:szCs w:val="16"/>
                <w:lang w:eastAsia="es-ES"/>
              </w:rPr>
              <w:t>o</w:t>
            </w:r>
          </w:p>
        </w:tc>
        <w:tc>
          <w:tcPr>
            <w:tcW w:w="1984" w:type="dxa"/>
            <w:shd w:val="clear" w:color="auto" w:fill="auto"/>
            <w:vAlign w:val="center"/>
          </w:tcPr>
          <w:p w14:paraId="621B48E3"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Bach. en Ingeniería Mecánica</w:t>
            </w:r>
          </w:p>
        </w:tc>
        <w:tc>
          <w:tcPr>
            <w:tcW w:w="2554" w:type="dxa"/>
            <w:shd w:val="clear" w:color="auto" w:fill="auto"/>
            <w:vAlign w:val="center"/>
          </w:tcPr>
          <w:p w14:paraId="4BC80B19"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IIS-233</w:t>
            </w:r>
          </w:p>
          <w:p w14:paraId="545EA7BB"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Probabilidad y Estadística para Ingenieros (2016)</w:t>
            </w:r>
          </w:p>
        </w:tc>
        <w:tc>
          <w:tcPr>
            <w:tcW w:w="350" w:type="dxa"/>
            <w:shd w:val="clear" w:color="auto" w:fill="auto"/>
            <w:vAlign w:val="center"/>
          </w:tcPr>
          <w:p w14:paraId="4E558F1E" w14:textId="77777777" w:rsidR="00194C36" w:rsidRPr="00194C36" w:rsidRDefault="00194C36" w:rsidP="00194C36">
            <w:pPr>
              <w:jc w:val="center"/>
              <w:rPr>
                <w:rFonts w:ascii="Arial" w:eastAsiaTheme="minorEastAsia" w:hAnsi="Arial" w:cs="Arial"/>
                <w:sz w:val="16"/>
                <w:szCs w:val="16"/>
                <w:lang w:eastAsia="es-ES"/>
              </w:rPr>
            </w:pPr>
          </w:p>
        </w:tc>
        <w:tc>
          <w:tcPr>
            <w:tcW w:w="357" w:type="dxa"/>
            <w:shd w:val="clear" w:color="auto" w:fill="auto"/>
            <w:vAlign w:val="center"/>
          </w:tcPr>
          <w:p w14:paraId="4360581A"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6220ADFE"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1ABFCD3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4B310FBF"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3435FEE2"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167FFE8B"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4754D730" w14:textId="77777777" w:rsidR="00194C36" w:rsidRPr="00194C36" w:rsidRDefault="00194C36" w:rsidP="00194C36">
            <w:pPr>
              <w:jc w:val="cente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1CD02B39" w14:textId="77777777" w:rsidR="00194C36" w:rsidRPr="00194C36" w:rsidRDefault="00194C36" w:rsidP="00194C36">
            <w:pPr>
              <w:jc w:val="center"/>
              <w:rPr>
                <w:rFonts w:ascii="Arial" w:eastAsiaTheme="minorEastAsia" w:hAnsi="Arial" w:cs="Arial"/>
                <w:sz w:val="16"/>
                <w:szCs w:val="16"/>
                <w:lang w:eastAsia="es-ES"/>
              </w:rPr>
            </w:pPr>
          </w:p>
        </w:tc>
        <w:tc>
          <w:tcPr>
            <w:tcW w:w="336" w:type="dxa"/>
            <w:shd w:val="clear" w:color="auto" w:fill="auto"/>
            <w:vAlign w:val="center"/>
          </w:tcPr>
          <w:p w14:paraId="7916FAED" w14:textId="77777777" w:rsidR="00194C36" w:rsidRPr="00194C36" w:rsidRDefault="00194C36" w:rsidP="00194C36">
            <w:pPr>
              <w:jc w:val="center"/>
              <w:rPr>
                <w:rFonts w:ascii="Arial" w:eastAsiaTheme="minorEastAsia" w:hAnsi="Arial" w:cs="Arial"/>
                <w:sz w:val="16"/>
                <w:szCs w:val="16"/>
                <w:lang w:eastAsia="es-ES"/>
              </w:rPr>
            </w:pPr>
          </w:p>
        </w:tc>
      </w:tr>
      <w:tr w:rsidR="00194C36" w:rsidRPr="00194C36" w14:paraId="2BF5EF42" w14:textId="77777777" w:rsidTr="00281E2B">
        <w:trPr>
          <w:trHeight w:val="684"/>
          <w:jc w:val="center"/>
        </w:trPr>
        <w:tc>
          <w:tcPr>
            <w:tcW w:w="1384" w:type="dxa"/>
            <w:vMerge/>
            <w:shd w:val="clear" w:color="auto" w:fill="auto"/>
            <w:vAlign w:val="center"/>
          </w:tcPr>
          <w:p w14:paraId="3E572072" w14:textId="77777777" w:rsidR="00194C36" w:rsidRPr="00194C36" w:rsidRDefault="00194C36" w:rsidP="00194C36">
            <w:pPr>
              <w:rPr>
                <w:rFonts w:ascii="Arial" w:eastAsiaTheme="minorEastAsia" w:hAnsi="Arial" w:cs="Arial"/>
                <w:sz w:val="16"/>
                <w:szCs w:val="16"/>
                <w:lang w:eastAsia="es-ES"/>
              </w:rPr>
            </w:pPr>
          </w:p>
        </w:tc>
        <w:tc>
          <w:tcPr>
            <w:tcW w:w="709" w:type="dxa"/>
            <w:vMerge/>
            <w:shd w:val="clear" w:color="auto" w:fill="auto"/>
          </w:tcPr>
          <w:p w14:paraId="2F8485E4" w14:textId="77777777" w:rsidR="00194C36" w:rsidRPr="00194C36" w:rsidRDefault="00194C36" w:rsidP="00194C36">
            <w:pPr>
              <w:rPr>
                <w:rFonts w:ascii="Arial" w:eastAsiaTheme="minorEastAsia" w:hAnsi="Arial" w:cs="Arial"/>
                <w:sz w:val="16"/>
                <w:szCs w:val="16"/>
                <w:lang w:eastAsia="es-ES"/>
              </w:rPr>
            </w:pPr>
          </w:p>
        </w:tc>
        <w:tc>
          <w:tcPr>
            <w:tcW w:w="1984" w:type="dxa"/>
            <w:shd w:val="clear" w:color="auto" w:fill="auto"/>
            <w:vAlign w:val="center"/>
          </w:tcPr>
          <w:p w14:paraId="0A113DEB"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 en Arquitectura</w:t>
            </w:r>
          </w:p>
        </w:tc>
        <w:tc>
          <w:tcPr>
            <w:tcW w:w="2554" w:type="dxa"/>
            <w:shd w:val="clear" w:color="auto" w:fill="auto"/>
            <w:vAlign w:val="center"/>
          </w:tcPr>
          <w:p w14:paraId="52811BC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ARQ-353-T</w:t>
            </w:r>
          </w:p>
          <w:p w14:paraId="3E13EFCC"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Arquitectura Bioclimática (2022)</w:t>
            </w:r>
          </w:p>
        </w:tc>
        <w:tc>
          <w:tcPr>
            <w:tcW w:w="350" w:type="dxa"/>
            <w:shd w:val="clear" w:color="auto" w:fill="auto"/>
            <w:vAlign w:val="center"/>
          </w:tcPr>
          <w:p w14:paraId="1DE32FAA" w14:textId="77777777" w:rsidR="00194C36" w:rsidRPr="00194C36" w:rsidRDefault="00194C36" w:rsidP="00194C36">
            <w:pPr>
              <w:rPr>
                <w:rFonts w:ascii="Arial" w:eastAsiaTheme="minorEastAsia" w:hAnsi="Arial" w:cs="Arial"/>
                <w:sz w:val="16"/>
                <w:szCs w:val="16"/>
                <w:lang w:eastAsia="es-ES"/>
              </w:rPr>
            </w:pPr>
          </w:p>
        </w:tc>
        <w:tc>
          <w:tcPr>
            <w:tcW w:w="357" w:type="dxa"/>
            <w:shd w:val="clear" w:color="auto" w:fill="auto"/>
            <w:vAlign w:val="center"/>
          </w:tcPr>
          <w:p w14:paraId="2FA85C55"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43" w:type="dxa"/>
            <w:shd w:val="clear" w:color="auto" w:fill="auto"/>
            <w:vAlign w:val="center"/>
          </w:tcPr>
          <w:p w14:paraId="68EAFEF8"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1A4464FC"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64" w:type="dxa"/>
            <w:shd w:val="clear" w:color="auto" w:fill="auto"/>
            <w:vAlign w:val="center"/>
          </w:tcPr>
          <w:p w14:paraId="4CE2D8CF"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35A45F0E"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7DDF7E77"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50" w:type="dxa"/>
            <w:shd w:val="clear" w:color="auto" w:fill="auto"/>
            <w:vAlign w:val="center"/>
          </w:tcPr>
          <w:p w14:paraId="02038808"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x</w:t>
            </w:r>
          </w:p>
        </w:tc>
        <w:tc>
          <w:tcPr>
            <w:tcW w:w="336" w:type="dxa"/>
            <w:shd w:val="clear" w:color="auto" w:fill="auto"/>
            <w:vAlign w:val="center"/>
          </w:tcPr>
          <w:p w14:paraId="5C86447D" w14:textId="77777777" w:rsidR="00194C36" w:rsidRPr="00194C36" w:rsidRDefault="00194C36" w:rsidP="00194C36">
            <w:pPr>
              <w:rPr>
                <w:rFonts w:ascii="Arial" w:eastAsiaTheme="minorEastAsia" w:hAnsi="Arial" w:cs="Arial"/>
                <w:sz w:val="16"/>
                <w:szCs w:val="16"/>
                <w:lang w:eastAsia="es-ES"/>
              </w:rPr>
            </w:pPr>
          </w:p>
        </w:tc>
        <w:tc>
          <w:tcPr>
            <w:tcW w:w="336" w:type="dxa"/>
            <w:shd w:val="clear" w:color="auto" w:fill="auto"/>
            <w:vAlign w:val="center"/>
          </w:tcPr>
          <w:p w14:paraId="25FE6859" w14:textId="77777777" w:rsidR="00194C36" w:rsidRPr="00194C36" w:rsidRDefault="00194C36" w:rsidP="00194C36">
            <w:pPr>
              <w:rPr>
                <w:rFonts w:ascii="Arial" w:eastAsiaTheme="minorEastAsia" w:hAnsi="Arial" w:cs="Arial"/>
                <w:sz w:val="16"/>
                <w:szCs w:val="16"/>
                <w:lang w:eastAsia="es-ES"/>
              </w:rPr>
            </w:pPr>
          </w:p>
        </w:tc>
      </w:tr>
      <w:tr w:rsidR="00194C36" w:rsidRPr="00194C36" w14:paraId="56263D14" w14:textId="77777777" w:rsidTr="00281E2B">
        <w:trPr>
          <w:trHeight w:val="522"/>
          <w:jc w:val="center"/>
        </w:trPr>
        <w:tc>
          <w:tcPr>
            <w:tcW w:w="1384" w:type="dxa"/>
            <w:shd w:val="clear" w:color="auto" w:fill="D9D9D9" w:themeFill="background1" w:themeFillShade="D9"/>
            <w:vAlign w:val="center"/>
          </w:tcPr>
          <w:p w14:paraId="14E8710D"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21 universidad.,</w:t>
            </w:r>
          </w:p>
          <w:p w14:paraId="3445AA6F"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8 países</w:t>
            </w:r>
          </w:p>
        </w:tc>
        <w:tc>
          <w:tcPr>
            <w:tcW w:w="709" w:type="dxa"/>
            <w:shd w:val="clear" w:color="auto" w:fill="D9D9D9" w:themeFill="background1" w:themeFillShade="D9"/>
            <w:vAlign w:val="center"/>
          </w:tcPr>
          <w:p w14:paraId="6FA82C54"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14 sí</w:t>
            </w:r>
          </w:p>
          <w:p w14:paraId="21B981B6"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7 no</w:t>
            </w:r>
          </w:p>
        </w:tc>
        <w:tc>
          <w:tcPr>
            <w:tcW w:w="1984" w:type="dxa"/>
            <w:shd w:val="clear" w:color="auto" w:fill="D9D9D9" w:themeFill="background1" w:themeFillShade="D9"/>
            <w:vAlign w:val="center"/>
          </w:tcPr>
          <w:p w14:paraId="64B1EBDF"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Diplomado - 1</w:t>
            </w:r>
          </w:p>
          <w:p w14:paraId="18B2B22A"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Bachillerato - 8</w:t>
            </w:r>
          </w:p>
          <w:p w14:paraId="1A69BB2B"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Licenciatura - 21</w:t>
            </w:r>
          </w:p>
          <w:p w14:paraId="653E2627"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Maestría - 9</w:t>
            </w:r>
          </w:p>
          <w:p w14:paraId="1C4A9597"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Doctorado – 1</w:t>
            </w:r>
          </w:p>
        </w:tc>
        <w:tc>
          <w:tcPr>
            <w:tcW w:w="2554" w:type="dxa"/>
            <w:shd w:val="clear" w:color="auto" w:fill="D9D9D9" w:themeFill="background1" w:themeFillShade="D9"/>
            <w:vAlign w:val="center"/>
          </w:tcPr>
          <w:p w14:paraId="74597926"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40 cursos,</w:t>
            </w:r>
          </w:p>
          <w:p w14:paraId="2789A8F5" w14:textId="77777777" w:rsidR="00194C36" w:rsidRPr="00194C36" w:rsidRDefault="00194C36" w:rsidP="00194C36">
            <w:pPr>
              <w:rPr>
                <w:rFonts w:ascii="Arial" w:eastAsiaTheme="minorEastAsia" w:hAnsi="Arial" w:cs="Arial"/>
                <w:sz w:val="16"/>
                <w:szCs w:val="16"/>
                <w:lang w:eastAsia="es-ES"/>
              </w:rPr>
            </w:pPr>
            <w:r w:rsidRPr="00194C36">
              <w:rPr>
                <w:rFonts w:ascii="Arial" w:eastAsiaTheme="minorEastAsia" w:hAnsi="Arial" w:cs="Arial"/>
                <w:sz w:val="16"/>
                <w:szCs w:val="16"/>
                <w:lang w:eastAsia="es-ES"/>
              </w:rPr>
              <w:t>del 2016 al 2024</w:t>
            </w:r>
          </w:p>
        </w:tc>
        <w:tc>
          <w:tcPr>
            <w:tcW w:w="350" w:type="dxa"/>
            <w:shd w:val="clear" w:color="auto" w:fill="D9D9D9" w:themeFill="background1" w:themeFillShade="D9"/>
            <w:vAlign w:val="center"/>
          </w:tcPr>
          <w:p w14:paraId="6723861C" w14:textId="77777777" w:rsidR="00194C36" w:rsidRPr="00194C36" w:rsidRDefault="00194C36" w:rsidP="00194C36">
            <w:pPr>
              <w:rPr>
                <w:rFonts w:ascii="Arial" w:eastAsiaTheme="minorEastAsia" w:hAnsi="Arial" w:cs="Arial"/>
                <w:sz w:val="10"/>
                <w:szCs w:val="10"/>
                <w:lang w:eastAsia="es-ES"/>
              </w:rPr>
            </w:pPr>
            <w:r w:rsidRPr="00194C36">
              <w:rPr>
                <w:rFonts w:ascii="Arial" w:eastAsiaTheme="minorEastAsia" w:hAnsi="Arial" w:cs="Arial"/>
                <w:sz w:val="10"/>
                <w:szCs w:val="10"/>
                <w:lang w:eastAsia="es-ES"/>
              </w:rPr>
              <w:t>9</w:t>
            </w:r>
          </w:p>
        </w:tc>
        <w:tc>
          <w:tcPr>
            <w:tcW w:w="357" w:type="dxa"/>
            <w:shd w:val="clear" w:color="auto" w:fill="D9D9D9" w:themeFill="background1" w:themeFillShade="D9"/>
            <w:vAlign w:val="center"/>
          </w:tcPr>
          <w:p w14:paraId="58DCC879" w14:textId="77777777" w:rsidR="00194C36" w:rsidRPr="00194C36" w:rsidRDefault="00194C36" w:rsidP="00194C36">
            <w:pPr>
              <w:rPr>
                <w:rFonts w:ascii="Arial" w:eastAsiaTheme="minorEastAsia" w:hAnsi="Arial" w:cs="Arial"/>
                <w:sz w:val="10"/>
                <w:szCs w:val="10"/>
                <w:lang w:eastAsia="es-ES"/>
              </w:rPr>
            </w:pPr>
            <w:r w:rsidRPr="00194C36">
              <w:rPr>
                <w:rFonts w:ascii="Arial" w:eastAsiaTheme="minorEastAsia" w:hAnsi="Arial" w:cs="Arial"/>
                <w:sz w:val="10"/>
                <w:szCs w:val="10"/>
                <w:lang w:eastAsia="es-ES"/>
              </w:rPr>
              <w:t>39</w:t>
            </w:r>
          </w:p>
        </w:tc>
        <w:tc>
          <w:tcPr>
            <w:tcW w:w="343" w:type="dxa"/>
            <w:shd w:val="clear" w:color="auto" w:fill="D9D9D9" w:themeFill="background1" w:themeFillShade="D9"/>
            <w:vAlign w:val="center"/>
          </w:tcPr>
          <w:p w14:paraId="29039DCE" w14:textId="77777777" w:rsidR="00194C36" w:rsidRPr="00194C36" w:rsidRDefault="00194C36" w:rsidP="00194C36">
            <w:pPr>
              <w:rPr>
                <w:rFonts w:ascii="Arial" w:eastAsiaTheme="minorEastAsia" w:hAnsi="Arial" w:cs="Arial"/>
                <w:sz w:val="10"/>
                <w:szCs w:val="10"/>
                <w:lang w:eastAsia="es-ES"/>
              </w:rPr>
            </w:pPr>
            <w:r w:rsidRPr="00194C36">
              <w:rPr>
                <w:rFonts w:ascii="Arial" w:eastAsiaTheme="minorEastAsia" w:hAnsi="Arial" w:cs="Arial"/>
                <w:sz w:val="10"/>
                <w:szCs w:val="10"/>
                <w:lang w:eastAsia="es-ES"/>
              </w:rPr>
              <w:t>39</w:t>
            </w:r>
          </w:p>
        </w:tc>
        <w:tc>
          <w:tcPr>
            <w:tcW w:w="336" w:type="dxa"/>
            <w:shd w:val="clear" w:color="auto" w:fill="D9D9D9" w:themeFill="background1" w:themeFillShade="D9"/>
            <w:vAlign w:val="center"/>
          </w:tcPr>
          <w:p w14:paraId="0AC9A521" w14:textId="77777777" w:rsidR="00194C36" w:rsidRPr="00194C36" w:rsidRDefault="00194C36" w:rsidP="00194C36">
            <w:pPr>
              <w:rPr>
                <w:rFonts w:ascii="Arial" w:eastAsiaTheme="minorEastAsia" w:hAnsi="Arial" w:cs="Arial"/>
                <w:sz w:val="10"/>
                <w:szCs w:val="10"/>
                <w:lang w:eastAsia="es-ES"/>
              </w:rPr>
            </w:pPr>
            <w:r w:rsidRPr="00194C36">
              <w:rPr>
                <w:rFonts w:ascii="Arial" w:eastAsiaTheme="minorEastAsia" w:hAnsi="Arial" w:cs="Arial"/>
                <w:sz w:val="10"/>
                <w:szCs w:val="10"/>
                <w:lang w:eastAsia="es-ES"/>
              </w:rPr>
              <w:t>40</w:t>
            </w:r>
          </w:p>
        </w:tc>
        <w:tc>
          <w:tcPr>
            <w:tcW w:w="364" w:type="dxa"/>
            <w:shd w:val="clear" w:color="auto" w:fill="D9D9D9" w:themeFill="background1" w:themeFillShade="D9"/>
            <w:vAlign w:val="center"/>
          </w:tcPr>
          <w:p w14:paraId="74D0ACCA" w14:textId="77777777" w:rsidR="00194C36" w:rsidRPr="00194C36" w:rsidRDefault="00194C36" w:rsidP="00194C36">
            <w:pPr>
              <w:rPr>
                <w:rFonts w:ascii="Arial" w:eastAsiaTheme="minorEastAsia" w:hAnsi="Arial" w:cs="Arial"/>
                <w:sz w:val="10"/>
                <w:szCs w:val="10"/>
                <w:lang w:eastAsia="es-ES"/>
              </w:rPr>
            </w:pPr>
            <w:r w:rsidRPr="00194C36">
              <w:rPr>
                <w:rFonts w:ascii="Arial" w:eastAsiaTheme="minorEastAsia" w:hAnsi="Arial" w:cs="Arial"/>
                <w:sz w:val="10"/>
                <w:szCs w:val="10"/>
                <w:lang w:eastAsia="es-ES"/>
              </w:rPr>
              <w:t>39</w:t>
            </w:r>
          </w:p>
        </w:tc>
        <w:tc>
          <w:tcPr>
            <w:tcW w:w="350" w:type="dxa"/>
            <w:shd w:val="clear" w:color="auto" w:fill="D9D9D9" w:themeFill="background1" w:themeFillShade="D9"/>
            <w:vAlign w:val="center"/>
          </w:tcPr>
          <w:p w14:paraId="0481BE5E" w14:textId="77777777" w:rsidR="00194C36" w:rsidRPr="00194C36" w:rsidRDefault="00194C36" w:rsidP="00194C36">
            <w:pPr>
              <w:rPr>
                <w:rFonts w:ascii="Arial" w:eastAsiaTheme="minorEastAsia" w:hAnsi="Arial" w:cs="Arial"/>
                <w:sz w:val="10"/>
                <w:szCs w:val="10"/>
                <w:lang w:eastAsia="es-ES"/>
              </w:rPr>
            </w:pPr>
            <w:r w:rsidRPr="00194C36">
              <w:rPr>
                <w:rFonts w:ascii="Arial" w:eastAsiaTheme="minorEastAsia" w:hAnsi="Arial" w:cs="Arial"/>
                <w:sz w:val="10"/>
                <w:szCs w:val="10"/>
                <w:lang w:eastAsia="es-ES"/>
              </w:rPr>
              <w:t>38</w:t>
            </w:r>
          </w:p>
        </w:tc>
        <w:tc>
          <w:tcPr>
            <w:tcW w:w="350" w:type="dxa"/>
            <w:shd w:val="clear" w:color="auto" w:fill="D9D9D9" w:themeFill="background1" w:themeFillShade="D9"/>
            <w:vAlign w:val="center"/>
          </w:tcPr>
          <w:p w14:paraId="0070CEBB" w14:textId="77777777" w:rsidR="00194C36" w:rsidRPr="00194C36" w:rsidRDefault="00194C36" w:rsidP="00194C36">
            <w:pPr>
              <w:rPr>
                <w:rFonts w:ascii="Arial" w:eastAsiaTheme="minorEastAsia" w:hAnsi="Arial" w:cs="Arial"/>
                <w:sz w:val="10"/>
                <w:szCs w:val="10"/>
                <w:lang w:eastAsia="es-ES"/>
              </w:rPr>
            </w:pPr>
            <w:r w:rsidRPr="00194C36">
              <w:rPr>
                <w:rFonts w:ascii="Arial" w:eastAsiaTheme="minorEastAsia" w:hAnsi="Arial" w:cs="Arial"/>
                <w:sz w:val="10"/>
                <w:szCs w:val="10"/>
                <w:lang w:eastAsia="es-ES"/>
              </w:rPr>
              <w:t>39</w:t>
            </w:r>
          </w:p>
        </w:tc>
        <w:tc>
          <w:tcPr>
            <w:tcW w:w="350" w:type="dxa"/>
            <w:shd w:val="clear" w:color="auto" w:fill="D9D9D9" w:themeFill="background1" w:themeFillShade="D9"/>
            <w:vAlign w:val="center"/>
          </w:tcPr>
          <w:p w14:paraId="02B7805A" w14:textId="77777777" w:rsidR="00194C36" w:rsidRPr="00194C36" w:rsidRDefault="00194C36" w:rsidP="00194C36">
            <w:pPr>
              <w:rPr>
                <w:rFonts w:ascii="Arial" w:eastAsiaTheme="minorEastAsia" w:hAnsi="Arial" w:cs="Arial"/>
                <w:sz w:val="10"/>
                <w:szCs w:val="10"/>
                <w:lang w:eastAsia="es-ES"/>
              </w:rPr>
            </w:pPr>
            <w:r w:rsidRPr="00194C36">
              <w:rPr>
                <w:rFonts w:ascii="Arial" w:eastAsiaTheme="minorEastAsia" w:hAnsi="Arial" w:cs="Arial"/>
                <w:sz w:val="10"/>
                <w:szCs w:val="10"/>
                <w:lang w:eastAsia="es-ES"/>
              </w:rPr>
              <w:t>40</w:t>
            </w:r>
          </w:p>
        </w:tc>
        <w:tc>
          <w:tcPr>
            <w:tcW w:w="336" w:type="dxa"/>
            <w:shd w:val="clear" w:color="auto" w:fill="D9D9D9" w:themeFill="background1" w:themeFillShade="D9"/>
            <w:vAlign w:val="center"/>
          </w:tcPr>
          <w:p w14:paraId="54C3BAD0" w14:textId="77777777" w:rsidR="00194C36" w:rsidRPr="00194C36" w:rsidRDefault="00194C36" w:rsidP="00194C36">
            <w:pPr>
              <w:rPr>
                <w:rFonts w:ascii="Arial" w:eastAsiaTheme="minorEastAsia" w:hAnsi="Arial" w:cs="Arial"/>
                <w:sz w:val="10"/>
                <w:szCs w:val="10"/>
                <w:lang w:eastAsia="es-ES"/>
              </w:rPr>
            </w:pPr>
            <w:r w:rsidRPr="00194C36">
              <w:rPr>
                <w:rFonts w:ascii="Arial" w:eastAsiaTheme="minorEastAsia" w:hAnsi="Arial" w:cs="Arial"/>
                <w:sz w:val="10"/>
                <w:szCs w:val="10"/>
                <w:lang w:eastAsia="es-ES"/>
              </w:rPr>
              <w:t>22</w:t>
            </w:r>
          </w:p>
        </w:tc>
        <w:tc>
          <w:tcPr>
            <w:tcW w:w="336" w:type="dxa"/>
            <w:shd w:val="clear" w:color="auto" w:fill="D9D9D9" w:themeFill="background1" w:themeFillShade="D9"/>
            <w:vAlign w:val="center"/>
          </w:tcPr>
          <w:p w14:paraId="73E292CA" w14:textId="77777777" w:rsidR="00194C36" w:rsidRPr="00194C36" w:rsidRDefault="00194C36" w:rsidP="00194C36">
            <w:pPr>
              <w:rPr>
                <w:rFonts w:ascii="Arial" w:eastAsiaTheme="minorEastAsia" w:hAnsi="Arial" w:cs="Arial"/>
                <w:sz w:val="10"/>
                <w:szCs w:val="10"/>
                <w:lang w:eastAsia="es-ES"/>
              </w:rPr>
            </w:pPr>
            <w:r w:rsidRPr="00194C36">
              <w:rPr>
                <w:rFonts w:ascii="Arial" w:eastAsiaTheme="minorEastAsia" w:hAnsi="Arial" w:cs="Arial"/>
                <w:sz w:val="10"/>
                <w:szCs w:val="10"/>
                <w:lang w:eastAsia="es-ES"/>
              </w:rPr>
              <w:t>11</w:t>
            </w:r>
          </w:p>
        </w:tc>
      </w:tr>
      <w:tr w:rsidR="00194C36" w:rsidRPr="00194C36" w14:paraId="2BA49CA8" w14:textId="77777777" w:rsidTr="00281E2B">
        <w:trPr>
          <w:trHeight w:val="522"/>
          <w:jc w:val="center"/>
        </w:trPr>
        <w:tc>
          <w:tcPr>
            <w:tcW w:w="10103" w:type="dxa"/>
            <w:gridSpan w:val="14"/>
            <w:shd w:val="clear" w:color="auto" w:fill="auto"/>
            <w:vAlign w:val="center"/>
          </w:tcPr>
          <w:p w14:paraId="1401FF1C" w14:textId="6E8DF43E" w:rsidR="00194C36" w:rsidRPr="005E7AFE" w:rsidRDefault="00194C36" w:rsidP="005E7AFE">
            <w:pPr>
              <w:jc w:val="both"/>
              <w:rPr>
                <w:rFonts w:ascii="Arial" w:eastAsiaTheme="minorEastAsia" w:hAnsi="Arial" w:cs="Arial"/>
                <w:sz w:val="16"/>
                <w:szCs w:val="16"/>
                <w:lang w:eastAsia="es-ES"/>
              </w:rPr>
            </w:pPr>
            <w:r w:rsidRPr="005E7AFE">
              <w:rPr>
                <w:rFonts w:ascii="Arial" w:eastAsiaTheme="minorEastAsia" w:hAnsi="Arial" w:cs="Arial"/>
                <w:iCs/>
                <w:sz w:val="16"/>
                <w:szCs w:val="16"/>
                <w:lang w:eastAsia="es-ES"/>
              </w:rPr>
              <w:t>Nota</w:t>
            </w:r>
            <w:r w:rsidRPr="005E7AFE">
              <w:rPr>
                <w:rFonts w:ascii="Arial" w:eastAsiaTheme="minorEastAsia" w:hAnsi="Arial" w:cs="Arial"/>
                <w:sz w:val="16"/>
                <w:szCs w:val="16"/>
                <w:lang w:eastAsia="es-ES"/>
              </w:rPr>
              <w:t>. *Componentes del programa: POR – portada, DAT – datos generales, DES – descripción general, OBJ – objetivos, CON – contenidos, MET – metodología, EVA – evaluación, REC – recursos bibliográficos, PRO – profesores, ACT – registro de actualización. La letra “x” simboliza que el programa de curso incluye el correspondiente apartado.</w:t>
            </w:r>
          </w:p>
        </w:tc>
      </w:tr>
    </w:tbl>
    <w:p w14:paraId="651A9772" w14:textId="77777777" w:rsidR="00194C36" w:rsidRPr="00194C36" w:rsidRDefault="00194C36" w:rsidP="00194C36">
      <w:pPr>
        <w:jc w:val="both"/>
        <w:rPr>
          <w:rFonts w:ascii="Arial" w:eastAsiaTheme="minorHAnsi" w:hAnsi="Arial" w:cs="Arial"/>
          <w:kern w:val="2"/>
          <w:lang w:eastAsia="en-US"/>
          <w14:ligatures w14:val="standardContextual"/>
        </w:rPr>
      </w:pPr>
    </w:p>
    <w:p w14:paraId="4830D604" w14:textId="62864B24" w:rsidR="00194C36" w:rsidRPr="00194C36" w:rsidRDefault="00194C36" w:rsidP="00820A80">
      <w:pPr>
        <w:spacing w:before="100" w:beforeAutospacing="1" w:after="100" w:afterAutospacing="1" w:line="360" w:lineRule="auto"/>
        <w:jc w:val="both"/>
        <w:rPr>
          <w:rFonts w:ascii="Arial" w:eastAsiaTheme="minorHAnsi" w:hAnsi="Arial" w:cs="Arial"/>
          <w:kern w:val="2"/>
          <w:lang w:eastAsia="en-US"/>
          <w14:ligatures w14:val="standardContextual"/>
        </w:rPr>
      </w:pPr>
      <w:r w:rsidRPr="00194C36">
        <w:rPr>
          <w:rFonts w:ascii="Arial" w:eastAsiaTheme="minorHAnsi" w:hAnsi="Arial" w:cs="Arial"/>
          <w:kern w:val="2"/>
          <w:lang w:eastAsia="en-US"/>
          <w14:ligatures w14:val="standardContextual"/>
        </w:rPr>
        <w:lastRenderedPageBreak/>
        <w:t xml:space="preserve">La Tabla 1 muestra </w:t>
      </w:r>
      <w:r w:rsidR="00614361">
        <w:rPr>
          <w:rFonts w:ascii="Arial" w:eastAsiaTheme="minorHAnsi" w:hAnsi="Arial" w:cs="Arial"/>
          <w:kern w:val="2"/>
          <w:lang w:eastAsia="en-US"/>
          <w14:ligatures w14:val="standardContextual"/>
        </w:rPr>
        <w:t>a</w:t>
      </w:r>
      <w:r w:rsidRPr="00194C36">
        <w:rPr>
          <w:rFonts w:ascii="Arial" w:hAnsi="Arial" w:cs="Arial"/>
          <w:lang w:eastAsia="en-US"/>
          <w14:ligatures w14:val="standardContextual"/>
        </w:rPr>
        <w:t xml:space="preserve"> 21 universidades de 9 países, como Panamá (UNACHI, UTP), Costa Rica (CENFOTEC, TEC, UCR, </w:t>
      </w:r>
      <w:proofErr w:type="spellStart"/>
      <w:r w:rsidRPr="00194C36">
        <w:rPr>
          <w:rFonts w:ascii="Arial" w:hAnsi="Arial" w:cs="Arial"/>
          <w:lang w:eastAsia="en-US"/>
          <w14:ligatures w14:val="standardContextual"/>
        </w:rPr>
        <w:t>ULatina</w:t>
      </w:r>
      <w:proofErr w:type="spellEnd"/>
      <w:r w:rsidRPr="00194C36">
        <w:rPr>
          <w:rFonts w:ascii="Arial" w:hAnsi="Arial" w:cs="Arial"/>
          <w:lang w:eastAsia="en-US"/>
          <w14:ligatures w14:val="standardContextual"/>
        </w:rPr>
        <w:t xml:space="preserve">, </w:t>
      </w:r>
      <w:proofErr w:type="spellStart"/>
      <w:r w:rsidRPr="00194C36">
        <w:rPr>
          <w:rFonts w:ascii="Arial" w:hAnsi="Arial" w:cs="Arial"/>
          <w:lang w:eastAsia="en-US"/>
          <w14:ligatures w14:val="standardContextual"/>
        </w:rPr>
        <w:t>ULead</w:t>
      </w:r>
      <w:proofErr w:type="spellEnd"/>
      <w:r w:rsidRPr="00194C36">
        <w:rPr>
          <w:rFonts w:ascii="Arial" w:hAnsi="Arial" w:cs="Arial"/>
          <w:lang w:eastAsia="en-US"/>
          <w14:ligatures w14:val="standardContextual"/>
        </w:rPr>
        <w:t xml:space="preserve">, UNA, UNED), Nicaragua (UNAN, UNI), Honduras (UNAH, UPNFM), El Salvador (UCA, UES), Guatemala (UFM, URL, USAC), Belice (UB) y República Dominicana (UASD, PUCMM). 14 son universidades públicas y 7 privadas. Entre ellas, 13 públicas y 1 privada son </w:t>
      </w:r>
      <w:r w:rsidRPr="00194C36">
        <w:rPr>
          <w:rFonts w:ascii="Arial" w:eastAsiaTheme="minorHAnsi" w:hAnsi="Arial" w:cs="Arial"/>
          <w:kern w:val="2"/>
          <w:lang w:eastAsia="en-US"/>
          <w14:ligatures w14:val="standardContextual"/>
        </w:rPr>
        <w:t>miembros de la ACAP; las demás no están afiliadas a esta agencia.</w:t>
      </w:r>
      <w:bookmarkEnd w:id="18"/>
    </w:p>
    <w:p w14:paraId="148F3CFC" w14:textId="6C202AC8" w:rsidR="00194C36" w:rsidRPr="00194C36" w:rsidRDefault="00194C36" w:rsidP="009F710C">
      <w:pPr>
        <w:spacing w:before="100" w:beforeAutospacing="1" w:after="100" w:afterAutospacing="1" w:line="360" w:lineRule="auto"/>
        <w:jc w:val="both"/>
        <w:rPr>
          <w:rFonts w:ascii="Arial" w:eastAsiaTheme="minorHAnsi" w:hAnsi="Arial" w:cs="Arial"/>
          <w:kern w:val="2"/>
          <w:lang w:eastAsia="en-US"/>
          <w14:ligatures w14:val="standardContextual"/>
        </w:rPr>
      </w:pPr>
      <w:r w:rsidRPr="00194C36">
        <w:rPr>
          <w:rFonts w:ascii="Arial" w:eastAsiaTheme="minorHAnsi" w:hAnsi="Arial" w:cs="Arial"/>
          <w:kern w:val="2"/>
          <w:lang w:eastAsia="en-US"/>
          <w14:ligatures w14:val="standardContextual"/>
        </w:rPr>
        <w:t xml:space="preserve">Los 40 programas analizados fueron diseñados entre 2016 y 2024: 7 entre 2016-2018, 11 entre 2019-2021 y 22 entre 2022-2024. Más de la mitad tienen menos de 3 años. Incluyen 1 curso de diplomado, 8 de bachillerato, 21 de licenciatura, 9 de maestría y 1 de doctorado. Los 10 programas de postgrado abarcan áreas como administración financiera, biología, </w:t>
      </w:r>
      <w:proofErr w:type="spellStart"/>
      <w:r w:rsidRPr="00194C36">
        <w:rPr>
          <w:rFonts w:ascii="Arial" w:eastAsiaTheme="minorHAnsi" w:hAnsi="Arial" w:cs="Arial"/>
          <w:kern w:val="2"/>
          <w:lang w:eastAsia="en-US"/>
          <w14:ligatures w14:val="standardContextual"/>
        </w:rPr>
        <w:t>ecotoxicología</w:t>
      </w:r>
      <w:proofErr w:type="spellEnd"/>
      <w:r w:rsidRPr="00194C36">
        <w:rPr>
          <w:rFonts w:ascii="Arial" w:eastAsiaTheme="minorHAnsi" w:hAnsi="Arial" w:cs="Arial"/>
          <w:kern w:val="2"/>
          <w:lang w:eastAsia="en-US"/>
          <w14:ligatures w14:val="standardContextual"/>
        </w:rPr>
        <w:t xml:space="preserve">, ciencias ambientales, manejo de recursos naturales, educación, ingeniería de software, computación e informática, telecomunicaciones y redes, diseño y construcción sostenible. </w:t>
      </w:r>
    </w:p>
    <w:p w14:paraId="562347BE" w14:textId="77777777" w:rsidR="00194C36" w:rsidRPr="00194C36" w:rsidRDefault="00194C36" w:rsidP="009F710C">
      <w:pPr>
        <w:spacing w:before="100" w:beforeAutospacing="1" w:after="100" w:afterAutospacing="1" w:line="360" w:lineRule="auto"/>
        <w:jc w:val="both"/>
        <w:rPr>
          <w:rFonts w:ascii="Arial" w:eastAsiaTheme="minorHAnsi" w:hAnsi="Arial" w:cs="Arial"/>
          <w:kern w:val="2"/>
          <w:lang w:eastAsia="en-US"/>
          <w14:ligatures w14:val="standardContextual"/>
        </w:rPr>
      </w:pPr>
      <w:r w:rsidRPr="00194C36">
        <w:rPr>
          <w:rFonts w:ascii="Arial" w:eastAsiaTheme="minorHAnsi" w:hAnsi="Arial" w:cs="Arial"/>
          <w:kern w:val="2"/>
          <w:lang w:eastAsia="en-US"/>
          <w14:ligatures w14:val="standardContextual"/>
        </w:rPr>
        <w:t>Los programas de grado cubren disciplinas como arquitectura, administración, contabilidad, economía, ciencia de datos, derecho, enseñanza de la matemática, ciencias naturales (biología, física y geología), tecnologías de la información, nutrición y diversas ingenierías (agrícola, agrimensura, sistemas o computación, industrial, mecánica, mecatrónica, eléctrica, electromedicina).</w:t>
      </w:r>
    </w:p>
    <w:p w14:paraId="228426B5" w14:textId="77777777" w:rsidR="00194C36" w:rsidRPr="00194C36" w:rsidRDefault="00194C36" w:rsidP="009F710C">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 xml:space="preserve">En los programas de postgrado, solo el curso "Protocolo TP/IP" de la UNAN incluye los 10 componentes. Cuatro programas: "Fisiología Integrada" (UNACHI), </w:t>
      </w:r>
      <w:r w:rsidRPr="00194C36">
        <w:rPr>
          <w:rFonts w:ascii="Arial" w:hAnsi="Arial" w:cs="Arial"/>
          <w:lang w:eastAsia="en-US"/>
          <w14:ligatures w14:val="standardContextual"/>
        </w:rPr>
        <w:lastRenderedPageBreak/>
        <w:t>"Legislación, normativa y evaluación ambiental de las edificaciones" (ITCR), “Inducción a la investigación científica” (UNED) e “Hidrología aplicada” (UNI) contienen 9 componentes, mientras carecen de portada, registro de actualización o datos de los docentes. Tres programas incluyen 8 componentes, como "Análisis estadístico para la investigación sociocultural" (UCR), y dos programas tienen 7 componentes, omitiendo portada, información del profesor y actualización; como en "Teoría y desarrollo curricular" (UPNFM). Se observa que todos los programas de postgrado contienen los apartados DAT, DES, OBJ, CON, MET, EVA y REC. El apartado de información del profesor aparece en 7 programas, mientras que algún tipo de portada incluyen solo 4 programas (TEC, UNAN, UNED, UNI), y únicamente 3 incluyen datos de actualización (UNACHI, UNAN, UNI).</w:t>
      </w:r>
    </w:p>
    <w:p w14:paraId="42CDA9B2" w14:textId="77777777" w:rsidR="00194C36" w:rsidRPr="00194C36" w:rsidRDefault="00194C36" w:rsidP="009F710C">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En cuanto a los 30 programas de grado, solo "Modelos macroeconómicos" de la UNA contiene los 10 componentes. Seis programas presentan 9 apartados, faltando usualmente la portada o actualización. Nueve programas incluyen 8 apartados, y la mayoría (11 programas) contienen 7 apartados, omitiendo los apartados menos comunes. Dos programas tienen 6 apartados ("Estructura I", UTP y "Laboratorio de Resistencia de Materiales I", USAC), mientras que un solo programa tiene 5 apartados: "Gestión de operaciones II" (UCA). Ningún programa incluye menos de 5 componentes.</w:t>
      </w:r>
    </w:p>
    <w:p w14:paraId="66F3F77D" w14:textId="77777777" w:rsidR="00194C36" w:rsidRPr="00194C36" w:rsidRDefault="00194C36" w:rsidP="009F710C">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 xml:space="preserve">Es común que los programas de una misma universidad varíen en el número de apartados. Por ejemplo, el curso "Mecánica de los sólidos" (UES) incluye 7 </w:t>
      </w:r>
      <w:r w:rsidRPr="00194C36">
        <w:rPr>
          <w:rFonts w:ascii="Arial" w:hAnsi="Arial" w:cs="Arial"/>
          <w:lang w:eastAsia="en-US"/>
          <w14:ligatures w14:val="standardContextual"/>
        </w:rPr>
        <w:lastRenderedPageBreak/>
        <w:t>apartados, mientras que "Introducción a la economía" tiene 9. En otros casos, como en los cursos de la UNACHI, la estructura coincide en los programas analizados de "Fisiología Integrada" y "Biología Celular y Molecular", ambos con 9 apartados.</w:t>
      </w:r>
    </w:p>
    <w:p w14:paraId="386A70D8" w14:textId="77777777" w:rsidR="00194C36" w:rsidRPr="00194C36" w:rsidRDefault="00194C36" w:rsidP="009F710C">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En los programas de grado, los apartados OBJ y REC están presentes en el 100% de los casos, mientras que DAT, CON y EVA aparecen en el 97%. Los apartados DES y MET se encuentran en el 93%. La información sobre docentes está solo en el 50% de los programas, y los datos de actualización en el 27%. La portada es el componente menos común, presente solo en el 17% de los casos. La Figura 5 presenta estos porcentajes, incluyendo tanto programas de grado como de postgrado, con una tendencia similar entre ambos niveles.</w:t>
      </w:r>
    </w:p>
    <w:p w14:paraId="3E5F150E" w14:textId="5DB764CB" w:rsidR="00194C36" w:rsidRPr="00124E5F" w:rsidRDefault="00194C36" w:rsidP="00124E5F">
      <w:pPr>
        <w:autoSpaceDE w:val="0"/>
        <w:autoSpaceDN w:val="0"/>
        <w:spacing w:after="100" w:afterAutospacing="1" w:line="360" w:lineRule="auto"/>
        <w:contextualSpacing/>
        <w:jc w:val="center"/>
        <w:rPr>
          <w:rFonts w:ascii="Arial" w:hAnsi="Arial" w:cs="Arial"/>
          <w:b/>
          <w:iCs/>
          <w:sz w:val="20"/>
          <w:szCs w:val="20"/>
          <w:lang w:eastAsia="en-US"/>
          <w14:ligatures w14:val="standardContextual"/>
        </w:rPr>
      </w:pPr>
      <w:r w:rsidRPr="009F710C">
        <w:rPr>
          <w:rFonts w:ascii="Arial" w:hAnsi="Arial" w:cs="Arial"/>
          <w:b/>
          <w:bCs/>
          <w:sz w:val="20"/>
          <w:szCs w:val="20"/>
          <w:lang w:eastAsia="en-US"/>
          <w14:ligatures w14:val="standardContextual"/>
        </w:rPr>
        <w:t>Figura 5</w:t>
      </w:r>
      <w:r w:rsidR="009F710C" w:rsidRPr="009F710C">
        <w:rPr>
          <w:rFonts w:ascii="Arial" w:hAnsi="Arial" w:cs="Arial"/>
          <w:b/>
          <w:bCs/>
          <w:sz w:val="20"/>
          <w:szCs w:val="20"/>
          <w:lang w:eastAsia="en-US"/>
          <w14:ligatures w14:val="standardContextual"/>
        </w:rPr>
        <w:t xml:space="preserve">. </w:t>
      </w:r>
      <w:r w:rsidRPr="009F710C">
        <w:rPr>
          <w:rFonts w:ascii="Arial" w:hAnsi="Arial" w:cs="Arial"/>
          <w:b/>
          <w:iCs/>
          <w:sz w:val="20"/>
          <w:szCs w:val="20"/>
          <w:lang w:eastAsia="en-US"/>
          <w14:ligatures w14:val="standardContextual"/>
        </w:rPr>
        <w:t>Porcentaje de casos en que los componentes forman parte de los programas de grado y postgrado revisados en el estudio</w:t>
      </w:r>
    </w:p>
    <w:p w14:paraId="7BFAF08E" w14:textId="22A1AC36" w:rsidR="00194C36" w:rsidRPr="00932A18" w:rsidRDefault="00194C36" w:rsidP="00932A18">
      <w:pPr>
        <w:spacing w:line="360" w:lineRule="auto"/>
        <w:jc w:val="center"/>
        <w:rPr>
          <w:rFonts w:asciiTheme="minorHAnsi" w:eastAsiaTheme="minorHAnsi" w:hAnsiTheme="minorHAnsi" w:cstheme="minorBidi"/>
          <w:kern w:val="2"/>
          <w:sz w:val="22"/>
          <w:szCs w:val="22"/>
          <w:lang w:val="es-ES" w:eastAsia="es-CR"/>
        </w:rPr>
      </w:pPr>
      <w:r w:rsidRPr="00194C36">
        <w:rPr>
          <w:rFonts w:asciiTheme="minorHAnsi" w:eastAsiaTheme="minorHAnsi" w:hAnsiTheme="minorHAnsi" w:cstheme="minorBidi"/>
          <w:noProof/>
          <w:kern w:val="2"/>
          <w:sz w:val="22"/>
          <w:szCs w:val="22"/>
          <w:lang w:eastAsia="en-US"/>
          <w14:ligatures w14:val="standardContextual"/>
        </w:rPr>
        <w:drawing>
          <wp:inline distT="0" distB="0" distL="0" distR="0" wp14:anchorId="3E2B60A2" wp14:editId="7E54D5A4">
            <wp:extent cx="5589270" cy="2329732"/>
            <wp:effectExtent l="0" t="0" r="11430" b="13970"/>
            <wp:docPr id="2" name="Gráfico 2">
              <a:extLst xmlns:a="http://schemas.openxmlformats.org/drawingml/2006/main">
                <a:ext uri="{FF2B5EF4-FFF2-40B4-BE49-F238E27FC236}">
                  <a16:creationId xmlns:a16="http://schemas.microsoft.com/office/drawing/2014/main" id="{72F216E3-FB5D-FE9D-AB42-230049A3EB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4EB61AF" w14:textId="77777777" w:rsidR="00194C36" w:rsidRPr="00194C36" w:rsidRDefault="00194C36" w:rsidP="00932A18">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lastRenderedPageBreak/>
        <w:t>Las denominaciones de los componentes varían según el país, la institución, la facultad o la cátedra. Por ejemplo, el apartado de datos generales se titula "Datos generales", "Información general", "Identificación de la asignatura", “Elementos descriptores de la asignatura”, “Generalidades del curso” o "Aspectos administrativos", dependiendo de la universidad. La descripción del curso puede llamarse "Descripción", "Contextualización de la asignatura", “Introducción”, “Presentación”, "Justificación" o “Fundamentación”, entre otros nombres.</w:t>
      </w:r>
    </w:p>
    <w:p w14:paraId="350F5835" w14:textId="77777777" w:rsidR="00194C36" w:rsidRPr="00194C36" w:rsidRDefault="00194C36" w:rsidP="00932A18">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Además de los 10 apartados principales, algunos programas incluyen componentes adicionales como una tabla de contenido ("Astronomía y Universo", UNAH), o apartados de competencias del perfil del graduado ("Ingeniería de Operaciones", UCR). Otros incluyen secciones sobre responsabilidades del estudiantado o normativas del curso, como en la UNA y UFM. En la UNED, cuyos cursos se imparten a través de las plataformas o entornos virtuales de aprendizaje, es bastante notoria la presencia de una sección del documento titulada “Tutorial de ingreso al campus virtual”.</w:t>
      </w:r>
    </w:p>
    <w:p w14:paraId="2AE9F6BB" w14:textId="4421A1D1" w:rsidR="00194C36" w:rsidRPr="00932A18" w:rsidRDefault="00194C36" w:rsidP="00932A18">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 xml:space="preserve">Finalmente, algunos programas combinan la planificación táctica curricular con el planeamiento didáctico, como en "Introducción a la Economía I" (UES), “Obligaciones Civiles I” y "Derecho Procesal Civil" (UFM), presentando una tabla denominada “Estructura pragmática” o “Alineación curricular”, donde se exponen temas, objetivos y métodos. </w:t>
      </w:r>
      <w:bookmarkStart w:id="19" w:name="_Hlk183091183"/>
      <w:bookmarkEnd w:id="17"/>
    </w:p>
    <w:p w14:paraId="6CAB32C1" w14:textId="6E0EF572" w:rsidR="00194C36" w:rsidRPr="00194C36" w:rsidRDefault="00932A18" w:rsidP="00932A18">
      <w:pPr>
        <w:autoSpaceDE w:val="0"/>
        <w:autoSpaceDN w:val="0"/>
        <w:spacing w:before="100" w:beforeAutospacing="1" w:after="100" w:afterAutospacing="1" w:line="360" w:lineRule="auto"/>
        <w:jc w:val="both"/>
        <w:rPr>
          <w:rFonts w:ascii="Arial" w:hAnsi="Arial" w:cs="Arial"/>
          <w:b/>
          <w:bCs/>
          <w:lang w:eastAsia="es-CR"/>
        </w:rPr>
      </w:pPr>
      <w:r w:rsidRPr="00194C36">
        <w:rPr>
          <w:rFonts w:ascii="Arial" w:hAnsi="Arial" w:cs="Arial"/>
          <w:b/>
          <w:bCs/>
          <w:lang w:eastAsia="es-CR"/>
        </w:rPr>
        <w:lastRenderedPageBreak/>
        <w:t>DISCUSIÓN </w:t>
      </w:r>
    </w:p>
    <w:p w14:paraId="372E6D7C" w14:textId="77777777" w:rsidR="00194C36" w:rsidRPr="00194C36" w:rsidRDefault="00194C36" w:rsidP="00932A18">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 xml:space="preserve">Los datos presentados evidencian patrones, tendencias y particularidades en la estructuración de los programas de asignaturas de grado y postgrado, provenientes de 21 universidades de Centroamérica y República Dominicana. Estos hallazgos se discuten a continuación. </w:t>
      </w:r>
    </w:p>
    <w:p w14:paraId="0B2AF29C"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En primera instancia se observa que todas las instituciones estudiadas disponen de documentos de planificación curricular a nivel táctico, donde se conciben los elementos académico-administrativos, imprescindibles para gestionar el proceso de aprendizaje- enseñanza en el marco de una asignatura universitaria. Aunque comúnmente se les denomina “programa de curso”, en algunas instituciones de educación superior también se emplean términos como “programa analítico”, “programa de asignatura”, “syllabus”, “sílabo de espacio formativo”, “guía docente”, “orientación académica”, “</w:t>
      </w:r>
      <w:proofErr w:type="spellStart"/>
      <w:r w:rsidRPr="00194C36">
        <w:rPr>
          <w:rFonts w:ascii="Arial" w:hAnsi="Arial" w:cs="Arial"/>
          <w:lang w:eastAsia="en-US"/>
          <w14:ligatures w14:val="standardContextual"/>
        </w:rPr>
        <w:t>course</w:t>
      </w:r>
      <w:proofErr w:type="spellEnd"/>
      <w:r w:rsidRPr="00194C36">
        <w:rPr>
          <w:rFonts w:ascii="Arial" w:hAnsi="Arial" w:cs="Arial"/>
          <w:lang w:eastAsia="en-US"/>
          <w14:ligatures w14:val="standardContextual"/>
        </w:rPr>
        <w:t xml:space="preserve"> </w:t>
      </w:r>
      <w:proofErr w:type="spellStart"/>
      <w:r w:rsidRPr="00194C36">
        <w:rPr>
          <w:rFonts w:ascii="Arial" w:hAnsi="Arial" w:cs="Arial"/>
          <w:lang w:eastAsia="en-US"/>
          <w14:ligatures w14:val="standardContextual"/>
        </w:rPr>
        <w:t>outline</w:t>
      </w:r>
      <w:proofErr w:type="spellEnd"/>
      <w:r w:rsidRPr="00194C36">
        <w:rPr>
          <w:rFonts w:ascii="Arial" w:hAnsi="Arial" w:cs="Arial"/>
          <w:lang w:eastAsia="en-US"/>
          <w14:ligatures w14:val="standardContextual"/>
        </w:rPr>
        <w:t>”, entre otros.</w:t>
      </w:r>
    </w:p>
    <w:p w14:paraId="09AA05DE"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Los programas analizados abarcan 40 cursos, desde diplomados hasta doctorados, e incluyen los 10 componentes clave definidos por la ACAP y establecidos en el marco conceptual en una revisión a nivel internacional, los cuales son los siguientes: portada (POR), datos generales (DAT), descripción general (DES), objetivos (OBJ), contenidos (CON), metodología (MET), evaluación (EVA), recursos bibliográficos (REC), profesores (PRO) y registro de actualización (ACT). Sin embargo, su frecuencia de inclusión varía notablemente.</w:t>
      </w:r>
    </w:p>
    <w:p w14:paraId="5AAFDC28"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lastRenderedPageBreak/>
        <w:t>En los programas de grado, los apartados OBJ y REC están presentes en el 100% de los casos. Los componentes DAT, CON y EVA aparecen en el 97%, seguidos por DES y MET (93%). Mientras que los apartados PRO (50%) y ACT (27%) son menos comunes, siendo POR el componente de menor frecuencia relativa (17%). En posgrado, los apartados OBJ, CON, MET, EVA y REC están en todos los programas, mientras que POR (40%) y ACT (30%) siguen siendo los menos incluidos.</w:t>
      </w:r>
    </w:p>
    <w:p w14:paraId="279DC173"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Se resalta que, de los 10 componentes estructurales, los OBJ y REC se incorporan en 100% de los programas, indistintamente del país, universidad, grado académico o disciplina. Otros cinco componentes (DAT, DES, CON, EVA y MET) también destacan por su alta inclusión en grado (93-97%) y, especialmente, en posgrado (100%). En estos casos, se considera que las universidades, carreras y programas están atendiendo consistentemente bien la planificación a nivel táctico de estos aspectos de las asignaturas.</w:t>
      </w:r>
    </w:p>
    <w:p w14:paraId="6A13273A"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 xml:space="preserve">El apartado PRO, presente en 55% de los programas (50% en grado, y 70% en posgrado), destaca como un área de mejora. Este componente aporta información clave sobre la idoneidad y accesibilidad del profesorado, influyendo directamente en la calidad formativa. Su baja inclusión podría reflejar diferencias en la percepción de su importancia entre instituciones. Mientras algunas priorizan la transparencia y credibilidad que aporta esta información, otras la consideran menos relevante. </w:t>
      </w:r>
    </w:p>
    <w:p w14:paraId="7BD4BCB9"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lastRenderedPageBreak/>
        <w:t xml:space="preserve">Por otro lado, los componentes POR y ACT presentan las frecuencias más bajas. ACT se incluye en 27% de los programas de grado y 30% de los de posgrado, mientras que POR </w:t>
      </w:r>
      <w:proofErr w:type="spellStart"/>
      <w:r w:rsidRPr="00194C36">
        <w:rPr>
          <w:rFonts w:ascii="Arial" w:hAnsi="Arial" w:cs="Arial"/>
          <w:lang w:eastAsia="en-US"/>
          <w14:ligatures w14:val="standardContextual"/>
        </w:rPr>
        <w:t>aparece</w:t>
      </w:r>
      <w:proofErr w:type="spellEnd"/>
      <w:r w:rsidRPr="00194C36">
        <w:rPr>
          <w:rFonts w:ascii="Arial" w:hAnsi="Arial" w:cs="Arial"/>
          <w:lang w:eastAsia="en-US"/>
          <w14:ligatures w14:val="standardContextual"/>
        </w:rPr>
        <w:t xml:space="preserve"> en 17% de los programas de grado y 40% en posgrado. Estos apartados, aunque considerados a veces como accesorios, en realidad son esenciales para la calidad educativa. Los sistemas de acreditación, como ACAP, SINAES, AAPIA y ACAAI</w:t>
      </w:r>
      <w:r w:rsidRPr="00194C36">
        <w:rPr>
          <w:rFonts w:ascii="Arial" w:hAnsi="Arial" w:cs="Arial"/>
          <w:vertAlign w:val="superscript"/>
          <w:lang w:eastAsia="en-US"/>
          <w14:ligatures w14:val="standardContextual"/>
        </w:rPr>
        <w:footnoteReference w:id="4"/>
      </w:r>
      <w:r w:rsidRPr="00194C36">
        <w:rPr>
          <w:rFonts w:ascii="Arial" w:hAnsi="Arial" w:cs="Arial"/>
          <w:lang w:eastAsia="en-US"/>
          <w14:ligatures w14:val="standardContextual"/>
        </w:rPr>
        <w:t>, valoran la identificabilidad y trazabilidad de los programas como evidencia de su evolución académica y administrativa. La menor presencia de ACT dificulta el seguimiento de cambios y mejoras en los cursos, lo que afecta la gestión curricular y la percepción de relevancia del contenido en contextos de rápida evolución.</w:t>
      </w:r>
    </w:p>
    <w:p w14:paraId="2B59118D"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Aunque POR es el apartado menos incluido, casi todos los programas presentan encabezados institucionales con información como el nombre de la universidad y unidad académica, compensando parcialmente su ausencia. Sin embargo, reforzar su inclusión contribuiría a una mejor organización y presentación de los programas.</w:t>
      </w:r>
    </w:p>
    <w:p w14:paraId="130309F2"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 xml:space="preserve">La diversidad terminológica en los componentes de los programas, como “Datos generales” frente a “Información general”, refleja diferencias en marcos normativos y la existencia de compromisos institucionales con distintos paradigmas educativos o principios metodológico- evaluativos y administrativos. Aunque la variación en la </w:t>
      </w:r>
      <w:r w:rsidRPr="00194C36">
        <w:rPr>
          <w:rFonts w:ascii="Arial" w:hAnsi="Arial" w:cs="Arial"/>
          <w:lang w:eastAsia="en-US"/>
          <w14:ligatures w14:val="standardContextual"/>
        </w:rPr>
        <w:lastRenderedPageBreak/>
        <w:t xml:space="preserve">terminología utilizada para describir componentes similares puede dificultar la comparación entre programas de diferentes instituciones, estas son inevitables, ya que reflejan tanto la diversidad cultural y académica de las instituciones como la falta de un estándar unificado, para la estructuración de los programas de curso entre diferentes instituciones y sistemas de educación superior. </w:t>
      </w:r>
    </w:p>
    <w:p w14:paraId="76A13378"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Una mayor estandarización de la terminología podría facilitar la comparación y evaluación de programas de diferentes universidades, promoviendo una mayor coherencia y transparencia. Sin embargo, al variar en la denominación, se puede ofrecer flexibilidad para adaptar los programas a contextos específicos, lo cual es beneficioso siempre que se mantenga la claridad y la consistencia al presentar la información.</w:t>
      </w:r>
    </w:p>
    <w:p w14:paraId="21408964"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Además de las diferencias en terminología, se observan variaciones en la estructura. Algunas instituciones incluyen apartados adicionales sobre competencias del futuro perfil de las personas graduadas, responsabilidades estudiantiles, normas de curso, políticas de honestidad académica y tutoriales de plataformas virtuales; mientras otras se centran más en aspectos operativos, fusionando la planificación táctica con la operativa. Estas variaciones reflejan la adaptabilidad de los programas de curso a contextos específicos, enriqueciendo la planificación del proceso enseñanza-aprendizaje a nivel meso.</w:t>
      </w:r>
    </w:p>
    <w:p w14:paraId="43E3927A"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lastRenderedPageBreak/>
        <w:t xml:space="preserve">En general, los resultados de estudio evidencian tanto logros como áreas de mejora en la estructuración de los programas de curso. Aunque existe consistencia en la inclusión de componentes clave, la baja frecuencia de POR y ACT sugiere oportunidades para fortalecer la calidad educativa. Asimismo, una mayor estandarización de la terminología y la incorporación de apartados adicionales podrían beneficiar la coherencia y la efectividad en la planificación curricular a nivel de los cursos. </w:t>
      </w:r>
      <w:bookmarkEnd w:id="19"/>
    </w:p>
    <w:p w14:paraId="51452551" w14:textId="61489D6C" w:rsidR="00194C36" w:rsidRPr="00194C36" w:rsidRDefault="006577A9" w:rsidP="00932A18">
      <w:pPr>
        <w:spacing w:before="100" w:beforeAutospacing="1" w:after="100" w:afterAutospacing="1" w:line="360" w:lineRule="auto"/>
        <w:jc w:val="both"/>
        <w:rPr>
          <w:rFonts w:ascii="Arial" w:hAnsi="Arial" w:cs="Arial"/>
          <w:b/>
          <w:bCs/>
          <w:lang w:eastAsia="es-CR"/>
        </w:rPr>
      </w:pPr>
      <w:bookmarkStart w:id="20" w:name="_Hlk182589968"/>
      <w:bookmarkStart w:id="21" w:name="_Hlk183091378"/>
      <w:r w:rsidRPr="00194C36">
        <w:rPr>
          <w:rFonts w:ascii="Arial" w:hAnsi="Arial" w:cs="Arial"/>
          <w:b/>
          <w:bCs/>
          <w:lang w:eastAsia="es-CR"/>
        </w:rPr>
        <w:t>CONCLUSIONES</w:t>
      </w:r>
    </w:p>
    <w:bookmarkEnd w:id="20"/>
    <w:p w14:paraId="2292B300"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 xml:space="preserve">El análisis de 40 programas de asignaturas de 21 universidades centroamericanas y caribeñas revela datos importantes sobre su estructura y consistencia. Los resultados del estudio permiten extraer conclusiones clave que contribuyen a la comprensión de cómo se diseñan y se estructuran los programas de curso en diferentes niveles académicos, y en diversas instituciones de educación superior en la región. </w:t>
      </w:r>
    </w:p>
    <w:p w14:paraId="70E9DEAA"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La comparación entre los datos empíricos y el marco conceptual evidencia coincidencias y divergencias significativas, proporcionando lecciones para mejorar la elaboración, implementación y revisión de programas en la región. Integrar tanto las prácticas actuales como las recomendaciones teóricas puede reforzar los procesos curriculares, incrementando la coherencia y efectividad en la planificación y gestión de los cursos.</w:t>
      </w:r>
    </w:p>
    <w:p w14:paraId="57100D87"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lastRenderedPageBreak/>
        <w:t xml:space="preserve">Los programas de grado y posgrado reflejan una planificación alineada con estándares de calidad de la ACAP. Tanto universidades miembros como no miembros de la ACAP siguen prácticas consistentes, incluyendo en los programas elementos esenciales como datos generales, descripción general, objetivos, contenidos, metodología, evaluación y bibliografía, siguiendo un orden lógico. </w:t>
      </w:r>
    </w:p>
    <w:p w14:paraId="1DE3D1EE"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Esto evidencia compromiso con la calidad educativa. Sin embargo, componentes como portada, información del profesorado y registro de actualizaciones requieren atención. La portada identifica el documento, la información del profesorado refuerza la confianza y el registro asegura relevancia en áreas de rápida evolución. Además, las universidades pueden innovar en la presentación y actualización de los programas de curso, siempre buscando aumentar la calidad y consistencia dentro del nivel táctico de concreción curricular. La incorporación de nuevos componentes debe ser evaluada según su aporte a la calidad educativa y a la gestión curricular.</w:t>
      </w:r>
    </w:p>
    <w:p w14:paraId="47F961CA"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 xml:space="preserve">En conclusión, las semejanzas y diferencias en la estructura y terminología de los programas reflejan la necesidad de un equilibrio entre estandarización y flexibilidad para mejorar la calidad y transparencia en la educación superior. </w:t>
      </w:r>
    </w:p>
    <w:p w14:paraId="4529636A" w14:textId="77777777" w:rsidR="00194C36" w:rsidRPr="00194C36" w:rsidRDefault="00194C36" w:rsidP="006577A9">
      <w:pPr>
        <w:autoSpaceDE w:val="0"/>
        <w:autoSpaceDN w:val="0"/>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Se confirma que la mejor estructura y nomenclatura para los programas es la que facilita la integración con otros niveles de planificación curricular, optimiza esfuerzos y satisface necesidades, alcanzando los objetivos de manera efectiva (</w:t>
      </w:r>
      <w:proofErr w:type="spellStart"/>
      <w:r w:rsidRPr="00194C36">
        <w:rPr>
          <w:rFonts w:ascii="Arial" w:hAnsi="Arial" w:cs="Arial"/>
          <w:lang w:eastAsia="en-US"/>
          <w14:ligatures w14:val="standardContextual"/>
        </w:rPr>
        <w:t>Reznik</w:t>
      </w:r>
      <w:proofErr w:type="spellEnd"/>
      <w:r w:rsidRPr="00194C36">
        <w:rPr>
          <w:rFonts w:ascii="Arial" w:hAnsi="Arial" w:cs="Arial"/>
          <w:lang w:eastAsia="en-US"/>
          <w14:ligatures w14:val="standardContextual"/>
        </w:rPr>
        <w:t xml:space="preserve">, </w:t>
      </w:r>
      <w:r w:rsidRPr="00194C36">
        <w:rPr>
          <w:rFonts w:ascii="Arial" w:hAnsi="Arial" w:cs="Arial"/>
          <w:lang w:eastAsia="en-US"/>
          <w14:ligatures w14:val="standardContextual"/>
        </w:rPr>
        <w:lastRenderedPageBreak/>
        <w:t>2014). No olvidemos que la calidad de los programas de cursos de las carreras y postgrados ha sido y sigue siendo un imperativo para la excelencia académica, buscada por las instituciones de educación superior para alcanzar un impacto, pertinencia, vinculación con la comunidad académica, profesional y en beneficio de la sociedad en general.</w:t>
      </w:r>
      <w:bookmarkEnd w:id="21"/>
    </w:p>
    <w:p w14:paraId="7252C021" w14:textId="0E28AAEE" w:rsidR="00194C36" w:rsidRPr="00194C36" w:rsidRDefault="00A34346" w:rsidP="00932A18">
      <w:pPr>
        <w:spacing w:before="100" w:beforeAutospacing="1" w:after="100" w:afterAutospacing="1" w:line="360" w:lineRule="auto"/>
        <w:jc w:val="both"/>
        <w:rPr>
          <w:rFonts w:ascii="Arial" w:hAnsi="Arial" w:cs="Arial"/>
          <w:b/>
          <w:bCs/>
          <w:lang w:eastAsia="es-CR"/>
        </w:rPr>
      </w:pPr>
      <w:r w:rsidRPr="00194C36">
        <w:rPr>
          <w:rFonts w:ascii="Arial" w:hAnsi="Arial" w:cs="Arial"/>
          <w:b/>
          <w:bCs/>
          <w:lang w:eastAsia="es-CR"/>
        </w:rPr>
        <w:t>AGRADECIMIENTO</w:t>
      </w:r>
    </w:p>
    <w:p w14:paraId="33244BA8" w14:textId="77777777" w:rsidR="00194C36" w:rsidRPr="00194C36" w:rsidRDefault="00194C36" w:rsidP="006577A9">
      <w:pPr>
        <w:spacing w:before="100" w:beforeAutospacing="1" w:after="100" w:afterAutospacing="1" w:line="360" w:lineRule="auto"/>
        <w:jc w:val="both"/>
        <w:rPr>
          <w:rFonts w:ascii="Arial" w:hAnsi="Arial" w:cs="Arial"/>
          <w:lang w:eastAsia="en-US"/>
          <w14:ligatures w14:val="standardContextual"/>
        </w:rPr>
      </w:pPr>
      <w:r w:rsidRPr="00194C36">
        <w:rPr>
          <w:rFonts w:ascii="Arial" w:hAnsi="Arial" w:cs="Arial"/>
          <w:lang w:eastAsia="en-US"/>
          <w14:ligatures w14:val="standardContextual"/>
        </w:rPr>
        <w:t>Agradecemos sinceramente a colegas de diversas universidades de la región por su colaboración al proporcionar los programas de cursos de grado y posgrado, así como las normativas internas de programación de asignaturas en sus instituciones.</w:t>
      </w:r>
    </w:p>
    <w:p w14:paraId="05334884" w14:textId="343A7C02" w:rsidR="00194C36" w:rsidRPr="00194C36" w:rsidRDefault="00074001" w:rsidP="00932A18">
      <w:pPr>
        <w:spacing w:before="100" w:beforeAutospacing="1" w:after="100" w:afterAutospacing="1" w:line="360" w:lineRule="auto"/>
        <w:jc w:val="both"/>
        <w:rPr>
          <w:rFonts w:ascii="Arial" w:hAnsi="Arial" w:cs="Arial"/>
          <w:b/>
          <w:bCs/>
          <w:lang w:eastAsia="es-CR"/>
        </w:rPr>
      </w:pPr>
      <w:bookmarkStart w:id="22" w:name="_Hlk172019125"/>
      <w:r w:rsidRPr="00194C36">
        <w:rPr>
          <w:rFonts w:ascii="Arial" w:hAnsi="Arial" w:cs="Arial"/>
          <w:b/>
          <w:bCs/>
          <w:lang w:eastAsia="es-CR"/>
        </w:rPr>
        <w:t>REFERENCIAS BIBLIOGRÁFICAS</w:t>
      </w:r>
    </w:p>
    <w:p w14:paraId="6FD15910"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kern w:val="2"/>
          <w:lang w:eastAsia="en-US"/>
          <w14:ligatures w14:val="standardContextual"/>
        </w:rPr>
      </w:pPr>
      <w:r w:rsidRPr="00194C36">
        <w:rPr>
          <w:rFonts w:ascii="Arial" w:eastAsiaTheme="minorHAnsi" w:hAnsi="Arial" w:cs="Arial"/>
          <w:kern w:val="2"/>
          <w:lang w:eastAsia="en-US"/>
          <w14:ligatures w14:val="standardContextual"/>
        </w:rPr>
        <w:t xml:space="preserve">Agencia Centroamericana de Acreditación de Postgrado. (2020). </w:t>
      </w:r>
      <w:r w:rsidRPr="00194C36">
        <w:rPr>
          <w:rFonts w:ascii="Arial" w:eastAsiaTheme="minorHAnsi" w:hAnsi="Arial" w:cs="Arial"/>
          <w:i/>
          <w:iCs/>
          <w:kern w:val="2"/>
          <w:lang w:eastAsia="en-US"/>
          <w14:ligatures w14:val="standardContextual"/>
        </w:rPr>
        <w:t xml:space="preserve">Guía de autoevaluación de la ACAP </w:t>
      </w:r>
      <w:r w:rsidRPr="00194C36">
        <w:rPr>
          <w:rFonts w:ascii="Arial" w:eastAsiaTheme="minorHAnsi" w:hAnsi="Arial" w:cs="Arial"/>
          <w:kern w:val="2"/>
          <w:lang w:eastAsia="en-US"/>
          <w14:ligatures w14:val="standardContextual"/>
        </w:rPr>
        <w:t>(3ª Ed.)</w:t>
      </w:r>
      <w:r w:rsidRPr="00194C36">
        <w:rPr>
          <w:rFonts w:ascii="Arial" w:eastAsiaTheme="minorHAnsi" w:hAnsi="Arial" w:cs="Arial"/>
          <w:i/>
          <w:iCs/>
          <w:kern w:val="2"/>
          <w:lang w:eastAsia="en-US"/>
          <w14:ligatures w14:val="standardContextual"/>
        </w:rPr>
        <w:t>.</w:t>
      </w:r>
      <w:r w:rsidRPr="00194C36">
        <w:rPr>
          <w:rFonts w:ascii="Arial" w:eastAsiaTheme="minorHAnsi" w:hAnsi="Arial" w:cs="Arial"/>
          <w:kern w:val="2"/>
          <w:lang w:eastAsia="en-US"/>
          <w14:ligatures w14:val="standardContextual"/>
        </w:rPr>
        <w:t xml:space="preserve"> ACAP. </w:t>
      </w:r>
    </w:p>
    <w:p w14:paraId="4D52B984"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kern w:val="2"/>
          <w:lang w:eastAsia="en-US"/>
          <w14:ligatures w14:val="standardContextual"/>
        </w:rPr>
      </w:pPr>
      <w:bookmarkStart w:id="23" w:name="_Hlk172030111"/>
      <w:r w:rsidRPr="00194C36">
        <w:rPr>
          <w:rFonts w:ascii="Arial" w:eastAsiaTheme="minorHAnsi" w:hAnsi="Arial" w:cs="Arial"/>
          <w:kern w:val="2"/>
          <w:lang w:eastAsia="en-US"/>
          <w14:ligatures w14:val="standardContextual"/>
        </w:rPr>
        <w:t xml:space="preserve">Agencia Centroamericana de Acreditación de Programas de Arquitectura y de Ingeniería. (2021). </w:t>
      </w:r>
      <w:r w:rsidRPr="00194C36">
        <w:rPr>
          <w:rFonts w:ascii="Arial" w:eastAsiaTheme="minorHAnsi" w:hAnsi="Arial" w:cs="Arial"/>
          <w:i/>
          <w:iCs/>
          <w:kern w:val="2"/>
          <w:lang w:eastAsia="en-US"/>
          <w14:ligatures w14:val="standardContextual"/>
        </w:rPr>
        <w:t>Sistema de acreditación de programas de arquitectura, ingeniería y diseño 2021: Guía de autoevaluación</w:t>
      </w:r>
      <w:r w:rsidRPr="00194C36">
        <w:rPr>
          <w:rFonts w:ascii="Arial" w:eastAsiaTheme="minorHAnsi" w:hAnsi="Arial" w:cs="Arial"/>
          <w:kern w:val="2"/>
          <w:lang w:eastAsia="en-US"/>
          <w14:ligatures w14:val="standardContextual"/>
        </w:rPr>
        <w:t>. Autor.</w:t>
      </w:r>
    </w:p>
    <w:bookmarkEnd w:id="23"/>
    <w:p w14:paraId="79A3DCC9"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lang w:eastAsia="en-US"/>
          <w14:ligatures w14:val="standardContextual"/>
        </w:rPr>
      </w:pPr>
      <w:r w:rsidRPr="00194C36">
        <w:rPr>
          <w:rFonts w:ascii="Arial" w:eastAsiaTheme="minorHAnsi" w:hAnsi="Arial" w:cs="Arial"/>
          <w:lang w:eastAsia="en-US"/>
          <w14:ligatures w14:val="standardContextual"/>
        </w:rPr>
        <w:t xml:space="preserve">Agencia de Acreditación de Programas de Ingeniería y Arquitectura (AAPIA). (2021). </w:t>
      </w:r>
      <w:r w:rsidRPr="00194C36">
        <w:rPr>
          <w:rFonts w:ascii="Arial" w:eastAsiaTheme="minorHAnsi" w:hAnsi="Arial" w:cs="Arial"/>
          <w:i/>
          <w:iCs/>
          <w:lang w:eastAsia="en-US"/>
          <w14:ligatures w14:val="standardContextual"/>
        </w:rPr>
        <w:t>Guía de autoevaluación.</w:t>
      </w:r>
      <w:r w:rsidRPr="00194C36">
        <w:rPr>
          <w:rFonts w:ascii="Arial" w:eastAsiaTheme="minorHAnsi" w:hAnsi="Arial" w:cs="Arial"/>
          <w:lang w:eastAsia="en-US"/>
          <w14:ligatures w14:val="standardContextual"/>
        </w:rPr>
        <w:t xml:space="preserve"> Colegio Federado de Ingenieros y de Arquitectos de Costa Rica. </w:t>
      </w:r>
    </w:p>
    <w:p w14:paraId="1E59F113"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color w:val="0563C1" w:themeColor="hyperlink"/>
          <w:kern w:val="2"/>
          <w:u w:val="single"/>
          <w:lang w:eastAsia="en-US"/>
          <w14:ligatures w14:val="standardContextual"/>
        </w:rPr>
      </w:pPr>
      <w:bookmarkStart w:id="24" w:name="_Hlk172030158"/>
      <w:r w:rsidRPr="00194C36">
        <w:rPr>
          <w:rFonts w:ascii="Arial" w:eastAsiaTheme="minorHAnsi" w:hAnsi="Arial" w:cs="Arial"/>
          <w:kern w:val="2"/>
          <w:lang w:val="en-US" w:eastAsia="en-US"/>
          <w14:ligatures w14:val="standardContextual"/>
        </w:rPr>
        <w:lastRenderedPageBreak/>
        <w:t xml:space="preserve">Chinese University of Hong Kong, The. (2025). </w:t>
      </w:r>
      <w:r w:rsidRPr="00194C36">
        <w:rPr>
          <w:rFonts w:ascii="Arial" w:eastAsiaTheme="minorHAnsi" w:hAnsi="Arial" w:cs="Arial"/>
          <w:i/>
          <w:kern w:val="2"/>
          <w:lang w:val="en-US" w:eastAsia="en-US"/>
          <w14:ligatures w14:val="standardContextual"/>
        </w:rPr>
        <w:t>Course Outline Template</w:t>
      </w:r>
      <w:r w:rsidRPr="00194C36">
        <w:rPr>
          <w:rFonts w:ascii="Arial" w:eastAsiaTheme="minorHAnsi" w:hAnsi="Arial" w:cs="Arial"/>
          <w:kern w:val="2"/>
          <w:lang w:val="en-US" w:eastAsia="en-US"/>
          <w14:ligatures w14:val="standardContextual"/>
        </w:rPr>
        <w:t xml:space="preserve">. Hong Kong: Author, Centre for Learning Enhancement and Research, Course Planning Service. </w:t>
      </w:r>
      <w:r w:rsidRPr="00194C36">
        <w:rPr>
          <w:rFonts w:ascii="Arial" w:eastAsiaTheme="minorHAnsi" w:hAnsi="Arial" w:cs="Arial"/>
          <w:kern w:val="2"/>
          <w:lang w:val="en-GB" w:eastAsia="en-US"/>
          <w14:ligatures w14:val="standardContextual"/>
        </w:rPr>
        <w:t xml:space="preserve"> </w:t>
      </w:r>
      <w:r w:rsidR="00EB58F3">
        <w:fldChar w:fldCharType="begin"/>
      </w:r>
      <w:r w:rsidR="00EB58F3" w:rsidRPr="00B24FE6">
        <w:rPr>
          <w:lang w:val="en-US"/>
        </w:rPr>
        <w:instrText xml:space="preserve"> HYPERLINK "https://www.cuhk.edu.hk/crs/download/CourseOutline/2025T2/CULS5209B.pdf" </w:instrText>
      </w:r>
      <w:r w:rsidR="00EB58F3">
        <w:fldChar w:fldCharType="separate"/>
      </w:r>
      <w:r w:rsidRPr="004D27AF">
        <w:rPr>
          <w:rFonts w:ascii="Arial" w:eastAsiaTheme="minorHAnsi" w:hAnsi="Arial" w:cs="Arial"/>
          <w:color w:val="002060"/>
          <w:kern w:val="2"/>
          <w:u w:val="single"/>
          <w:lang w:eastAsia="en-US"/>
          <w14:ligatures w14:val="standardContextual"/>
        </w:rPr>
        <w:t>https://www.cuhk.edu.hk/crs/download/CourseOutline/2025T2/CULS5209B.pdf</w:t>
      </w:r>
      <w:r w:rsidR="00EB58F3">
        <w:rPr>
          <w:rFonts w:ascii="Arial" w:eastAsiaTheme="minorHAnsi" w:hAnsi="Arial" w:cs="Arial"/>
          <w:color w:val="002060"/>
          <w:kern w:val="2"/>
          <w:u w:val="single"/>
          <w:lang w:eastAsia="en-US"/>
          <w14:ligatures w14:val="standardContextual"/>
        </w:rPr>
        <w:fldChar w:fldCharType="end"/>
      </w:r>
      <w:r w:rsidRPr="004D27AF">
        <w:rPr>
          <w:rFonts w:ascii="Arial" w:eastAsiaTheme="minorHAnsi" w:hAnsi="Arial" w:cs="Arial"/>
          <w:color w:val="002060"/>
          <w:kern w:val="2"/>
          <w:u w:val="single"/>
          <w:lang w:eastAsia="en-US"/>
          <w14:ligatures w14:val="standardContextual"/>
        </w:rPr>
        <w:t xml:space="preserve"> </w:t>
      </w:r>
    </w:p>
    <w:bookmarkEnd w:id="24"/>
    <w:p w14:paraId="7B8228A9"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kern w:val="2"/>
          <w:lang w:eastAsia="en-US"/>
          <w14:ligatures w14:val="standardContextual"/>
        </w:rPr>
      </w:pPr>
      <w:r w:rsidRPr="00194C36">
        <w:rPr>
          <w:rFonts w:ascii="Arial" w:eastAsiaTheme="minorHAnsi" w:hAnsi="Arial" w:cs="Arial"/>
          <w:kern w:val="2"/>
          <w:lang w:eastAsia="en-US"/>
          <w14:ligatures w14:val="standardContextual"/>
        </w:rPr>
        <w:t xml:space="preserve">Consejo Nacional de Rectores, Oficina de Planificación de la Educación Superior. (2012). </w:t>
      </w:r>
      <w:r w:rsidRPr="00194C36">
        <w:rPr>
          <w:rFonts w:ascii="Arial" w:eastAsiaTheme="minorHAnsi" w:hAnsi="Arial" w:cs="Arial"/>
          <w:i/>
          <w:iCs/>
          <w:kern w:val="2"/>
          <w:lang w:eastAsia="en-US"/>
          <w14:ligatures w14:val="standardContextual"/>
        </w:rPr>
        <w:t xml:space="preserve">Léxico de uso común en la educación costarricense. </w:t>
      </w:r>
      <w:r w:rsidRPr="00194C36">
        <w:rPr>
          <w:rFonts w:ascii="Arial" w:eastAsiaTheme="minorHAnsi" w:hAnsi="Arial" w:cs="Arial"/>
          <w:kern w:val="2"/>
          <w:lang w:eastAsia="en-US"/>
          <w14:ligatures w14:val="standardContextual"/>
        </w:rPr>
        <w:t xml:space="preserve">CONARE-OPES. </w:t>
      </w:r>
    </w:p>
    <w:p w14:paraId="4B5ED587"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kern w:val="2"/>
          <w:lang w:eastAsia="en-US"/>
          <w14:ligatures w14:val="standardContextual"/>
        </w:rPr>
      </w:pPr>
      <w:r w:rsidRPr="00194C36">
        <w:rPr>
          <w:rFonts w:ascii="Arial" w:eastAsiaTheme="minorHAnsi" w:hAnsi="Arial" w:cs="Arial"/>
          <w:kern w:val="2"/>
          <w:lang w:eastAsia="en-US"/>
          <w14:ligatures w14:val="standardContextual"/>
        </w:rPr>
        <w:t>Cruz-Montero, J.; Guevara-Gómez, H.; Flores-</w:t>
      </w:r>
      <w:proofErr w:type="spellStart"/>
      <w:r w:rsidRPr="00194C36">
        <w:rPr>
          <w:rFonts w:ascii="Arial" w:eastAsiaTheme="minorHAnsi" w:hAnsi="Arial" w:cs="Arial"/>
          <w:kern w:val="2"/>
          <w:lang w:eastAsia="en-US"/>
          <w14:ligatures w14:val="standardContextual"/>
        </w:rPr>
        <w:t>Arocutipa</w:t>
      </w:r>
      <w:proofErr w:type="spellEnd"/>
      <w:r w:rsidRPr="00194C36">
        <w:rPr>
          <w:rFonts w:ascii="Arial" w:eastAsiaTheme="minorHAnsi" w:hAnsi="Arial" w:cs="Arial"/>
          <w:kern w:val="2"/>
          <w:lang w:eastAsia="en-US"/>
          <w14:ligatures w14:val="standardContextual"/>
        </w:rPr>
        <w:t xml:space="preserve">, J. y Ledesma-Cuadros, M. (2020). Áreas de conocimiento y fases clave en la gestión de proyectos: Consideraciones teóricas. </w:t>
      </w:r>
      <w:r w:rsidRPr="00194C36">
        <w:rPr>
          <w:rFonts w:ascii="Arial" w:eastAsiaTheme="minorHAnsi" w:hAnsi="Arial" w:cs="Arial"/>
          <w:i/>
          <w:iCs/>
          <w:kern w:val="2"/>
          <w:lang w:eastAsia="en-US"/>
          <w14:ligatures w14:val="standardContextual"/>
        </w:rPr>
        <w:t>Revista Venezolana de Gerencia</w:t>
      </w:r>
      <w:r w:rsidRPr="00194C36">
        <w:rPr>
          <w:rFonts w:ascii="Arial" w:eastAsiaTheme="minorHAnsi" w:hAnsi="Arial" w:cs="Arial"/>
          <w:kern w:val="2"/>
          <w:lang w:eastAsia="en-US"/>
          <w14:ligatures w14:val="standardContextual"/>
        </w:rPr>
        <w:t xml:space="preserve">, </w:t>
      </w:r>
      <w:r w:rsidRPr="00194C36">
        <w:rPr>
          <w:rFonts w:ascii="Arial" w:eastAsiaTheme="minorHAnsi" w:hAnsi="Arial" w:cs="Arial"/>
          <w:i/>
          <w:iCs/>
          <w:kern w:val="2"/>
          <w:lang w:eastAsia="en-US"/>
          <w14:ligatures w14:val="standardContextual"/>
        </w:rPr>
        <w:t>25</w:t>
      </w:r>
      <w:r w:rsidRPr="00194C36">
        <w:rPr>
          <w:rFonts w:ascii="Arial" w:eastAsiaTheme="minorHAnsi" w:hAnsi="Arial" w:cs="Arial"/>
          <w:kern w:val="2"/>
          <w:lang w:eastAsia="en-US"/>
          <w14:ligatures w14:val="standardContextual"/>
        </w:rPr>
        <w:t xml:space="preserve">(90), 680-689. </w:t>
      </w:r>
      <w:hyperlink r:id="rId35" w:history="1">
        <w:r w:rsidRPr="004D27AF">
          <w:rPr>
            <w:rFonts w:ascii="Arial" w:eastAsiaTheme="minorHAnsi" w:hAnsi="Arial" w:cs="Arial"/>
            <w:color w:val="002060"/>
            <w:kern w:val="2"/>
            <w:u w:val="single"/>
            <w:lang w:eastAsia="en-US"/>
            <w14:ligatures w14:val="standardContextual"/>
          </w:rPr>
          <w:t>https://www.redalyc.org/journal/290/29063559017/29063559017.pdf</w:t>
        </w:r>
      </w:hyperlink>
      <w:r w:rsidRPr="00194C36">
        <w:rPr>
          <w:rFonts w:ascii="Arial" w:eastAsiaTheme="minorHAnsi" w:hAnsi="Arial" w:cs="Arial"/>
          <w:kern w:val="2"/>
          <w:lang w:eastAsia="en-US"/>
          <w14:ligatures w14:val="standardContextual"/>
        </w:rPr>
        <w:t xml:space="preserve"> </w:t>
      </w:r>
    </w:p>
    <w:p w14:paraId="103278E2"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kern w:val="2"/>
          <w:lang w:val="es-ES" w:eastAsia="en-US"/>
          <w14:ligatures w14:val="standardContextual"/>
        </w:rPr>
      </w:pPr>
      <w:r w:rsidRPr="00194C36">
        <w:rPr>
          <w:rFonts w:ascii="Arial" w:eastAsiaTheme="minorHAnsi" w:hAnsi="Arial" w:cs="Arial"/>
          <w:kern w:val="2"/>
          <w:lang w:val="es-ES" w:eastAsia="en-US"/>
          <w14:ligatures w14:val="standardContextual"/>
        </w:rPr>
        <w:t xml:space="preserve">Estévez, D. y Daza, E. (2022). Adaptación de la lista de chequeo de habilidades sociales de GOLSTEIN al contexto ecuatoriano. </w:t>
      </w:r>
      <w:r w:rsidRPr="00194C36">
        <w:rPr>
          <w:rFonts w:ascii="Arial" w:eastAsiaTheme="minorHAnsi" w:hAnsi="Arial" w:cs="Arial"/>
          <w:i/>
          <w:iCs/>
          <w:kern w:val="2"/>
          <w:lang w:val="es-ES" w:eastAsia="en-US"/>
          <w14:ligatures w14:val="standardContextual"/>
        </w:rPr>
        <w:t>Aula Virtual, 3</w:t>
      </w:r>
      <w:r w:rsidRPr="00194C36">
        <w:rPr>
          <w:rFonts w:ascii="Arial" w:eastAsiaTheme="minorHAnsi" w:hAnsi="Arial" w:cs="Arial"/>
          <w:kern w:val="2"/>
          <w:lang w:val="es-ES" w:eastAsia="en-US"/>
          <w14:ligatures w14:val="standardContextual"/>
        </w:rPr>
        <w:t xml:space="preserve">(7), 98-108.  </w:t>
      </w:r>
      <w:hyperlink r:id="rId36" w:history="1">
        <w:r w:rsidRPr="004D27AF">
          <w:rPr>
            <w:rFonts w:ascii="Arial" w:eastAsiaTheme="minorHAnsi" w:hAnsi="Arial" w:cs="Arial"/>
            <w:color w:val="002060"/>
            <w:kern w:val="2"/>
            <w:u w:val="single"/>
            <w:lang w:val="es-ES" w:eastAsia="en-US"/>
            <w14:ligatures w14:val="standardContextual"/>
          </w:rPr>
          <w:t>http://www.aulavirtual.web.ve/revista/ojs/index.php/aulavirtual/article/view/147</w:t>
        </w:r>
      </w:hyperlink>
      <w:r w:rsidRPr="004D27AF">
        <w:rPr>
          <w:rFonts w:ascii="Arial" w:eastAsiaTheme="minorHAnsi" w:hAnsi="Arial" w:cs="Arial"/>
          <w:color w:val="002060"/>
          <w:kern w:val="2"/>
          <w:lang w:val="es-ES" w:eastAsia="en-US"/>
          <w14:ligatures w14:val="standardContextual"/>
        </w:rPr>
        <w:t xml:space="preserve"> </w:t>
      </w:r>
    </w:p>
    <w:p w14:paraId="7B542B99"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kern w:val="2"/>
          <w:lang w:eastAsia="en-US"/>
          <w14:ligatures w14:val="standardContextual"/>
        </w:rPr>
      </w:pPr>
      <w:r w:rsidRPr="00194C36">
        <w:rPr>
          <w:rFonts w:ascii="Arial" w:eastAsiaTheme="minorHAnsi" w:hAnsi="Arial" w:cs="Arial"/>
          <w:kern w:val="2"/>
          <w:lang w:val="es-ES" w:eastAsia="en-US"/>
          <w14:ligatures w14:val="standardContextual"/>
        </w:rPr>
        <w:t xml:space="preserve">García, A. y Auzmendi, E. (julio 2012). </w:t>
      </w:r>
      <w:r w:rsidRPr="00194C36">
        <w:rPr>
          <w:rFonts w:ascii="Arial" w:eastAsiaTheme="minorHAnsi" w:hAnsi="Arial" w:cs="Arial"/>
          <w:i/>
          <w:kern w:val="2"/>
          <w:lang w:val="es-ES" w:eastAsia="en-US"/>
          <w14:ligatures w14:val="standardContextual"/>
        </w:rPr>
        <w:t>Evaluación de la planificación de la docencia en las asignaturas de grado</w:t>
      </w:r>
      <w:r w:rsidRPr="00194C36">
        <w:rPr>
          <w:rFonts w:ascii="Arial" w:eastAsiaTheme="minorHAnsi" w:hAnsi="Arial" w:cs="Arial"/>
          <w:kern w:val="2"/>
          <w:lang w:val="es-ES" w:eastAsia="en-US"/>
          <w14:ligatures w14:val="standardContextual"/>
        </w:rPr>
        <w:t xml:space="preserve"> (Ponencia). En </w:t>
      </w:r>
      <w:r w:rsidRPr="00194C36">
        <w:rPr>
          <w:rFonts w:ascii="Arial" w:eastAsiaTheme="minorHAnsi" w:hAnsi="Arial" w:cs="Arial"/>
          <w:i/>
          <w:iCs/>
          <w:kern w:val="2"/>
          <w:lang w:val="es-ES" w:eastAsia="en-US"/>
          <w14:ligatures w14:val="standardContextual"/>
        </w:rPr>
        <w:t xml:space="preserve">VII CIDUI Congreso Internacional </w:t>
      </w:r>
      <w:r w:rsidRPr="00194C36">
        <w:rPr>
          <w:rFonts w:ascii="Arial" w:eastAsiaTheme="minorHAnsi" w:hAnsi="Arial" w:cs="Arial"/>
          <w:i/>
          <w:iCs/>
          <w:kern w:val="2"/>
          <w:lang w:val="es-ES" w:eastAsia="en-US"/>
          <w14:ligatures w14:val="standardContextual"/>
        </w:rPr>
        <w:lastRenderedPageBreak/>
        <w:t>de Docencia Universitaria e Innovación</w:t>
      </w:r>
      <w:r w:rsidRPr="00194C36">
        <w:rPr>
          <w:rFonts w:ascii="Arial" w:eastAsiaTheme="minorHAnsi" w:hAnsi="Arial" w:cs="Arial"/>
          <w:kern w:val="2"/>
          <w:lang w:val="es-ES" w:eastAsia="en-US"/>
          <w14:ligatures w14:val="standardContextual"/>
        </w:rPr>
        <w:t xml:space="preserve">. Universidad Pompeu Fabra. </w:t>
      </w:r>
      <w:hyperlink r:id="rId37" w:history="1">
        <w:r w:rsidRPr="005470F2">
          <w:rPr>
            <w:rFonts w:ascii="Arial" w:eastAsiaTheme="minorHAnsi" w:hAnsi="Arial" w:cs="Arial"/>
            <w:color w:val="002060"/>
            <w:kern w:val="2"/>
            <w:u w:val="single"/>
            <w:lang w:val="es-ES" w:eastAsia="en-US"/>
            <w14:ligatures w14:val="standardContextual"/>
          </w:rPr>
          <w:t>http://www.cidui.org/revista-cidui12/index.php/cidui12/article/view/126</w:t>
        </w:r>
      </w:hyperlink>
    </w:p>
    <w:p w14:paraId="671980F2" w14:textId="77777777" w:rsidR="00194C36" w:rsidRPr="00194C36" w:rsidRDefault="00194C36" w:rsidP="00983B50">
      <w:pPr>
        <w:shd w:val="clear" w:color="auto" w:fill="FFFFFF"/>
        <w:spacing w:before="100" w:beforeAutospacing="1" w:after="100" w:afterAutospacing="1" w:line="360" w:lineRule="auto"/>
        <w:ind w:left="709" w:hanging="709"/>
        <w:jc w:val="both"/>
        <w:rPr>
          <w:rFonts w:ascii="Arial" w:hAnsi="Arial" w:cs="Arial"/>
          <w:lang w:eastAsia="es-CR"/>
        </w:rPr>
      </w:pPr>
      <w:r w:rsidRPr="00194C36">
        <w:rPr>
          <w:rFonts w:ascii="Arial" w:hAnsi="Arial" w:cs="Arial"/>
          <w:lang w:eastAsia="es-CR"/>
        </w:rPr>
        <w:t xml:space="preserve">Gómez, M. (2013). La lista de chequeo: Un estándar de cuidado. </w:t>
      </w:r>
      <w:r w:rsidRPr="00194C36">
        <w:rPr>
          <w:rFonts w:ascii="Arial" w:hAnsi="Arial" w:cs="Arial"/>
          <w:i/>
          <w:iCs/>
          <w:lang w:eastAsia="es-CR"/>
        </w:rPr>
        <w:t>Revista Colombiana de Anestesiología,</w:t>
      </w:r>
      <w:r w:rsidRPr="00194C36">
        <w:rPr>
          <w:rFonts w:ascii="Arial" w:eastAsiaTheme="minorHAnsi" w:hAnsi="Arial" w:cs="Arial"/>
          <w:kern w:val="2"/>
          <w:lang w:eastAsia="en-US"/>
          <w14:ligatures w14:val="standardContextual"/>
        </w:rPr>
        <w:t xml:space="preserve"> </w:t>
      </w:r>
      <w:r w:rsidRPr="00194C36">
        <w:rPr>
          <w:rFonts w:ascii="Arial" w:hAnsi="Arial" w:cs="Arial"/>
          <w:i/>
          <w:iCs/>
          <w:lang w:eastAsia="es-CR"/>
        </w:rPr>
        <w:t>41</w:t>
      </w:r>
      <w:r w:rsidRPr="00194C36">
        <w:rPr>
          <w:rFonts w:ascii="Arial" w:hAnsi="Arial" w:cs="Arial"/>
          <w:lang w:eastAsia="es-CR"/>
        </w:rPr>
        <w:t xml:space="preserve">(3),182–183. </w:t>
      </w:r>
      <w:hyperlink r:id="rId38" w:history="1">
        <w:r w:rsidRPr="005470F2">
          <w:rPr>
            <w:rFonts w:ascii="Arial" w:hAnsi="Arial" w:cs="Arial"/>
            <w:color w:val="002060"/>
            <w:u w:val="single"/>
            <w:lang w:eastAsia="es-CR"/>
          </w:rPr>
          <w:t>http://www.scielo.org.co/pdf/rca/v41n3/v41n3a03.pdf</w:t>
        </w:r>
      </w:hyperlink>
      <w:r w:rsidRPr="005470F2">
        <w:rPr>
          <w:rFonts w:ascii="Arial" w:hAnsi="Arial" w:cs="Arial"/>
          <w:color w:val="002060"/>
          <w:lang w:eastAsia="es-CR"/>
        </w:rPr>
        <w:t xml:space="preserve"> </w:t>
      </w:r>
    </w:p>
    <w:p w14:paraId="5874A133" w14:textId="77777777" w:rsidR="00194C36" w:rsidRPr="00194C36" w:rsidRDefault="00194C36" w:rsidP="00983B50">
      <w:pPr>
        <w:shd w:val="clear" w:color="auto" w:fill="FFFFFF"/>
        <w:spacing w:before="100" w:beforeAutospacing="1" w:after="100" w:afterAutospacing="1" w:line="360" w:lineRule="auto"/>
        <w:ind w:left="709" w:hanging="709"/>
        <w:jc w:val="both"/>
        <w:rPr>
          <w:rFonts w:ascii="Arial" w:hAnsi="Arial" w:cs="Arial"/>
          <w:color w:val="0563C1" w:themeColor="hyperlink"/>
          <w:u w:val="single"/>
          <w:lang w:eastAsia="es-CR"/>
        </w:rPr>
      </w:pPr>
      <w:r w:rsidRPr="00194C36">
        <w:rPr>
          <w:rFonts w:ascii="Arial" w:hAnsi="Arial" w:cs="Arial"/>
          <w:lang w:eastAsia="es-CR"/>
        </w:rPr>
        <w:t xml:space="preserve">González, B. (2013, marzo). </w:t>
      </w:r>
      <w:r w:rsidRPr="00194C36">
        <w:rPr>
          <w:rFonts w:ascii="Arial" w:hAnsi="Arial" w:cs="Arial"/>
          <w:i/>
          <w:iCs/>
          <w:lang w:eastAsia="es-CR"/>
        </w:rPr>
        <w:t>El currículo como proyecto educativo en sus tres niveles de concreción</w:t>
      </w:r>
      <w:r w:rsidRPr="00194C36">
        <w:rPr>
          <w:rFonts w:ascii="Arial" w:hAnsi="Arial" w:cs="Arial"/>
          <w:lang w:eastAsia="es-CR"/>
        </w:rPr>
        <w:t xml:space="preserve">. Ponencia presentada en el III Congreso Internacional de Calidad e Innovación Universitaria, UCV, Caracas, Venezuela. </w:t>
      </w:r>
      <w:hyperlink r:id="rId39" w:history="1">
        <w:r w:rsidRPr="005470F2">
          <w:rPr>
            <w:rFonts w:ascii="Arial" w:hAnsi="Arial" w:cs="Arial"/>
            <w:color w:val="002060"/>
            <w:u w:val="single"/>
            <w:lang w:eastAsia="es-CR"/>
          </w:rPr>
          <w:t>https://www.ruthdiazbello.com/eventos/visiones/documentos/gonzalez.pdf</w:t>
        </w:r>
      </w:hyperlink>
    </w:p>
    <w:p w14:paraId="0D5900D7" w14:textId="77777777" w:rsidR="00194C36" w:rsidRPr="00194C36" w:rsidRDefault="00194C36" w:rsidP="00983B50">
      <w:pPr>
        <w:widowControl w:val="0"/>
        <w:autoSpaceDE w:val="0"/>
        <w:autoSpaceDN w:val="0"/>
        <w:adjustRightInd w:val="0"/>
        <w:spacing w:before="100" w:beforeAutospacing="1" w:after="100" w:afterAutospacing="1" w:line="360" w:lineRule="auto"/>
        <w:ind w:left="709" w:hanging="709"/>
        <w:jc w:val="both"/>
        <w:rPr>
          <w:rFonts w:ascii="Arial" w:hAnsi="Arial" w:cs="Arial"/>
          <w:color w:val="000000"/>
          <w:lang w:val="es-ES_tradnl" w:eastAsia="es-CR"/>
        </w:rPr>
      </w:pPr>
      <w:r w:rsidRPr="00194C36">
        <w:rPr>
          <w:rFonts w:ascii="Arial" w:hAnsi="Arial" w:cs="Arial"/>
          <w:lang w:val="es-ES"/>
          <w14:ligatures w14:val="standardContextual"/>
        </w:rPr>
        <w:t xml:space="preserve">Instituto Tecnológico de Costa Rica. (2007). </w:t>
      </w:r>
      <w:r w:rsidRPr="00194C36">
        <w:rPr>
          <w:rFonts w:ascii="Arial" w:hAnsi="Arial" w:cs="Arial"/>
          <w:i/>
          <w:lang w:val="es-ES_tradnl"/>
          <w14:ligatures w14:val="standardContextual"/>
        </w:rPr>
        <w:t>Reglamento</w:t>
      </w:r>
      <w:r w:rsidRPr="00194C36">
        <w:rPr>
          <w:rFonts w:ascii="Arial" w:hAnsi="Arial" w:cs="Arial"/>
          <w:i/>
          <w:color w:val="000000"/>
          <w:lang w:val="es-ES_tradnl"/>
          <w14:ligatures w14:val="standardContextual"/>
        </w:rPr>
        <w:t xml:space="preserve"> para el reconocimiento y equiparación de grados y títulos</w:t>
      </w:r>
      <w:r w:rsidRPr="00194C36">
        <w:rPr>
          <w:rFonts w:ascii="Arial" w:hAnsi="Arial" w:cs="Arial"/>
          <w:i/>
          <w:lang w:val="es-ES_tradnl"/>
          <w14:ligatures w14:val="standardContextual"/>
        </w:rPr>
        <w:t>.</w:t>
      </w:r>
      <w:r w:rsidRPr="00194C36">
        <w:rPr>
          <w:rFonts w:ascii="Arial" w:hAnsi="Arial" w:cs="Arial"/>
          <w:lang w:val="es-ES_tradnl"/>
          <w14:ligatures w14:val="standardContextual"/>
        </w:rPr>
        <w:t xml:space="preserve"> </w:t>
      </w:r>
      <w:r w:rsidRPr="00194C36">
        <w:rPr>
          <w:rFonts w:ascii="Arial" w:hAnsi="Arial" w:cs="Arial"/>
          <w:lang w:val="es-ES"/>
          <w14:ligatures w14:val="standardContextual"/>
        </w:rPr>
        <w:t xml:space="preserve">Cartago (C.R.): Autor. Accesible en </w:t>
      </w:r>
      <w:hyperlink r:id="rId40" w:history="1">
        <w:r w:rsidRPr="005470F2">
          <w:rPr>
            <w:rFonts w:ascii="Arial" w:hAnsi="Arial" w:cs="Arial"/>
            <w:color w:val="002060"/>
            <w:u w:val="single"/>
            <w:lang w:val="es-ES_tradnl" w:eastAsia="es-CR"/>
          </w:rPr>
          <w:t>https://www.tec.ac.cr/reglamento-reconocimiento-equiparacion-grados-titulos-tecnologico-costa-rica</w:t>
        </w:r>
      </w:hyperlink>
      <w:r w:rsidRPr="005470F2">
        <w:rPr>
          <w:rFonts w:ascii="Arial" w:hAnsi="Arial" w:cs="Arial"/>
          <w:color w:val="002060"/>
          <w:lang w:val="es-ES_tradnl" w:eastAsia="es-CR"/>
        </w:rPr>
        <w:t xml:space="preserve">  </w:t>
      </w:r>
    </w:p>
    <w:p w14:paraId="2A81ED62" w14:textId="77777777" w:rsidR="00194C36" w:rsidRPr="00194C36" w:rsidRDefault="00194C36" w:rsidP="00983B50">
      <w:pPr>
        <w:shd w:val="clear" w:color="auto" w:fill="FFFFFF"/>
        <w:spacing w:before="100" w:beforeAutospacing="1" w:after="100" w:afterAutospacing="1" w:line="360" w:lineRule="auto"/>
        <w:ind w:left="709" w:hanging="709"/>
        <w:jc w:val="both"/>
        <w:rPr>
          <w:rFonts w:ascii="Arial" w:eastAsiaTheme="minorHAnsi" w:hAnsi="Arial" w:cs="Arial"/>
          <w:kern w:val="2"/>
          <w:lang w:val="es-ES" w:eastAsia="en-US"/>
          <w14:ligatures w14:val="standardContextual"/>
        </w:rPr>
      </w:pPr>
      <w:r w:rsidRPr="00194C36">
        <w:rPr>
          <w:rFonts w:ascii="Arial" w:hAnsi="Arial" w:cs="Arial"/>
          <w:lang w:eastAsia="es-CR"/>
        </w:rPr>
        <w:t xml:space="preserve">Instituto Tecnológico de Costa Rica. (marzo 2023). Reglamento para la equiparación de asignaturas en el Instituto tecnológico de Cosa Rica. </w:t>
      </w:r>
      <w:r w:rsidRPr="00194C36">
        <w:rPr>
          <w:rFonts w:ascii="Arial" w:hAnsi="Arial" w:cs="Arial"/>
          <w:i/>
          <w:iCs/>
          <w:lang w:eastAsia="es-CR"/>
        </w:rPr>
        <w:t>Gaceta del Instituto Tecnológico de Costa Rica, 1058</w:t>
      </w:r>
      <w:r w:rsidRPr="00194C36">
        <w:rPr>
          <w:rFonts w:ascii="Arial" w:hAnsi="Arial" w:cs="Arial"/>
          <w:lang w:eastAsia="es-CR"/>
        </w:rPr>
        <w:t xml:space="preserve">.                                                                                                                                                                                                                                                                                                                                                                                                                                                                                                                                                                                                                                                                                                                                                                                                                                                                                                                                                                                                                                                                                                                                                                                                                                                                                                                                                                                                                                                                                                                                                                                                                                                                                                                                                                                                                                                                                                                                                                                                                                                                                                                                                                                                                                                                                                                                                                                                                                                                                                                                                                                                                                                                                                                                                                                                                                                                                                                                                                                                                                                                                                                                                                                      </w:t>
      </w:r>
    </w:p>
    <w:p w14:paraId="557C81B2" w14:textId="77777777" w:rsidR="00194C36" w:rsidRPr="00194C36" w:rsidRDefault="00194C36" w:rsidP="00983B50">
      <w:pPr>
        <w:shd w:val="clear" w:color="auto" w:fill="FFFFFF"/>
        <w:spacing w:before="100" w:beforeAutospacing="1" w:after="100" w:afterAutospacing="1" w:line="360" w:lineRule="auto"/>
        <w:ind w:left="709" w:hanging="709"/>
        <w:jc w:val="both"/>
        <w:rPr>
          <w:rFonts w:ascii="Arial" w:eastAsiaTheme="minorHAnsi" w:hAnsi="Arial" w:cs="Arial"/>
          <w:kern w:val="2"/>
          <w:lang w:val="es-ES" w:eastAsia="en-US"/>
          <w14:ligatures w14:val="standardContextual"/>
        </w:rPr>
      </w:pPr>
      <w:r w:rsidRPr="00194C36">
        <w:rPr>
          <w:rFonts w:ascii="Arial" w:hAnsi="Arial" w:cs="Arial"/>
          <w:lang w:eastAsia="es-CR"/>
        </w:rPr>
        <w:t xml:space="preserve">Instituto Tecnológico de Costa Rica. (mayo 2024). Glosario institucional. </w:t>
      </w:r>
      <w:r w:rsidRPr="00194C36">
        <w:rPr>
          <w:rFonts w:ascii="Arial" w:hAnsi="Arial" w:cs="Arial"/>
          <w:i/>
          <w:iCs/>
          <w:lang w:eastAsia="es-CR"/>
        </w:rPr>
        <w:t>Gaceta del Instituto Tecnológico de Costa Rica, 1212</w:t>
      </w:r>
      <w:r w:rsidRPr="00194C36">
        <w:rPr>
          <w:rFonts w:ascii="Arial" w:hAnsi="Arial" w:cs="Arial"/>
          <w:lang w:eastAsia="es-CR"/>
        </w:rPr>
        <w:t>.</w:t>
      </w:r>
    </w:p>
    <w:p w14:paraId="2488733D" w14:textId="77777777" w:rsidR="00194C36" w:rsidRPr="00194C36" w:rsidRDefault="00194C36" w:rsidP="00983B50">
      <w:pPr>
        <w:shd w:val="clear" w:color="auto" w:fill="FFFFFF"/>
        <w:spacing w:before="100" w:beforeAutospacing="1" w:after="100" w:afterAutospacing="1" w:line="360" w:lineRule="auto"/>
        <w:ind w:left="709" w:hanging="709"/>
        <w:jc w:val="both"/>
        <w:rPr>
          <w:rFonts w:ascii="Arial" w:eastAsiaTheme="minorHAnsi" w:hAnsi="Arial" w:cs="Arial"/>
          <w:kern w:val="2"/>
          <w:lang w:val="es-ES" w:eastAsia="en-US"/>
          <w14:ligatures w14:val="standardContextual"/>
        </w:rPr>
      </w:pPr>
      <w:r w:rsidRPr="00194C36">
        <w:rPr>
          <w:rFonts w:ascii="Arial" w:hAnsi="Arial" w:cs="Arial"/>
          <w:lang w:eastAsia="es-CR"/>
        </w:rPr>
        <w:lastRenderedPageBreak/>
        <w:t xml:space="preserve">Instituto Tecnológico de Costa Rica. (agosto 2024). Reglamento del régimen enseñanza-aprendizaje del Instituto Tecnológico de Costa Rica. </w:t>
      </w:r>
      <w:r w:rsidRPr="00194C36">
        <w:rPr>
          <w:rFonts w:ascii="Arial" w:hAnsi="Arial" w:cs="Arial"/>
          <w:i/>
          <w:iCs/>
          <w:lang w:eastAsia="es-CR"/>
        </w:rPr>
        <w:t>Gaceta del Instituto Tecnológico de Costa Rica, 1236</w:t>
      </w:r>
      <w:r w:rsidRPr="00194C36">
        <w:rPr>
          <w:rFonts w:ascii="Arial" w:hAnsi="Arial" w:cs="Arial"/>
          <w:lang w:eastAsia="es-CR"/>
        </w:rPr>
        <w:t>.</w:t>
      </w:r>
    </w:p>
    <w:p w14:paraId="21B9C261" w14:textId="77777777" w:rsidR="00194C36" w:rsidRPr="00194C36" w:rsidRDefault="00194C36" w:rsidP="00983B50">
      <w:pPr>
        <w:widowControl w:val="0"/>
        <w:autoSpaceDE w:val="0"/>
        <w:autoSpaceDN w:val="0"/>
        <w:adjustRightInd w:val="0"/>
        <w:spacing w:before="100" w:beforeAutospacing="1" w:after="100" w:afterAutospacing="1" w:line="360" w:lineRule="auto"/>
        <w:ind w:left="709" w:hanging="709"/>
        <w:jc w:val="both"/>
        <w:rPr>
          <w:rFonts w:ascii="Arial" w:hAnsi="Arial" w:cs="Arial"/>
          <w:lang w:val="es-ES"/>
          <w14:ligatures w14:val="standardContextual"/>
        </w:rPr>
      </w:pPr>
      <w:r w:rsidRPr="00194C36">
        <w:rPr>
          <w:rFonts w:ascii="Arial" w:hAnsi="Arial" w:cs="Arial"/>
          <w:lang w:val="es-ES"/>
          <w14:ligatures w14:val="standardContextual"/>
        </w:rPr>
        <w:t xml:space="preserve">Masis, C. (2016). </w:t>
      </w:r>
      <w:r w:rsidRPr="00194C36">
        <w:rPr>
          <w:rFonts w:ascii="Arial" w:hAnsi="Arial" w:cs="Arial"/>
          <w:i/>
          <w:iCs/>
          <w:lang w:val="es-ES"/>
          <w14:ligatures w14:val="standardContextual"/>
        </w:rPr>
        <w:t>Principios y prácticas de planeamiento didáctico</w:t>
      </w:r>
      <w:r w:rsidRPr="00194C36">
        <w:rPr>
          <w:rFonts w:ascii="Arial" w:hAnsi="Arial" w:cs="Arial"/>
          <w:lang w:val="es-ES"/>
          <w14:ligatures w14:val="standardContextual"/>
        </w:rPr>
        <w:t>. Instituto Tecnológico de Costa Rica, Vicerrectoría de Docencia, Centro del Desarrollo Académico.</w:t>
      </w:r>
    </w:p>
    <w:p w14:paraId="6E62C732" w14:textId="77777777" w:rsidR="00194C36" w:rsidRPr="00194C36" w:rsidRDefault="00194C36" w:rsidP="00983B50">
      <w:pPr>
        <w:widowControl w:val="0"/>
        <w:autoSpaceDE w:val="0"/>
        <w:autoSpaceDN w:val="0"/>
        <w:adjustRightInd w:val="0"/>
        <w:spacing w:before="100" w:beforeAutospacing="1" w:after="100" w:afterAutospacing="1" w:line="360" w:lineRule="auto"/>
        <w:ind w:left="709" w:hanging="709"/>
        <w:jc w:val="both"/>
        <w:rPr>
          <w:rFonts w:ascii="Arial" w:hAnsi="Arial" w:cs="Arial"/>
          <w:i/>
          <w:iCs/>
          <w14:ligatures w14:val="standardContextual"/>
        </w:rPr>
      </w:pPr>
      <w:r w:rsidRPr="00194C36">
        <w:rPr>
          <w:rFonts w:ascii="Arial" w:hAnsi="Arial" w:cs="Arial"/>
          <w14:ligatures w14:val="standardContextual"/>
        </w:rPr>
        <w:t>Medina-Enríquez, A., Medina-León, A., Nogueira, D. y Camacho, W. (2022). Propuesta de una lista de chequeo para la auditoría del proceso de gestión de inventarios.</w:t>
      </w:r>
      <w:r w:rsidRPr="00194C36">
        <w:rPr>
          <w:rFonts w:ascii="Arial" w:hAnsi="Arial" w:cs="Arial"/>
          <w:i/>
          <w:iCs/>
          <w14:ligatures w14:val="standardContextual"/>
        </w:rPr>
        <w:t xml:space="preserve"> Magazine de las Ciencias: Revista de Investigación e Innovación, 7</w:t>
      </w:r>
      <w:r w:rsidRPr="00194C36">
        <w:rPr>
          <w:rFonts w:ascii="Arial" w:hAnsi="Arial" w:cs="Arial"/>
          <w14:ligatures w14:val="standardContextual"/>
        </w:rPr>
        <w:t>(3), 1-22</w:t>
      </w:r>
      <w:r w:rsidRPr="00194C36">
        <w:rPr>
          <w:rFonts w:ascii="Arial" w:hAnsi="Arial" w:cs="Arial"/>
          <w:i/>
          <w:iCs/>
          <w14:ligatures w14:val="standardContextual"/>
        </w:rPr>
        <w:t xml:space="preserve">. </w:t>
      </w:r>
      <w:r w:rsidRPr="00194C36">
        <w:rPr>
          <w:rFonts w:ascii="Arial" w:hAnsi="Arial" w:cs="Arial"/>
          <w14:ligatures w14:val="standardContextual"/>
        </w:rPr>
        <w:t xml:space="preserve"> </w:t>
      </w:r>
      <w:hyperlink r:id="rId41" w:history="1">
        <w:r w:rsidRPr="005470F2">
          <w:rPr>
            <w:rFonts w:ascii="Arial" w:hAnsi="Arial" w:cs="Arial"/>
            <w:color w:val="002060"/>
            <w:u w:val="single"/>
            <w14:ligatures w14:val="standardContextual"/>
          </w:rPr>
          <w:t>https://doi.org/10.33262/rmc.v7i3.2673</w:t>
        </w:r>
      </w:hyperlink>
      <w:r w:rsidRPr="005470F2">
        <w:rPr>
          <w:rFonts w:ascii="Arial" w:hAnsi="Arial" w:cs="Arial"/>
          <w:color w:val="002060"/>
          <w14:ligatures w14:val="standardContextual"/>
        </w:rPr>
        <w:t xml:space="preserve"> </w:t>
      </w:r>
    </w:p>
    <w:p w14:paraId="5E80BFB3" w14:textId="77777777" w:rsidR="00194C36" w:rsidRPr="00194C36" w:rsidRDefault="00194C36" w:rsidP="00983B50">
      <w:pPr>
        <w:widowControl w:val="0"/>
        <w:autoSpaceDE w:val="0"/>
        <w:autoSpaceDN w:val="0"/>
        <w:adjustRightInd w:val="0"/>
        <w:spacing w:before="100" w:beforeAutospacing="1" w:after="100" w:afterAutospacing="1" w:line="360" w:lineRule="auto"/>
        <w:ind w:left="709" w:hanging="709"/>
        <w:rPr>
          <w:rFonts w:ascii="Arial" w:hAnsi="Arial" w:cs="Arial"/>
          <w:lang w:val="es-ES"/>
          <w14:ligatures w14:val="standardContextual"/>
        </w:rPr>
      </w:pPr>
      <w:proofErr w:type="spellStart"/>
      <w:r w:rsidRPr="00194C36">
        <w:rPr>
          <w:rFonts w:ascii="Arial" w:hAnsi="Arial" w:cs="Arial"/>
          <w:lang w:val="es-ES"/>
          <w14:ligatures w14:val="standardContextual"/>
        </w:rPr>
        <w:t>Pansza</w:t>
      </w:r>
      <w:proofErr w:type="spellEnd"/>
      <w:r w:rsidRPr="00194C36">
        <w:rPr>
          <w:rFonts w:ascii="Arial" w:hAnsi="Arial" w:cs="Arial"/>
          <w:lang w:val="es-ES"/>
          <w14:ligatures w14:val="standardContextual"/>
        </w:rPr>
        <w:t xml:space="preserve">, M., Pérez, E. y Moran, P. (2007). </w:t>
      </w:r>
      <w:r w:rsidRPr="00194C36">
        <w:rPr>
          <w:rFonts w:ascii="Arial" w:hAnsi="Arial" w:cs="Arial"/>
          <w:i/>
          <w:lang w:val="es-ES"/>
          <w14:ligatures w14:val="standardContextual"/>
        </w:rPr>
        <w:t xml:space="preserve">Fundamentación de la didáctica </w:t>
      </w:r>
      <w:r w:rsidRPr="00194C36">
        <w:rPr>
          <w:rFonts w:ascii="Arial" w:hAnsi="Arial" w:cs="Arial"/>
          <w:iCs/>
          <w:lang w:val="es-ES"/>
          <w14:ligatures w14:val="standardContextual"/>
        </w:rPr>
        <w:t xml:space="preserve">(Tomo 1, </w:t>
      </w:r>
      <w:r w:rsidRPr="00194C36">
        <w:rPr>
          <w:rFonts w:ascii="Arial" w:hAnsi="Arial" w:cs="Arial"/>
          <w:lang w:val="es-ES"/>
          <w14:ligatures w14:val="standardContextual"/>
        </w:rPr>
        <w:t>16ª ed.). Ediciones Gernika S.A.</w:t>
      </w:r>
    </w:p>
    <w:p w14:paraId="0C471DA8" w14:textId="77777777" w:rsidR="00194C36" w:rsidRPr="00194C36" w:rsidRDefault="00194C36" w:rsidP="00983B50">
      <w:pPr>
        <w:shd w:val="clear" w:color="auto" w:fill="FFFFFF"/>
        <w:spacing w:before="100" w:beforeAutospacing="1" w:after="100" w:afterAutospacing="1" w:line="360" w:lineRule="auto"/>
        <w:ind w:left="709" w:hanging="709"/>
        <w:jc w:val="both"/>
        <w:rPr>
          <w:rFonts w:ascii="Arial" w:hAnsi="Arial" w:cs="Arial"/>
          <w:lang w:eastAsia="es-CR"/>
        </w:rPr>
      </w:pPr>
      <w:r w:rsidRPr="00194C36">
        <w:rPr>
          <w:rFonts w:ascii="Arial" w:hAnsi="Arial" w:cs="Arial"/>
          <w:lang w:eastAsia="es-CR"/>
        </w:rPr>
        <w:t xml:space="preserve">Pineda-Castillo, K. y Ruiz-Espinoza, F. (2021). Planeación didáctica por competencias: El último nivel de concreción curricular. </w:t>
      </w:r>
      <w:r w:rsidRPr="00194C36">
        <w:rPr>
          <w:rFonts w:ascii="Arial" w:hAnsi="Arial" w:cs="Arial"/>
          <w:i/>
          <w:iCs/>
          <w:lang w:eastAsia="es-CR"/>
        </w:rPr>
        <w:t>Revista Electrónica en Educación y Pedagogía</w:t>
      </w:r>
      <w:r w:rsidRPr="00194C36">
        <w:rPr>
          <w:rFonts w:ascii="Arial" w:hAnsi="Arial" w:cs="Arial"/>
          <w:lang w:eastAsia="es-CR"/>
        </w:rPr>
        <w:t xml:space="preserve">, </w:t>
      </w:r>
      <w:r w:rsidRPr="00194C36">
        <w:rPr>
          <w:rFonts w:ascii="Arial" w:hAnsi="Arial" w:cs="Arial"/>
          <w:i/>
          <w:iCs/>
          <w:lang w:eastAsia="es-CR"/>
        </w:rPr>
        <w:t>5</w:t>
      </w:r>
      <w:r w:rsidRPr="00194C36">
        <w:rPr>
          <w:rFonts w:ascii="Arial" w:hAnsi="Arial" w:cs="Arial"/>
          <w:lang w:eastAsia="es-CR"/>
        </w:rPr>
        <w:t xml:space="preserve">(8), 158-179. </w:t>
      </w:r>
      <w:proofErr w:type="spellStart"/>
      <w:r w:rsidRPr="00194C36">
        <w:rPr>
          <w:rFonts w:ascii="Arial" w:hAnsi="Arial" w:cs="Arial"/>
          <w:lang w:eastAsia="es-CR"/>
        </w:rPr>
        <w:t>doi</w:t>
      </w:r>
      <w:proofErr w:type="spellEnd"/>
      <w:r w:rsidRPr="00194C36">
        <w:rPr>
          <w:rFonts w:ascii="Arial" w:hAnsi="Arial" w:cs="Arial"/>
          <w:lang w:eastAsia="es-CR"/>
        </w:rPr>
        <w:t xml:space="preserve">: </w:t>
      </w:r>
      <w:hyperlink r:id="rId42" w:history="1">
        <w:r w:rsidRPr="005470F2">
          <w:rPr>
            <w:rFonts w:ascii="Arial" w:hAnsi="Arial" w:cs="Arial"/>
            <w:color w:val="002060"/>
            <w:u w:val="single"/>
            <w:lang w:eastAsia="es-CR"/>
          </w:rPr>
          <w:t>https://doi.org/10.15658/rev.electron.educ.pedagog21.04050811</w:t>
        </w:r>
      </w:hyperlink>
      <w:r w:rsidRPr="005470F2">
        <w:rPr>
          <w:rFonts w:ascii="Arial" w:hAnsi="Arial" w:cs="Arial"/>
          <w:color w:val="002060"/>
          <w:lang w:eastAsia="es-CR"/>
        </w:rPr>
        <w:t xml:space="preserve"> </w:t>
      </w:r>
    </w:p>
    <w:p w14:paraId="1F497187" w14:textId="77777777" w:rsidR="00194C36" w:rsidRPr="00194C36" w:rsidRDefault="00194C36" w:rsidP="00983B50">
      <w:pPr>
        <w:spacing w:before="100" w:beforeAutospacing="1" w:after="100" w:afterAutospacing="1" w:line="360" w:lineRule="auto"/>
        <w:ind w:left="709" w:hanging="709"/>
        <w:rPr>
          <w:rFonts w:ascii="Arial" w:eastAsiaTheme="minorHAnsi" w:hAnsi="Arial" w:cs="Arial"/>
          <w:kern w:val="2"/>
          <w:lang w:val="es-ES" w:eastAsia="en-US"/>
          <w14:ligatures w14:val="standardContextual"/>
        </w:rPr>
      </w:pPr>
      <w:r w:rsidRPr="00194C36">
        <w:rPr>
          <w:rFonts w:ascii="Arial" w:eastAsiaTheme="minorHAnsi" w:hAnsi="Arial" w:cs="Arial"/>
          <w:kern w:val="2"/>
          <w:lang w:val="es-ES" w:eastAsia="en-US"/>
          <w14:ligatures w14:val="standardContextual"/>
        </w:rPr>
        <w:t xml:space="preserve">Quesada, M.; Cedeño, M. y Zamora, J. (2001). </w:t>
      </w:r>
      <w:r w:rsidRPr="00194C36">
        <w:rPr>
          <w:rFonts w:ascii="Arial" w:eastAsiaTheme="minorHAnsi" w:hAnsi="Arial" w:cs="Arial"/>
          <w:i/>
          <w:kern w:val="2"/>
          <w:lang w:val="es-ES" w:eastAsia="en-US"/>
          <w14:ligatures w14:val="standardContextual"/>
        </w:rPr>
        <w:t>El diseño curricular en los planes de estudio: aspectos teóricos y guía metodológica.</w:t>
      </w:r>
      <w:r w:rsidRPr="00194C36">
        <w:rPr>
          <w:rFonts w:ascii="Arial" w:eastAsiaTheme="minorHAnsi" w:hAnsi="Arial" w:cs="Arial"/>
          <w:kern w:val="2"/>
          <w:lang w:val="es-ES" w:eastAsia="en-US"/>
          <w14:ligatures w14:val="standardContextual"/>
        </w:rPr>
        <w:t xml:space="preserve"> EUNA.</w:t>
      </w:r>
    </w:p>
    <w:p w14:paraId="5F95040F"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kern w:val="2"/>
          <w:lang w:eastAsia="en-US"/>
          <w14:ligatures w14:val="standardContextual"/>
        </w:rPr>
      </w:pPr>
      <w:r w:rsidRPr="00194C36">
        <w:rPr>
          <w:rFonts w:ascii="Arial" w:eastAsiaTheme="minorHAnsi" w:hAnsi="Arial" w:cs="Arial"/>
          <w:kern w:val="2"/>
          <w:lang w:eastAsia="en-US"/>
          <w14:ligatures w14:val="standardContextual"/>
        </w:rPr>
        <w:lastRenderedPageBreak/>
        <w:t xml:space="preserve">Real Academia Española. (2024). </w:t>
      </w:r>
      <w:r w:rsidRPr="00194C36">
        <w:rPr>
          <w:rFonts w:ascii="Arial" w:eastAsiaTheme="minorHAnsi" w:hAnsi="Arial" w:cs="Arial"/>
          <w:i/>
          <w:iCs/>
          <w:kern w:val="2"/>
          <w:lang w:eastAsia="en-US"/>
          <w14:ligatures w14:val="standardContextual"/>
        </w:rPr>
        <w:t>Diccionario de la lengua española</w:t>
      </w:r>
      <w:r w:rsidRPr="00194C36">
        <w:rPr>
          <w:rFonts w:ascii="Arial" w:eastAsiaTheme="minorHAnsi" w:hAnsi="Arial" w:cs="Arial"/>
          <w:kern w:val="2"/>
          <w:lang w:eastAsia="en-US"/>
          <w14:ligatures w14:val="standardContextual"/>
        </w:rPr>
        <w:t xml:space="preserve"> [Versión electrónica] (23a ed.). </w:t>
      </w:r>
      <w:hyperlink r:id="rId43" w:history="1">
        <w:r w:rsidRPr="005470F2">
          <w:rPr>
            <w:rFonts w:ascii="Arial" w:eastAsiaTheme="minorHAnsi" w:hAnsi="Arial" w:cs="Arial"/>
            <w:color w:val="002060"/>
            <w:kern w:val="2"/>
            <w:u w:val="single"/>
            <w:lang w:eastAsia="en-US"/>
            <w14:ligatures w14:val="standardContextual"/>
          </w:rPr>
          <w:t>http://lema.rae.es/drae/</w:t>
        </w:r>
      </w:hyperlink>
      <w:r w:rsidRPr="005470F2">
        <w:rPr>
          <w:rFonts w:ascii="Arial" w:eastAsiaTheme="minorHAnsi" w:hAnsi="Arial" w:cs="Arial"/>
          <w:color w:val="002060"/>
          <w:kern w:val="2"/>
          <w:lang w:eastAsia="en-US"/>
          <w14:ligatures w14:val="standardContextual"/>
        </w:rPr>
        <w:t xml:space="preserve"> </w:t>
      </w:r>
    </w:p>
    <w:p w14:paraId="72C9A03E"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kern w:val="2"/>
          <w:lang w:eastAsia="en-US"/>
          <w14:ligatures w14:val="standardContextual"/>
        </w:rPr>
      </w:pPr>
      <w:proofErr w:type="spellStart"/>
      <w:r w:rsidRPr="00194C36">
        <w:rPr>
          <w:rFonts w:ascii="Arial" w:eastAsiaTheme="minorHAnsi" w:hAnsi="Arial" w:cs="Arial"/>
          <w:kern w:val="2"/>
          <w:lang w:eastAsia="en-US"/>
          <w14:ligatures w14:val="standardContextual"/>
        </w:rPr>
        <w:t>Reznik</w:t>
      </w:r>
      <w:proofErr w:type="spellEnd"/>
      <w:r w:rsidRPr="00194C36">
        <w:rPr>
          <w:rFonts w:ascii="Arial" w:eastAsiaTheme="minorHAnsi" w:hAnsi="Arial" w:cs="Arial"/>
          <w:kern w:val="2"/>
          <w:lang w:eastAsia="en-US"/>
          <w14:ligatures w14:val="standardContextual"/>
        </w:rPr>
        <w:t xml:space="preserve">, S. (Red.). (2014). Gestión de facultad en la universidad. INFRA-M.  </w:t>
      </w:r>
    </w:p>
    <w:p w14:paraId="3C1560D6"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kern w:val="2"/>
          <w:lang w:val="es-ES" w:eastAsia="en-US"/>
          <w14:ligatures w14:val="standardContextual"/>
        </w:rPr>
      </w:pPr>
      <w:bookmarkStart w:id="25" w:name="_Hlk172030239"/>
      <w:r w:rsidRPr="00194C36">
        <w:rPr>
          <w:rFonts w:ascii="Arial" w:eastAsiaTheme="minorHAnsi" w:hAnsi="Arial" w:cs="Arial"/>
          <w:kern w:val="2"/>
          <w:lang w:eastAsia="en-US"/>
          <w14:ligatures w14:val="standardContextual"/>
        </w:rPr>
        <w:t xml:space="preserve">Robbins, S. y </w:t>
      </w:r>
      <w:proofErr w:type="spellStart"/>
      <w:r w:rsidRPr="00194C36">
        <w:rPr>
          <w:rFonts w:ascii="Arial" w:eastAsiaTheme="minorHAnsi" w:hAnsi="Arial" w:cs="Arial"/>
          <w:kern w:val="2"/>
          <w:lang w:eastAsia="en-US"/>
          <w14:ligatures w14:val="standardContextual"/>
        </w:rPr>
        <w:t>Coulter</w:t>
      </w:r>
      <w:proofErr w:type="spellEnd"/>
      <w:r w:rsidRPr="00194C36">
        <w:rPr>
          <w:rFonts w:ascii="Arial" w:eastAsiaTheme="minorHAnsi" w:hAnsi="Arial" w:cs="Arial"/>
          <w:kern w:val="2"/>
          <w:lang w:eastAsia="en-US"/>
          <w14:ligatures w14:val="standardContextual"/>
        </w:rPr>
        <w:t xml:space="preserve">, M. (2020). </w:t>
      </w:r>
      <w:r w:rsidRPr="00194C36">
        <w:rPr>
          <w:rFonts w:ascii="Arial" w:eastAsiaTheme="minorHAnsi" w:hAnsi="Arial" w:cs="Arial"/>
          <w:i/>
          <w:kern w:val="2"/>
          <w:lang w:val="es-ES" w:eastAsia="en-US"/>
          <w14:ligatures w14:val="standardContextual"/>
        </w:rPr>
        <w:t xml:space="preserve">Administración: Teoría y práctica </w:t>
      </w:r>
      <w:r w:rsidRPr="00194C36">
        <w:rPr>
          <w:rFonts w:ascii="Arial" w:eastAsiaTheme="minorHAnsi" w:hAnsi="Arial" w:cs="Arial"/>
          <w:iCs/>
          <w:kern w:val="2"/>
          <w:lang w:val="es-ES" w:eastAsia="en-US"/>
          <w14:ligatures w14:val="standardContextual"/>
        </w:rPr>
        <w:t>(12ª ed.)</w:t>
      </w:r>
      <w:r w:rsidRPr="00194C36">
        <w:rPr>
          <w:rFonts w:ascii="Arial" w:eastAsiaTheme="minorHAnsi" w:hAnsi="Arial" w:cs="Arial"/>
          <w:kern w:val="2"/>
          <w:lang w:val="es-ES" w:eastAsia="en-US"/>
          <w14:ligatures w14:val="standardContextual"/>
        </w:rPr>
        <w:t xml:space="preserve">. Pearson. </w:t>
      </w:r>
    </w:p>
    <w:p w14:paraId="1B30C464"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kern w:val="2"/>
          <w:lang w:val="es-ES" w:eastAsia="en-US"/>
          <w14:ligatures w14:val="standardContextual"/>
        </w:rPr>
      </w:pPr>
      <w:r w:rsidRPr="00194C36">
        <w:rPr>
          <w:rFonts w:ascii="Arial" w:eastAsiaTheme="minorHAnsi" w:hAnsi="Arial" w:cs="Arial"/>
          <w:kern w:val="2"/>
          <w:lang w:val="es-ES" w:eastAsia="en-US"/>
          <w14:ligatures w14:val="standardContextual"/>
        </w:rPr>
        <w:t xml:space="preserve">Sistema Nacional de Acreditación de la Educación Superior. (2010). </w:t>
      </w:r>
      <w:r w:rsidRPr="00194C36">
        <w:rPr>
          <w:rFonts w:ascii="Arial" w:eastAsiaTheme="minorHAnsi" w:hAnsi="Arial" w:cs="Arial"/>
          <w:i/>
          <w:iCs/>
          <w:kern w:val="2"/>
          <w:lang w:val="es-ES" w:eastAsia="en-US"/>
          <w14:ligatures w14:val="standardContextual"/>
        </w:rPr>
        <w:t>Manual de acreditación oficial de carreras de grado del Sistema Nacional de Acreditación de la Educación Superior: Modelo para evaluar carreras de ingeniería</w:t>
      </w:r>
      <w:r w:rsidRPr="00194C36">
        <w:rPr>
          <w:rFonts w:ascii="Arial" w:eastAsiaTheme="minorHAnsi" w:hAnsi="Arial" w:cs="Arial"/>
          <w:kern w:val="2"/>
          <w:lang w:val="es-ES" w:eastAsia="en-US"/>
          <w14:ligatures w14:val="standardContextual"/>
        </w:rPr>
        <w:t xml:space="preserve">.  </w:t>
      </w:r>
      <w:hyperlink r:id="rId44" w:history="1">
        <w:r w:rsidRPr="005470F2">
          <w:rPr>
            <w:rFonts w:ascii="Arial" w:eastAsiaTheme="minorHAnsi" w:hAnsi="Arial" w:cs="Arial"/>
            <w:color w:val="002060"/>
            <w:kern w:val="2"/>
            <w:u w:val="single"/>
            <w:lang w:val="es-ES" w:eastAsia="en-US"/>
            <w14:ligatures w14:val="standardContextual"/>
          </w:rPr>
          <w:t>http://www.sinaes.ac.cr/manual_guias/manual_acreditacion_ingenieria.pdf</w:t>
        </w:r>
      </w:hyperlink>
    </w:p>
    <w:bookmarkEnd w:id="25"/>
    <w:p w14:paraId="38EAF137"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kern w:val="2"/>
          <w:lang w:eastAsia="en-US"/>
          <w14:ligatures w14:val="standardContextual"/>
        </w:rPr>
      </w:pPr>
      <w:r w:rsidRPr="00194C36">
        <w:rPr>
          <w:rFonts w:ascii="Arial" w:eastAsiaTheme="minorHAnsi" w:hAnsi="Arial" w:cs="Arial"/>
          <w:kern w:val="2"/>
          <w:lang w:eastAsia="en-US"/>
          <w14:ligatures w14:val="standardContextual"/>
        </w:rPr>
        <w:t xml:space="preserve">Sistema Nacional de Acreditación de la Educación Superior de Costa Rica. (2012). </w:t>
      </w:r>
      <w:r w:rsidRPr="00194C36">
        <w:rPr>
          <w:rFonts w:ascii="Arial" w:eastAsiaTheme="minorHAnsi" w:hAnsi="Arial" w:cs="Arial"/>
          <w:i/>
          <w:iCs/>
          <w:kern w:val="2"/>
          <w:lang w:eastAsia="en-US"/>
          <w14:ligatures w14:val="standardContextual"/>
        </w:rPr>
        <w:t>Manual de acreditación oficial de programas de posgrado del Sistema Nacional de Acreditación de la Educación Superior de Costa Rica</w:t>
      </w:r>
      <w:r w:rsidRPr="00194C36">
        <w:rPr>
          <w:rFonts w:ascii="Arial" w:eastAsiaTheme="minorHAnsi" w:hAnsi="Arial" w:cs="Arial"/>
          <w:kern w:val="2"/>
          <w:lang w:eastAsia="en-US"/>
          <w14:ligatures w14:val="standardContextual"/>
        </w:rPr>
        <w:t xml:space="preserve">. </w:t>
      </w:r>
      <w:hyperlink r:id="rId45" w:history="1">
        <w:r w:rsidRPr="005470F2">
          <w:rPr>
            <w:rFonts w:ascii="Arial" w:eastAsiaTheme="minorHAnsi" w:hAnsi="Arial" w:cs="Arial"/>
            <w:color w:val="002060"/>
            <w:kern w:val="2"/>
            <w:u w:val="single"/>
            <w:lang w:eastAsia="en-US"/>
            <w14:ligatures w14:val="standardContextual"/>
          </w:rPr>
          <w:t>https://www.sinaes.ac.cr/wp-content/uploads/2021/08/Manual_de_Acreditacion_Oficial_de_Programas_de_Posgrado.pdf</w:t>
        </w:r>
      </w:hyperlink>
      <w:r w:rsidRPr="005470F2">
        <w:rPr>
          <w:rFonts w:ascii="Arial" w:eastAsiaTheme="minorHAnsi" w:hAnsi="Arial" w:cs="Arial"/>
          <w:color w:val="002060"/>
          <w:kern w:val="2"/>
          <w:lang w:eastAsia="en-US"/>
          <w14:ligatures w14:val="standardContextual"/>
        </w:rPr>
        <w:t xml:space="preserve"> </w:t>
      </w:r>
    </w:p>
    <w:p w14:paraId="2834B05C" w14:textId="77777777" w:rsidR="00194C36" w:rsidRPr="00194C36" w:rsidRDefault="00194C36" w:rsidP="00983B50">
      <w:pPr>
        <w:widowControl w:val="0"/>
        <w:autoSpaceDE w:val="0"/>
        <w:autoSpaceDN w:val="0"/>
        <w:adjustRightInd w:val="0"/>
        <w:spacing w:before="100" w:beforeAutospacing="1" w:after="100" w:afterAutospacing="1" w:line="360" w:lineRule="auto"/>
        <w:ind w:left="709" w:hanging="709"/>
        <w:jc w:val="both"/>
        <w:rPr>
          <w:rFonts w:ascii="Arial" w:hAnsi="Arial" w:cs="Arial"/>
          <w:lang w:val="es-ES"/>
          <w14:ligatures w14:val="standardContextual"/>
        </w:rPr>
      </w:pPr>
      <w:r w:rsidRPr="00194C36">
        <w:rPr>
          <w:rFonts w:ascii="Arial" w:hAnsi="Arial" w:cs="Arial"/>
          <w:lang w:val="es-ES"/>
          <w14:ligatures w14:val="standardContextual"/>
        </w:rPr>
        <w:t xml:space="preserve">Universidad Autónoma de Aguascalientes. (2019). </w:t>
      </w:r>
      <w:r w:rsidRPr="00194C36">
        <w:rPr>
          <w:rFonts w:ascii="Arial" w:hAnsi="Arial" w:cs="Arial"/>
          <w:i/>
          <w:iCs/>
          <w:lang w:val="es-ES"/>
          <w14:ligatures w14:val="standardContextual"/>
        </w:rPr>
        <w:t>Reglamento general de docencia de la Universidad Autónoma de Aguascalientes: Reformas integradas</w:t>
      </w:r>
      <w:r w:rsidRPr="00194C36">
        <w:rPr>
          <w:rFonts w:ascii="Arial" w:hAnsi="Arial" w:cs="Arial"/>
          <w:lang w:val="es-ES"/>
          <w14:ligatures w14:val="standardContextual"/>
        </w:rPr>
        <w:t xml:space="preserve">. Secretaria General. </w:t>
      </w:r>
      <w:hyperlink r:id="rId46" w:history="1">
        <w:r w:rsidRPr="005470F2">
          <w:rPr>
            <w:rFonts w:ascii="Arial" w:hAnsi="Arial" w:cs="Arial"/>
            <w:color w:val="002060"/>
            <w:u w:val="single"/>
            <w:lang w:val="es-ES"/>
            <w14:ligatures w14:val="standardContextual"/>
          </w:rPr>
          <w:t>https://docs.google.com/viewerng/viewer?url=https://consejo.uaa.mx/biblioteca/files/original/bad56c94ff1e2bc0920a59f8c0444427.pdf</w:t>
        </w:r>
      </w:hyperlink>
      <w:r w:rsidRPr="005470F2">
        <w:rPr>
          <w:rFonts w:ascii="Arial" w:hAnsi="Arial" w:cs="Arial"/>
          <w:color w:val="002060"/>
          <w:lang w:val="es-ES"/>
          <w14:ligatures w14:val="standardContextual"/>
        </w:rPr>
        <w:t xml:space="preserve"> </w:t>
      </w:r>
    </w:p>
    <w:p w14:paraId="085E8A0C" w14:textId="77777777" w:rsidR="00194C36" w:rsidRPr="00194C36" w:rsidRDefault="00194C36" w:rsidP="00983B50">
      <w:pPr>
        <w:widowControl w:val="0"/>
        <w:autoSpaceDE w:val="0"/>
        <w:autoSpaceDN w:val="0"/>
        <w:adjustRightInd w:val="0"/>
        <w:spacing w:before="100" w:beforeAutospacing="1" w:after="100" w:afterAutospacing="1" w:line="360" w:lineRule="auto"/>
        <w:ind w:left="709" w:hanging="709"/>
        <w:jc w:val="both"/>
        <w:rPr>
          <w:rFonts w:ascii="Arial" w:hAnsi="Arial" w:cs="Arial"/>
          <w:lang w:val="es-ES"/>
          <w14:ligatures w14:val="standardContextual"/>
        </w:rPr>
      </w:pPr>
      <w:r w:rsidRPr="00194C36">
        <w:rPr>
          <w:rFonts w:ascii="Arial" w:hAnsi="Arial" w:cs="Arial"/>
          <w:lang w:val="es-ES"/>
          <w14:ligatures w14:val="standardContextual"/>
        </w:rPr>
        <w:t xml:space="preserve">Universidad Autónoma de Chapingo. (2024). </w:t>
      </w:r>
      <w:r w:rsidRPr="00194C36">
        <w:rPr>
          <w:rFonts w:ascii="Arial" w:hAnsi="Arial" w:cs="Arial"/>
          <w:i/>
          <w:lang w:val="es-ES"/>
          <w14:ligatures w14:val="standardContextual"/>
        </w:rPr>
        <w:t>Glosario sobre educación UACh</w:t>
      </w:r>
      <w:r w:rsidRPr="00194C36">
        <w:rPr>
          <w:rFonts w:ascii="Arial" w:hAnsi="Arial" w:cs="Arial"/>
          <w:lang w:val="es-ES"/>
          <w14:ligatures w14:val="standardContextual"/>
        </w:rPr>
        <w:t xml:space="preserve">. UACh, Dirección General Académica. </w:t>
      </w:r>
      <w:hyperlink r:id="rId47" w:history="1">
        <w:r w:rsidRPr="005470F2">
          <w:rPr>
            <w:rFonts w:ascii="Arial" w:hAnsi="Arial" w:cs="Arial"/>
            <w:color w:val="002060"/>
            <w:u w:val="single"/>
            <w:lang w:val="es-ES"/>
            <w14:ligatures w14:val="standardContextual"/>
          </w:rPr>
          <w:t>https://drive.google.com/file/d/1sdb4-m8EJdTR-YaOJFW7Kt9WFrXewFXc/view</w:t>
        </w:r>
      </w:hyperlink>
      <w:r w:rsidRPr="005470F2">
        <w:rPr>
          <w:rFonts w:ascii="Arial" w:hAnsi="Arial" w:cs="Arial"/>
          <w:color w:val="002060"/>
          <w:lang w:val="es-ES"/>
          <w14:ligatures w14:val="standardContextual"/>
        </w:rPr>
        <w:t xml:space="preserve"> </w:t>
      </w:r>
    </w:p>
    <w:p w14:paraId="2DE2B2EC" w14:textId="77777777" w:rsidR="00194C36" w:rsidRPr="00194C36" w:rsidRDefault="00194C36" w:rsidP="00983B50">
      <w:pPr>
        <w:widowControl w:val="0"/>
        <w:autoSpaceDE w:val="0"/>
        <w:autoSpaceDN w:val="0"/>
        <w:adjustRightInd w:val="0"/>
        <w:spacing w:before="100" w:beforeAutospacing="1" w:after="100" w:afterAutospacing="1" w:line="360" w:lineRule="auto"/>
        <w:ind w:left="709" w:hanging="709"/>
        <w:jc w:val="both"/>
        <w:rPr>
          <w:rFonts w:ascii="Arial" w:hAnsi="Arial" w:cs="Arial"/>
          <w14:ligatures w14:val="standardContextual"/>
        </w:rPr>
      </w:pPr>
      <w:r w:rsidRPr="00194C36">
        <w:rPr>
          <w:rFonts w:ascii="Arial" w:hAnsi="Arial" w:cs="Arial"/>
          <w14:ligatures w14:val="standardContextual"/>
        </w:rPr>
        <w:t xml:space="preserve">Universidad Católica de Temuco. (2009). </w:t>
      </w:r>
      <w:r w:rsidRPr="00194C36">
        <w:rPr>
          <w:rFonts w:ascii="Arial" w:hAnsi="Arial" w:cs="Arial"/>
          <w:i/>
          <w:iCs/>
          <w14:ligatures w14:val="standardContextual"/>
        </w:rPr>
        <w:t>Orientaciones para la renovación curricular: Etapa 4 Elaboración de programas</w:t>
      </w:r>
      <w:r w:rsidRPr="00194C36">
        <w:rPr>
          <w:rFonts w:ascii="Arial" w:hAnsi="Arial" w:cs="Arial"/>
          <w14:ligatures w14:val="standardContextual"/>
        </w:rPr>
        <w:t xml:space="preserve">. UCT, Dirección General de Docencia. </w:t>
      </w:r>
      <w:hyperlink r:id="rId48" w:history="1">
        <w:r w:rsidRPr="005470F2">
          <w:rPr>
            <w:rFonts w:ascii="Arial" w:hAnsi="Arial" w:cs="Arial"/>
            <w:color w:val="002060"/>
            <w:u w:val="single"/>
            <w14:ligatures w14:val="standardContextual"/>
          </w:rPr>
          <w:t>https://repositoriodigital.uct.cl/items/11593786-3e74-482a-bd71-1aee10642ae4</w:t>
        </w:r>
      </w:hyperlink>
      <w:r w:rsidRPr="005470F2">
        <w:rPr>
          <w:rFonts w:ascii="Arial" w:hAnsi="Arial" w:cs="Arial"/>
          <w:color w:val="002060"/>
          <w14:ligatures w14:val="standardContextual"/>
        </w:rPr>
        <w:t xml:space="preserve"> </w:t>
      </w:r>
    </w:p>
    <w:p w14:paraId="6CF6C2ED" w14:textId="77777777" w:rsidR="00194C36" w:rsidRPr="00194C36" w:rsidRDefault="00194C36" w:rsidP="00983B50">
      <w:pPr>
        <w:widowControl w:val="0"/>
        <w:autoSpaceDE w:val="0"/>
        <w:autoSpaceDN w:val="0"/>
        <w:adjustRightInd w:val="0"/>
        <w:spacing w:before="100" w:beforeAutospacing="1" w:after="100" w:afterAutospacing="1" w:line="360" w:lineRule="auto"/>
        <w:ind w:left="709" w:hanging="709"/>
        <w:jc w:val="both"/>
        <w:rPr>
          <w:rFonts w:ascii="Arial" w:hAnsi="Arial" w:cs="Arial"/>
          <w:lang w:val="es-ES"/>
          <w14:ligatures w14:val="standardContextual"/>
        </w:rPr>
      </w:pPr>
      <w:r w:rsidRPr="00194C36">
        <w:rPr>
          <w:rFonts w:ascii="Arial" w:hAnsi="Arial" w:cs="Arial"/>
          <w:lang w:val="es-ES"/>
          <w14:ligatures w14:val="standardContextual"/>
        </w:rPr>
        <w:t xml:space="preserve">Universidad de Costa Rica. (2024, 19 de agosto). Reglamento de régimen académico estudiantil. </w:t>
      </w:r>
      <w:r w:rsidRPr="00194C36">
        <w:rPr>
          <w:rFonts w:ascii="Arial" w:hAnsi="Arial" w:cs="Arial"/>
          <w:i/>
          <w:iCs/>
          <w:lang w:val="es-ES"/>
          <w14:ligatures w14:val="standardContextual"/>
        </w:rPr>
        <w:t>La Gaceta Universitaria, 41</w:t>
      </w:r>
      <w:r w:rsidRPr="00194C36">
        <w:rPr>
          <w:rFonts w:ascii="Arial" w:hAnsi="Arial" w:cs="Arial"/>
          <w:lang w:val="es-ES"/>
          <w14:ligatures w14:val="standardContextual"/>
        </w:rPr>
        <w:t xml:space="preserve">. </w:t>
      </w:r>
    </w:p>
    <w:p w14:paraId="51A0EAF8" w14:textId="77777777" w:rsidR="00194C36" w:rsidRPr="00194C36" w:rsidRDefault="00194C36" w:rsidP="00983B50">
      <w:pPr>
        <w:widowControl w:val="0"/>
        <w:autoSpaceDE w:val="0"/>
        <w:autoSpaceDN w:val="0"/>
        <w:adjustRightInd w:val="0"/>
        <w:spacing w:before="100" w:beforeAutospacing="1" w:after="100" w:afterAutospacing="1" w:line="360" w:lineRule="auto"/>
        <w:ind w:left="709" w:hanging="709"/>
        <w:jc w:val="both"/>
        <w:rPr>
          <w:rFonts w:ascii="Arial" w:hAnsi="Arial" w:cs="Arial"/>
          <w:lang w:val="es-ES"/>
          <w14:ligatures w14:val="standardContextual"/>
        </w:rPr>
      </w:pPr>
      <w:r w:rsidRPr="00194C36">
        <w:rPr>
          <w:rFonts w:ascii="Arial" w:hAnsi="Arial" w:cs="Arial"/>
          <w:lang w:val="es-ES"/>
          <w14:ligatures w14:val="standardContextual"/>
        </w:rPr>
        <w:t xml:space="preserve">Universidad de La Frontera. (2018). </w:t>
      </w:r>
      <w:r w:rsidRPr="00194C36">
        <w:rPr>
          <w:rFonts w:ascii="Arial" w:hAnsi="Arial" w:cs="Arial"/>
          <w:i/>
          <w:lang w:val="es-ES"/>
          <w14:ligatures w14:val="standardContextual"/>
        </w:rPr>
        <w:t>Manual de diseño curricular</w:t>
      </w:r>
      <w:r w:rsidRPr="00194C36">
        <w:rPr>
          <w:rFonts w:ascii="Arial" w:hAnsi="Arial" w:cs="Arial"/>
          <w:lang w:val="es-ES"/>
          <w14:ligatures w14:val="standardContextual"/>
        </w:rPr>
        <w:t>. Temuco (Chile): Vicerrectoría de Pregrado, Dirección de Desarrollo Curricular y Docente.</w:t>
      </w:r>
      <w:r w:rsidRPr="00194C36">
        <w:rPr>
          <w:rFonts w:ascii="Arial" w:hAnsi="Arial" w:cs="Arial"/>
          <w:color w:val="000000"/>
          <w:lang w:val="es-ES_tradnl"/>
          <w14:ligatures w14:val="standardContextual"/>
        </w:rPr>
        <w:t xml:space="preserve">  </w:t>
      </w:r>
      <w:hyperlink r:id="rId49" w:history="1">
        <w:r w:rsidRPr="005470F2">
          <w:rPr>
            <w:rFonts w:ascii="Arial" w:hAnsi="Arial" w:cs="Arial"/>
            <w:color w:val="002060"/>
            <w:u w:val="single"/>
            <w:lang w:val="es-ES_tradnl"/>
            <w14:ligatures w14:val="standardContextual"/>
          </w:rPr>
          <w:t>https://pregrado.ufro.cl/images/files/2018/documentos-desarrollo-curricular/MANUAL-DISENO-CURRICULAR-.pdf</w:t>
        </w:r>
      </w:hyperlink>
      <w:r w:rsidRPr="005470F2">
        <w:rPr>
          <w:rFonts w:ascii="Arial" w:hAnsi="Arial" w:cs="Arial"/>
          <w:color w:val="002060"/>
          <w:lang w:val="es-ES_tradnl"/>
          <w14:ligatures w14:val="standardContextual"/>
        </w:rPr>
        <w:t xml:space="preserve"> </w:t>
      </w:r>
    </w:p>
    <w:p w14:paraId="25630316" w14:textId="77777777" w:rsidR="00194C36" w:rsidRPr="00194C36" w:rsidRDefault="00194C36" w:rsidP="00983B50">
      <w:pPr>
        <w:widowControl w:val="0"/>
        <w:autoSpaceDE w:val="0"/>
        <w:autoSpaceDN w:val="0"/>
        <w:adjustRightInd w:val="0"/>
        <w:spacing w:before="100" w:beforeAutospacing="1" w:after="100" w:afterAutospacing="1" w:line="360" w:lineRule="auto"/>
        <w:ind w:left="709" w:hanging="709"/>
        <w:jc w:val="both"/>
        <w:rPr>
          <w:rFonts w:ascii="Arial" w:hAnsi="Arial" w:cs="Arial"/>
          <w:lang w:val="ru-RU"/>
          <w14:ligatures w14:val="standardContextual"/>
        </w:rPr>
      </w:pPr>
      <w:bookmarkStart w:id="26" w:name="_Hlk172030412"/>
      <w:r w:rsidRPr="00194C36">
        <w:rPr>
          <w:rFonts w:ascii="Arial" w:hAnsi="Arial" w:cs="Arial"/>
          <w:lang w:val="ru-RU"/>
          <w14:ligatures w14:val="standardContextual"/>
        </w:rPr>
        <w:t>Бурятский государственный университет им. Д. Банзарова (БГУ) [</w:t>
      </w:r>
      <w:r w:rsidRPr="00194C36">
        <w:rPr>
          <w:rFonts w:ascii="Arial" w:hAnsi="Arial" w:cs="Arial"/>
          <w:lang w:val="es-ES"/>
          <w14:ligatures w14:val="standardContextual"/>
        </w:rPr>
        <w:t>Universidad</w:t>
      </w:r>
      <w:r w:rsidRPr="00194C36">
        <w:rPr>
          <w:rFonts w:ascii="Arial" w:hAnsi="Arial" w:cs="Arial"/>
          <w:lang w:val="ru-RU"/>
          <w14:ligatures w14:val="standardContextual"/>
        </w:rPr>
        <w:t xml:space="preserve"> </w:t>
      </w:r>
      <w:r w:rsidRPr="00194C36">
        <w:rPr>
          <w:rFonts w:ascii="Arial" w:hAnsi="Arial" w:cs="Arial"/>
          <w:lang w:val="es-ES"/>
          <w14:ligatures w14:val="standardContextual"/>
        </w:rPr>
        <w:t>Estatal</w:t>
      </w:r>
      <w:r w:rsidRPr="00194C36">
        <w:rPr>
          <w:rFonts w:ascii="Arial" w:hAnsi="Arial" w:cs="Arial"/>
          <w:lang w:val="ru-RU"/>
          <w14:ligatures w14:val="standardContextual"/>
        </w:rPr>
        <w:t xml:space="preserve"> </w:t>
      </w:r>
      <w:r w:rsidRPr="00194C36">
        <w:rPr>
          <w:rFonts w:ascii="Arial" w:hAnsi="Arial" w:cs="Arial"/>
          <w:lang w:val="es-ES"/>
          <w14:ligatures w14:val="standardContextual"/>
        </w:rPr>
        <w:t>de</w:t>
      </w:r>
      <w:r w:rsidRPr="00194C36">
        <w:rPr>
          <w:rFonts w:ascii="Arial" w:hAnsi="Arial" w:cs="Arial"/>
          <w:lang w:val="ru-RU"/>
          <w14:ligatures w14:val="standardContextual"/>
        </w:rPr>
        <w:t xml:space="preserve"> </w:t>
      </w:r>
      <w:r w:rsidRPr="00194C36">
        <w:rPr>
          <w:rFonts w:ascii="Arial" w:hAnsi="Arial" w:cs="Arial"/>
          <w:lang w:val="es-ES"/>
          <w14:ligatures w14:val="standardContextual"/>
        </w:rPr>
        <w:t>Buriatia</w:t>
      </w:r>
      <w:r w:rsidRPr="00194C36">
        <w:rPr>
          <w:rFonts w:ascii="Arial" w:hAnsi="Arial" w:cs="Arial"/>
          <w:lang w:val="ru-RU"/>
          <w14:ligatures w14:val="standardContextual"/>
        </w:rPr>
        <w:t xml:space="preserve">]. </w:t>
      </w:r>
      <w:r w:rsidRPr="00194C36">
        <w:rPr>
          <w:rFonts w:ascii="Arial" w:hAnsi="Arial" w:cs="Arial"/>
          <w14:ligatures w14:val="standardContextual"/>
        </w:rPr>
        <w:t xml:space="preserve">(2019). </w:t>
      </w:r>
      <w:r w:rsidRPr="00194C36">
        <w:rPr>
          <w:rFonts w:ascii="Arial" w:hAnsi="Arial" w:cs="Arial"/>
          <w:i/>
          <w:lang w:val="ru-RU"/>
          <w14:ligatures w14:val="standardContextual"/>
        </w:rPr>
        <w:t>Положение</w:t>
      </w:r>
      <w:r w:rsidRPr="00194C36">
        <w:rPr>
          <w:rFonts w:ascii="Arial" w:hAnsi="Arial" w:cs="Arial"/>
          <w:i/>
          <w:lang w:val="es-ES"/>
          <w14:ligatures w14:val="standardContextual"/>
        </w:rPr>
        <w:t xml:space="preserve"> </w:t>
      </w:r>
      <w:r w:rsidRPr="00194C36">
        <w:rPr>
          <w:rFonts w:ascii="Arial" w:hAnsi="Arial" w:cs="Arial"/>
          <w:i/>
          <w:lang w:val="ru-RU"/>
          <w14:ligatures w14:val="standardContextual"/>
        </w:rPr>
        <w:t>о</w:t>
      </w:r>
      <w:r w:rsidRPr="00194C36">
        <w:rPr>
          <w:rFonts w:ascii="Arial" w:hAnsi="Arial" w:cs="Arial"/>
          <w:i/>
          <w:lang w:val="es-ES"/>
          <w14:ligatures w14:val="standardContextual"/>
        </w:rPr>
        <w:t xml:space="preserve"> </w:t>
      </w:r>
      <w:r w:rsidRPr="00194C36">
        <w:rPr>
          <w:rFonts w:ascii="Arial" w:hAnsi="Arial" w:cs="Arial"/>
          <w:i/>
          <w:lang w:val="ru-RU"/>
          <w14:ligatures w14:val="standardContextual"/>
        </w:rPr>
        <w:t>порядке</w:t>
      </w:r>
      <w:r w:rsidRPr="00194C36">
        <w:rPr>
          <w:rFonts w:ascii="Arial" w:hAnsi="Arial" w:cs="Arial"/>
          <w:i/>
          <w:lang w:val="es-ES"/>
          <w14:ligatures w14:val="standardContextual"/>
        </w:rPr>
        <w:t xml:space="preserve"> </w:t>
      </w:r>
      <w:r w:rsidRPr="00194C36">
        <w:rPr>
          <w:rFonts w:ascii="Arial" w:hAnsi="Arial" w:cs="Arial"/>
          <w:i/>
          <w:lang w:val="ru-RU"/>
          <w14:ligatures w14:val="standardContextual"/>
        </w:rPr>
        <w:t>разработки</w:t>
      </w:r>
      <w:r w:rsidRPr="00194C36">
        <w:rPr>
          <w:rFonts w:ascii="Arial" w:hAnsi="Arial" w:cs="Arial"/>
          <w:i/>
          <w:lang w:val="es-ES"/>
          <w14:ligatures w14:val="standardContextual"/>
        </w:rPr>
        <w:t xml:space="preserve"> </w:t>
      </w:r>
      <w:r w:rsidRPr="00194C36">
        <w:rPr>
          <w:rFonts w:ascii="Arial" w:hAnsi="Arial" w:cs="Arial"/>
          <w:i/>
          <w:lang w:val="ru-RU"/>
          <w14:ligatures w14:val="standardContextual"/>
        </w:rPr>
        <w:t>и</w:t>
      </w:r>
      <w:r w:rsidRPr="00194C36">
        <w:rPr>
          <w:rFonts w:ascii="Arial" w:hAnsi="Arial" w:cs="Arial"/>
          <w:i/>
          <w:lang w:val="es-ES"/>
          <w14:ligatures w14:val="standardContextual"/>
        </w:rPr>
        <w:t xml:space="preserve"> </w:t>
      </w:r>
      <w:r w:rsidRPr="00194C36">
        <w:rPr>
          <w:rFonts w:ascii="Arial" w:hAnsi="Arial" w:cs="Arial"/>
          <w:i/>
          <w:lang w:val="ru-RU"/>
          <w14:ligatures w14:val="standardContextual"/>
        </w:rPr>
        <w:t>утверждения</w:t>
      </w:r>
      <w:r w:rsidRPr="00194C36">
        <w:rPr>
          <w:rFonts w:ascii="Arial" w:hAnsi="Arial" w:cs="Arial"/>
          <w:i/>
          <w:lang w:val="es-ES"/>
          <w14:ligatures w14:val="standardContextual"/>
        </w:rPr>
        <w:t xml:space="preserve"> </w:t>
      </w:r>
      <w:r w:rsidRPr="00194C36">
        <w:rPr>
          <w:rFonts w:ascii="Arial" w:hAnsi="Arial" w:cs="Arial"/>
          <w:i/>
          <w:lang w:val="ru-RU"/>
          <w14:ligatures w14:val="standardContextual"/>
        </w:rPr>
        <w:t>рабочей</w:t>
      </w:r>
      <w:r w:rsidRPr="00194C36">
        <w:rPr>
          <w:rFonts w:ascii="Arial" w:hAnsi="Arial" w:cs="Arial"/>
          <w:i/>
          <w:lang w:val="es-ES"/>
          <w14:ligatures w14:val="standardContextual"/>
        </w:rPr>
        <w:t xml:space="preserve"> </w:t>
      </w:r>
      <w:r w:rsidRPr="00194C36">
        <w:rPr>
          <w:rFonts w:ascii="Arial" w:hAnsi="Arial" w:cs="Arial"/>
          <w:i/>
          <w:lang w:val="ru-RU"/>
          <w14:ligatures w14:val="standardContextual"/>
        </w:rPr>
        <w:t>программы</w:t>
      </w:r>
      <w:r w:rsidRPr="00194C36">
        <w:rPr>
          <w:rFonts w:ascii="Arial" w:hAnsi="Arial" w:cs="Arial"/>
          <w:i/>
          <w:lang w:val="es-ES"/>
          <w14:ligatures w14:val="standardContextual"/>
        </w:rPr>
        <w:t xml:space="preserve"> </w:t>
      </w:r>
      <w:r w:rsidRPr="00194C36">
        <w:rPr>
          <w:rFonts w:ascii="Arial" w:hAnsi="Arial" w:cs="Arial"/>
          <w:i/>
          <w:lang w:val="ru-RU"/>
          <w14:ligatures w14:val="standardContextual"/>
        </w:rPr>
        <w:t>учебной</w:t>
      </w:r>
      <w:r w:rsidRPr="00194C36">
        <w:rPr>
          <w:rFonts w:ascii="Arial" w:hAnsi="Arial" w:cs="Arial"/>
          <w:i/>
          <w:lang w:val="es-ES"/>
          <w14:ligatures w14:val="standardContextual"/>
        </w:rPr>
        <w:t xml:space="preserve"> </w:t>
      </w:r>
      <w:r w:rsidRPr="00194C36">
        <w:rPr>
          <w:rFonts w:ascii="Arial" w:hAnsi="Arial" w:cs="Arial"/>
          <w:i/>
          <w:lang w:val="ru-RU"/>
          <w14:ligatures w14:val="standardContextual"/>
        </w:rPr>
        <w:t>дисциплины</w:t>
      </w:r>
      <w:r w:rsidRPr="00194C36">
        <w:rPr>
          <w:rFonts w:ascii="Arial" w:hAnsi="Arial" w:cs="Arial"/>
          <w:i/>
          <w14:ligatures w14:val="standardContextual"/>
        </w:rPr>
        <w:t xml:space="preserve"> </w:t>
      </w:r>
      <w:r w:rsidRPr="00194C36">
        <w:rPr>
          <w:rFonts w:ascii="Arial" w:hAnsi="Arial" w:cs="Arial"/>
          <w:iCs/>
          <w:color w:val="000000"/>
          <w14:ligatures w14:val="standardContextual"/>
        </w:rPr>
        <w:t>[</w:t>
      </w:r>
      <w:r w:rsidRPr="00194C36">
        <w:rPr>
          <w:rFonts w:ascii="Arial" w:hAnsi="Arial" w:cs="Arial"/>
          <w:i/>
          <w:iCs/>
          <w:color w:val="000000"/>
          <w14:ligatures w14:val="standardContextual"/>
        </w:rPr>
        <w:t xml:space="preserve">Reglamento sobre el procedimiento para la elaboración y aprobación del programa de </w:t>
      </w:r>
      <w:r w:rsidRPr="00194C36">
        <w:rPr>
          <w:rFonts w:ascii="Arial" w:hAnsi="Arial" w:cs="Arial"/>
          <w:i/>
          <w:iCs/>
          <w:color w:val="000000"/>
          <w14:ligatures w14:val="standardContextual"/>
        </w:rPr>
        <w:lastRenderedPageBreak/>
        <w:t>curso</w:t>
      </w:r>
      <w:r w:rsidRPr="00194C36">
        <w:rPr>
          <w:rFonts w:ascii="Arial" w:hAnsi="Arial" w:cs="Arial"/>
          <w:iCs/>
          <w:color w:val="000000"/>
          <w14:ligatures w14:val="standardContextual"/>
        </w:rPr>
        <w:t>]</w:t>
      </w:r>
      <w:r w:rsidRPr="00194C36">
        <w:rPr>
          <w:rFonts w:ascii="Arial" w:hAnsi="Arial" w:cs="Arial"/>
          <w:i/>
          <w:color w:val="000000"/>
          <w14:ligatures w14:val="standardContextual"/>
        </w:rPr>
        <w:t>.</w:t>
      </w:r>
      <w:r w:rsidRPr="00194C36">
        <w:rPr>
          <w:rFonts w:ascii="Arial" w:hAnsi="Arial" w:cs="Arial"/>
          <w:color w:val="000000"/>
          <w:lang w:val="es-ES"/>
          <w14:ligatures w14:val="standardContextual"/>
        </w:rPr>
        <w:t xml:space="preserve"> </w:t>
      </w:r>
      <w:r w:rsidRPr="00194C36">
        <w:rPr>
          <w:rFonts w:ascii="Arial" w:hAnsi="Arial" w:cs="Arial"/>
          <w:lang w:val="ru-RU"/>
          <w14:ligatures w14:val="standardContextual"/>
        </w:rPr>
        <w:t xml:space="preserve">БГУ. </w:t>
      </w:r>
      <w:hyperlink r:id="rId50" w:history="1">
        <w:r w:rsidRPr="005470F2">
          <w:rPr>
            <w:rFonts w:ascii="Arial" w:hAnsi="Arial" w:cs="Arial"/>
            <w:color w:val="002060"/>
            <w:u w:val="single"/>
            <w14:ligatures w14:val="standardContextual"/>
          </w:rPr>
          <w:t>https</w:t>
        </w:r>
        <w:r w:rsidRPr="005470F2">
          <w:rPr>
            <w:rFonts w:ascii="Arial" w:hAnsi="Arial" w:cs="Arial"/>
            <w:color w:val="002060"/>
            <w:u w:val="single"/>
            <w:lang w:val="ru-RU"/>
            <w14:ligatures w14:val="standardContextual"/>
          </w:rPr>
          <w:t>://</w:t>
        </w:r>
        <w:r w:rsidRPr="005470F2">
          <w:rPr>
            <w:rFonts w:ascii="Arial" w:hAnsi="Arial" w:cs="Arial"/>
            <w:color w:val="002060"/>
            <w:u w:val="single"/>
            <w14:ligatures w14:val="standardContextual"/>
          </w:rPr>
          <w:t>www</w:t>
        </w:r>
        <w:r w:rsidRPr="005470F2">
          <w:rPr>
            <w:rFonts w:ascii="Arial" w:hAnsi="Arial" w:cs="Arial"/>
            <w:color w:val="002060"/>
            <w:u w:val="single"/>
            <w:lang w:val="ru-RU"/>
            <w14:ligatures w14:val="standardContextual"/>
          </w:rPr>
          <w:t>.</w:t>
        </w:r>
        <w:proofErr w:type="spellStart"/>
        <w:r w:rsidRPr="005470F2">
          <w:rPr>
            <w:rFonts w:ascii="Arial" w:hAnsi="Arial" w:cs="Arial"/>
            <w:color w:val="002060"/>
            <w:u w:val="single"/>
            <w14:ligatures w14:val="standardContextual"/>
          </w:rPr>
          <w:t>bsu</w:t>
        </w:r>
        <w:proofErr w:type="spellEnd"/>
        <w:r w:rsidRPr="005470F2">
          <w:rPr>
            <w:rFonts w:ascii="Arial" w:hAnsi="Arial" w:cs="Arial"/>
            <w:color w:val="002060"/>
            <w:u w:val="single"/>
            <w:lang w:val="ru-RU"/>
            <w14:ligatures w14:val="standardContextual"/>
          </w:rPr>
          <w:t>.</w:t>
        </w:r>
        <w:proofErr w:type="spellStart"/>
        <w:r w:rsidRPr="005470F2">
          <w:rPr>
            <w:rFonts w:ascii="Arial" w:hAnsi="Arial" w:cs="Arial"/>
            <w:color w:val="002060"/>
            <w:u w:val="single"/>
            <w14:ligatures w14:val="standardContextual"/>
          </w:rPr>
          <w:t>ru</w:t>
        </w:r>
        <w:proofErr w:type="spellEnd"/>
        <w:r w:rsidRPr="005470F2">
          <w:rPr>
            <w:rFonts w:ascii="Arial" w:hAnsi="Arial" w:cs="Arial"/>
            <w:color w:val="002060"/>
            <w:u w:val="single"/>
            <w:lang w:val="ru-RU"/>
            <w14:ligatures w14:val="standardContextual"/>
          </w:rPr>
          <w:t>/</w:t>
        </w:r>
        <w:proofErr w:type="spellStart"/>
        <w:r w:rsidRPr="005470F2">
          <w:rPr>
            <w:rFonts w:ascii="Arial" w:hAnsi="Arial" w:cs="Arial"/>
            <w:color w:val="002060"/>
            <w:u w:val="single"/>
            <w14:ligatures w14:val="standardContextual"/>
          </w:rPr>
          <w:t>content</w:t>
        </w:r>
        <w:proofErr w:type="spellEnd"/>
        <w:r w:rsidRPr="005470F2">
          <w:rPr>
            <w:rFonts w:ascii="Arial" w:hAnsi="Arial" w:cs="Arial"/>
            <w:color w:val="002060"/>
            <w:u w:val="single"/>
            <w:lang w:val="ru-RU"/>
            <w14:ligatures w14:val="standardContextual"/>
          </w:rPr>
          <w:t>/</w:t>
        </w:r>
        <w:r w:rsidRPr="005470F2">
          <w:rPr>
            <w:rFonts w:ascii="Arial" w:hAnsi="Arial" w:cs="Arial"/>
            <w:color w:val="002060"/>
            <w:u w:val="single"/>
            <w14:ligatures w14:val="standardContextual"/>
          </w:rPr>
          <w:t>page</w:t>
        </w:r>
        <w:r w:rsidRPr="005470F2">
          <w:rPr>
            <w:rFonts w:ascii="Arial" w:hAnsi="Arial" w:cs="Arial"/>
            <w:color w:val="002060"/>
            <w:u w:val="single"/>
            <w:lang w:val="ru-RU"/>
            <w14:ligatures w14:val="standardContextual"/>
          </w:rPr>
          <w:t>/1125/29.</w:t>
        </w:r>
        <w:proofErr w:type="spellStart"/>
        <w:r w:rsidRPr="005470F2">
          <w:rPr>
            <w:rFonts w:ascii="Arial" w:hAnsi="Arial" w:cs="Arial"/>
            <w:color w:val="002060"/>
            <w:u w:val="single"/>
            <w14:ligatures w14:val="standardContextual"/>
          </w:rPr>
          <w:t>polozhenie</w:t>
        </w:r>
        <w:proofErr w:type="spellEnd"/>
        <w:r w:rsidRPr="005470F2">
          <w:rPr>
            <w:rFonts w:ascii="Arial" w:hAnsi="Arial" w:cs="Arial"/>
            <w:color w:val="002060"/>
            <w:u w:val="single"/>
            <w:lang w:val="ru-RU"/>
            <w14:ligatures w14:val="standardContextual"/>
          </w:rPr>
          <w:t>-</w:t>
        </w:r>
        <w:r w:rsidRPr="005470F2">
          <w:rPr>
            <w:rFonts w:ascii="Arial" w:hAnsi="Arial" w:cs="Arial"/>
            <w:color w:val="002060"/>
            <w:u w:val="single"/>
            <w14:ligatures w14:val="standardContextual"/>
          </w:rPr>
          <w:t>o</w:t>
        </w:r>
        <w:r w:rsidRPr="005470F2">
          <w:rPr>
            <w:rFonts w:ascii="Arial" w:hAnsi="Arial" w:cs="Arial"/>
            <w:color w:val="002060"/>
            <w:u w:val="single"/>
            <w:lang w:val="ru-RU"/>
            <w14:ligatures w14:val="standardContextual"/>
          </w:rPr>
          <w:t>-</w:t>
        </w:r>
        <w:proofErr w:type="spellStart"/>
        <w:r w:rsidRPr="005470F2">
          <w:rPr>
            <w:rFonts w:ascii="Arial" w:hAnsi="Arial" w:cs="Arial"/>
            <w:color w:val="002060"/>
            <w:u w:val="single"/>
            <w14:ligatures w14:val="standardContextual"/>
          </w:rPr>
          <w:t>poryadke</w:t>
        </w:r>
        <w:proofErr w:type="spellEnd"/>
        <w:r w:rsidRPr="005470F2">
          <w:rPr>
            <w:rFonts w:ascii="Arial" w:hAnsi="Arial" w:cs="Arial"/>
            <w:color w:val="002060"/>
            <w:u w:val="single"/>
            <w:lang w:val="ru-RU"/>
            <w14:ligatures w14:val="standardContextual"/>
          </w:rPr>
          <w:t>-</w:t>
        </w:r>
        <w:proofErr w:type="spellStart"/>
        <w:r w:rsidRPr="005470F2">
          <w:rPr>
            <w:rFonts w:ascii="Arial" w:hAnsi="Arial" w:cs="Arial"/>
            <w:color w:val="002060"/>
            <w:u w:val="single"/>
            <w14:ligatures w14:val="standardContextual"/>
          </w:rPr>
          <w:t>razrabotki</w:t>
        </w:r>
        <w:proofErr w:type="spellEnd"/>
        <w:r w:rsidRPr="005470F2">
          <w:rPr>
            <w:rFonts w:ascii="Arial" w:hAnsi="Arial" w:cs="Arial"/>
            <w:color w:val="002060"/>
            <w:u w:val="single"/>
            <w:lang w:val="ru-RU"/>
            <w14:ligatures w14:val="standardContextual"/>
          </w:rPr>
          <w:t>-</w:t>
        </w:r>
        <w:r w:rsidRPr="005470F2">
          <w:rPr>
            <w:rFonts w:ascii="Arial" w:hAnsi="Arial" w:cs="Arial"/>
            <w:color w:val="002060"/>
            <w:u w:val="single"/>
            <w14:ligatures w14:val="standardContextual"/>
          </w:rPr>
          <w:t>i</w:t>
        </w:r>
        <w:r w:rsidRPr="005470F2">
          <w:rPr>
            <w:rFonts w:ascii="Arial" w:hAnsi="Arial" w:cs="Arial"/>
            <w:color w:val="002060"/>
            <w:u w:val="single"/>
            <w:lang w:val="ru-RU"/>
            <w14:ligatures w14:val="standardContextual"/>
          </w:rPr>
          <w:t>-</w:t>
        </w:r>
        <w:proofErr w:type="spellStart"/>
        <w:r w:rsidRPr="005470F2">
          <w:rPr>
            <w:rFonts w:ascii="Arial" w:hAnsi="Arial" w:cs="Arial"/>
            <w:color w:val="002060"/>
            <w:u w:val="single"/>
            <w14:ligatures w14:val="standardContextual"/>
          </w:rPr>
          <w:t>utverzhdeniya</w:t>
        </w:r>
        <w:proofErr w:type="spellEnd"/>
        <w:r w:rsidRPr="005470F2">
          <w:rPr>
            <w:rFonts w:ascii="Arial" w:hAnsi="Arial" w:cs="Arial"/>
            <w:color w:val="002060"/>
            <w:u w:val="single"/>
            <w:lang w:val="ru-RU"/>
            <w14:ligatures w14:val="standardContextual"/>
          </w:rPr>
          <w:t>-</w:t>
        </w:r>
        <w:proofErr w:type="spellStart"/>
        <w:r w:rsidRPr="005470F2">
          <w:rPr>
            <w:rFonts w:ascii="Arial" w:hAnsi="Arial" w:cs="Arial"/>
            <w:color w:val="002060"/>
            <w:u w:val="single"/>
            <w14:ligatures w14:val="standardContextual"/>
          </w:rPr>
          <w:t>rpd</w:t>
        </w:r>
        <w:proofErr w:type="spellEnd"/>
        <w:r w:rsidRPr="005470F2">
          <w:rPr>
            <w:rFonts w:ascii="Arial" w:hAnsi="Arial" w:cs="Arial"/>
            <w:color w:val="002060"/>
            <w:u w:val="single"/>
            <w:lang w:val="ru-RU"/>
            <w14:ligatures w14:val="standardContextual"/>
          </w:rPr>
          <w:t>.</w:t>
        </w:r>
        <w:proofErr w:type="spellStart"/>
        <w:r w:rsidRPr="005470F2">
          <w:rPr>
            <w:rFonts w:ascii="Arial" w:hAnsi="Arial" w:cs="Arial"/>
            <w:color w:val="002060"/>
            <w:u w:val="single"/>
            <w14:ligatures w14:val="standardContextual"/>
          </w:rPr>
          <w:t>pdf</w:t>
        </w:r>
        <w:proofErr w:type="spellEnd"/>
      </w:hyperlink>
      <w:r w:rsidRPr="005470F2">
        <w:rPr>
          <w:rFonts w:ascii="Arial" w:hAnsi="Arial" w:cs="Arial"/>
          <w:color w:val="002060"/>
          <w:lang w:val="ru-RU"/>
          <w14:ligatures w14:val="standardContextual"/>
        </w:rPr>
        <w:t xml:space="preserve"> </w:t>
      </w:r>
    </w:p>
    <w:p w14:paraId="627A3869" w14:textId="77777777" w:rsidR="00194C36" w:rsidRPr="00194C36" w:rsidRDefault="00194C36" w:rsidP="00983B50">
      <w:pPr>
        <w:spacing w:before="100" w:beforeAutospacing="1" w:after="100" w:afterAutospacing="1" w:line="360" w:lineRule="auto"/>
        <w:ind w:left="709" w:hanging="709"/>
        <w:jc w:val="both"/>
        <w:rPr>
          <w:rFonts w:ascii="Arial" w:eastAsiaTheme="minorHAnsi" w:hAnsi="Arial" w:cs="Arial"/>
          <w:kern w:val="2"/>
          <w:lang w:val="ru-RU" w:eastAsia="en-US"/>
          <w14:ligatures w14:val="standardContextual"/>
        </w:rPr>
      </w:pPr>
      <w:r w:rsidRPr="00194C36">
        <w:rPr>
          <w:rFonts w:ascii="Arial" w:eastAsiaTheme="minorHAnsi" w:hAnsi="Arial" w:cs="Arial"/>
          <w:color w:val="000000"/>
          <w:kern w:val="2"/>
          <w:lang w:val="ru-RU" w:eastAsia="en-US"/>
          <w14:ligatures w14:val="standardContextual"/>
        </w:rPr>
        <w:t>Внутренний Предиктор [</w:t>
      </w:r>
      <w:r w:rsidRPr="00194C36">
        <w:rPr>
          <w:rFonts w:ascii="Arial" w:eastAsiaTheme="minorHAnsi" w:hAnsi="Arial" w:cs="Arial"/>
          <w:color w:val="000000"/>
          <w:kern w:val="2"/>
          <w:lang w:eastAsia="en-US"/>
          <w14:ligatures w14:val="standardContextual"/>
        </w:rPr>
        <w:t>Predictor</w:t>
      </w:r>
      <w:r w:rsidRPr="00194C36">
        <w:rPr>
          <w:rFonts w:ascii="Arial" w:eastAsiaTheme="minorHAnsi" w:hAnsi="Arial" w:cs="Arial"/>
          <w:color w:val="000000"/>
          <w:kern w:val="2"/>
          <w:lang w:val="ru-RU" w:eastAsia="en-US"/>
          <w14:ligatures w14:val="standardContextual"/>
        </w:rPr>
        <w:t xml:space="preserve"> </w:t>
      </w:r>
      <w:r w:rsidRPr="00194C36">
        <w:rPr>
          <w:rFonts w:ascii="Arial" w:eastAsiaTheme="minorHAnsi" w:hAnsi="Arial" w:cs="Arial"/>
          <w:color w:val="000000"/>
          <w:kern w:val="2"/>
          <w:lang w:eastAsia="en-US"/>
          <w14:ligatures w14:val="standardContextual"/>
        </w:rPr>
        <w:t>Interior</w:t>
      </w:r>
      <w:r w:rsidRPr="00194C36">
        <w:rPr>
          <w:rFonts w:ascii="Arial" w:eastAsiaTheme="minorHAnsi" w:hAnsi="Arial" w:cs="Arial"/>
          <w:color w:val="000000"/>
          <w:kern w:val="2"/>
          <w:lang w:val="ru-RU" w:eastAsia="en-US"/>
          <w14:ligatures w14:val="standardContextual"/>
        </w:rPr>
        <w:t xml:space="preserve">]. (2011). </w:t>
      </w:r>
      <w:r w:rsidRPr="00194C36">
        <w:rPr>
          <w:rFonts w:ascii="Arial" w:eastAsiaTheme="minorHAnsi" w:hAnsi="Arial" w:cs="Arial"/>
          <w:i/>
          <w:iCs/>
          <w:color w:val="000000"/>
          <w:kern w:val="2"/>
          <w:lang w:val="ru-RU" w:eastAsia="en-US"/>
          <w14:ligatures w14:val="standardContextual"/>
        </w:rPr>
        <w:t>Достаточно общая теория управления (ДОТУ)</w:t>
      </w:r>
      <w:r w:rsidRPr="00194C36">
        <w:rPr>
          <w:rFonts w:ascii="Arial" w:eastAsiaTheme="minorHAnsi" w:hAnsi="Arial" w:cs="Arial"/>
          <w:color w:val="000000"/>
          <w:kern w:val="2"/>
          <w:lang w:val="ru-RU" w:eastAsia="en-US"/>
          <w14:ligatures w14:val="standardContextual"/>
        </w:rPr>
        <w:t xml:space="preserve"> [</w:t>
      </w:r>
      <w:proofErr w:type="spellStart"/>
      <w:r w:rsidRPr="00194C36">
        <w:rPr>
          <w:rFonts w:ascii="Arial" w:eastAsiaTheme="minorHAnsi" w:hAnsi="Arial" w:cs="Arial"/>
          <w:i/>
          <w:iCs/>
          <w:color w:val="000000"/>
          <w:kern w:val="2"/>
          <w:lang w:eastAsia="en-US"/>
          <w14:ligatures w14:val="standardContextual"/>
        </w:rPr>
        <w:t>Teor</w:t>
      </w:r>
      <w:proofErr w:type="spellEnd"/>
      <w:r w:rsidRPr="00194C36">
        <w:rPr>
          <w:rFonts w:ascii="Arial" w:eastAsiaTheme="minorHAnsi" w:hAnsi="Arial" w:cs="Arial"/>
          <w:i/>
          <w:iCs/>
          <w:color w:val="000000"/>
          <w:kern w:val="2"/>
          <w:lang w:val="ru-RU" w:eastAsia="en-US"/>
          <w14:ligatures w14:val="standardContextual"/>
        </w:rPr>
        <w:t>í</w:t>
      </w:r>
      <w:r w:rsidRPr="00194C36">
        <w:rPr>
          <w:rFonts w:ascii="Arial" w:eastAsiaTheme="minorHAnsi" w:hAnsi="Arial" w:cs="Arial"/>
          <w:i/>
          <w:iCs/>
          <w:color w:val="000000"/>
          <w:kern w:val="2"/>
          <w:lang w:eastAsia="en-US"/>
          <w14:ligatures w14:val="standardContextual"/>
        </w:rPr>
        <w:t>a</w:t>
      </w:r>
      <w:r w:rsidRPr="00194C36">
        <w:rPr>
          <w:rFonts w:ascii="Arial" w:eastAsiaTheme="minorHAnsi" w:hAnsi="Arial" w:cs="Arial"/>
          <w:i/>
          <w:iCs/>
          <w:color w:val="000000"/>
          <w:kern w:val="2"/>
          <w:lang w:val="ru-RU" w:eastAsia="en-US"/>
          <w14:ligatures w14:val="standardContextual"/>
        </w:rPr>
        <w:t xml:space="preserve"> </w:t>
      </w:r>
      <w:r w:rsidRPr="00194C36">
        <w:rPr>
          <w:rFonts w:ascii="Arial" w:eastAsiaTheme="minorHAnsi" w:hAnsi="Arial" w:cs="Arial"/>
          <w:i/>
          <w:iCs/>
          <w:color w:val="000000"/>
          <w:kern w:val="2"/>
          <w:lang w:eastAsia="en-US"/>
          <w14:ligatures w14:val="standardContextual"/>
        </w:rPr>
        <w:t>suficientemente</w:t>
      </w:r>
      <w:r w:rsidRPr="00194C36">
        <w:rPr>
          <w:rFonts w:ascii="Arial" w:eastAsiaTheme="minorHAnsi" w:hAnsi="Arial" w:cs="Arial"/>
          <w:i/>
          <w:iCs/>
          <w:color w:val="000000"/>
          <w:kern w:val="2"/>
          <w:lang w:val="ru-RU" w:eastAsia="en-US"/>
          <w14:ligatures w14:val="standardContextual"/>
        </w:rPr>
        <w:t xml:space="preserve"> </w:t>
      </w:r>
      <w:r w:rsidRPr="00194C36">
        <w:rPr>
          <w:rFonts w:ascii="Arial" w:eastAsiaTheme="minorHAnsi" w:hAnsi="Arial" w:cs="Arial"/>
          <w:i/>
          <w:iCs/>
          <w:color w:val="000000"/>
          <w:kern w:val="2"/>
          <w:lang w:eastAsia="en-US"/>
          <w14:ligatures w14:val="standardContextual"/>
        </w:rPr>
        <w:t>general</w:t>
      </w:r>
      <w:r w:rsidRPr="00194C36">
        <w:rPr>
          <w:rFonts w:ascii="Arial" w:eastAsiaTheme="minorHAnsi" w:hAnsi="Arial" w:cs="Arial"/>
          <w:i/>
          <w:iCs/>
          <w:color w:val="000000"/>
          <w:kern w:val="2"/>
          <w:lang w:val="ru-RU" w:eastAsia="en-US"/>
          <w14:ligatures w14:val="standardContextual"/>
        </w:rPr>
        <w:t xml:space="preserve"> </w:t>
      </w:r>
      <w:r w:rsidRPr="00194C36">
        <w:rPr>
          <w:rFonts w:ascii="Arial" w:eastAsiaTheme="minorHAnsi" w:hAnsi="Arial" w:cs="Arial"/>
          <w:i/>
          <w:iCs/>
          <w:color w:val="000000"/>
          <w:kern w:val="2"/>
          <w:lang w:eastAsia="en-US"/>
          <w14:ligatures w14:val="standardContextual"/>
        </w:rPr>
        <w:t>de</w:t>
      </w:r>
      <w:r w:rsidRPr="00194C36">
        <w:rPr>
          <w:rFonts w:ascii="Arial" w:eastAsiaTheme="minorHAnsi" w:hAnsi="Arial" w:cs="Arial"/>
          <w:i/>
          <w:iCs/>
          <w:color w:val="000000"/>
          <w:kern w:val="2"/>
          <w:lang w:val="ru-RU" w:eastAsia="en-US"/>
          <w14:ligatures w14:val="standardContextual"/>
        </w:rPr>
        <w:t xml:space="preserve"> </w:t>
      </w:r>
      <w:proofErr w:type="spellStart"/>
      <w:r w:rsidRPr="00194C36">
        <w:rPr>
          <w:rFonts w:ascii="Arial" w:eastAsiaTheme="minorHAnsi" w:hAnsi="Arial" w:cs="Arial"/>
          <w:i/>
          <w:iCs/>
          <w:color w:val="000000"/>
          <w:kern w:val="2"/>
          <w:lang w:eastAsia="en-US"/>
          <w14:ligatures w14:val="standardContextual"/>
        </w:rPr>
        <w:t>direcci</w:t>
      </w:r>
      <w:proofErr w:type="spellEnd"/>
      <w:r w:rsidRPr="00194C36">
        <w:rPr>
          <w:rFonts w:ascii="Arial" w:eastAsiaTheme="minorHAnsi" w:hAnsi="Arial" w:cs="Arial"/>
          <w:i/>
          <w:iCs/>
          <w:color w:val="000000"/>
          <w:kern w:val="2"/>
          <w:lang w:val="ru-RU" w:eastAsia="en-US"/>
          <w14:ligatures w14:val="standardContextual"/>
        </w:rPr>
        <w:t>ó</w:t>
      </w:r>
      <w:r w:rsidRPr="00194C36">
        <w:rPr>
          <w:rFonts w:ascii="Arial" w:eastAsiaTheme="minorHAnsi" w:hAnsi="Arial" w:cs="Arial"/>
          <w:i/>
          <w:iCs/>
          <w:color w:val="000000"/>
          <w:kern w:val="2"/>
          <w:lang w:eastAsia="en-US"/>
          <w14:ligatures w14:val="standardContextual"/>
        </w:rPr>
        <w:t>n</w:t>
      </w:r>
      <w:r w:rsidRPr="00194C36">
        <w:rPr>
          <w:rFonts w:ascii="Arial" w:eastAsiaTheme="minorHAnsi" w:hAnsi="Arial" w:cs="Arial"/>
          <w:i/>
          <w:iCs/>
          <w:color w:val="000000"/>
          <w:kern w:val="2"/>
          <w:lang w:val="ru-RU" w:eastAsia="en-US"/>
          <w14:ligatures w14:val="standardContextual"/>
        </w:rPr>
        <w:t xml:space="preserve"> (</w:t>
      </w:r>
      <w:r w:rsidRPr="00194C36">
        <w:rPr>
          <w:rFonts w:ascii="Arial" w:eastAsiaTheme="minorHAnsi" w:hAnsi="Arial" w:cs="Arial"/>
          <w:i/>
          <w:iCs/>
          <w:color w:val="000000"/>
          <w:kern w:val="2"/>
          <w:lang w:eastAsia="en-US"/>
          <w14:ligatures w14:val="standardContextual"/>
        </w:rPr>
        <w:t>TSGD</w:t>
      </w:r>
      <w:r w:rsidRPr="00194C36">
        <w:rPr>
          <w:rFonts w:ascii="Arial" w:eastAsiaTheme="minorHAnsi" w:hAnsi="Arial" w:cs="Arial"/>
          <w:i/>
          <w:iCs/>
          <w:color w:val="000000"/>
          <w:kern w:val="2"/>
          <w:lang w:val="ru-RU" w:eastAsia="en-US"/>
          <w14:ligatures w14:val="standardContextual"/>
        </w:rPr>
        <w:t>)</w:t>
      </w:r>
      <w:r w:rsidRPr="00194C36">
        <w:rPr>
          <w:rFonts w:ascii="Arial" w:eastAsiaTheme="minorHAnsi" w:hAnsi="Arial" w:cs="Arial"/>
          <w:color w:val="000000"/>
          <w:kern w:val="2"/>
          <w:lang w:val="ru-RU" w:eastAsia="en-US"/>
          <w14:ligatures w14:val="standardContextual"/>
        </w:rPr>
        <w:t>]: Постановочные материалы учебного курса факультета прикладной математики — процессов управления Санкт-Петербургского государственного университета. Санкт-Петербург.</w:t>
      </w:r>
    </w:p>
    <w:bookmarkEnd w:id="22"/>
    <w:bookmarkEnd w:id="26"/>
    <w:p w14:paraId="05D2F0AF" w14:textId="77777777" w:rsidR="00194C36" w:rsidRPr="00194C36" w:rsidRDefault="00194C36" w:rsidP="00983B50">
      <w:pPr>
        <w:widowControl w:val="0"/>
        <w:autoSpaceDE w:val="0"/>
        <w:autoSpaceDN w:val="0"/>
        <w:adjustRightInd w:val="0"/>
        <w:spacing w:before="100" w:beforeAutospacing="1" w:after="100" w:afterAutospacing="1" w:line="360" w:lineRule="auto"/>
        <w:ind w:left="709" w:hanging="709"/>
        <w:jc w:val="both"/>
        <w:rPr>
          <w:rFonts w:ascii="Arial" w:hAnsi="Arial" w:cs="Arial"/>
          <w:color w:val="000000"/>
          <w:lang w:eastAsia="es-CR"/>
          <w14:ligatures w14:val="standardContextual"/>
        </w:rPr>
      </w:pPr>
      <w:r w:rsidRPr="00194C36">
        <w:rPr>
          <w:rFonts w:ascii="Arial" w:hAnsi="Arial" w:cs="Arial"/>
          <w:color w:val="000000"/>
          <w:lang w:val="ru-RU"/>
          <w14:ligatures w14:val="standardContextual"/>
        </w:rPr>
        <w:t xml:space="preserve">Московский государственный </w:t>
      </w:r>
      <w:r w:rsidRPr="00194C36">
        <w:rPr>
          <w:rFonts w:ascii="Arial" w:hAnsi="Arial" w:cs="Arial"/>
          <w:color w:val="000000"/>
          <w:lang w:val="ru-RU" w:eastAsia="es-CR"/>
          <w14:ligatures w14:val="standardContextual"/>
        </w:rPr>
        <w:t>технический</w:t>
      </w:r>
      <w:r w:rsidRPr="00194C36">
        <w:rPr>
          <w:rFonts w:ascii="Arial" w:hAnsi="Arial" w:cs="Arial"/>
          <w:color w:val="000000"/>
          <w:lang w:val="ru-RU"/>
          <w14:ligatures w14:val="standardContextual"/>
        </w:rPr>
        <w:t xml:space="preserve"> университет им. </w:t>
      </w:r>
      <w:r w:rsidRPr="00194C36">
        <w:rPr>
          <w:rFonts w:ascii="Arial" w:hAnsi="Arial" w:cs="Arial"/>
          <w:color w:val="000000"/>
          <w:lang w:val="ru-RU" w:eastAsia="es-CR"/>
          <w14:ligatures w14:val="standardContextual"/>
        </w:rPr>
        <w:t xml:space="preserve">Н. Э. Баумана </w:t>
      </w:r>
      <w:r w:rsidRPr="00194C36">
        <w:rPr>
          <w:rFonts w:ascii="Arial" w:hAnsi="Arial" w:cs="Arial"/>
          <w:color w:val="000000"/>
          <w:lang w:val="ru-RU"/>
          <w14:ligatures w14:val="standardContextual"/>
        </w:rPr>
        <w:t>(МГТУ) [</w:t>
      </w:r>
      <w:r w:rsidRPr="00194C36">
        <w:rPr>
          <w:rFonts w:ascii="Arial" w:hAnsi="Arial" w:cs="Arial"/>
          <w:color w:val="000000"/>
          <w14:ligatures w14:val="standardContextual"/>
        </w:rPr>
        <w:t>Universidad</w:t>
      </w:r>
      <w:r w:rsidRPr="00194C36">
        <w:rPr>
          <w:rFonts w:ascii="Arial" w:hAnsi="Arial" w:cs="Arial"/>
          <w:color w:val="000000"/>
          <w:lang w:val="ru-RU"/>
          <w14:ligatures w14:val="standardContextual"/>
        </w:rPr>
        <w:t xml:space="preserve"> </w:t>
      </w:r>
      <w:r w:rsidRPr="00194C36">
        <w:rPr>
          <w:rFonts w:ascii="Arial" w:hAnsi="Arial" w:cs="Arial"/>
          <w:color w:val="000000"/>
          <w14:ligatures w14:val="standardContextual"/>
        </w:rPr>
        <w:t>Estatal</w:t>
      </w:r>
      <w:r w:rsidRPr="00194C36">
        <w:rPr>
          <w:rFonts w:ascii="Arial" w:hAnsi="Arial" w:cs="Arial"/>
          <w:color w:val="000000"/>
          <w:lang w:val="ru-RU"/>
          <w14:ligatures w14:val="standardContextual"/>
        </w:rPr>
        <w:t xml:space="preserve"> </w:t>
      </w:r>
      <w:r w:rsidRPr="00194C36">
        <w:rPr>
          <w:rFonts w:ascii="Arial" w:hAnsi="Arial" w:cs="Arial"/>
          <w:color w:val="000000"/>
          <w14:ligatures w14:val="standardContextual"/>
        </w:rPr>
        <w:t>T</w:t>
      </w:r>
      <w:r w:rsidRPr="00194C36">
        <w:rPr>
          <w:rFonts w:ascii="Arial" w:hAnsi="Arial" w:cs="Arial"/>
          <w:color w:val="000000"/>
          <w:lang w:val="ru-RU"/>
          <w14:ligatures w14:val="standardContextual"/>
        </w:rPr>
        <w:t>é</w:t>
      </w:r>
      <w:proofErr w:type="spellStart"/>
      <w:r w:rsidRPr="00194C36">
        <w:rPr>
          <w:rFonts w:ascii="Arial" w:hAnsi="Arial" w:cs="Arial"/>
          <w:color w:val="000000"/>
          <w14:ligatures w14:val="standardContextual"/>
        </w:rPr>
        <w:t>cnico</w:t>
      </w:r>
      <w:proofErr w:type="spellEnd"/>
      <w:r w:rsidRPr="00194C36">
        <w:rPr>
          <w:rFonts w:ascii="Arial" w:hAnsi="Arial" w:cs="Arial"/>
          <w:color w:val="000000"/>
          <w:lang w:val="ru-RU"/>
          <w14:ligatures w14:val="standardContextual"/>
        </w:rPr>
        <w:t xml:space="preserve"> </w:t>
      </w:r>
      <w:r w:rsidRPr="00194C36">
        <w:rPr>
          <w:rFonts w:ascii="Arial" w:hAnsi="Arial" w:cs="Arial"/>
          <w:color w:val="000000"/>
          <w14:ligatures w14:val="standardContextual"/>
        </w:rPr>
        <w:t>de</w:t>
      </w:r>
      <w:r w:rsidRPr="00194C36">
        <w:rPr>
          <w:rFonts w:ascii="Arial" w:hAnsi="Arial" w:cs="Arial"/>
          <w:color w:val="000000"/>
          <w:lang w:val="ru-RU"/>
          <w14:ligatures w14:val="standardContextual"/>
        </w:rPr>
        <w:t xml:space="preserve"> </w:t>
      </w:r>
      <w:proofErr w:type="spellStart"/>
      <w:r w:rsidRPr="00194C36">
        <w:rPr>
          <w:rFonts w:ascii="Arial" w:hAnsi="Arial" w:cs="Arial"/>
          <w:color w:val="000000"/>
          <w14:ligatures w14:val="standardContextual"/>
        </w:rPr>
        <w:t>Mosc</w:t>
      </w:r>
      <w:proofErr w:type="spellEnd"/>
      <w:r w:rsidRPr="00194C36">
        <w:rPr>
          <w:rFonts w:ascii="Arial" w:hAnsi="Arial" w:cs="Arial"/>
          <w:color w:val="000000"/>
          <w:lang w:val="ru-RU"/>
          <w14:ligatures w14:val="standardContextual"/>
        </w:rPr>
        <w:t xml:space="preserve">ú </w:t>
      </w:r>
      <w:r w:rsidRPr="00194C36">
        <w:rPr>
          <w:rFonts w:ascii="Arial" w:hAnsi="Arial" w:cs="Arial"/>
          <w:color w:val="000000"/>
          <w14:ligatures w14:val="standardContextual"/>
        </w:rPr>
        <w:t>B</w:t>
      </w:r>
      <w:r w:rsidRPr="00194C36">
        <w:rPr>
          <w:rFonts w:ascii="Arial" w:hAnsi="Arial" w:cs="Arial"/>
          <w:color w:val="000000"/>
          <w:lang w:val="ru-RU"/>
          <w14:ligatures w14:val="standardContextual"/>
        </w:rPr>
        <w:t>á</w:t>
      </w:r>
      <w:proofErr w:type="spellStart"/>
      <w:r w:rsidRPr="00194C36">
        <w:rPr>
          <w:rFonts w:ascii="Arial" w:hAnsi="Arial" w:cs="Arial"/>
          <w:color w:val="000000"/>
          <w14:ligatures w14:val="standardContextual"/>
        </w:rPr>
        <w:t>uman</w:t>
      </w:r>
      <w:proofErr w:type="spellEnd"/>
      <w:r w:rsidRPr="00194C36">
        <w:rPr>
          <w:rFonts w:ascii="Arial" w:hAnsi="Arial" w:cs="Arial"/>
          <w:color w:val="000000"/>
          <w:lang w:val="ru-RU"/>
          <w14:ligatures w14:val="standardContextual"/>
        </w:rPr>
        <w:t xml:space="preserve"> (</w:t>
      </w:r>
      <w:r w:rsidRPr="00194C36">
        <w:rPr>
          <w:rFonts w:ascii="Arial" w:hAnsi="Arial" w:cs="Arial"/>
          <w:color w:val="000000"/>
          <w14:ligatures w14:val="standardContextual"/>
        </w:rPr>
        <w:t>UETM</w:t>
      </w:r>
      <w:r w:rsidRPr="00194C36">
        <w:rPr>
          <w:rFonts w:ascii="Arial" w:hAnsi="Arial" w:cs="Arial"/>
          <w:color w:val="000000"/>
          <w:lang w:val="ru-RU"/>
          <w14:ligatures w14:val="standardContextual"/>
        </w:rPr>
        <w:t xml:space="preserve">)]. (2019). </w:t>
      </w:r>
      <w:r w:rsidRPr="00194C36">
        <w:rPr>
          <w:rFonts w:ascii="Arial" w:hAnsi="Arial" w:cs="Arial"/>
          <w:i/>
          <w:iCs/>
          <w:color w:val="000000"/>
          <w:lang w:val="ru-RU"/>
          <w14:ligatures w14:val="standardContextual"/>
        </w:rPr>
        <w:t xml:space="preserve">Положение о структуре и порядке процедуры оформления, хранения и размещения рабочих программ дисциплин (модулей) </w:t>
      </w:r>
      <w:r w:rsidRPr="00194C36">
        <w:rPr>
          <w:rFonts w:ascii="Arial" w:hAnsi="Arial" w:cs="Arial"/>
          <w:color w:val="000000"/>
          <w:lang w:val="ru-RU"/>
          <w14:ligatures w14:val="standardContextual"/>
        </w:rPr>
        <w:t>[</w:t>
      </w:r>
      <w:r w:rsidRPr="00194C36">
        <w:rPr>
          <w:rFonts w:ascii="Arial" w:hAnsi="Arial" w:cs="Arial"/>
          <w:color w:val="000000"/>
          <w14:ligatures w14:val="standardContextual"/>
        </w:rPr>
        <w:t>Normativa</w:t>
      </w:r>
      <w:r w:rsidRPr="00194C36">
        <w:rPr>
          <w:rFonts w:ascii="Arial" w:hAnsi="Arial" w:cs="Arial"/>
          <w:color w:val="000000"/>
          <w:lang w:val="ru-RU"/>
          <w14:ligatures w14:val="standardContextual"/>
        </w:rPr>
        <w:t xml:space="preserve"> </w:t>
      </w:r>
      <w:r w:rsidRPr="00194C36">
        <w:rPr>
          <w:rFonts w:ascii="Arial" w:hAnsi="Arial" w:cs="Arial"/>
          <w:color w:val="000000"/>
          <w14:ligatures w14:val="standardContextual"/>
        </w:rPr>
        <w:t>para</w:t>
      </w:r>
      <w:r w:rsidRPr="00194C36">
        <w:rPr>
          <w:rFonts w:ascii="Arial" w:hAnsi="Arial" w:cs="Arial"/>
          <w:color w:val="000000"/>
          <w:lang w:val="ru-RU"/>
          <w14:ligatures w14:val="standardContextual"/>
        </w:rPr>
        <w:t xml:space="preserve"> </w:t>
      </w:r>
      <w:r w:rsidRPr="00194C36">
        <w:rPr>
          <w:rFonts w:ascii="Arial" w:hAnsi="Arial" w:cs="Arial"/>
          <w:color w:val="000000"/>
          <w14:ligatures w14:val="standardContextual"/>
        </w:rPr>
        <w:t>el</w:t>
      </w:r>
      <w:r w:rsidRPr="00194C36">
        <w:rPr>
          <w:rFonts w:ascii="Arial" w:hAnsi="Arial" w:cs="Arial"/>
          <w:color w:val="000000"/>
          <w:lang w:val="ru-RU"/>
          <w14:ligatures w14:val="standardContextual"/>
        </w:rPr>
        <w:t xml:space="preserve"> </w:t>
      </w:r>
      <w:r w:rsidRPr="00194C36">
        <w:rPr>
          <w:rFonts w:ascii="Arial" w:hAnsi="Arial" w:cs="Arial"/>
          <w:color w:val="000000"/>
          <w14:ligatures w14:val="standardContextual"/>
        </w:rPr>
        <w:t>desarrollo</w:t>
      </w:r>
      <w:r w:rsidRPr="00194C36">
        <w:rPr>
          <w:rFonts w:ascii="Arial" w:hAnsi="Arial" w:cs="Arial"/>
          <w:color w:val="000000"/>
          <w:lang w:val="ru-RU"/>
          <w14:ligatures w14:val="standardContextual"/>
        </w:rPr>
        <w:t xml:space="preserve"> </w:t>
      </w:r>
      <w:r w:rsidRPr="00194C36">
        <w:rPr>
          <w:rFonts w:ascii="Arial" w:hAnsi="Arial" w:cs="Arial"/>
          <w:color w:val="000000"/>
          <w14:ligatures w14:val="standardContextual"/>
        </w:rPr>
        <w:t>de</w:t>
      </w:r>
      <w:r w:rsidRPr="00194C36">
        <w:rPr>
          <w:rFonts w:ascii="Arial" w:hAnsi="Arial" w:cs="Arial"/>
          <w:color w:val="000000"/>
          <w:lang w:val="ru-RU"/>
          <w14:ligatures w14:val="standardContextual"/>
        </w:rPr>
        <w:t xml:space="preserve"> </w:t>
      </w:r>
      <w:r w:rsidRPr="00194C36">
        <w:rPr>
          <w:rFonts w:ascii="Arial" w:hAnsi="Arial" w:cs="Arial"/>
          <w:color w:val="000000"/>
          <w14:ligatures w14:val="standardContextual"/>
        </w:rPr>
        <w:t>un</w:t>
      </w:r>
      <w:r w:rsidRPr="00194C36">
        <w:rPr>
          <w:rFonts w:ascii="Arial" w:hAnsi="Arial" w:cs="Arial"/>
          <w:color w:val="000000"/>
          <w:lang w:val="ru-RU"/>
          <w14:ligatures w14:val="standardContextual"/>
        </w:rPr>
        <w:t xml:space="preserve"> </w:t>
      </w:r>
      <w:r w:rsidRPr="00194C36">
        <w:rPr>
          <w:rFonts w:ascii="Arial" w:hAnsi="Arial" w:cs="Arial"/>
          <w:color w:val="000000"/>
          <w14:ligatures w14:val="standardContextual"/>
        </w:rPr>
        <w:t>programa</w:t>
      </w:r>
      <w:r w:rsidRPr="00194C36">
        <w:rPr>
          <w:rFonts w:ascii="Arial" w:hAnsi="Arial" w:cs="Arial"/>
          <w:color w:val="000000"/>
          <w:lang w:val="ru-RU"/>
          <w14:ligatures w14:val="standardContextual"/>
        </w:rPr>
        <w:t xml:space="preserve"> </w:t>
      </w:r>
      <w:r w:rsidRPr="00194C36">
        <w:rPr>
          <w:rFonts w:ascii="Arial" w:hAnsi="Arial" w:cs="Arial"/>
          <w:color w:val="000000"/>
          <w14:ligatures w14:val="standardContextual"/>
        </w:rPr>
        <w:t>de</w:t>
      </w:r>
      <w:r w:rsidRPr="00194C36">
        <w:rPr>
          <w:rFonts w:ascii="Arial" w:hAnsi="Arial" w:cs="Arial"/>
          <w:color w:val="000000"/>
          <w:lang w:val="ru-RU"/>
          <w14:ligatures w14:val="standardContextual"/>
        </w:rPr>
        <w:t xml:space="preserve"> </w:t>
      </w:r>
      <w:r w:rsidRPr="00194C36">
        <w:rPr>
          <w:rFonts w:ascii="Arial" w:hAnsi="Arial" w:cs="Arial"/>
          <w:color w:val="000000"/>
          <w14:ligatures w14:val="standardContextual"/>
        </w:rPr>
        <w:t>curso</w:t>
      </w:r>
      <w:r w:rsidRPr="00194C36">
        <w:rPr>
          <w:rFonts w:ascii="Arial" w:hAnsi="Arial" w:cs="Arial"/>
          <w:color w:val="000000"/>
          <w:lang w:val="ru-RU"/>
          <w14:ligatures w14:val="standardContextual"/>
        </w:rPr>
        <w:t xml:space="preserve"> (</w:t>
      </w:r>
      <w:r w:rsidRPr="00194C36">
        <w:rPr>
          <w:rFonts w:ascii="Arial" w:hAnsi="Arial" w:cs="Arial"/>
          <w:color w:val="000000"/>
          <w14:ligatures w14:val="standardContextual"/>
        </w:rPr>
        <w:t>m</w:t>
      </w:r>
      <w:r w:rsidRPr="00194C36">
        <w:rPr>
          <w:rFonts w:ascii="Arial" w:hAnsi="Arial" w:cs="Arial"/>
          <w:color w:val="000000"/>
          <w:lang w:val="ru-RU"/>
          <w14:ligatures w14:val="standardContextual"/>
        </w:rPr>
        <w:t>ó</w:t>
      </w:r>
      <w:proofErr w:type="spellStart"/>
      <w:r w:rsidRPr="00194C36">
        <w:rPr>
          <w:rFonts w:ascii="Arial" w:hAnsi="Arial" w:cs="Arial"/>
          <w:color w:val="000000"/>
          <w14:ligatures w14:val="standardContextual"/>
        </w:rPr>
        <w:t>dulo</w:t>
      </w:r>
      <w:proofErr w:type="spellEnd"/>
      <w:r w:rsidRPr="00194C36">
        <w:rPr>
          <w:rFonts w:ascii="Arial" w:hAnsi="Arial" w:cs="Arial"/>
          <w:color w:val="000000"/>
          <w:lang w:val="ru-RU"/>
          <w14:ligatures w14:val="standardContextual"/>
        </w:rPr>
        <w:t xml:space="preserve">)].  </w:t>
      </w:r>
      <w:hyperlink r:id="rId51" w:history="1">
        <w:r w:rsidRPr="005470F2">
          <w:rPr>
            <w:rFonts w:ascii="Arial" w:hAnsi="Arial" w:cs="Arial"/>
            <w:color w:val="002060"/>
            <w:u w:val="single"/>
            <w14:ligatures w14:val="standardContextual"/>
          </w:rPr>
          <w:t>https://mf.bmstu.ru/info/uu/oop/norm_docs/norm_docs_mf_edu/docs/2020/polozhenie_rp.pdf?ysclid=m7tsvcs489898900628</w:t>
        </w:r>
      </w:hyperlink>
      <w:r w:rsidRPr="00194C36">
        <w:rPr>
          <w:rFonts w:ascii="Arial" w:hAnsi="Arial" w:cs="Arial"/>
          <w:color w:val="000000"/>
          <w14:ligatures w14:val="standardContextual"/>
        </w:rPr>
        <w:t xml:space="preserve">  </w:t>
      </w:r>
    </w:p>
    <w:p w14:paraId="08682991" w14:textId="77777777" w:rsidR="00194C36" w:rsidRPr="00194C36" w:rsidRDefault="00194C36" w:rsidP="00983B50">
      <w:pPr>
        <w:widowControl w:val="0"/>
        <w:autoSpaceDE w:val="0"/>
        <w:autoSpaceDN w:val="0"/>
        <w:adjustRightInd w:val="0"/>
        <w:spacing w:before="100" w:beforeAutospacing="1" w:after="100" w:afterAutospacing="1" w:line="360" w:lineRule="auto"/>
        <w:ind w:left="709" w:hanging="709"/>
        <w:jc w:val="both"/>
        <w:rPr>
          <w:rFonts w:ascii="Arial" w:hAnsi="Arial" w:cs="Arial"/>
          <w:color w:val="000000"/>
          <w:lang w:eastAsia="es-CR"/>
          <w14:ligatures w14:val="standardContextual"/>
        </w:rPr>
      </w:pPr>
    </w:p>
    <w:sectPr w:rsidR="00194C36" w:rsidRPr="00194C36" w:rsidSect="0038500A">
      <w:headerReference w:type="even" r:id="rId52"/>
      <w:headerReference w:type="default" r:id="rId53"/>
      <w:footerReference w:type="even" r:id="rId54"/>
      <w:footerReference w:type="default" r:id="rId55"/>
      <w:headerReference w:type="first" r:id="rId56"/>
      <w:footerReference w:type="first" r:id="rId57"/>
      <w:pgSz w:w="12240" w:h="15840"/>
      <w:pgMar w:top="1417" w:right="1750" w:bottom="1411" w:left="1701" w:header="708" w:footer="708" w:gutter="0"/>
      <w:pgNumType w:start="3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6EBA6" w14:textId="77777777" w:rsidR="00EB58F3" w:rsidRDefault="00EB58F3" w:rsidP="003C3F58">
      <w:r>
        <w:separator/>
      </w:r>
    </w:p>
  </w:endnote>
  <w:endnote w:type="continuationSeparator" w:id="0">
    <w:p w14:paraId="57F1F38D" w14:textId="77777777" w:rsidR="00EB58F3" w:rsidRDefault="00EB58F3"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altName w:val="Times"/>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F28E" w14:textId="77777777" w:rsidR="00F96D64" w:rsidRDefault="00F96D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194C36" w:rsidRPr="002E52DF" w:rsidRDefault="00194C36"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3F952F6" w14:textId="4D66581A" w:rsidR="00194C36" w:rsidRDefault="00194C36" w:rsidP="006E5605">
        <w:pPr>
          <w:pStyle w:val="Sinespaciado"/>
          <w:jc w:val="center"/>
          <w:rPr>
            <w:rFonts w:ascii="Agency FB" w:hAnsi="Agency FB"/>
            <w:b/>
            <w:color w:val="E36C0A"/>
          </w:rPr>
        </w:pPr>
        <w:r w:rsidRPr="00463B5B">
          <w:rPr>
            <w:rFonts w:ascii="Agency FB" w:hAnsi="Agency FB"/>
            <w:b/>
            <w:color w:val="E36C0A"/>
          </w:rPr>
          <w:t>Calidad de los programas de cursos en postgrados y carreras universitarias de Centroamérica y República Dominicana (2016-2024)</w:t>
        </w:r>
      </w:p>
      <w:p w14:paraId="2EF245E8" w14:textId="742E3984" w:rsidR="00194C36" w:rsidRPr="00B24FE6" w:rsidRDefault="00194C36" w:rsidP="0020679D">
        <w:pPr>
          <w:pStyle w:val="Sinespaciado"/>
          <w:jc w:val="center"/>
          <w:rPr>
            <w:rFonts w:ascii="Agency FB" w:hAnsi="Agency FB"/>
            <w:color w:val="E36C0A"/>
            <w:lang w:val="en-US"/>
          </w:rPr>
        </w:pPr>
        <w:r w:rsidRPr="00B24FE6">
          <w:rPr>
            <w:rFonts w:ascii="Agency FB" w:hAnsi="Agency FB"/>
            <w:color w:val="E36C0A"/>
            <w:lang w:val="en-US"/>
          </w:rPr>
          <w:t>Andrei-N. Fedorov-Fedorov</w:t>
        </w:r>
      </w:p>
      <w:p w14:paraId="1F70B1D2" w14:textId="31CE36B2" w:rsidR="00194C36" w:rsidRPr="002E6183" w:rsidRDefault="00194C36" w:rsidP="0020679D">
        <w:pPr>
          <w:pStyle w:val="Sinespaciado"/>
          <w:jc w:val="center"/>
          <w:rPr>
            <w:rFonts w:ascii="Agency FB" w:hAnsi="Agency FB"/>
            <w:color w:val="002060"/>
            <w:lang w:val="en-US"/>
          </w:rPr>
        </w:pPr>
        <w:r w:rsidRPr="002E6183">
          <w:rPr>
            <w:rFonts w:ascii="Agency FB" w:hAnsi="Agency FB"/>
            <w:color w:val="E36C0A"/>
            <w:lang w:val="en-US"/>
          </w:rPr>
          <w:t xml:space="preserve">DOI: </w:t>
        </w:r>
        <w:hyperlink r:id="rId1" w:history="1">
          <w:r w:rsidRPr="002E6183">
            <w:rPr>
              <w:rStyle w:val="Hipervnculo"/>
              <w:rFonts w:ascii="Agency FB" w:hAnsi="Agency FB"/>
              <w:color w:val="002060"/>
              <w:lang w:val="en-US"/>
            </w:rPr>
            <w:t>http://dx.doi.org/10.22458/caes.v16i1.5571</w:t>
          </w:r>
        </w:hyperlink>
      </w:p>
      <w:p w14:paraId="416290C8" w14:textId="17170D1B" w:rsidR="00194C36" w:rsidRPr="0066186F" w:rsidRDefault="00194C36" w:rsidP="0020679D">
        <w:pPr>
          <w:pStyle w:val="Sinespaciado"/>
          <w:tabs>
            <w:tab w:val="center" w:pos="4929"/>
            <w:tab w:val="left" w:pos="8661"/>
          </w:tabs>
          <w:rPr>
            <w:rFonts w:ascii="Agency FB" w:hAnsi="Agency FB"/>
            <w:color w:val="E36C0A"/>
          </w:rPr>
        </w:pPr>
        <w:r w:rsidRPr="002E6183">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194C36" w:rsidRPr="0066186F" w:rsidRDefault="00194C36"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194C36" w:rsidRDefault="00194C36">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194C36" w:rsidRPr="0020679D" w:rsidRDefault="00194C36">
    <w:pPr>
      <w:pStyle w:val="Piedepgina"/>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E685" w14:textId="77777777" w:rsidR="00F96D64" w:rsidRDefault="00F96D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F591C" w14:textId="77777777" w:rsidR="00EB58F3" w:rsidRDefault="00EB58F3" w:rsidP="003C3F58">
      <w:r>
        <w:separator/>
      </w:r>
    </w:p>
  </w:footnote>
  <w:footnote w:type="continuationSeparator" w:id="0">
    <w:p w14:paraId="501A5E79" w14:textId="77777777" w:rsidR="00EB58F3" w:rsidRDefault="00EB58F3" w:rsidP="003C3F58">
      <w:r>
        <w:continuationSeparator/>
      </w:r>
    </w:p>
  </w:footnote>
  <w:footnote w:id="1">
    <w:p w14:paraId="7F83BD30" w14:textId="5D3C999A" w:rsidR="00194C36" w:rsidRPr="00F2500C" w:rsidRDefault="00194C36" w:rsidP="00944B72">
      <w:pPr>
        <w:spacing w:line="240" w:lineRule="atLeast"/>
        <w:jc w:val="both"/>
        <w:rPr>
          <w:rFonts w:ascii="Arial" w:eastAsiaTheme="minorHAnsi" w:hAnsi="Arial" w:cs="Arial"/>
          <w:sz w:val="20"/>
          <w:szCs w:val="20"/>
          <w:lang w:val="es-MX" w:eastAsia="es-PE"/>
        </w:rPr>
      </w:pPr>
      <w:r w:rsidRPr="00F2500C">
        <w:rPr>
          <w:rStyle w:val="Refdenotaalpie"/>
          <w:rFonts w:ascii="Arial" w:eastAsia="Arial" w:hAnsi="Arial" w:cs="Arial"/>
          <w:sz w:val="20"/>
          <w:szCs w:val="20"/>
        </w:rPr>
        <w:footnoteRef/>
      </w:r>
      <w:r w:rsidRPr="00F2500C">
        <w:rPr>
          <w:rFonts w:ascii="Arial" w:hAnsi="Arial" w:cs="Arial"/>
          <w:sz w:val="20"/>
          <w:szCs w:val="20"/>
        </w:rPr>
        <w:t xml:space="preserve"> Desde el 2000 se desempeña como asesor académico en el Instituto Tecnológico de Costa Rica; doctor en educación, máster en currículum, especialista en psicología práctica educativa, licenciado en la enseñanza de </w:t>
      </w:r>
      <w:r>
        <w:rPr>
          <w:rFonts w:ascii="Arial" w:hAnsi="Arial" w:cs="Arial"/>
          <w:sz w:val="20"/>
          <w:szCs w:val="20"/>
        </w:rPr>
        <w:t xml:space="preserve">la </w:t>
      </w:r>
      <w:r w:rsidRPr="00F2500C">
        <w:rPr>
          <w:rFonts w:ascii="Arial" w:hAnsi="Arial" w:cs="Arial"/>
          <w:sz w:val="20"/>
          <w:szCs w:val="20"/>
        </w:rPr>
        <w:t xml:space="preserve">biología y </w:t>
      </w:r>
      <w:r>
        <w:rPr>
          <w:rFonts w:ascii="Arial" w:hAnsi="Arial" w:cs="Arial"/>
          <w:sz w:val="20"/>
          <w:szCs w:val="20"/>
        </w:rPr>
        <w:t xml:space="preserve">la </w:t>
      </w:r>
      <w:r w:rsidRPr="00F2500C">
        <w:rPr>
          <w:rFonts w:ascii="Arial" w:hAnsi="Arial" w:cs="Arial"/>
          <w:sz w:val="20"/>
          <w:szCs w:val="20"/>
        </w:rPr>
        <w:t xml:space="preserve">química. </w:t>
      </w:r>
      <w:bookmarkStart w:id="5" w:name="_Hlk167366216"/>
      <w:bookmarkStart w:id="6" w:name="_Hlk167366217"/>
      <w:bookmarkStart w:id="7" w:name="_Hlk167366221"/>
      <w:bookmarkStart w:id="8" w:name="_Hlk167366222"/>
      <w:bookmarkStart w:id="9" w:name="_Hlk167366226"/>
      <w:bookmarkStart w:id="10" w:name="_Hlk167366227"/>
      <w:bookmarkStart w:id="11" w:name="_Hlk167366229"/>
      <w:bookmarkStart w:id="12" w:name="_Hlk167366230"/>
      <w:r w:rsidRPr="00F2500C">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5"/>
      <w:bookmarkEnd w:id="6"/>
      <w:bookmarkEnd w:id="7"/>
      <w:bookmarkEnd w:id="8"/>
      <w:bookmarkEnd w:id="9"/>
      <w:bookmarkEnd w:id="10"/>
      <w:bookmarkEnd w:id="11"/>
      <w:bookmarkEnd w:id="12"/>
      <w:r w:rsidRPr="00F2500C">
        <w:rPr>
          <w:rFonts w:ascii="Arial" w:hAnsi="Arial" w:cs="Arial"/>
          <w:color w:val="000000" w:themeColor="text1"/>
          <w:sz w:val="20"/>
          <w:szCs w:val="20"/>
        </w:rPr>
        <w:t xml:space="preserve"> </w:t>
      </w:r>
      <w:r w:rsidRPr="000F59E5">
        <w:rPr>
          <w:rFonts w:ascii="Arial" w:hAnsi="Arial" w:cs="Arial"/>
          <w:color w:val="002060"/>
          <w:sz w:val="20"/>
          <w:szCs w:val="20"/>
          <w:u w:val="single"/>
        </w:rPr>
        <w:t>https://orcid.org/0000-0001-7679-2321</w:t>
      </w:r>
    </w:p>
  </w:footnote>
  <w:footnote w:id="2">
    <w:p w14:paraId="6CE59F6A" w14:textId="139B8A87" w:rsidR="00194C36" w:rsidRPr="004728C0" w:rsidRDefault="00194C36" w:rsidP="00194C36">
      <w:pPr>
        <w:pStyle w:val="Textonotapie"/>
        <w:rPr>
          <w:rFonts w:ascii="Arial" w:hAnsi="Arial" w:cs="Arial"/>
        </w:rPr>
      </w:pPr>
      <w:r w:rsidRPr="004728C0">
        <w:rPr>
          <w:rStyle w:val="Refdenotaalpie"/>
          <w:rFonts w:ascii="Arial" w:hAnsi="Arial" w:cs="Arial"/>
        </w:rPr>
        <w:footnoteRef/>
      </w:r>
      <w:r w:rsidRPr="004728C0">
        <w:rPr>
          <w:rFonts w:ascii="Arial" w:hAnsi="Arial" w:cs="Arial"/>
        </w:rPr>
        <w:t xml:space="preserve"> </w:t>
      </w:r>
      <w:r w:rsidRPr="004728C0">
        <w:rPr>
          <w:rFonts w:ascii="Arial" w:hAnsi="Arial" w:cs="Arial"/>
          <w:lang w:eastAsia="es-CR"/>
        </w:rPr>
        <w:t>Agencia Centroamericana de Acreditación de Postgrado</w:t>
      </w:r>
      <w:r w:rsidR="004728C0">
        <w:rPr>
          <w:rFonts w:ascii="Arial" w:hAnsi="Arial" w:cs="Arial"/>
          <w:lang w:eastAsia="es-CR"/>
        </w:rPr>
        <w:t xml:space="preserve"> (ACAP)</w:t>
      </w:r>
      <w:r w:rsidRPr="004728C0">
        <w:rPr>
          <w:rFonts w:ascii="Arial" w:hAnsi="Arial" w:cs="Arial"/>
        </w:rPr>
        <w:t>.</w:t>
      </w:r>
    </w:p>
  </w:footnote>
  <w:footnote w:id="3">
    <w:p w14:paraId="40219C32" w14:textId="77777777" w:rsidR="00194C36" w:rsidRPr="002D3410" w:rsidRDefault="00194C36" w:rsidP="00194C36">
      <w:pPr>
        <w:pStyle w:val="Textonotapie"/>
        <w:jc w:val="both"/>
        <w:rPr>
          <w:rFonts w:ascii="Arial" w:hAnsi="Arial" w:cs="Arial"/>
        </w:rPr>
      </w:pPr>
      <w:r w:rsidRPr="002D3410">
        <w:rPr>
          <w:rStyle w:val="Refdenotaalpie"/>
          <w:rFonts w:ascii="Arial" w:hAnsi="Arial" w:cs="Arial"/>
        </w:rPr>
        <w:footnoteRef/>
      </w:r>
      <w:r w:rsidRPr="002D3410">
        <w:rPr>
          <w:rFonts w:ascii="Arial" w:hAnsi="Arial" w:cs="Arial"/>
        </w:rPr>
        <w:t xml:space="preserve"> En este artículo, los vocablos asignatura, curso, disciplina, actividad académica se usan como sinónimos de manera intercambiable.</w:t>
      </w:r>
    </w:p>
  </w:footnote>
  <w:footnote w:id="4">
    <w:p w14:paraId="6471F936" w14:textId="77777777" w:rsidR="00194C36" w:rsidRPr="006577A9" w:rsidRDefault="00194C36" w:rsidP="006577A9">
      <w:pPr>
        <w:pStyle w:val="Textonotapie"/>
        <w:jc w:val="both"/>
        <w:rPr>
          <w:rFonts w:ascii="Arial" w:hAnsi="Arial" w:cs="Arial"/>
        </w:rPr>
      </w:pPr>
      <w:r w:rsidRPr="006577A9">
        <w:rPr>
          <w:rStyle w:val="Refdenotaalpie"/>
          <w:rFonts w:ascii="Arial" w:hAnsi="Arial" w:cs="Arial"/>
        </w:rPr>
        <w:footnoteRef/>
      </w:r>
      <w:r w:rsidRPr="006577A9">
        <w:rPr>
          <w:rFonts w:ascii="Arial" w:hAnsi="Arial" w:cs="Arial"/>
        </w:rPr>
        <w:t xml:space="preserve"> AAPIA – Agencia de Acreditación de Programas de Ingeniería y de Arquitectura. ACAAI – Agencia Centroamericana de Acreditación de Programas de Arquitectura y de Ingeniería.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508F" w14:textId="77777777" w:rsidR="00F96D64" w:rsidRDefault="00F96D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1686182D" w:rsidR="00194C36" w:rsidRPr="00B344FA" w:rsidRDefault="00194C36" w:rsidP="008A1766">
    <w:pPr>
      <w:pStyle w:val="Sinespaciado"/>
      <w:jc w:val="center"/>
      <w:rPr>
        <w:rFonts w:ascii="Agency FB" w:hAnsi="Agency FB"/>
        <w:color w:val="E36C0A"/>
      </w:rPr>
    </w:pPr>
    <w:bookmarkStart w:id="27" w:name="_Hlk151106753"/>
    <w:r w:rsidRPr="00B344FA">
      <w:rPr>
        <w:rFonts w:ascii="Agency FB" w:hAnsi="Agency FB"/>
        <w:color w:val="E36C0A"/>
      </w:rPr>
      <w:t>REVISTA ELECTRÓNICA CALIDAD EN LA EDUCACIÓN SUPERIOR ISSN: 1659-4703, VOL. 16(</w:t>
    </w:r>
    <w:r>
      <w:rPr>
        <w:rFonts w:ascii="Agency FB" w:hAnsi="Agency FB"/>
        <w:color w:val="E36C0A"/>
      </w:rPr>
      <w:t>1</w:t>
    </w:r>
    <w:r w:rsidRPr="00B344FA">
      <w:rPr>
        <w:rFonts w:ascii="Agency FB" w:hAnsi="Agency FB"/>
        <w:color w:val="E36C0A"/>
      </w:rPr>
      <w:t>) ENERO-MAYO,2025:</w:t>
    </w:r>
    <w:r>
      <w:rPr>
        <w:rFonts w:ascii="Agency FB" w:hAnsi="Agency FB"/>
        <w:color w:val="E36C0A"/>
      </w:rPr>
      <w:t xml:space="preserve"> 330-</w:t>
    </w:r>
    <w:r w:rsidR="00F96D64">
      <w:rPr>
        <w:rFonts w:ascii="Agency FB" w:hAnsi="Agency FB"/>
        <w:color w:val="E36C0A"/>
      </w:rPr>
      <w:t>375</w:t>
    </w:r>
  </w:p>
  <w:p w14:paraId="505074AE" w14:textId="4D68327B" w:rsidR="00194C36" w:rsidRPr="00FE0969" w:rsidRDefault="00194C36"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194C36" w:rsidRPr="0081623B" w:rsidRDefault="00EB58F3" w:rsidP="00A82B98">
    <w:pPr>
      <w:pStyle w:val="Sinespaciado"/>
      <w:jc w:val="center"/>
      <w:rPr>
        <w:rFonts w:ascii="Agency FB" w:hAnsi="Agency FB"/>
        <w:color w:val="E36C0A"/>
      </w:rPr>
    </w:pPr>
    <w:hyperlink r:id="rId2" w:history="1">
      <w:r w:rsidR="00194C36" w:rsidRPr="0081623B">
        <w:rPr>
          <w:color w:val="E36C0A"/>
        </w:rPr>
        <w:t>http://revistas.uned.ac.cr./index.php/revistacalidad</w:t>
      </w:r>
    </w:hyperlink>
  </w:p>
  <w:p w14:paraId="3F557B39" w14:textId="77777777" w:rsidR="00194C36" w:rsidRPr="0081623B" w:rsidRDefault="00194C36"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194C36" w:rsidRDefault="00194C36"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27"/>
  <w:p w14:paraId="65D9EF25" w14:textId="77777777" w:rsidR="00194C36" w:rsidRDefault="00194C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16169" w14:textId="77777777" w:rsidR="00F96D64" w:rsidRDefault="00F96D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A45"/>
    <w:rsid w:val="000032FD"/>
    <w:rsid w:val="00006F80"/>
    <w:rsid w:val="000070BC"/>
    <w:rsid w:val="000079D2"/>
    <w:rsid w:val="00014278"/>
    <w:rsid w:val="00015D9E"/>
    <w:rsid w:val="00016045"/>
    <w:rsid w:val="0001748B"/>
    <w:rsid w:val="0001780B"/>
    <w:rsid w:val="00017E6D"/>
    <w:rsid w:val="0002238C"/>
    <w:rsid w:val="00024251"/>
    <w:rsid w:val="00025A7E"/>
    <w:rsid w:val="00026707"/>
    <w:rsid w:val="0003520A"/>
    <w:rsid w:val="0003632A"/>
    <w:rsid w:val="00036860"/>
    <w:rsid w:val="00041B5C"/>
    <w:rsid w:val="00041F99"/>
    <w:rsid w:val="00046D6E"/>
    <w:rsid w:val="0005000E"/>
    <w:rsid w:val="00050CBC"/>
    <w:rsid w:val="00051E67"/>
    <w:rsid w:val="000534BC"/>
    <w:rsid w:val="00053936"/>
    <w:rsid w:val="00053E75"/>
    <w:rsid w:val="0005594E"/>
    <w:rsid w:val="00057376"/>
    <w:rsid w:val="00057A12"/>
    <w:rsid w:val="0006064F"/>
    <w:rsid w:val="00061C1E"/>
    <w:rsid w:val="00063B82"/>
    <w:rsid w:val="0007083E"/>
    <w:rsid w:val="000720BF"/>
    <w:rsid w:val="00073695"/>
    <w:rsid w:val="00074001"/>
    <w:rsid w:val="000749E7"/>
    <w:rsid w:val="00075680"/>
    <w:rsid w:val="00076624"/>
    <w:rsid w:val="00081189"/>
    <w:rsid w:val="00081EA1"/>
    <w:rsid w:val="00082FCE"/>
    <w:rsid w:val="00083198"/>
    <w:rsid w:val="00084C26"/>
    <w:rsid w:val="00086FA0"/>
    <w:rsid w:val="00091331"/>
    <w:rsid w:val="00091D68"/>
    <w:rsid w:val="00095A07"/>
    <w:rsid w:val="00097C08"/>
    <w:rsid w:val="00097DE7"/>
    <w:rsid w:val="000A111C"/>
    <w:rsid w:val="000A1290"/>
    <w:rsid w:val="000A227F"/>
    <w:rsid w:val="000A3A9F"/>
    <w:rsid w:val="000A6D9A"/>
    <w:rsid w:val="000A7E22"/>
    <w:rsid w:val="000B7151"/>
    <w:rsid w:val="000B7446"/>
    <w:rsid w:val="000C08B0"/>
    <w:rsid w:val="000C1371"/>
    <w:rsid w:val="000C680B"/>
    <w:rsid w:val="000C7451"/>
    <w:rsid w:val="000D1334"/>
    <w:rsid w:val="000D144D"/>
    <w:rsid w:val="000D1F91"/>
    <w:rsid w:val="000D2567"/>
    <w:rsid w:val="000D296F"/>
    <w:rsid w:val="000D44E1"/>
    <w:rsid w:val="000D5935"/>
    <w:rsid w:val="000D6CBD"/>
    <w:rsid w:val="000D6E20"/>
    <w:rsid w:val="000D7954"/>
    <w:rsid w:val="000E184A"/>
    <w:rsid w:val="000E31F9"/>
    <w:rsid w:val="000E320A"/>
    <w:rsid w:val="000E4253"/>
    <w:rsid w:val="000E4F1A"/>
    <w:rsid w:val="000E5FA6"/>
    <w:rsid w:val="000E7A28"/>
    <w:rsid w:val="000F1259"/>
    <w:rsid w:val="000F28A9"/>
    <w:rsid w:val="000F2B5D"/>
    <w:rsid w:val="000F393F"/>
    <w:rsid w:val="000F59E5"/>
    <w:rsid w:val="000F61B7"/>
    <w:rsid w:val="00101707"/>
    <w:rsid w:val="00102586"/>
    <w:rsid w:val="00104E6F"/>
    <w:rsid w:val="00106270"/>
    <w:rsid w:val="00107071"/>
    <w:rsid w:val="00107EBF"/>
    <w:rsid w:val="00111083"/>
    <w:rsid w:val="00116616"/>
    <w:rsid w:val="00116C20"/>
    <w:rsid w:val="00120219"/>
    <w:rsid w:val="001207A6"/>
    <w:rsid w:val="001234AE"/>
    <w:rsid w:val="00124E5F"/>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1CA2"/>
    <w:rsid w:val="00152545"/>
    <w:rsid w:val="00152C27"/>
    <w:rsid w:val="001561AF"/>
    <w:rsid w:val="00156C8F"/>
    <w:rsid w:val="00160030"/>
    <w:rsid w:val="001624E8"/>
    <w:rsid w:val="001650EE"/>
    <w:rsid w:val="001749A5"/>
    <w:rsid w:val="00174B0E"/>
    <w:rsid w:val="0017598B"/>
    <w:rsid w:val="00175BE9"/>
    <w:rsid w:val="00176139"/>
    <w:rsid w:val="00181457"/>
    <w:rsid w:val="001836F5"/>
    <w:rsid w:val="00183ACC"/>
    <w:rsid w:val="00184CA0"/>
    <w:rsid w:val="001850F9"/>
    <w:rsid w:val="001862C7"/>
    <w:rsid w:val="00190212"/>
    <w:rsid w:val="00190DE8"/>
    <w:rsid w:val="001910DA"/>
    <w:rsid w:val="00191751"/>
    <w:rsid w:val="001918F2"/>
    <w:rsid w:val="00192C9E"/>
    <w:rsid w:val="00193AFC"/>
    <w:rsid w:val="00193DA2"/>
    <w:rsid w:val="00194C36"/>
    <w:rsid w:val="001951A4"/>
    <w:rsid w:val="001A0561"/>
    <w:rsid w:val="001A43CA"/>
    <w:rsid w:val="001A521A"/>
    <w:rsid w:val="001A5BBC"/>
    <w:rsid w:val="001A5FB1"/>
    <w:rsid w:val="001A69C6"/>
    <w:rsid w:val="001A6A7E"/>
    <w:rsid w:val="001B1F0E"/>
    <w:rsid w:val="001B2038"/>
    <w:rsid w:val="001B2F02"/>
    <w:rsid w:val="001B33FD"/>
    <w:rsid w:val="001B38E2"/>
    <w:rsid w:val="001B49A7"/>
    <w:rsid w:val="001B52E9"/>
    <w:rsid w:val="001B740D"/>
    <w:rsid w:val="001C017C"/>
    <w:rsid w:val="001C0FDB"/>
    <w:rsid w:val="001C395C"/>
    <w:rsid w:val="001C77F9"/>
    <w:rsid w:val="001D06ED"/>
    <w:rsid w:val="001D0E42"/>
    <w:rsid w:val="001D19BA"/>
    <w:rsid w:val="001D2A22"/>
    <w:rsid w:val="001D437A"/>
    <w:rsid w:val="001E202F"/>
    <w:rsid w:val="001E2221"/>
    <w:rsid w:val="001E34E7"/>
    <w:rsid w:val="001E5A1C"/>
    <w:rsid w:val="001E5DA2"/>
    <w:rsid w:val="001F018B"/>
    <w:rsid w:val="001F1C42"/>
    <w:rsid w:val="001F2282"/>
    <w:rsid w:val="001F308D"/>
    <w:rsid w:val="001F4C2D"/>
    <w:rsid w:val="001F69CF"/>
    <w:rsid w:val="0020225D"/>
    <w:rsid w:val="00202760"/>
    <w:rsid w:val="002033B3"/>
    <w:rsid w:val="0020679D"/>
    <w:rsid w:val="00211B63"/>
    <w:rsid w:val="00212AFB"/>
    <w:rsid w:val="002144FC"/>
    <w:rsid w:val="0021492A"/>
    <w:rsid w:val="00215374"/>
    <w:rsid w:val="002205F4"/>
    <w:rsid w:val="00220D72"/>
    <w:rsid w:val="00224C62"/>
    <w:rsid w:val="002258EE"/>
    <w:rsid w:val="00226640"/>
    <w:rsid w:val="00226CC3"/>
    <w:rsid w:val="00230309"/>
    <w:rsid w:val="00231519"/>
    <w:rsid w:val="00233067"/>
    <w:rsid w:val="00233172"/>
    <w:rsid w:val="002358E2"/>
    <w:rsid w:val="00236788"/>
    <w:rsid w:val="00240604"/>
    <w:rsid w:val="00240D80"/>
    <w:rsid w:val="00241400"/>
    <w:rsid w:val="00245097"/>
    <w:rsid w:val="00247C59"/>
    <w:rsid w:val="002533F2"/>
    <w:rsid w:val="002539E8"/>
    <w:rsid w:val="00253E0B"/>
    <w:rsid w:val="0025410D"/>
    <w:rsid w:val="0025487F"/>
    <w:rsid w:val="0025499F"/>
    <w:rsid w:val="00255248"/>
    <w:rsid w:val="0026094D"/>
    <w:rsid w:val="00260C2A"/>
    <w:rsid w:val="002639F5"/>
    <w:rsid w:val="002639FE"/>
    <w:rsid w:val="002657AB"/>
    <w:rsid w:val="00270225"/>
    <w:rsid w:val="00270F16"/>
    <w:rsid w:val="002719BB"/>
    <w:rsid w:val="00273226"/>
    <w:rsid w:val="002742B4"/>
    <w:rsid w:val="00274740"/>
    <w:rsid w:val="00274C76"/>
    <w:rsid w:val="00275FC3"/>
    <w:rsid w:val="00280261"/>
    <w:rsid w:val="0028058F"/>
    <w:rsid w:val="00281E2B"/>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029"/>
    <w:rsid w:val="002D21CD"/>
    <w:rsid w:val="002D30E6"/>
    <w:rsid w:val="002D3410"/>
    <w:rsid w:val="002D63B3"/>
    <w:rsid w:val="002D7B15"/>
    <w:rsid w:val="002D7BA5"/>
    <w:rsid w:val="002D7FA0"/>
    <w:rsid w:val="002E0F85"/>
    <w:rsid w:val="002E447F"/>
    <w:rsid w:val="002E48E2"/>
    <w:rsid w:val="002E52DF"/>
    <w:rsid w:val="002E6183"/>
    <w:rsid w:val="002E68FB"/>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257E"/>
    <w:rsid w:val="00323B2C"/>
    <w:rsid w:val="00323EC0"/>
    <w:rsid w:val="00326D5D"/>
    <w:rsid w:val="003305D5"/>
    <w:rsid w:val="00331067"/>
    <w:rsid w:val="00331E99"/>
    <w:rsid w:val="00333698"/>
    <w:rsid w:val="00335C13"/>
    <w:rsid w:val="0033689E"/>
    <w:rsid w:val="00336BAC"/>
    <w:rsid w:val="00337BA8"/>
    <w:rsid w:val="00337BFF"/>
    <w:rsid w:val="00340ED9"/>
    <w:rsid w:val="00342683"/>
    <w:rsid w:val="0034275A"/>
    <w:rsid w:val="00345C30"/>
    <w:rsid w:val="00346E6A"/>
    <w:rsid w:val="00347892"/>
    <w:rsid w:val="0035096D"/>
    <w:rsid w:val="00352916"/>
    <w:rsid w:val="00352BEC"/>
    <w:rsid w:val="003534F4"/>
    <w:rsid w:val="00356100"/>
    <w:rsid w:val="00356311"/>
    <w:rsid w:val="003569DD"/>
    <w:rsid w:val="00356BC7"/>
    <w:rsid w:val="003570BE"/>
    <w:rsid w:val="00357FE9"/>
    <w:rsid w:val="0036277B"/>
    <w:rsid w:val="0036524A"/>
    <w:rsid w:val="0036573A"/>
    <w:rsid w:val="00365ACA"/>
    <w:rsid w:val="003676E3"/>
    <w:rsid w:val="003740EE"/>
    <w:rsid w:val="00376A84"/>
    <w:rsid w:val="003777DF"/>
    <w:rsid w:val="003800B4"/>
    <w:rsid w:val="00381165"/>
    <w:rsid w:val="0038147B"/>
    <w:rsid w:val="00384F2B"/>
    <w:rsid w:val="0038500A"/>
    <w:rsid w:val="003871D4"/>
    <w:rsid w:val="00396255"/>
    <w:rsid w:val="00397F3C"/>
    <w:rsid w:val="003A3CA0"/>
    <w:rsid w:val="003A57EF"/>
    <w:rsid w:val="003A6498"/>
    <w:rsid w:val="003A67D3"/>
    <w:rsid w:val="003A6B4B"/>
    <w:rsid w:val="003A6C5E"/>
    <w:rsid w:val="003B1799"/>
    <w:rsid w:val="003B19CC"/>
    <w:rsid w:val="003B2391"/>
    <w:rsid w:val="003B2D18"/>
    <w:rsid w:val="003B2EA3"/>
    <w:rsid w:val="003B3C3E"/>
    <w:rsid w:val="003B4896"/>
    <w:rsid w:val="003B4B60"/>
    <w:rsid w:val="003B6BFD"/>
    <w:rsid w:val="003B7E8E"/>
    <w:rsid w:val="003C1C3D"/>
    <w:rsid w:val="003C3F29"/>
    <w:rsid w:val="003C3F58"/>
    <w:rsid w:val="003C566D"/>
    <w:rsid w:val="003C6426"/>
    <w:rsid w:val="003C64F3"/>
    <w:rsid w:val="003C740F"/>
    <w:rsid w:val="003D0DC8"/>
    <w:rsid w:val="003D4A9E"/>
    <w:rsid w:val="003D4B45"/>
    <w:rsid w:val="003D7613"/>
    <w:rsid w:val="003D7CFE"/>
    <w:rsid w:val="003E0A0B"/>
    <w:rsid w:val="003E0BC8"/>
    <w:rsid w:val="003E1C5F"/>
    <w:rsid w:val="003E2F0C"/>
    <w:rsid w:val="003E4CB5"/>
    <w:rsid w:val="003F0196"/>
    <w:rsid w:val="003F0481"/>
    <w:rsid w:val="003F44F5"/>
    <w:rsid w:val="003F4747"/>
    <w:rsid w:val="003F5726"/>
    <w:rsid w:val="00400EA4"/>
    <w:rsid w:val="00403008"/>
    <w:rsid w:val="00403E7A"/>
    <w:rsid w:val="00407F36"/>
    <w:rsid w:val="00410140"/>
    <w:rsid w:val="0041152C"/>
    <w:rsid w:val="004115EC"/>
    <w:rsid w:val="00413EE0"/>
    <w:rsid w:val="00415D4A"/>
    <w:rsid w:val="004168C6"/>
    <w:rsid w:val="00416F62"/>
    <w:rsid w:val="00417F4D"/>
    <w:rsid w:val="004225FB"/>
    <w:rsid w:val="0042346F"/>
    <w:rsid w:val="004246B0"/>
    <w:rsid w:val="00424D73"/>
    <w:rsid w:val="00425983"/>
    <w:rsid w:val="00425DD9"/>
    <w:rsid w:val="00427C08"/>
    <w:rsid w:val="00433155"/>
    <w:rsid w:val="004338FF"/>
    <w:rsid w:val="00434831"/>
    <w:rsid w:val="00434A64"/>
    <w:rsid w:val="004356F4"/>
    <w:rsid w:val="00435F9F"/>
    <w:rsid w:val="00436C08"/>
    <w:rsid w:val="00441C89"/>
    <w:rsid w:val="00443AA3"/>
    <w:rsid w:val="0044426D"/>
    <w:rsid w:val="00446A43"/>
    <w:rsid w:val="004478A9"/>
    <w:rsid w:val="00450ADB"/>
    <w:rsid w:val="00451552"/>
    <w:rsid w:val="004516C5"/>
    <w:rsid w:val="00456B5B"/>
    <w:rsid w:val="00457E3C"/>
    <w:rsid w:val="004602AA"/>
    <w:rsid w:val="00461563"/>
    <w:rsid w:val="004626A2"/>
    <w:rsid w:val="00462700"/>
    <w:rsid w:val="00462C8D"/>
    <w:rsid w:val="00462EDE"/>
    <w:rsid w:val="00463916"/>
    <w:rsid w:val="00463B5B"/>
    <w:rsid w:val="00464BAC"/>
    <w:rsid w:val="004675E8"/>
    <w:rsid w:val="00467754"/>
    <w:rsid w:val="00472848"/>
    <w:rsid w:val="004728C0"/>
    <w:rsid w:val="00475446"/>
    <w:rsid w:val="00477B8F"/>
    <w:rsid w:val="0048057E"/>
    <w:rsid w:val="00481BCA"/>
    <w:rsid w:val="0048384E"/>
    <w:rsid w:val="00485B80"/>
    <w:rsid w:val="004860FC"/>
    <w:rsid w:val="00491411"/>
    <w:rsid w:val="004969B8"/>
    <w:rsid w:val="00497788"/>
    <w:rsid w:val="004A03E9"/>
    <w:rsid w:val="004A5542"/>
    <w:rsid w:val="004A5A20"/>
    <w:rsid w:val="004B5ADB"/>
    <w:rsid w:val="004B7156"/>
    <w:rsid w:val="004B722B"/>
    <w:rsid w:val="004B7852"/>
    <w:rsid w:val="004B7B50"/>
    <w:rsid w:val="004C39B6"/>
    <w:rsid w:val="004C521F"/>
    <w:rsid w:val="004C6D4B"/>
    <w:rsid w:val="004D0DC5"/>
    <w:rsid w:val="004D2193"/>
    <w:rsid w:val="004D27AF"/>
    <w:rsid w:val="004D5004"/>
    <w:rsid w:val="004D65DC"/>
    <w:rsid w:val="004E18C0"/>
    <w:rsid w:val="004E231D"/>
    <w:rsid w:val="004E2C53"/>
    <w:rsid w:val="004E31E9"/>
    <w:rsid w:val="004E6B38"/>
    <w:rsid w:val="004E7499"/>
    <w:rsid w:val="004E788A"/>
    <w:rsid w:val="004F08D4"/>
    <w:rsid w:val="004F0FE0"/>
    <w:rsid w:val="004F13B1"/>
    <w:rsid w:val="004F1C1D"/>
    <w:rsid w:val="004F6716"/>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29A9"/>
    <w:rsid w:val="005442E2"/>
    <w:rsid w:val="005470F2"/>
    <w:rsid w:val="00547768"/>
    <w:rsid w:val="00550549"/>
    <w:rsid w:val="0055071D"/>
    <w:rsid w:val="00552769"/>
    <w:rsid w:val="00553DF9"/>
    <w:rsid w:val="00556450"/>
    <w:rsid w:val="00560910"/>
    <w:rsid w:val="00561B3D"/>
    <w:rsid w:val="00562168"/>
    <w:rsid w:val="005646D7"/>
    <w:rsid w:val="0057122B"/>
    <w:rsid w:val="005724B5"/>
    <w:rsid w:val="00572F5A"/>
    <w:rsid w:val="00575B26"/>
    <w:rsid w:val="0057733A"/>
    <w:rsid w:val="00580CF6"/>
    <w:rsid w:val="0058405B"/>
    <w:rsid w:val="005849F5"/>
    <w:rsid w:val="00586E8C"/>
    <w:rsid w:val="00587689"/>
    <w:rsid w:val="0059013A"/>
    <w:rsid w:val="005903F7"/>
    <w:rsid w:val="00590820"/>
    <w:rsid w:val="005916DC"/>
    <w:rsid w:val="00592E4E"/>
    <w:rsid w:val="00594F2C"/>
    <w:rsid w:val="005A009A"/>
    <w:rsid w:val="005A7216"/>
    <w:rsid w:val="005A7337"/>
    <w:rsid w:val="005B099C"/>
    <w:rsid w:val="005B14D6"/>
    <w:rsid w:val="005B5BEA"/>
    <w:rsid w:val="005C026C"/>
    <w:rsid w:val="005C08BF"/>
    <w:rsid w:val="005C13D6"/>
    <w:rsid w:val="005C37CC"/>
    <w:rsid w:val="005C45C9"/>
    <w:rsid w:val="005C543F"/>
    <w:rsid w:val="005C5940"/>
    <w:rsid w:val="005C5A64"/>
    <w:rsid w:val="005C70D0"/>
    <w:rsid w:val="005D0E06"/>
    <w:rsid w:val="005D5E43"/>
    <w:rsid w:val="005D6952"/>
    <w:rsid w:val="005E2770"/>
    <w:rsid w:val="005E4587"/>
    <w:rsid w:val="005E67D7"/>
    <w:rsid w:val="005E6DEC"/>
    <w:rsid w:val="005E6E39"/>
    <w:rsid w:val="005E7AFE"/>
    <w:rsid w:val="005F024D"/>
    <w:rsid w:val="005F04E9"/>
    <w:rsid w:val="005F0ADA"/>
    <w:rsid w:val="005F2A1A"/>
    <w:rsid w:val="005F2C40"/>
    <w:rsid w:val="005F39FA"/>
    <w:rsid w:val="005F7470"/>
    <w:rsid w:val="00600E64"/>
    <w:rsid w:val="00601D11"/>
    <w:rsid w:val="00601FE6"/>
    <w:rsid w:val="00602E79"/>
    <w:rsid w:val="00603BD0"/>
    <w:rsid w:val="006063A3"/>
    <w:rsid w:val="00607B78"/>
    <w:rsid w:val="00610B37"/>
    <w:rsid w:val="006129EB"/>
    <w:rsid w:val="006133CB"/>
    <w:rsid w:val="00614361"/>
    <w:rsid w:val="0061439D"/>
    <w:rsid w:val="00614ADE"/>
    <w:rsid w:val="006158E1"/>
    <w:rsid w:val="00616400"/>
    <w:rsid w:val="00617408"/>
    <w:rsid w:val="0062205A"/>
    <w:rsid w:val="00622E18"/>
    <w:rsid w:val="0062395B"/>
    <w:rsid w:val="0062566E"/>
    <w:rsid w:val="0062570F"/>
    <w:rsid w:val="006309AF"/>
    <w:rsid w:val="006320C8"/>
    <w:rsid w:val="00633D94"/>
    <w:rsid w:val="0063618A"/>
    <w:rsid w:val="00636E5E"/>
    <w:rsid w:val="00643A38"/>
    <w:rsid w:val="00645E24"/>
    <w:rsid w:val="006460F4"/>
    <w:rsid w:val="006512E1"/>
    <w:rsid w:val="00652F95"/>
    <w:rsid w:val="00653068"/>
    <w:rsid w:val="006532E1"/>
    <w:rsid w:val="006567AE"/>
    <w:rsid w:val="00657240"/>
    <w:rsid w:val="006577A9"/>
    <w:rsid w:val="0066002E"/>
    <w:rsid w:val="00662C16"/>
    <w:rsid w:val="00663C93"/>
    <w:rsid w:val="00664955"/>
    <w:rsid w:val="006654C2"/>
    <w:rsid w:val="0066591E"/>
    <w:rsid w:val="00666054"/>
    <w:rsid w:val="00666928"/>
    <w:rsid w:val="00667D08"/>
    <w:rsid w:val="00670264"/>
    <w:rsid w:val="0067034D"/>
    <w:rsid w:val="00672C12"/>
    <w:rsid w:val="00674530"/>
    <w:rsid w:val="0067470E"/>
    <w:rsid w:val="0067488E"/>
    <w:rsid w:val="00674942"/>
    <w:rsid w:val="006754BB"/>
    <w:rsid w:val="00676948"/>
    <w:rsid w:val="00677477"/>
    <w:rsid w:val="006775AC"/>
    <w:rsid w:val="00677CD3"/>
    <w:rsid w:val="00680113"/>
    <w:rsid w:val="0068071A"/>
    <w:rsid w:val="00680985"/>
    <w:rsid w:val="00680F98"/>
    <w:rsid w:val="00683F1B"/>
    <w:rsid w:val="00685A6B"/>
    <w:rsid w:val="0068657D"/>
    <w:rsid w:val="00686C0E"/>
    <w:rsid w:val="00686D9E"/>
    <w:rsid w:val="00687DF5"/>
    <w:rsid w:val="00687F30"/>
    <w:rsid w:val="00691090"/>
    <w:rsid w:val="006913C6"/>
    <w:rsid w:val="006918FA"/>
    <w:rsid w:val="00691A43"/>
    <w:rsid w:val="006941DB"/>
    <w:rsid w:val="00695053"/>
    <w:rsid w:val="00696B35"/>
    <w:rsid w:val="006972C6"/>
    <w:rsid w:val="00697B90"/>
    <w:rsid w:val="006A1F41"/>
    <w:rsid w:val="006A2654"/>
    <w:rsid w:val="006A454A"/>
    <w:rsid w:val="006A5E23"/>
    <w:rsid w:val="006A6322"/>
    <w:rsid w:val="006A6AEC"/>
    <w:rsid w:val="006B126A"/>
    <w:rsid w:val="006B47F4"/>
    <w:rsid w:val="006B4F06"/>
    <w:rsid w:val="006B5776"/>
    <w:rsid w:val="006B6820"/>
    <w:rsid w:val="006C01A3"/>
    <w:rsid w:val="006C170C"/>
    <w:rsid w:val="006C2D94"/>
    <w:rsid w:val="006C4E91"/>
    <w:rsid w:val="006C638B"/>
    <w:rsid w:val="006D0175"/>
    <w:rsid w:val="006D1379"/>
    <w:rsid w:val="006D1AFF"/>
    <w:rsid w:val="006D40C4"/>
    <w:rsid w:val="006D4368"/>
    <w:rsid w:val="006D73BC"/>
    <w:rsid w:val="006E2B35"/>
    <w:rsid w:val="006E3AA7"/>
    <w:rsid w:val="006E472E"/>
    <w:rsid w:val="006E5605"/>
    <w:rsid w:val="006E5984"/>
    <w:rsid w:val="006E6E7A"/>
    <w:rsid w:val="006F55E9"/>
    <w:rsid w:val="007012CF"/>
    <w:rsid w:val="007013D8"/>
    <w:rsid w:val="00704B89"/>
    <w:rsid w:val="007053EE"/>
    <w:rsid w:val="007077DC"/>
    <w:rsid w:val="00711661"/>
    <w:rsid w:val="0071178D"/>
    <w:rsid w:val="007118C9"/>
    <w:rsid w:val="0071551E"/>
    <w:rsid w:val="00717D1B"/>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6EE"/>
    <w:rsid w:val="007649A8"/>
    <w:rsid w:val="00766517"/>
    <w:rsid w:val="00766BBE"/>
    <w:rsid w:val="007675CA"/>
    <w:rsid w:val="00770D8B"/>
    <w:rsid w:val="00773219"/>
    <w:rsid w:val="007732E8"/>
    <w:rsid w:val="00773E01"/>
    <w:rsid w:val="00775FAB"/>
    <w:rsid w:val="00777310"/>
    <w:rsid w:val="007800DA"/>
    <w:rsid w:val="0078065A"/>
    <w:rsid w:val="00782D3C"/>
    <w:rsid w:val="00784A71"/>
    <w:rsid w:val="00786818"/>
    <w:rsid w:val="007876B0"/>
    <w:rsid w:val="007954C7"/>
    <w:rsid w:val="00795E38"/>
    <w:rsid w:val="007A1631"/>
    <w:rsid w:val="007A1D81"/>
    <w:rsid w:val="007A1D9C"/>
    <w:rsid w:val="007A335B"/>
    <w:rsid w:val="007A6C7D"/>
    <w:rsid w:val="007A7CCD"/>
    <w:rsid w:val="007B4222"/>
    <w:rsid w:val="007B5052"/>
    <w:rsid w:val="007B5544"/>
    <w:rsid w:val="007B5AC4"/>
    <w:rsid w:val="007B628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0AC2"/>
    <w:rsid w:val="008041D8"/>
    <w:rsid w:val="008067A0"/>
    <w:rsid w:val="00807AD4"/>
    <w:rsid w:val="00807BCD"/>
    <w:rsid w:val="00814594"/>
    <w:rsid w:val="00820A80"/>
    <w:rsid w:val="008325B7"/>
    <w:rsid w:val="00832BEC"/>
    <w:rsid w:val="00832D4D"/>
    <w:rsid w:val="00835102"/>
    <w:rsid w:val="008377E1"/>
    <w:rsid w:val="00842ADC"/>
    <w:rsid w:val="0084340D"/>
    <w:rsid w:val="00843913"/>
    <w:rsid w:val="00843D05"/>
    <w:rsid w:val="008464C6"/>
    <w:rsid w:val="00851BB2"/>
    <w:rsid w:val="00852F2A"/>
    <w:rsid w:val="00853AAF"/>
    <w:rsid w:val="00854DB2"/>
    <w:rsid w:val="0085755A"/>
    <w:rsid w:val="008579AF"/>
    <w:rsid w:val="00861876"/>
    <w:rsid w:val="008618C7"/>
    <w:rsid w:val="008649AB"/>
    <w:rsid w:val="00864B6F"/>
    <w:rsid w:val="00865600"/>
    <w:rsid w:val="0086697E"/>
    <w:rsid w:val="00870F4D"/>
    <w:rsid w:val="00873DD9"/>
    <w:rsid w:val="00875E4B"/>
    <w:rsid w:val="00876316"/>
    <w:rsid w:val="008765EE"/>
    <w:rsid w:val="00876939"/>
    <w:rsid w:val="00880477"/>
    <w:rsid w:val="008804CE"/>
    <w:rsid w:val="00882E05"/>
    <w:rsid w:val="00883AC0"/>
    <w:rsid w:val="00883D29"/>
    <w:rsid w:val="0088562A"/>
    <w:rsid w:val="00896C63"/>
    <w:rsid w:val="00896CBC"/>
    <w:rsid w:val="00897031"/>
    <w:rsid w:val="00897072"/>
    <w:rsid w:val="008972B9"/>
    <w:rsid w:val="008A1766"/>
    <w:rsid w:val="008A3B1E"/>
    <w:rsid w:val="008A41DB"/>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E79DB"/>
    <w:rsid w:val="008F2F8D"/>
    <w:rsid w:val="008F3EC0"/>
    <w:rsid w:val="008F463D"/>
    <w:rsid w:val="008F46F0"/>
    <w:rsid w:val="008F4B7C"/>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2A18"/>
    <w:rsid w:val="009344B8"/>
    <w:rsid w:val="009372E8"/>
    <w:rsid w:val="00942003"/>
    <w:rsid w:val="00942C4E"/>
    <w:rsid w:val="00942D51"/>
    <w:rsid w:val="0094364A"/>
    <w:rsid w:val="00943894"/>
    <w:rsid w:val="0094448D"/>
    <w:rsid w:val="00944B72"/>
    <w:rsid w:val="009512FD"/>
    <w:rsid w:val="00951F9C"/>
    <w:rsid w:val="009537BC"/>
    <w:rsid w:val="00953E41"/>
    <w:rsid w:val="009547F3"/>
    <w:rsid w:val="00954B63"/>
    <w:rsid w:val="00955AE3"/>
    <w:rsid w:val="00957B57"/>
    <w:rsid w:val="009645A3"/>
    <w:rsid w:val="00965635"/>
    <w:rsid w:val="00966C65"/>
    <w:rsid w:val="00967CEE"/>
    <w:rsid w:val="00970866"/>
    <w:rsid w:val="0097396C"/>
    <w:rsid w:val="00973B1B"/>
    <w:rsid w:val="00974080"/>
    <w:rsid w:val="00976851"/>
    <w:rsid w:val="00976E53"/>
    <w:rsid w:val="009819B6"/>
    <w:rsid w:val="00981B3A"/>
    <w:rsid w:val="0098224F"/>
    <w:rsid w:val="00983099"/>
    <w:rsid w:val="00983B50"/>
    <w:rsid w:val="00986E21"/>
    <w:rsid w:val="00990E89"/>
    <w:rsid w:val="00991097"/>
    <w:rsid w:val="00991623"/>
    <w:rsid w:val="0099203B"/>
    <w:rsid w:val="009947C9"/>
    <w:rsid w:val="00994CD1"/>
    <w:rsid w:val="0099684D"/>
    <w:rsid w:val="009A0B29"/>
    <w:rsid w:val="009A1B1D"/>
    <w:rsid w:val="009A24C0"/>
    <w:rsid w:val="009A24D0"/>
    <w:rsid w:val="009A34C0"/>
    <w:rsid w:val="009A3F86"/>
    <w:rsid w:val="009A5D77"/>
    <w:rsid w:val="009A602B"/>
    <w:rsid w:val="009A72CA"/>
    <w:rsid w:val="009B093A"/>
    <w:rsid w:val="009B0C9D"/>
    <w:rsid w:val="009B32D6"/>
    <w:rsid w:val="009B3DBF"/>
    <w:rsid w:val="009B5613"/>
    <w:rsid w:val="009C1B37"/>
    <w:rsid w:val="009C2A48"/>
    <w:rsid w:val="009C5054"/>
    <w:rsid w:val="009C623F"/>
    <w:rsid w:val="009C796F"/>
    <w:rsid w:val="009D09CA"/>
    <w:rsid w:val="009D0F40"/>
    <w:rsid w:val="009D2091"/>
    <w:rsid w:val="009D6880"/>
    <w:rsid w:val="009D7EB4"/>
    <w:rsid w:val="009E0339"/>
    <w:rsid w:val="009E0A47"/>
    <w:rsid w:val="009E17B4"/>
    <w:rsid w:val="009E1C9E"/>
    <w:rsid w:val="009E26F8"/>
    <w:rsid w:val="009E28AA"/>
    <w:rsid w:val="009E301E"/>
    <w:rsid w:val="009E6C6B"/>
    <w:rsid w:val="009E7EBB"/>
    <w:rsid w:val="009F0B42"/>
    <w:rsid w:val="009F0D19"/>
    <w:rsid w:val="009F10DB"/>
    <w:rsid w:val="009F20EE"/>
    <w:rsid w:val="009F3556"/>
    <w:rsid w:val="009F3E5A"/>
    <w:rsid w:val="009F710C"/>
    <w:rsid w:val="00A02C72"/>
    <w:rsid w:val="00A05C29"/>
    <w:rsid w:val="00A0714B"/>
    <w:rsid w:val="00A10142"/>
    <w:rsid w:val="00A115F8"/>
    <w:rsid w:val="00A1181E"/>
    <w:rsid w:val="00A11A38"/>
    <w:rsid w:val="00A12931"/>
    <w:rsid w:val="00A158DF"/>
    <w:rsid w:val="00A16AD7"/>
    <w:rsid w:val="00A17503"/>
    <w:rsid w:val="00A20A87"/>
    <w:rsid w:val="00A23BAD"/>
    <w:rsid w:val="00A2644F"/>
    <w:rsid w:val="00A2745F"/>
    <w:rsid w:val="00A27677"/>
    <w:rsid w:val="00A332A4"/>
    <w:rsid w:val="00A34346"/>
    <w:rsid w:val="00A36366"/>
    <w:rsid w:val="00A379A4"/>
    <w:rsid w:val="00A42036"/>
    <w:rsid w:val="00A43F31"/>
    <w:rsid w:val="00A45C89"/>
    <w:rsid w:val="00A464E4"/>
    <w:rsid w:val="00A4691A"/>
    <w:rsid w:val="00A47787"/>
    <w:rsid w:val="00A53FEC"/>
    <w:rsid w:val="00A54E27"/>
    <w:rsid w:val="00A613E1"/>
    <w:rsid w:val="00A62147"/>
    <w:rsid w:val="00A6374D"/>
    <w:rsid w:val="00A642AB"/>
    <w:rsid w:val="00A64FD8"/>
    <w:rsid w:val="00A659B7"/>
    <w:rsid w:val="00A65BDD"/>
    <w:rsid w:val="00A66225"/>
    <w:rsid w:val="00A66330"/>
    <w:rsid w:val="00A67253"/>
    <w:rsid w:val="00A72AAA"/>
    <w:rsid w:val="00A72F88"/>
    <w:rsid w:val="00A74B1A"/>
    <w:rsid w:val="00A74CFD"/>
    <w:rsid w:val="00A753C8"/>
    <w:rsid w:val="00A75810"/>
    <w:rsid w:val="00A8037A"/>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A7F30"/>
    <w:rsid w:val="00AB085F"/>
    <w:rsid w:val="00AB18FF"/>
    <w:rsid w:val="00AB198B"/>
    <w:rsid w:val="00AB23E8"/>
    <w:rsid w:val="00AB2572"/>
    <w:rsid w:val="00AB3130"/>
    <w:rsid w:val="00AB3461"/>
    <w:rsid w:val="00AB502B"/>
    <w:rsid w:val="00AB536A"/>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24E8"/>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4ACD"/>
    <w:rsid w:val="00B24FE6"/>
    <w:rsid w:val="00B255EE"/>
    <w:rsid w:val="00B26013"/>
    <w:rsid w:val="00B31323"/>
    <w:rsid w:val="00B32E84"/>
    <w:rsid w:val="00B344FA"/>
    <w:rsid w:val="00B35B89"/>
    <w:rsid w:val="00B363BB"/>
    <w:rsid w:val="00B37206"/>
    <w:rsid w:val="00B40EB5"/>
    <w:rsid w:val="00B444AD"/>
    <w:rsid w:val="00B4569C"/>
    <w:rsid w:val="00B47C76"/>
    <w:rsid w:val="00B50AD5"/>
    <w:rsid w:val="00B51AF9"/>
    <w:rsid w:val="00B51FC8"/>
    <w:rsid w:val="00B53056"/>
    <w:rsid w:val="00B547E6"/>
    <w:rsid w:val="00B55452"/>
    <w:rsid w:val="00B56C5F"/>
    <w:rsid w:val="00B577C8"/>
    <w:rsid w:val="00B62C34"/>
    <w:rsid w:val="00B64379"/>
    <w:rsid w:val="00B72467"/>
    <w:rsid w:val="00B73158"/>
    <w:rsid w:val="00B77050"/>
    <w:rsid w:val="00B7794A"/>
    <w:rsid w:val="00B85E0C"/>
    <w:rsid w:val="00B87293"/>
    <w:rsid w:val="00B92AAE"/>
    <w:rsid w:val="00B93825"/>
    <w:rsid w:val="00B93855"/>
    <w:rsid w:val="00B95B67"/>
    <w:rsid w:val="00B95D6E"/>
    <w:rsid w:val="00B96872"/>
    <w:rsid w:val="00B97E99"/>
    <w:rsid w:val="00BA59F2"/>
    <w:rsid w:val="00BA6BA5"/>
    <w:rsid w:val="00BB1F20"/>
    <w:rsid w:val="00BB2A2E"/>
    <w:rsid w:val="00BB36EC"/>
    <w:rsid w:val="00BB44B1"/>
    <w:rsid w:val="00BB5CEE"/>
    <w:rsid w:val="00BB66F0"/>
    <w:rsid w:val="00BC0725"/>
    <w:rsid w:val="00BC0A56"/>
    <w:rsid w:val="00BC3494"/>
    <w:rsid w:val="00BC3BCD"/>
    <w:rsid w:val="00BC4115"/>
    <w:rsid w:val="00BC4D54"/>
    <w:rsid w:val="00BC5D54"/>
    <w:rsid w:val="00BC634D"/>
    <w:rsid w:val="00BD0279"/>
    <w:rsid w:val="00BD07D3"/>
    <w:rsid w:val="00BD25E2"/>
    <w:rsid w:val="00BD2D5A"/>
    <w:rsid w:val="00BD4163"/>
    <w:rsid w:val="00BD6531"/>
    <w:rsid w:val="00BE1276"/>
    <w:rsid w:val="00BE1C79"/>
    <w:rsid w:val="00BE1D65"/>
    <w:rsid w:val="00BE4806"/>
    <w:rsid w:val="00BE58F6"/>
    <w:rsid w:val="00BE698A"/>
    <w:rsid w:val="00BE77DF"/>
    <w:rsid w:val="00BE7F12"/>
    <w:rsid w:val="00BF0C07"/>
    <w:rsid w:val="00BF1831"/>
    <w:rsid w:val="00BF36FD"/>
    <w:rsid w:val="00BF46F5"/>
    <w:rsid w:val="00C001A4"/>
    <w:rsid w:val="00C011E5"/>
    <w:rsid w:val="00C03587"/>
    <w:rsid w:val="00C04057"/>
    <w:rsid w:val="00C11947"/>
    <w:rsid w:val="00C1393F"/>
    <w:rsid w:val="00C175C1"/>
    <w:rsid w:val="00C17700"/>
    <w:rsid w:val="00C216A9"/>
    <w:rsid w:val="00C23100"/>
    <w:rsid w:val="00C23C2F"/>
    <w:rsid w:val="00C24041"/>
    <w:rsid w:val="00C24E68"/>
    <w:rsid w:val="00C25291"/>
    <w:rsid w:val="00C261B5"/>
    <w:rsid w:val="00C266BF"/>
    <w:rsid w:val="00C310F5"/>
    <w:rsid w:val="00C35E02"/>
    <w:rsid w:val="00C35E8E"/>
    <w:rsid w:val="00C36854"/>
    <w:rsid w:val="00C40B3F"/>
    <w:rsid w:val="00C41F09"/>
    <w:rsid w:val="00C42075"/>
    <w:rsid w:val="00C42462"/>
    <w:rsid w:val="00C45017"/>
    <w:rsid w:val="00C45725"/>
    <w:rsid w:val="00C45C2A"/>
    <w:rsid w:val="00C46E6E"/>
    <w:rsid w:val="00C50506"/>
    <w:rsid w:val="00C52052"/>
    <w:rsid w:val="00C522AA"/>
    <w:rsid w:val="00C525D0"/>
    <w:rsid w:val="00C55CE7"/>
    <w:rsid w:val="00C56B06"/>
    <w:rsid w:val="00C57393"/>
    <w:rsid w:val="00C57C4D"/>
    <w:rsid w:val="00C618EA"/>
    <w:rsid w:val="00C6281D"/>
    <w:rsid w:val="00C62DFA"/>
    <w:rsid w:val="00C62FD0"/>
    <w:rsid w:val="00C63D25"/>
    <w:rsid w:val="00C6401D"/>
    <w:rsid w:val="00C66FA3"/>
    <w:rsid w:val="00C67FB2"/>
    <w:rsid w:val="00C74527"/>
    <w:rsid w:val="00C74F96"/>
    <w:rsid w:val="00C75E59"/>
    <w:rsid w:val="00C77132"/>
    <w:rsid w:val="00C7717E"/>
    <w:rsid w:val="00C777C5"/>
    <w:rsid w:val="00C77E10"/>
    <w:rsid w:val="00C861A3"/>
    <w:rsid w:val="00C904C7"/>
    <w:rsid w:val="00C91386"/>
    <w:rsid w:val="00C91BD6"/>
    <w:rsid w:val="00C93696"/>
    <w:rsid w:val="00C93707"/>
    <w:rsid w:val="00C93BE2"/>
    <w:rsid w:val="00C94B5F"/>
    <w:rsid w:val="00C97672"/>
    <w:rsid w:val="00C97D87"/>
    <w:rsid w:val="00CA1E85"/>
    <w:rsid w:val="00CA4DFD"/>
    <w:rsid w:val="00CA52A7"/>
    <w:rsid w:val="00CA5B98"/>
    <w:rsid w:val="00CA7777"/>
    <w:rsid w:val="00CA78A3"/>
    <w:rsid w:val="00CB0861"/>
    <w:rsid w:val="00CB196B"/>
    <w:rsid w:val="00CB5853"/>
    <w:rsid w:val="00CB76BB"/>
    <w:rsid w:val="00CC04A1"/>
    <w:rsid w:val="00CC20E9"/>
    <w:rsid w:val="00CC286C"/>
    <w:rsid w:val="00CC59E0"/>
    <w:rsid w:val="00CC7AB7"/>
    <w:rsid w:val="00CD3495"/>
    <w:rsid w:val="00CD6E5A"/>
    <w:rsid w:val="00CD72E1"/>
    <w:rsid w:val="00CD7845"/>
    <w:rsid w:val="00CE118A"/>
    <w:rsid w:val="00CE23F0"/>
    <w:rsid w:val="00CE6177"/>
    <w:rsid w:val="00CE7EBD"/>
    <w:rsid w:val="00CF0A7F"/>
    <w:rsid w:val="00CF3F10"/>
    <w:rsid w:val="00CF747F"/>
    <w:rsid w:val="00D00765"/>
    <w:rsid w:val="00D02BCE"/>
    <w:rsid w:val="00D04B0E"/>
    <w:rsid w:val="00D056CE"/>
    <w:rsid w:val="00D057BF"/>
    <w:rsid w:val="00D073F9"/>
    <w:rsid w:val="00D16262"/>
    <w:rsid w:val="00D1670A"/>
    <w:rsid w:val="00D16D63"/>
    <w:rsid w:val="00D176BB"/>
    <w:rsid w:val="00D2050D"/>
    <w:rsid w:val="00D20629"/>
    <w:rsid w:val="00D24D92"/>
    <w:rsid w:val="00D264EA"/>
    <w:rsid w:val="00D27950"/>
    <w:rsid w:val="00D31D1A"/>
    <w:rsid w:val="00D32ADB"/>
    <w:rsid w:val="00D33152"/>
    <w:rsid w:val="00D335B8"/>
    <w:rsid w:val="00D33FAA"/>
    <w:rsid w:val="00D35FF7"/>
    <w:rsid w:val="00D37C84"/>
    <w:rsid w:val="00D40019"/>
    <w:rsid w:val="00D4075F"/>
    <w:rsid w:val="00D4193A"/>
    <w:rsid w:val="00D42AEC"/>
    <w:rsid w:val="00D42B7E"/>
    <w:rsid w:val="00D43C57"/>
    <w:rsid w:val="00D4529A"/>
    <w:rsid w:val="00D462D4"/>
    <w:rsid w:val="00D46A9F"/>
    <w:rsid w:val="00D47002"/>
    <w:rsid w:val="00D472CA"/>
    <w:rsid w:val="00D47746"/>
    <w:rsid w:val="00D50426"/>
    <w:rsid w:val="00D53BD1"/>
    <w:rsid w:val="00D567FB"/>
    <w:rsid w:val="00D56BA6"/>
    <w:rsid w:val="00D57E8F"/>
    <w:rsid w:val="00D60EDE"/>
    <w:rsid w:val="00D62879"/>
    <w:rsid w:val="00D64D77"/>
    <w:rsid w:val="00D664F4"/>
    <w:rsid w:val="00D71653"/>
    <w:rsid w:val="00D726F9"/>
    <w:rsid w:val="00D72F85"/>
    <w:rsid w:val="00D76148"/>
    <w:rsid w:val="00D826B8"/>
    <w:rsid w:val="00D82EF8"/>
    <w:rsid w:val="00D83A9B"/>
    <w:rsid w:val="00D8512E"/>
    <w:rsid w:val="00D85507"/>
    <w:rsid w:val="00D861F9"/>
    <w:rsid w:val="00D90802"/>
    <w:rsid w:val="00D90840"/>
    <w:rsid w:val="00D90B3A"/>
    <w:rsid w:val="00D911A5"/>
    <w:rsid w:val="00D929AD"/>
    <w:rsid w:val="00D93B86"/>
    <w:rsid w:val="00D9595B"/>
    <w:rsid w:val="00D9680F"/>
    <w:rsid w:val="00DA3DBA"/>
    <w:rsid w:val="00DA4E06"/>
    <w:rsid w:val="00DA585B"/>
    <w:rsid w:val="00DB049D"/>
    <w:rsid w:val="00DB1AC2"/>
    <w:rsid w:val="00DB3216"/>
    <w:rsid w:val="00DB3B84"/>
    <w:rsid w:val="00DB4549"/>
    <w:rsid w:val="00DB53EE"/>
    <w:rsid w:val="00DB7AE2"/>
    <w:rsid w:val="00DB7B10"/>
    <w:rsid w:val="00DC2054"/>
    <w:rsid w:val="00DC3156"/>
    <w:rsid w:val="00DC355F"/>
    <w:rsid w:val="00DC3685"/>
    <w:rsid w:val="00DC3E1C"/>
    <w:rsid w:val="00DC47A1"/>
    <w:rsid w:val="00DC6B15"/>
    <w:rsid w:val="00DD01D0"/>
    <w:rsid w:val="00DD1BD5"/>
    <w:rsid w:val="00DD72DD"/>
    <w:rsid w:val="00DE2B10"/>
    <w:rsid w:val="00DE43FB"/>
    <w:rsid w:val="00DE4737"/>
    <w:rsid w:val="00DE5F0F"/>
    <w:rsid w:val="00DE61E0"/>
    <w:rsid w:val="00DF1513"/>
    <w:rsid w:val="00DF2728"/>
    <w:rsid w:val="00E001C3"/>
    <w:rsid w:val="00E01513"/>
    <w:rsid w:val="00E0186F"/>
    <w:rsid w:val="00E049B7"/>
    <w:rsid w:val="00E0577F"/>
    <w:rsid w:val="00E05D3B"/>
    <w:rsid w:val="00E05EED"/>
    <w:rsid w:val="00E07CD1"/>
    <w:rsid w:val="00E100D5"/>
    <w:rsid w:val="00E129A2"/>
    <w:rsid w:val="00E1546C"/>
    <w:rsid w:val="00E1796C"/>
    <w:rsid w:val="00E179DF"/>
    <w:rsid w:val="00E20D87"/>
    <w:rsid w:val="00E23F6F"/>
    <w:rsid w:val="00E247BE"/>
    <w:rsid w:val="00E24E58"/>
    <w:rsid w:val="00E274B1"/>
    <w:rsid w:val="00E3048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439"/>
    <w:rsid w:val="00E5773F"/>
    <w:rsid w:val="00E57DAE"/>
    <w:rsid w:val="00E60DA1"/>
    <w:rsid w:val="00E60E86"/>
    <w:rsid w:val="00E60EDA"/>
    <w:rsid w:val="00E61075"/>
    <w:rsid w:val="00E62282"/>
    <w:rsid w:val="00E62442"/>
    <w:rsid w:val="00E6380C"/>
    <w:rsid w:val="00E63A37"/>
    <w:rsid w:val="00E65F33"/>
    <w:rsid w:val="00E6685E"/>
    <w:rsid w:val="00E72A92"/>
    <w:rsid w:val="00E847BA"/>
    <w:rsid w:val="00E84AFB"/>
    <w:rsid w:val="00E855EF"/>
    <w:rsid w:val="00E90070"/>
    <w:rsid w:val="00E94C2D"/>
    <w:rsid w:val="00E95F83"/>
    <w:rsid w:val="00E974C2"/>
    <w:rsid w:val="00EA2D86"/>
    <w:rsid w:val="00EA3CE3"/>
    <w:rsid w:val="00EA4C11"/>
    <w:rsid w:val="00EA755A"/>
    <w:rsid w:val="00EB14B3"/>
    <w:rsid w:val="00EB3291"/>
    <w:rsid w:val="00EB3DF8"/>
    <w:rsid w:val="00EB49F4"/>
    <w:rsid w:val="00EB4F14"/>
    <w:rsid w:val="00EB5002"/>
    <w:rsid w:val="00EB58F3"/>
    <w:rsid w:val="00EC0231"/>
    <w:rsid w:val="00EC2840"/>
    <w:rsid w:val="00EC2ADD"/>
    <w:rsid w:val="00EC371D"/>
    <w:rsid w:val="00EC5562"/>
    <w:rsid w:val="00EC6B3F"/>
    <w:rsid w:val="00ED3C72"/>
    <w:rsid w:val="00ED4847"/>
    <w:rsid w:val="00ED7554"/>
    <w:rsid w:val="00EE1709"/>
    <w:rsid w:val="00EE3DF6"/>
    <w:rsid w:val="00EF0AE0"/>
    <w:rsid w:val="00EF2395"/>
    <w:rsid w:val="00EF2A33"/>
    <w:rsid w:val="00EF2EE0"/>
    <w:rsid w:val="00EF3268"/>
    <w:rsid w:val="00EF475D"/>
    <w:rsid w:val="00EF6528"/>
    <w:rsid w:val="00EF7504"/>
    <w:rsid w:val="00F01CDD"/>
    <w:rsid w:val="00F02483"/>
    <w:rsid w:val="00F031C2"/>
    <w:rsid w:val="00F03615"/>
    <w:rsid w:val="00F04141"/>
    <w:rsid w:val="00F05A8C"/>
    <w:rsid w:val="00F05ECA"/>
    <w:rsid w:val="00F10336"/>
    <w:rsid w:val="00F1358A"/>
    <w:rsid w:val="00F15299"/>
    <w:rsid w:val="00F20DFF"/>
    <w:rsid w:val="00F22026"/>
    <w:rsid w:val="00F2500C"/>
    <w:rsid w:val="00F258ED"/>
    <w:rsid w:val="00F260DC"/>
    <w:rsid w:val="00F270D0"/>
    <w:rsid w:val="00F33CBE"/>
    <w:rsid w:val="00F35CCD"/>
    <w:rsid w:val="00F3745C"/>
    <w:rsid w:val="00F37D47"/>
    <w:rsid w:val="00F37D74"/>
    <w:rsid w:val="00F41D31"/>
    <w:rsid w:val="00F423EC"/>
    <w:rsid w:val="00F42B1E"/>
    <w:rsid w:val="00F44BB9"/>
    <w:rsid w:val="00F45938"/>
    <w:rsid w:val="00F4629E"/>
    <w:rsid w:val="00F50667"/>
    <w:rsid w:val="00F51894"/>
    <w:rsid w:val="00F51A0E"/>
    <w:rsid w:val="00F53375"/>
    <w:rsid w:val="00F54108"/>
    <w:rsid w:val="00F5739F"/>
    <w:rsid w:val="00F576E1"/>
    <w:rsid w:val="00F6074D"/>
    <w:rsid w:val="00F6282B"/>
    <w:rsid w:val="00F64977"/>
    <w:rsid w:val="00F64C62"/>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6D64"/>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4304"/>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70D8B"/>
    <w:pPr>
      <w:keepNext/>
      <w:keepLines/>
      <w:spacing w:before="40" w:line="480" w:lineRule="auto"/>
      <w:ind w:firstLine="720"/>
      <w:jc w:val="both"/>
      <w:outlineLvl w:val="2"/>
    </w:pPr>
    <w:rPr>
      <w:rFonts w:asciiTheme="majorHAnsi" w:eastAsiaTheme="majorEastAsia" w:hAnsiTheme="majorHAnsi" w:cstheme="majorBidi"/>
      <w:color w:val="1F3763" w:themeColor="accent1" w:themeShade="7F"/>
      <w:lang w:val="es-PE" w:eastAsia="es-PE"/>
    </w:rPr>
  </w:style>
  <w:style w:type="paragraph" w:styleId="Ttulo4">
    <w:name w:val="heading 4"/>
    <w:basedOn w:val="Normal"/>
    <w:next w:val="Normal"/>
    <w:link w:val="Ttulo4Car"/>
    <w:uiPriority w:val="9"/>
    <w:semiHidden/>
    <w:unhideWhenUsed/>
    <w:qFormat/>
    <w:rsid w:val="00770D8B"/>
    <w:pPr>
      <w:keepNext/>
      <w:keepLines/>
      <w:spacing w:before="40" w:line="480" w:lineRule="auto"/>
      <w:ind w:firstLine="720"/>
      <w:jc w:val="both"/>
      <w:outlineLvl w:val="3"/>
    </w:pPr>
    <w:rPr>
      <w:rFonts w:asciiTheme="majorHAnsi" w:eastAsiaTheme="majorEastAsia" w:hAnsiTheme="majorHAnsi" w:cstheme="majorBidi"/>
      <w:i/>
      <w:iCs/>
      <w:color w:val="2F5496" w:themeColor="accent1" w:themeShade="BF"/>
      <w:szCs w:val="22"/>
      <w:lang w:val="es-PE" w:eastAsia="es-PE"/>
    </w:rPr>
  </w:style>
  <w:style w:type="paragraph" w:styleId="Ttulo5">
    <w:name w:val="heading 5"/>
    <w:basedOn w:val="Normal"/>
    <w:next w:val="Normal"/>
    <w:link w:val="Ttulo5Car"/>
    <w:uiPriority w:val="9"/>
    <w:semiHidden/>
    <w:unhideWhenUsed/>
    <w:qFormat/>
    <w:rsid w:val="00194C36"/>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nhideWhenUsed/>
    <w:rsid w:val="003C3F58"/>
    <w:pPr>
      <w:tabs>
        <w:tab w:val="center" w:pos="4419"/>
        <w:tab w:val="right" w:pos="8838"/>
      </w:tabs>
    </w:pPr>
  </w:style>
  <w:style w:type="character" w:customStyle="1" w:styleId="PiedepginaCar">
    <w:name w:val="Pie de página Car"/>
    <w:basedOn w:val="Fuentedeprrafopredeter"/>
    <w:link w:val="Piedepgina"/>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semiHidden/>
    <w:unhideWhenUsed/>
    <w:rsid w:val="006E5984"/>
    <w:rPr>
      <w:b/>
      <w:bCs/>
    </w:rPr>
  </w:style>
  <w:style w:type="character" w:customStyle="1" w:styleId="AsuntodelcomentarioCar">
    <w:name w:val="Asunto del comentario Car"/>
    <w:basedOn w:val="TextocomentarioCar"/>
    <w:link w:val="Asuntodelcomentario"/>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Titul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Titul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rsid w:val="00770D8B"/>
    <w:rPr>
      <w:rFonts w:asciiTheme="majorHAnsi" w:eastAsiaTheme="majorEastAsia" w:hAnsiTheme="majorHAnsi" w:cstheme="majorBidi"/>
      <w:color w:val="1F3763" w:themeColor="accent1" w:themeShade="7F"/>
      <w:lang w:val="es-PE" w:eastAsia="es-PE"/>
    </w:rPr>
  </w:style>
  <w:style w:type="character" w:customStyle="1" w:styleId="Ttulo4Car">
    <w:name w:val="Título 4 Car"/>
    <w:basedOn w:val="Fuentedeprrafopredeter"/>
    <w:link w:val="Ttulo4"/>
    <w:uiPriority w:val="9"/>
    <w:semiHidden/>
    <w:rsid w:val="00770D8B"/>
    <w:rPr>
      <w:rFonts w:asciiTheme="majorHAnsi" w:eastAsiaTheme="majorEastAsia" w:hAnsiTheme="majorHAnsi" w:cstheme="majorBidi"/>
      <w:i/>
      <w:iCs/>
      <w:color w:val="2F5496" w:themeColor="accent1" w:themeShade="BF"/>
      <w:szCs w:val="22"/>
      <w:lang w:val="es-PE" w:eastAsia="es-PE"/>
    </w:rPr>
  </w:style>
  <w:style w:type="numbering" w:customStyle="1" w:styleId="Sinlista1">
    <w:name w:val="Sin lista1"/>
    <w:next w:val="Sinlista"/>
    <w:uiPriority w:val="99"/>
    <w:semiHidden/>
    <w:unhideWhenUsed/>
    <w:rsid w:val="00770D8B"/>
  </w:style>
  <w:style w:type="paragraph" w:styleId="Descripcin">
    <w:name w:val="caption"/>
    <w:basedOn w:val="Normal"/>
    <w:next w:val="Normal"/>
    <w:uiPriority w:val="35"/>
    <w:unhideWhenUsed/>
    <w:qFormat/>
    <w:rsid w:val="00770D8B"/>
    <w:pPr>
      <w:spacing w:after="200"/>
      <w:ind w:firstLine="720"/>
      <w:jc w:val="both"/>
    </w:pPr>
    <w:rPr>
      <w:rFonts w:eastAsiaTheme="minorHAnsi" w:cstheme="minorBidi"/>
      <w:i/>
      <w:iCs/>
      <w:color w:val="44546A" w:themeColor="text2"/>
      <w:sz w:val="18"/>
      <w:szCs w:val="18"/>
      <w:lang w:val="es-PE" w:eastAsia="es-PE"/>
    </w:rPr>
  </w:style>
  <w:style w:type="table" w:styleId="Tablanormal2">
    <w:name w:val="Plain Table 2"/>
    <w:basedOn w:val="Tablanormal"/>
    <w:uiPriority w:val="42"/>
    <w:rsid w:val="00770D8B"/>
    <w:pPr>
      <w:ind w:firstLine="720"/>
      <w:jc w:val="both"/>
    </w:pPr>
    <w:rPr>
      <w:rFonts w:ascii="Times New Roman" w:hAnsi="Times New Roman"/>
      <w:szCs w:val="22"/>
      <w:lang w:val="es-PE"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770D8B"/>
    <w:pPr>
      <w:ind w:firstLine="720"/>
      <w:jc w:val="both"/>
    </w:pPr>
    <w:rPr>
      <w:rFonts w:ascii="Times New Roman" w:hAnsi="Times New Roman"/>
      <w:szCs w:val="22"/>
      <w:lang w:val="es-PE" w:eastAsia="es-P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5Car">
    <w:name w:val="Título 5 Car"/>
    <w:basedOn w:val="Fuentedeprrafopredeter"/>
    <w:link w:val="Ttulo5"/>
    <w:uiPriority w:val="9"/>
    <w:semiHidden/>
    <w:rsid w:val="00194C36"/>
    <w:rPr>
      <w:rFonts w:asciiTheme="majorHAnsi" w:eastAsiaTheme="majorEastAsia" w:hAnsiTheme="majorHAnsi" w:cstheme="majorBidi"/>
      <w:color w:val="2F5496" w:themeColor="accent1" w:themeShade="BF"/>
      <w:kern w:val="2"/>
      <w:sz w:val="22"/>
      <w:szCs w:val="22"/>
      <w14:ligatures w14:val="standardContextual"/>
    </w:rPr>
  </w:style>
  <w:style w:type="numbering" w:customStyle="1" w:styleId="Sinlista2">
    <w:name w:val="Sin lista2"/>
    <w:next w:val="Sinlista"/>
    <w:uiPriority w:val="99"/>
    <w:semiHidden/>
    <w:unhideWhenUsed/>
    <w:rsid w:val="00194C36"/>
  </w:style>
  <w:style w:type="paragraph" w:customStyle="1" w:styleId="paragraph">
    <w:name w:val="paragraph"/>
    <w:basedOn w:val="Normal"/>
    <w:rsid w:val="00194C36"/>
    <w:pPr>
      <w:spacing w:before="100" w:beforeAutospacing="1" w:after="100" w:afterAutospacing="1"/>
    </w:pPr>
    <w:rPr>
      <w:lang w:eastAsia="es-CR"/>
      <w14:ligatures w14:val="standardContextual"/>
    </w:rPr>
  </w:style>
  <w:style w:type="character" w:customStyle="1" w:styleId="normaltextrun">
    <w:name w:val="normaltextrun"/>
    <w:basedOn w:val="Fuentedeprrafopredeter"/>
    <w:rsid w:val="00194C36"/>
  </w:style>
  <w:style w:type="character" w:customStyle="1" w:styleId="eop">
    <w:name w:val="eop"/>
    <w:basedOn w:val="Fuentedeprrafopredeter"/>
    <w:rsid w:val="00194C36"/>
  </w:style>
  <w:style w:type="paragraph" w:customStyle="1" w:styleId="Sinespaciado1">
    <w:name w:val="Sin espaciado1"/>
    <w:link w:val="NoSpacingChar"/>
    <w:rsid w:val="00194C36"/>
    <w:rPr>
      <w:rFonts w:ascii="Calibri" w:eastAsia="Times New Roman" w:hAnsi="Calibri" w:cs="Times New Roman"/>
      <w:sz w:val="22"/>
      <w:szCs w:val="22"/>
      <w:lang w:val="es-ES"/>
      <w14:ligatures w14:val="standardContextual"/>
    </w:rPr>
  </w:style>
  <w:style w:type="character" w:customStyle="1" w:styleId="NoSpacingChar">
    <w:name w:val="No Spacing Char"/>
    <w:link w:val="Sinespaciado1"/>
    <w:locked/>
    <w:rsid w:val="00194C36"/>
    <w:rPr>
      <w:rFonts w:ascii="Calibri" w:eastAsia="Times New Roman" w:hAnsi="Calibri" w:cs="Times New Roman"/>
      <w:sz w:val="22"/>
      <w:szCs w:val="22"/>
      <w:lang w:val="es-ES"/>
      <w14:ligatures w14:val="standardContextual"/>
    </w:rPr>
  </w:style>
  <w:style w:type="character" w:customStyle="1" w:styleId="Textodelmarcadordeposicin1">
    <w:name w:val="Texto del marcador de posición1"/>
    <w:semiHidden/>
    <w:rsid w:val="00194C36"/>
    <w:rPr>
      <w:rFonts w:cs="Times New Roman"/>
      <w:color w:val="808080"/>
    </w:rPr>
  </w:style>
  <w:style w:type="table" w:customStyle="1" w:styleId="Tabladelista2-nfasis31">
    <w:name w:val="Tabla de lista 2 - Énfasis 31"/>
    <w:basedOn w:val="Tablanormal"/>
    <w:uiPriority w:val="47"/>
    <w:rsid w:val="00194C36"/>
    <w:rPr>
      <w:rFonts w:ascii="Times New Roman" w:eastAsia="Times New Roman" w:hAnsi="Times New Roman" w:cs="Times New Roman"/>
      <w:sz w:val="20"/>
      <w:szCs w:val="20"/>
      <w:lang w:eastAsia="es-CR"/>
      <w14:ligatures w14:val="standardContextua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
    <w:name w:val="Tabla con cuadrícula1"/>
    <w:basedOn w:val="Tablanormal"/>
    <w:next w:val="Tablaconcuadrcula"/>
    <w:uiPriority w:val="59"/>
    <w:rsid w:val="00194C36"/>
    <w:rPr>
      <w:rFonts w:eastAsiaTheme="minorEastAsia"/>
      <w:lang w:val="es-ES_tradnl"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2">
    <w:name w:val="A12"/>
    <w:uiPriority w:val="99"/>
    <w:rsid w:val="00194C36"/>
    <w:rPr>
      <w:rFonts w:cs="Gill Sans M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17800084">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hyperlink" Target="https://ulead.ac.cr" TargetMode="External"/><Relationship Id="rId26" Type="http://schemas.openxmlformats.org/officeDocument/2006/relationships/hyperlink" Target="https://www.usac.edu.gt/" TargetMode="External"/><Relationship Id="rId39" Type="http://schemas.openxmlformats.org/officeDocument/2006/relationships/hyperlink" Target="https://www.ruthdiazbello.com/eventos/visiones/documentos/gonzalez.pdf" TargetMode="External"/><Relationship Id="rId21" Type="http://schemas.openxmlformats.org/officeDocument/2006/relationships/hyperlink" Target="https://www.uni.edu.ni/" TargetMode="External"/><Relationship Id="rId34" Type="http://schemas.openxmlformats.org/officeDocument/2006/relationships/chart" Target="charts/chart2.xml"/><Relationship Id="rId42" Type="http://schemas.openxmlformats.org/officeDocument/2006/relationships/hyperlink" Target="https://doi.org/10.15658/rev.electron.educ.pedagog21.04050811" TargetMode="External"/><Relationship Id="rId47" Type="http://schemas.openxmlformats.org/officeDocument/2006/relationships/hyperlink" Target="https://drive.google.com/file/d/1sdb4-m8EJdTR-YaOJFW7Kt9WFrXewFXc/view" TargetMode="External"/><Relationship Id="rId50" Type="http://schemas.openxmlformats.org/officeDocument/2006/relationships/hyperlink" Target="https://www.bsu.ru/content/page/1125/29.polozhenie-o-poryadke-razrabotki-i-utverzhdeniya-rpd.pdf" TargetMode="External"/><Relationship Id="rId55"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una.ac.cr/" TargetMode="External"/><Relationship Id="rId29" Type="http://schemas.openxmlformats.org/officeDocument/2006/relationships/hyperlink" Target="https://www.ub.edu.bz/" TargetMode="External"/><Relationship Id="rId11" Type="http://schemas.microsoft.com/office/2007/relationships/hdphoto" Target="media/hdphoto1.wdp"/><Relationship Id="rId24" Type="http://schemas.openxmlformats.org/officeDocument/2006/relationships/hyperlink" Target="https://www.ues.edu.sv/" TargetMode="External"/><Relationship Id="rId32" Type="http://schemas.openxmlformats.org/officeDocument/2006/relationships/chart" Target="charts/chart1.xml"/><Relationship Id="rId37" Type="http://schemas.openxmlformats.org/officeDocument/2006/relationships/hyperlink" Target="http://www.cidui.org/revista-cidui12/index.php/cidui12/article/view/126" TargetMode="External"/><Relationship Id="rId40" Type="http://schemas.openxmlformats.org/officeDocument/2006/relationships/hyperlink" Target="https://www.tec.ac.cr/reglamento-reconocimiento-equiparacion-grados-titulos-tecnologico-costa-rica" TargetMode="External"/><Relationship Id="rId45" Type="http://schemas.openxmlformats.org/officeDocument/2006/relationships/hyperlink" Target="https://www.sinaes.ac.cr/wp-content/uploads/2021/08/Manual_de_Acreditacion_Oficial_de_Programas_de_Posgrado.pdf"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ucenfotec.ac.c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ucr.ac.cr/" TargetMode="External"/><Relationship Id="rId22" Type="http://schemas.openxmlformats.org/officeDocument/2006/relationships/hyperlink" Target="https://www.unah.edu.hn/" TargetMode="External"/><Relationship Id="rId27" Type="http://schemas.openxmlformats.org/officeDocument/2006/relationships/hyperlink" Target="https://principal.url.edu.gt/" TargetMode="External"/><Relationship Id="rId30" Type="http://schemas.openxmlformats.org/officeDocument/2006/relationships/hyperlink" Target="https://uasd.edu.do/" TargetMode="External"/><Relationship Id="rId35" Type="http://schemas.openxmlformats.org/officeDocument/2006/relationships/hyperlink" Target="https://www.redalyc.org/journal/290/29063559017/29063559017.pdf" TargetMode="External"/><Relationship Id="rId43" Type="http://schemas.openxmlformats.org/officeDocument/2006/relationships/hyperlink" Target="http://lema.rae.es/drae/" TargetMode="External"/><Relationship Id="rId48" Type="http://schemas.openxmlformats.org/officeDocument/2006/relationships/hyperlink" Target="https://repositoriodigital.uct.cl/items/11593786-3e74-482a-bd71-1aee10642ae4" TargetMode="External"/><Relationship Id="rId56"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mf.bmstu.ru/info/uu/oop/norm_docs/norm_docs_mf_edu/docs/2020/polozhenie_rp.pdf?ysclid=m7tsvcs489898900628"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uned.ac.cr/" TargetMode="External"/><Relationship Id="rId25" Type="http://schemas.openxmlformats.org/officeDocument/2006/relationships/hyperlink" Target="https://uca.edu.sv/" TargetMode="External"/><Relationship Id="rId33" Type="http://schemas.openxmlformats.org/officeDocument/2006/relationships/hyperlink" Target="https://www.uned.ac.cr/" TargetMode="External"/><Relationship Id="rId38" Type="http://schemas.openxmlformats.org/officeDocument/2006/relationships/hyperlink" Target="http://www.scielo.org.co/pdf/rca/v41n3/v41n3a03.pdf" TargetMode="External"/><Relationship Id="rId46" Type="http://schemas.openxmlformats.org/officeDocument/2006/relationships/hyperlink" Target="https://docs.google.com/viewerng/viewer?url=https://consejo.uaa.mx/biblioteca/files/original/bad56c94ff1e2bc0920a59f8c0444427.pdf" TargetMode="External"/><Relationship Id="rId59" Type="http://schemas.openxmlformats.org/officeDocument/2006/relationships/theme" Target="theme/theme1.xml"/><Relationship Id="rId20" Type="http://schemas.openxmlformats.org/officeDocument/2006/relationships/hyperlink" Target="https://www.unan.edu.ni/" TargetMode="External"/><Relationship Id="rId41" Type="http://schemas.openxmlformats.org/officeDocument/2006/relationships/hyperlink" Target="https://doi.org/10.33262/rmc.v7i3.2673"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tec.ac.cr/" TargetMode="External"/><Relationship Id="rId23" Type="http://schemas.openxmlformats.org/officeDocument/2006/relationships/hyperlink" Target="https://upnfm.edu.hn/" TargetMode="External"/><Relationship Id="rId28" Type="http://schemas.openxmlformats.org/officeDocument/2006/relationships/hyperlink" Target="https://www.ufm.edu/" TargetMode="External"/><Relationship Id="rId36" Type="http://schemas.openxmlformats.org/officeDocument/2006/relationships/hyperlink" Target="http://www.aulavirtual.web.ve/revista/ojs/index.php/aulavirtual/article/view/147" TargetMode="External"/><Relationship Id="rId49" Type="http://schemas.openxmlformats.org/officeDocument/2006/relationships/hyperlink" Target="https://pregrado.ufro.cl/images/files/2018/documentos-desarrollo-curricular/MANUAL-DISENO-CURRICULAR-.pdf" TargetMode="External"/><Relationship Id="rId57" Type="http://schemas.openxmlformats.org/officeDocument/2006/relationships/footer" Target="footer3.xml"/><Relationship Id="rId10" Type="http://schemas.openxmlformats.org/officeDocument/2006/relationships/image" Target="media/image2.png"/><Relationship Id="rId31" Type="http://schemas.openxmlformats.org/officeDocument/2006/relationships/hyperlink" Target="https://www.pucmm.edu.do/" TargetMode="External"/><Relationship Id="rId44" Type="http://schemas.openxmlformats.org/officeDocument/2006/relationships/hyperlink" Target="http://www.sinaes.ac.cr/manual_guias/manual_acreditacion_ingenieria.pdf" TargetMode="External"/><Relationship Id="rId5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dx.doi.org/10.22458/caes.v16i1.5571"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fedorov\Documents\CEDA\Producci&#243;n-acad\CAES-UNED-ACAP-2024\Fedorov_2024_Cantidad-de-programas-cursos-seg&#250;n-grado_05ju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Hoja1!$A$2:$B$6</c:f>
              <c:multiLvlStrCache>
                <c:ptCount val="5"/>
                <c:lvl>
                  <c:pt idx="0">
                    <c:v>Diplomado</c:v>
                  </c:pt>
                  <c:pt idx="1">
                    <c:v>Bachillerato</c:v>
                  </c:pt>
                  <c:pt idx="2">
                    <c:v>Licenciatura</c:v>
                  </c:pt>
                  <c:pt idx="3">
                    <c:v>Maestría</c:v>
                  </c:pt>
                  <c:pt idx="4">
                    <c:v>Doctorado</c:v>
                  </c:pt>
                </c:lvl>
                <c:lvl>
                  <c:pt idx="0">
                    <c:v>Pregrado y grado</c:v>
                  </c:pt>
                  <c:pt idx="3">
                    <c:v>Postgrado</c:v>
                  </c:pt>
                </c:lvl>
              </c:multiLvlStrCache>
            </c:multiLvlStrRef>
          </c:cat>
          <c:val>
            <c:numRef>
              <c:f>Hoja1!$C$2:$C$6</c:f>
              <c:numCache>
                <c:formatCode>General</c:formatCode>
                <c:ptCount val="5"/>
                <c:pt idx="0">
                  <c:v>1</c:v>
                </c:pt>
                <c:pt idx="1">
                  <c:v>8</c:v>
                </c:pt>
                <c:pt idx="2">
                  <c:v>21</c:v>
                </c:pt>
                <c:pt idx="3">
                  <c:v>9</c:v>
                </c:pt>
                <c:pt idx="4">
                  <c:v>1</c:v>
                </c:pt>
              </c:numCache>
            </c:numRef>
          </c:val>
          <c:extLst>
            <c:ext xmlns:c16="http://schemas.microsoft.com/office/drawing/2014/chart" uri="{C3380CC4-5D6E-409C-BE32-E72D297353CC}">
              <c16:uniqueId val="{00000000-CD68-4B08-BD4F-E9E94307E74E}"/>
            </c:ext>
          </c:extLst>
        </c:ser>
        <c:dLbls>
          <c:dLblPos val="inEnd"/>
          <c:showLegendKey val="0"/>
          <c:showVal val="1"/>
          <c:showCatName val="0"/>
          <c:showSerName val="0"/>
          <c:showPercent val="0"/>
          <c:showBubbleSize val="0"/>
        </c:dLbls>
        <c:gapWidth val="199"/>
        <c:axId val="981842479"/>
        <c:axId val="1096938175"/>
      </c:barChart>
      <c:catAx>
        <c:axId val="981842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CR"/>
          </a:p>
        </c:txPr>
        <c:crossAx val="1096938175"/>
        <c:crosses val="autoZero"/>
        <c:auto val="1"/>
        <c:lblAlgn val="ctr"/>
        <c:lblOffset val="100"/>
        <c:noMultiLvlLbl val="0"/>
      </c:catAx>
      <c:valAx>
        <c:axId val="109693817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981842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Hoja1!$A$21:$B$21</c:f>
              <c:strCache>
                <c:ptCount val="2"/>
                <c:pt idx="0">
                  <c:v>Porcentaje</c:v>
                </c:pt>
                <c:pt idx="1">
                  <c:v>Grado</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Hoja1!$C$19:$L$20</c:f>
              <c:multiLvlStrCache>
                <c:ptCount val="10"/>
                <c:lvl>
                  <c:pt idx="0">
                    <c:v>POR</c:v>
                  </c:pt>
                  <c:pt idx="1">
                    <c:v>DAT</c:v>
                  </c:pt>
                  <c:pt idx="2">
                    <c:v>DES</c:v>
                  </c:pt>
                  <c:pt idx="3">
                    <c:v>OBJ</c:v>
                  </c:pt>
                  <c:pt idx="4">
                    <c:v>CON</c:v>
                  </c:pt>
                  <c:pt idx="5">
                    <c:v>MET</c:v>
                  </c:pt>
                  <c:pt idx="6">
                    <c:v>EVA</c:v>
                  </c:pt>
                  <c:pt idx="7">
                    <c:v>REC</c:v>
                  </c:pt>
                  <c:pt idx="8">
                    <c:v>PRO</c:v>
                  </c:pt>
                  <c:pt idx="9">
                    <c:v>ACT</c:v>
                  </c:pt>
                </c:lvl>
                <c:lvl>
                  <c:pt idx="0">
                    <c:v>Componentes del programa</c:v>
                  </c:pt>
                </c:lvl>
              </c:multiLvlStrCache>
            </c:multiLvlStrRef>
          </c:cat>
          <c:val>
            <c:numRef>
              <c:f>Hoja1!$C$21:$L$21</c:f>
              <c:numCache>
                <c:formatCode>General</c:formatCode>
                <c:ptCount val="10"/>
                <c:pt idx="0">
                  <c:v>17</c:v>
                </c:pt>
                <c:pt idx="1">
                  <c:v>97</c:v>
                </c:pt>
                <c:pt idx="2">
                  <c:v>93</c:v>
                </c:pt>
                <c:pt idx="3">
                  <c:v>100</c:v>
                </c:pt>
                <c:pt idx="4">
                  <c:v>97</c:v>
                </c:pt>
                <c:pt idx="5">
                  <c:v>93</c:v>
                </c:pt>
                <c:pt idx="6">
                  <c:v>97</c:v>
                </c:pt>
                <c:pt idx="7">
                  <c:v>100</c:v>
                </c:pt>
                <c:pt idx="8">
                  <c:v>50</c:v>
                </c:pt>
                <c:pt idx="9">
                  <c:v>27</c:v>
                </c:pt>
              </c:numCache>
            </c:numRef>
          </c:val>
          <c:extLst>
            <c:ext xmlns:c16="http://schemas.microsoft.com/office/drawing/2014/chart" uri="{C3380CC4-5D6E-409C-BE32-E72D297353CC}">
              <c16:uniqueId val="{00000000-2ED5-4F6D-9058-57731CD8C683}"/>
            </c:ext>
          </c:extLst>
        </c:ser>
        <c:ser>
          <c:idx val="1"/>
          <c:order val="1"/>
          <c:tx>
            <c:strRef>
              <c:f>Hoja1!$A$22:$B$22</c:f>
              <c:strCache>
                <c:ptCount val="2"/>
                <c:pt idx="0">
                  <c:v>Porcentaje</c:v>
                </c:pt>
                <c:pt idx="1">
                  <c:v>Postgrado</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Hoja1!$C$19:$L$20</c:f>
              <c:multiLvlStrCache>
                <c:ptCount val="10"/>
                <c:lvl>
                  <c:pt idx="0">
                    <c:v>POR</c:v>
                  </c:pt>
                  <c:pt idx="1">
                    <c:v>DAT</c:v>
                  </c:pt>
                  <c:pt idx="2">
                    <c:v>DES</c:v>
                  </c:pt>
                  <c:pt idx="3">
                    <c:v>OBJ</c:v>
                  </c:pt>
                  <c:pt idx="4">
                    <c:v>CON</c:v>
                  </c:pt>
                  <c:pt idx="5">
                    <c:v>MET</c:v>
                  </c:pt>
                  <c:pt idx="6">
                    <c:v>EVA</c:v>
                  </c:pt>
                  <c:pt idx="7">
                    <c:v>REC</c:v>
                  </c:pt>
                  <c:pt idx="8">
                    <c:v>PRO</c:v>
                  </c:pt>
                  <c:pt idx="9">
                    <c:v>ACT</c:v>
                  </c:pt>
                </c:lvl>
                <c:lvl>
                  <c:pt idx="0">
                    <c:v>Componentes del programa</c:v>
                  </c:pt>
                </c:lvl>
              </c:multiLvlStrCache>
            </c:multiLvlStrRef>
          </c:cat>
          <c:val>
            <c:numRef>
              <c:f>Hoja1!$C$22:$L$22</c:f>
              <c:numCache>
                <c:formatCode>General</c:formatCode>
                <c:ptCount val="10"/>
                <c:pt idx="0">
                  <c:v>40</c:v>
                </c:pt>
                <c:pt idx="1">
                  <c:v>100</c:v>
                </c:pt>
                <c:pt idx="2">
                  <c:v>100</c:v>
                </c:pt>
                <c:pt idx="3">
                  <c:v>100</c:v>
                </c:pt>
                <c:pt idx="4">
                  <c:v>100</c:v>
                </c:pt>
                <c:pt idx="5">
                  <c:v>100</c:v>
                </c:pt>
                <c:pt idx="6">
                  <c:v>100</c:v>
                </c:pt>
                <c:pt idx="7">
                  <c:v>100</c:v>
                </c:pt>
                <c:pt idx="8">
                  <c:v>70</c:v>
                </c:pt>
                <c:pt idx="9">
                  <c:v>30</c:v>
                </c:pt>
              </c:numCache>
            </c:numRef>
          </c:val>
          <c:extLst>
            <c:ext xmlns:c16="http://schemas.microsoft.com/office/drawing/2014/chart" uri="{C3380CC4-5D6E-409C-BE32-E72D297353CC}">
              <c16:uniqueId val="{00000001-2ED5-4F6D-9058-57731CD8C683}"/>
            </c:ext>
          </c:extLst>
        </c:ser>
        <c:dLbls>
          <c:dLblPos val="outEnd"/>
          <c:showLegendKey val="0"/>
          <c:showVal val="1"/>
          <c:showCatName val="0"/>
          <c:showSerName val="0"/>
          <c:showPercent val="0"/>
          <c:showBubbleSize val="0"/>
        </c:dLbls>
        <c:gapWidth val="444"/>
        <c:overlap val="-90"/>
        <c:axId val="610955839"/>
        <c:axId val="529107823"/>
      </c:barChart>
      <c:catAx>
        <c:axId val="6109558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R"/>
          </a:p>
        </c:txPr>
        <c:crossAx val="529107823"/>
        <c:crosses val="autoZero"/>
        <c:auto val="1"/>
        <c:lblAlgn val="ctr"/>
        <c:lblOffset val="100"/>
        <c:noMultiLvlLbl val="0"/>
      </c:catAx>
      <c:valAx>
        <c:axId val="529107823"/>
        <c:scaling>
          <c:orientation val="minMax"/>
        </c:scaling>
        <c:delete val="1"/>
        <c:axPos val="l"/>
        <c:numFmt formatCode="General" sourceLinked="1"/>
        <c:majorTickMark val="none"/>
        <c:minorTickMark val="none"/>
        <c:tickLblPos val="nextTo"/>
        <c:crossAx val="6109558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C42F8-2C73-46CF-B2F7-1EC60068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10290</Words>
  <Characters>56601</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2025-05-21T18:01:00Z</dcterms:created>
  <dcterms:modified xsi:type="dcterms:W3CDTF">2025-05-26T02:29:00Z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