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88FFD" w14:textId="16BF1D79" w:rsidR="00494DC3" w:rsidRPr="00494DC3" w:rsidRDefault="00494DC3" w:rsidP="00494DC3">
      <w:pPr>
        <w:pStyle w:val="NormalWeb"/>
        <w:spacing w:line="360" w:lineRule="auto"/>
        <w:jc w:val="center"/>
        <w:rPr>
          <w:rFonts w:ascii="Arial" w:hAnsi="Arial" w:cs="Arial"/>
          <w:b/>
          <w:bCs/>
          <w:color w:val="C45911" w:themeColor="accent2" w:themeShade="BF"/>
        </w:rPr>
      </w:pPr>
      <w:bookmarkStart w:id="0" w:name="_Hlk183189165"/>
      <w:bookmarkStart w:id="1" w:name="_Hlk145952311"/>
      <w:r w:rsidRPr="00494DC3">
        <w:rPr>
          <w:rFonts w:ascii="Arial" w:hAnsi="Arial" w:cs="Arial"/>
          <w:b/>
          <w:bCs/>
          <w:color w:val="C45911" w:themeColor="accent2" w:themeShade="BF"/>
        </w:rPr>
        <w:t>Los Retos de las Agencias de Aseguramiento de la Calidad</w:t>
      </w:r>
      <w:r w:rsidR="000331C2">
        <w:rPr>
          <w:rStyle w:val="Refdenotaalpie"/>
          <w:rFonts w:ascii="Arial" w:hAnsi="Arial" w:cs="Arial"/>
          <w:b/>
          <w:bCs/>
          <w:color w:val="C45911" w:themeColor="accent2" w:themeShade="BF"/>
        </w:rPr>
        <w:footnoteReference w:id="1"/>
      </w:r>
      <w:r w:rsidRPr="00494DC3">
        <w:rPr>
          <w:rFonts w:ascii="Arial" w:hAnsi="Arial" w:cs="Arial"/>
          <w:b/>
          <w:bCs/>
          <w:color w:val="C45911" w:themeColor="accent2" w:themeShade="BF"/>
        </w:rPr>
        <w:t xml:space="preserve"> </w:t>
      </w:r>
    </w:p>
    <w:bookmarkEnd w:id="0"/>
    <w:p w14:paraId="4B3AA97E" w14:textId="6D27751B" w:rsidR="00494DC3" w:rsidRPr="00494DC3" w:rsidRDefault="00494DC3" w:rsidP="00494DC3">
      <w:pPr>
        <w:pStyle w:val="NormalWeb"/>
        <w:spacing w:before="0" w:beforeAutospacing="0" w:after="0" w:afterAutospacing="0" w:line="360" w:lineRule="auto"/>
        <w:jc w:val="center"/>
        <w:rPr>
          <w:rFonts w:ascii="Arial" w:hAnsi="Arial" w:cs="Arial"/>
          <w:b/>
          <w:bCs/>
          <w:color w:val="C45911" w:themeColor="accent2" w:themeShade="BF"/>
          <w:lang w:val="en-US"/>
        </w:rPr>
      </w:pPr>
      <w:r w:rsidRPr="00494DC3">
        <w:rPr>
          <w:rFonts w:ascii="Arial" w:hAnsi="Arial" w:cs="Arial"/>
          <w:b/>
          <w:bCs/>
          <w:color w:val="C45911" w:themeColor="accent2" w:themeShade="BF"/>
          <w:lang w:val="en-US"/>
        </w:rPr>
        <w:t>The Challenges of Quality Assurance Agencies</w:t>
      </w:r>
    </w:p>
    <w:p w14:paraId="503546AF" w14:textId="77777777" w:rsidR="00494DC3" w:rsidRPr="00494DC3" w:rsidRDefault="00494DC3" w:rsidP="00A82B98">
      <w:pPr>
        <w:pStyle w:val="NormalWeb"/>
        <w:spacing w:before="0" w:beforeAutospacing="0" w:after="0" w:afterAutospacing="0" w:line="360" w:lineRule="auto"/>
        <w:jc w:val="center"/>
        <w:rPr>
          <w:rFonts w:ascii="Arial" w:hAnsi="Arial" w:cs="Arial"/>
          <w:b/>
          <w:bCs/>
          <w:color w:val="C45911" w:themeColor="accent2" w:themeShade="BF"/>
          <w:lang w:val="en-US"/>
        </w:rPr>
      </w:pPr>
    </w:p>
    <w:bookmarkEnd w:id="1"/>
    <w:p w14:paraId="15395EE9" w14:textId="3DB42389" w:rsidR="00A82B98" w:rsidRPr="00B55452" w:rsidRDefault="005550DC" w:rsidP="00A82B98">
      <w:pPr>
        <w:pStyle w:val="NormalWeb"/>
        <w:spacing w:before="0" w:beforeAutospacing="0" w:after="0" w:afterAutospacing="0" w:line="276" w:lineRule="auto"/>
        <w:jc w:val="right"/>
        <w:rPr>
          <w:rFonts w:ascii="Arial" w:hAnsi="Arial" w:cs="Arial"/>
        </w:rPr>
      </w:pPr>
      <w:r w:rsidRPr="000E30F2">
        <w:rPr>
          <w:rFonts w:ascii="Arial" w:hAnsi="Arial" w:cs="Arial"/>
          <w:lang w:val="en-US"/>
        </w:rPr>
        <w:t xml:space="preserve"> </w:t>
      </w:r>
      <w:bookmarkStart w:id="2" w:name="_Hlk183189222"/>
      <w:r w:rsidRPr="005550DC">
        <w:rPr>
          <w:rFonts w:ascii="Arial" w:hAnsi="Arial" w:cs="Arial"/>
        </w:rPr>
        <w:t>Iván</w:t>
      </w:r>
      <w:r>
        <w:rPr>
          <w:rFonts w:ascii="Arial" w:hAnsi="Arial" w:cs="Arial"/>
        </w:rPr>
        <w:t>-</w:t>
      </w:r>
      <w:r w:rsidRPr="005550DC">
        <w:rPr>
          <w:rFonts w:ascii="Arial" w:hAnsi="Arial" w:cs="Arial"/>
        </w:rPr>
        <w:t>Enrique Ramos</w:t>
      </w:r>
      <w:r>
        <w:rPr>
          <w:rFonts w:ascii="Arial" w:hAnsi="Arial" w:cs="Arial"/>
        </w:rPr>
        <w:t>-</w:t>
      </w:r>
      <w:r w:rsidRPr="005550DC">
        <w:rPr>
          <w:rFonts w:ascii="Arial" w:hAnsi="Arial" w:cs="Arial"/>
        </w:rPr>
        <w:t>Calderón</w:t>
      </w:r>
      <w:bookmarkEnd w:id="2"/>
      <w:r w:rsidR="00A82B98" w:rsidRPr="00B55452">
        <w:rPr>
          <w:rStyle w:val="Refdenotaalpie"/>
          <w:rFonts w:ascii="Arial" w:eastAsia="Arial" w:hAnsi="Arial" w:cs="Arial"/>
        </w:rPr>
        <w:footnoteReference w:id="2"/>
      </w:r>
    </w:p>
    <w:p w14:paraId="54FACEFC" w14:textId="45F17578" w:rsidR="00A82B98" w:rsidRDefault="005550DC" w:rsidP="005550DC">
      <w:pPr>
        <w:pStyle w:val="NormalWeb"/>
        <w:spacing w:before="0" w:beforeAutospacing="0" w:after="0" w:afterAutospacing="0" w:line="276" w:lineRule="auto"/>
        <w:jc w:val="right"/>
        <w:rPr>
          <w:rFonts w:ascii="Arial" w:hAnsi="Arial" w:cs="Arial"/>
        </w:rPr>
      </w:pPr>
      <w:r w:rsidRPr="005550DC">
        <w:rPr>
          <w:rFonts w:ascii="Arial" w:hAnsi="Arial" w:cs="Arial"/>
        </w:rPr>
        <w:t>RIACES</w:t>
      </w:r>
    </w:p>
    <w:p w14:paraId="34E3782F" w14:textId="4B17107B" w:rsidR="00A82B98" w:rsidRPr="00B55452" w:rsidRDefault="005550DC" w:rsidP="00A82B98">
      <w:pPr>
        <w:pStyle w:val="NormalWeb"/>
        <w:spacing w:before="0" w:beforeAutospacing="0" w:after="0" w:afterAutospacing="0" w:line="276" w:lineRule="auto"/>
        <w:jc w:val="right"/>
        <w:rPr>
          <w:rFonts w:ascii="Arial" w:hAnsi="Arial" w:cs="Arial"/>
        </w:rPr>
      </w:pPr>
      <w:bookmarkStart w:id="3" w:name="_GoBack"/>
      <w:bookmarkEnd w:id="3"/>
      <w:r>
        <w:rPr>
          <w:rFonts w:ascii="Arial" w:hAnsi="Arial" w:cs="Arial"/>
        </w:rPr>
        <w:t>Bogotá</w:t>
      </w:r>
      <w:r w:rsidR="00A82B98">
        <w:rPr>
          <w:rFonts w:ascii="Arial" w:hAnsi="Arial" w:cs="Arial"/>
        </w:rPr>
        <w:t xml:space="preserve">, </w:t>
      </w:r>
      <w:r>
        <w:rPr>
          <w:rFonts w:ascii="Arial" w:hAnsi="Arial" w:cs="Arial"/>
        </w:rPr>
        <w:t>Colombia</w:t>
      </w:r>
    </w:p>
    <w:p w14:paraId="1586665D" w14:textId="2500C0AF" w:rsidR="00A82B98" w:rsidRPr="005953BF" w:rsidRDefault="0037581E" w:rsidP="00A82B98">
      <w:pPr>
        <w:pStyle w:val="NormalWeb"/>
        <w:spacing w:before="0" w:beforeAutospacing="0" w:after="0" w:afterAutospacing="0" w:line="276" w:lineRule="auto"/>
        <w:jc w:val="right"/>
        <w:rPr>
          <w:rFonts w:ascii="Arial" w:hAnsi="Arial" w:cs="Arial"/>
          <w:color w:val="2E74B5" w:themeColor="accent5" w:themeShade="BF"/>
        </w:rPr>
      </w:pPr>
      <w:hyperlink r:id="rId11" w:history="1">
        <w:r w:rsidR="00C868E6" w:rsidRPr="004D5D9A">
          <w:rPr>
            <w:rStyle w:val="Hipervnculo"/>
            <w:rFonts w:ascii="Arial" w:hAnsi="Arial" w:cs="Arial"/>
            <w:color w:val="2F5496" w:themeColor="accent1" w:themeShade="BF"/>
          </w:rPr>
          <w:t>iveramos@gmail.com</w:t>
        </w:r>
      </w:hyperlink>
      <w:r w:rsidR="00A82B98" w:rsidRPr="004D5D9A">
        <w:rPr>
          <w:rStyle w:val="Hipervnculo"/>
          <w:rFonts w:ascii="Arial" w:hAnsi="Arial" w:cs="Arial"/>
          <w:color w:val="2F5496" w:themeColor="accent1" w:themeShade="BF"/>
        </w:rPr>
        <w:t xml:space="preserve"> </w:t>
      </w:r>
      <w:r w:rsidR="00A82B98" w:rsidRPr="005953BF">
        <w:rPr>
          <w:rStyle w:val="Hipervnculo"/>
          <w:rFonts w:ascii="Arial" w:hAnsi="Arial" w:cs="Arial"/>
          <w:color w:val="2E74B5" w:themeColor="accent5" w:themeShade="BF"/>
        </w:rPr>
        <w:t xml:space="preserve">   </w:t>
      </w:r>
    </w:p>
    <w:p w14:paraId="6011B59B" w14:textId="77777777" w:rsidR="00A82B98" w:rsidRPr="00B55452" w:rsidRDefault="00A82B98" w:rsidP="00A82B98">
      <w:pPr>
        <w:pStyle w:val="NormalWeb"/>
        <w:spacing w:before="0" w:beforeAutospacing="0" w:after="0" w:afterAutospacing="0" w:line="276" w:lineRule="auto"/>
        <w:rPr>
          <w:rFonts w:ascii="Arial" w:hAnsi="Arial" w:cs="Arial"/>
        </w:rPr>
      </w:pPr>
      <w:r w:rsidRPr="00B55452">
        <w:rPr>
          <w:rFonts w:ascii="Arial" w:hAnsi="Arial" w:cs="Arial"/>
        </w:rPr>
        <w:t xml:space="preserve">  </w:t>
      </w:r>
    </w:p>
    <w:p w14:paraId="2270E183" w14:textId="140DA922" w:rsidR="00A82B98" w:rsidRPr="00B55452" w:rsidRDefault="00C14376" w:rsidP="00A82B98">
      <w:pPr>
        <w:spacing w:line="276" w:lineRule="auto"/>
        <w:jc w:val="right"/>
        <w:rPr>
          <w:rFonts w:ascii="Arial" w:eastAsia="Arial" w:hAnsi="Arial" w:cs="Arial"/>
        </w:rPr>
      </w:pPr>
      <w:r w:rsidRPr="00C14376">
        <w:rPr>
          <w:rFonts w:ascii="Arial" w:eastAsia="Arial" w:hAnsi="Arial" w:cs="Arial"/>
        </w:rPr>
        <w:t>Olga Hernández limón</w:t>
      </w:r>
      <w:r w:rsidR="00A82B98" w:rsidRPr="00B55452">
        <w:rPr>
          <w:rStyle w:val="Refdenotaalpie"/>
          <w:rFonts w:ascii="Arial" w:eastAsia="Arial" w:hAnsi="Arial" w:cs="Arial"/>
        </w:rPr>
        <w:footnoteReference w:id="3"/>
      </w:r>
    </w:p>
    <w:p w14:paraId="5F882F23" w14:textId="617ACB58" w:rsidR="00A82B98" w:rsidRDefault="00C14376" w:rsidP="00A82B98">
      <w:pPr>
        <w:spacing w:line="276" w:lineRule="auto"/>
        <w:jc w:val="right"/>
        <w:rPr>
          <w:rFonts w:ascii="Arial" w:eastAsia="Arial" w:hAnsi="Arial" w:cs="Arial"/>
        </w:rPr>
      </w:pPr>
      <w:r>
        <w:rPr>
          <w:rFonts w:ascii="Arial" w:eastAsia="Arial" w:hAnsi="Arial" w:cs="Arial"/>
        </w:rPr>
        <w:t>RIACES</w:t>
      </w:r>
    </w:p>
    <w:p w14:paraId="068535AC" w14:textId="5A3B148C" w:rsidR="00A82B98" w:rsidRPr="00B55452" w:rsidRDefault="004D5D9A" w:rsidP="004D5D9A">
      <w:pPr>
        <w:tabs>
          <w:tab w:val="left" w:pos="2630"/>
          <w:tab w:val="right" w:pos="8789"/>
        </w:tabs>
        <w:spacing w:line="276" w:lineRule="auto"/>
        <w:rPr>
          <w:rFonts w:ascii="Arial" w:eastAsia="Arial" w:hAnsi="Arial" w:cs="Arial"/>
        </w:rPr>
      </w:pPr>
      <w:r>
        <w:rPr>
          <w:rFonts w:ascii="Arial" w:eastAsia="Arial" w:hAnsi="Arial" w:cs="Arial"/>
        </w:rPr>
        <w:tab/>
      </w:r>
      <w:r>
        <w:rPr>
          <w:rFonts w:ascii="Arial" w:eastAsia="Arial" w:hAnsi="Arial" w:cs="Arial"/>
        </w:rPr>
        <w:tab/>
      </w:r>
      <w:r w:rsidR="0071394B">
        <w:rPr>
          <w:rFonts w:ascii="Arial" w:eastAsia="Arial" w:hAnsi="Arial" w:cs="Arial"/>
        </w:rPr>
        <w:t>México D</w:t>
      </w:r>
      <w:r w:rsidR="00D44197">
        <w:rPr>
          <w:rFonts w:ascii="Arial" w:eastAsia="Arial" w:hAnsi="Arial" w:cs="Arial"/>
        </w:rPr>
        <w:t>. F., México</w:t>
      </w:r>
      <w:r w:rsidR="00A82B98">
        <w:rPr>
          <w:rFonts w:ascii="Arial" w:eastAsia="Arial" w:hAnsi="Arial" w:cs="Arial"/>
        </w:rPr>
        <w:t xml:space="preserve"> </w:t>
      </w:r>
    </w:p>
    <w:p w14:paraId="3F68C6CD" w14:textId="3D0D605E" w:rsidR="00A82B98" w:rsidRPr="004D5D9A" w:rsidRDefault="0037581E" w:rsidP="00A82B98">
      <w:pPr>
        <w:spacing w:line="276" w:lineRule="auto"/>
        <w:jc w:val="right"/>
        <w:rPr>
          <w:rFonts w:ascii="Arial" w:hAnsi="Arial" w:cs="Arial"/>
          <w:bCs/>
          <w:color w:val="2F5496" w:themeColor="accent1" w:themeShade="BF"/>
          <w:u w:val="single"/>
        </w:rPr>
      </w:pPr>
      <w:hyperlink r:id="rId12" w:history="1">
        <w:r w:rsidR="002A0D68" w:rsidRPr="004D5D9A">
          <w:rPr>
            <w:rStyle w:val="Hipervnculo"/>
            <w:rFonts w:ascii="Arial" w:hAnsi="Arial" w:cs="Arial"/>
            <w:bCs/>
            <w:color w:val="2F5496" w:themeColor="accent1" w:themeShade="BF"/>
          </w:rPr>
          <w:t>olgalimon@gmail.com</w:t>
        </w:r>
      </w:hyperlink>
    </w:p>
    <w:p w14:paraId="319F6C9B" w14:textId="77777777" w:rsidR="00A82B98" w:rsidRPr="00B55452" w:rsidRDefault="00A82B98" w:rsidP="00A82B98">
      <w:pPr>
        <w:pStyle w:val="NormalWeb"/>
        <w:spacing w:before="0" w:beforeAutospacing="0" w:after="0" w:afterAutospacing="0" w:line="360" w:lineRule="auto"/>
        <w:jc w:val="center"/>
        <w:rPr>
          <w:rFonts w:ascii="Arial" w:hAnsi="Arial" w:cs="Arial"/>
          <w:b/>
          <w:bCs/>
        </w:rPr>
      </w:pPr>
    </w:p>
    <w:p w14:paraId="4C1650BF" w14:textId="3B5B925E" w:rsidR="00A82B98" w:rsidRPr="000E30F2" w:rsidRDefault="00A82B98" w:rsidP="00A82B98">
      <w:pPr>
        <w:tabs>
          <w:tab w:val="left" w:pos="5865"/>
        </w:tabs>
        <w:jc w:val="center"/>
        <w:rPr>
          <w:rFonts w:ascii="Arial" w:hAnsi="Arial" w:cs="Arial"/>
          <w:bCs/>
          <w:color w:val="2F5496" w:themeColor="accent1" w:themeShade="BF"/>
          <w:u w:val="single"/>
        </w:rPr>
      </w:pPr>
      <w:r w:rsidRPr="000E30F2">
        <w:rPr>
          <w:rFonts w:ascii="Arial" w:hAnsi="Arial" w:cs="Arial"/>
          <w:bCs/>
          <w:color w:val="2F5496" w:themeColor="accent1" w:themeShade="BF"/>
          <w:u w:val="single"/>
        </w:rPr>
        <w:t>DOI: http://dx.doi.org/10.22458/caes.v15i</w:t>
      </w:r>
      <w:r w:rsidR="006754BB" w:rsidRPr="000E30F2">
        <w:rPr>
          <w:rFonts w:ascii="Arial" w:hAnsi="Arial" w:cs="Arial"/>
          <w:bCs/>
          <w:color w:val="2F5496" w:themeColor="accent1" w:themeShade="BF"/>
          <w:u w:val="single"/>
        </w:rPr>
        <w:t>2</w:t>
      </w:r>
      <w:r w:rsidRPr="000E30F2">
        <w:rPr>
          <w:rFonts w:ascii="Arial" w:hAnsi="Arial" w:cs="Arial"/>
          <w:bCs/>
          <w:color w:val="2F5496" w:themeColor="accent1" w:themeShade="BF"/>
          <w:u w:val="single"/>
        </w:rPr>
        <w:t>.5</w:t>
      </w:r>
      <w:r w:rsidR="00A42EA1" w:rsidRPr="000E30F2">
        <w:rPr>
          <w:rFonts w:ascii="Arial" w:hAnsi="Arial" w:cs="Arial"/>
          <w:bCs/>
          <w:color w:val="2F5496" w:themeColor="accent1" w:themeShade="BF"/>
          <w:u w:val="single"/>
        </w:rPr>
        <w:t>565</w:t>
      </w:r>
    </w:p>
    <w:p w14:paraId="0F249272" w14:textId="66353755" w:rsidR="00A82B98" w:rsidRDefault="00A82B98" w:rsidP="0020679D">
      <w:pPr>
        <w:tabs>
          <w:tab w:val="left" w:pos="5865"/>
        </w:tabs>
        <w:spacing w:line="276" w:lineRule="auto"/>
        <w:jc w:val="center"/>
        <w:rPr>
          <w:rFonts w:ascii="Arial" w:hAnsi="Arial" w:cs="Arial"/>
          <w:bCs/>
        </w:rPr>
      </w:pPr>
      <w:r>
        <w:rPr>
          <w:rFonts w:ascii="Arial" w:hAnsi="Arial" w:cs="Arial"/>
          <w:bCs/>
        </w:rPr>
        <w:t xml:space="preserve">Volumen 15, Número </w:t>
      </w:r>
      <w:r w:rsidR="006754BB">
        <w:rPr>
          <w:rFonts w:ascii="Arial" w:hAnsi="Arial" w:cs="Arial"/>
          <w:bCs/>
        </w:rPr>
        <w:t>2</w:t>
      </w:r>
    </w:p>
    <w:p w14:paraId="0912D7D7" w14:textId="493A1604"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2024</w:t>
      </w:r>
    </w:p>
    <w:p w14:paraId="32EEFDF7" w14:textId="3085F5A9" w:rsidR="00A82B98" w:rsidRDefault="00A82B98" w:rsidP="0020679D">
      <w:pPr>
        <w:tabs>
          <w:tab w:val="left" w:pos="5865"/>
        </w:tabs>
        <w:spacing w:line="276" w:lineRule="auto"/>
        <w:jc w:val="center"/>
        <w:rPr>
          <w:rFonts w:ascii="Arial" w:hAnsi="Arial" w:cs="Arial"/>
          <w:bCs/>
        </w:rPr>
      </w:pPr>
      <w:r w:rsidRPr="00EE7D59">
        <w:rPr>
          <w:rFonts w:ascii="Arial" w:hAnsi="Arial" w:cs="Arial"/>
          <w:bCs/>
        </w:rPr>
        <w:t xml:space="preserve">pp. </w:t>
      </w:r>
      <w:r w:rsidR="00BC6170" w:rsidRPr="00EE7D59">
        <w:rPr>
          <w:rFonts w:ascii="Arial" w:hAnsi="Arial" w:cs="Arial"/>
          <w:bCs/>
        </w:rPr>
        <w:t>111-</w:t>
      </w:r>
      <w:r w:rsidR="00EE7D59" w:rsidRPr="00EE7D59">
        <w:rPr>
          <w:rFonts w:ascii="Arial" w:hAnsi="Arial" w:cs="Arial"/>
          <w:bCs/>
        </w:rPr>
        <w:t>133</w:t>
      </w:r>
    </w:p>
    <w:p w14:paraId="64FE432D" w14:textId="77777777" w:rsidR="000B2596" w:rsidRDefault="000B2596" w:rsidP="0020679D">
      <w:pPr>
        <w:tabs>
          <w:tab w:val="left" w:pos="5865"/>
        </w:tabs>
        <w:spacing w:line="276" w:lineRule="auto"/>
        <w:rPr>
          <w:rFonts w:ascii="Arial" w:hAnsi="Arial" w:cs="Arial"/>
          <w:bCs/>
        </w:rPr>
      </w:pPr>
      <w:bookmarkStart w:id="4" w:name="_Hlk182838172"/>
    </w:p>
    <w:p w14:paraId="1591C2AD" w14:textId="27CC55A4" w:rsidR="00A82B98" w:rsidRPr="00BC6170" w:rsidRDefault="00A82B98" w:rsidP="0020679D">
      <w:pPr>
        <w:tabs>
          <w:tab w:val="left" w:pos="5865"/>
        </w:tabs>
        <w:spacing w:line="276" w:lineRule="auto"/>
        <w:rPr>
          <w:rFonts w:ascii="Arial" w:hAnsi="Arial" w:cs="Arial"/>
          <w:bCs/>
        </w:rPr>
      </w:pPr>
      <w:r w:rsidRPr="00BC6170">
        <w:rPr>
          <w:rFonts w:ascii="Arial" w:hAnsi="Arial" w:cs="Arial"/>
          <w:bCs/>
        </w:rPr>
        <w:t xml:space="preserve">Recibido: </w:t>
      </w:r>
      <w:r w:rsidR="00DB39D7" w:rsidRPr="00BC6170">
        <w:rPr>
          <w:rFonts w:ascii="Arial" w:hAnsi="Arial" w:cs="Arial"/>
          <w:bCs/>
        </w:rPr>
        <w:t>01</w:t>
      </w:r>
      <w:r w:rsidRPr="00BC6170">
        <w:rPr>
          <w:rFonts w:ascii="Arial" w:hAnsi="Arial" w:cs="Arial"/>
          <w:bCs/>
        </w:rPr>
        <w:t xml:space="preserve"> de </w:t>
      </w:r>
      <w:r w:rsidR="00DB39D7" w:rsidRPr="00BC6170">
        <w:rPr>
          <w:rFonts w:ascii="Arial" w:hAnsi="Arial" w:cs="Arial"/>
          <w:bCs/>
        </w:rPr>
        <w:t xml:space="preserve">marzo </w:t>
      </w:r>
      <w:r w:rsidRPr="00BC6170">
        <w:rPr>
          <w:rFonts w:ascii="Arial" w:hAnsi="Arial" w:cs="Arial"/>
          <w:bCs/>
        </w:rPr>
        <w:t>de 202</w:t>
      </w:r>
      <w:r w:rsidR="00DB39D7" w:rsidRPr="00BC6170">
        <w:rPr>
          <w:rFonts w:ascii="Arial" w:hAnsi="Arial" w:cs="Arial"/>
          <w:bCs/>
        </w:rPr>
        <w:t>4</w:t>
      </w:r>
    </w:p>
    <w:p w14:paraId="13E62770" w14:textId="2D6ED578" w:rsidR="00A82B98" w:rsidRDefault="00A82B98" w:rsidP="0020679D">
      <w:pPr>
        <w:tabs>
          <w:tab w:val="left" w:pos="5865"/>
        </w:tabs>
        <w:spacing w:line="276" w:lineRule="auto"/>
        <w:rPr>
          <w:rFonts w:ascii="Arial" w:hAnsi="Arial" w:cs="Arial"/>
          <w:bCs/>
        </w:rPr>
      </w:pPr>
      <w:r w:rsidRPr="00BC6170">
        <w:rPr>
          <w:rFonts w:ascii="Arial" w:hAnsi="Arial" w:cs="Arial"/>
          <w:bCs/>
        </w:rPr>
        <w:t xml:space="preserve">Aprobado: </w:t>
      </w:r>
      <w:r w:rsidR="00DB39D7" w:rsidRPr="00BC6170">
        <w:rPr>
          <w:rFonts w:ascii="Arial" w:hAnsi="Arial" w:cs="Arial"/>
          <w:bCs/>
        </w:rPr>
        <w:t>01</w:t>
      </w:r>
      <w:r w:rsidRPr="00BC6170">
        <w:rPr>
          <w:rFonts w:ascii="Arial" w:hAnsi="Arial" w:cs="Arial"/>
          <w:bCs/>
        </w:rPr>
        <w:t xml:space="preserve"> de </w:t>
      </w:r>
      <w:r w:rsidR="00DB39D7" w:rsidRPr="00BC6170">
        <w:rPr>
          <w:rFonts w:ascii="Arial" w:hAnsi="Arial" w:cs="Arial"/>
          <w:bCs/>
        </w:rPr>
        <w:t xml:space="preserve">julio </w:t>
      </w:r>
      <w:r w:rsidRPr="00BC6170">
        <w:rPr>
          <w:rFonts w:ascii="Arial" w:hAnsi="Arial" w:cs="Arial"/>
          <w:bCs/>
        </w:rPr>
        <w:t>de 2024</w:t>
      </w:r>
    </w:p>
    <w:bookmarkEnd w:id="4"/>
    <w:p w14:paraId="1223BB3C" w14:textId="77777777" w:rsidR="002F2389" w:rsidRPr="002F2389" w:rsidRDefault="002F2389" w:rsidP="002F2389">
      <w:pPr>
        <w:spacing w:before="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lastRenderedPageBreak/>
        <w:t>Resumen:</w:t>
      </w:r>
    </w:p>
    <w:p w14:paraId="7FD29661" w14:textId="5C06C7BA" w:rsidR="002F2389" w:rsidRDefault="002F2389" w:rsidP="002F2389">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Este artículo explora los retos a los que se enfrentan las agencias de aseguramiento de la calidad (AAC) en la educación superior iberoamericana tras la pandemia de COVID-19. Analiza cómo estas han respondido a cambios significativos en las modalidades de enseñanza, integración de nuevas tecnologías y evolución de las demandas estudiantiles. Destaca la necesidad de adaptabilidad frente a nuevos modelos educativos y de evaluación de credenciales alternativas, proponiendo estrategias para fortalecer las AAC mediante enfoques flexibles, cooperación internacional y uso de tecnología, enfatizando su rol esencial en el aseguramiento de la calidad y relevancia educativa en un contexto dinámico.</w:t>
      </w:r>
    </w:p>
    <w:p w14:paraId="01A4070A" w14:textId="77777777" w:rsidR="008D3A13" w:rsidRPr="002F2389" w:rsidRDefault="008D3A13" w:rsidP="008D3A13">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 xml:space="preserve">Palabras clave: </w:t>
      </w:r>
      <w:r w:rsidRPr="002F2389">
        <w:rPr>
          <w:rFonts w:ascii="Arial" w:eastAsiaTheme="minorHAnsi" w:hAnsi="Arial" w:cs="Arial"/>
          <w:kern w:val="2"/>
          <w:lang w:val="es-CO" w:eastAsia="en-US"/>
          <w14:ligatures w14:val="standardContextual"/>
        </w:rPr>
        <w:t>aseguramiento de la calidad, educación superior, post-pandemia, Iberoamérica, agencias de acreditación.</w:t>
      </w:r>
    </w:p>
    <w:p w14:paraId="4CE0002C" w14:textId="77777777" w:rsidR="002F2389" w:rsidRPr="002F2389" w:rsidRDefault="002F2389" w:rsidP="002F2389">
      <w:pPr>
        <w:spacing w:before="240" w:line="360" w:lineRule="auto"/>
        <w:jc w:val="both"/>
        <w:rPr>
          <w:rFonts w:ascii="Arial" w:eastAsiaTheme="minorHAnsi" w:hAnsi="Arial" w:cs="Arial"/>
          <w:b/>
          <w:bCs/>
          <w:kern w:val="2"/>
          <w:lang w:val="en-US" w:eastAsia="en-US"/>
          <w14:ligatures w14:val="standardContextual"/>
        </w:rPr>
      </w:pPr>
      <w:r w:rsidRPr="002F2389">
        <w:rPr>
          <w:rFonts w:ascii="Arial" w:eastAsiaTheme="minorHAnsi" w:hAnsi="Arial" w:cs="Arial"/>
          <w:b/>
          <w:bCs/>
          <w:kern w:val="2"/>
          <w:lang w:val="en-US" w:eastAsia="en-US"/>
          <w14:ligatures w14:val="standardContextual"/>
        </w:rPr>
        <w:t>Abstract</w:t>
      </w:r>
    </w:p>
    <w:p w14:paraId="4873786B" w14:textId="77777777" w:rsidR="002F2389" w:rsidRPr="002F2389" w:rsidRDefault="002F2389" w:rsidP="002F2389">
      <w:pPr>
        <w:spacing w:before="240" w:line="360" w:lineRule="auto"/>
        <w:jc w:val="both"/>
        <w:rPr>
          <w:rFonts w:ascii="Arial" w:eastAsiaTheme="minorHAnsi" w:hAnsi="Arial" w:cs="Arial"/>
          <w:kern w:val="2"/>
          <w:lang w:val="en-US" w:eastAsia="en-US"/>
          <w14:ligatures w14:val="standardContextual"/>
        </w:rPr>
      </w:pPr>
      <w:r w:rsidRPr="002F2389">
        <w:rPr>
          <w:rFonts w:ascii="Arial" w:eastAsiaTheme="minorHAnsi" w:hAnsi="Arial" w:cs="Arial"/>
          <w:kern w:val="2"/>
          <w:lang w:val="en-US" w:eastAsia="en-US"/>
          <w14:ligatures w14:val="standardContextual"/>
        </w:rPr>
        <w:t xml:space="preserve">This article explores the challenges faced by quality assurance agencies (QAA) in </w:t>
      </w:r>
      <w:proofErr w:type="spellStart"/>
      <w:r w:rsidRPr="002F2389">
        <w:rPr>
          <w:rFonts w:ascii="Arial" w:eastAsiaTheme="minorHAnsi" w:hAnsi="Arial" w:cs="Arial"/>
          <w:kern w:val="2"/>
          <w:lang w:val="en-US" w:eastAsia="en-US"/>
          <w14:ligatures w14:val="standardContextual"/>
        </w:rPr>
        <w:t>Ibero</w:t>
      </w:r>
      <w:proofErr w:type="spellEnd"/>
      <w:r w:rsidRPr="002F2389">
        <w:rPr>
          <w:rFonts w:ascii="Arial" w:eastAsiaTheme="minorHAnsi" w:hAnsi="Arial" w:cs="Arial"/>
          <w:kern w:val="2"/>
          <w:lang w:val="en-US" w:eastAsia="en-US"/>
          <w14:ligatures w14:val="standardContextual"/>
        </w:rPr>
        <w:t xml:space="preserve">-American higher education following the COVID-19 pandemic. It analyzes how these agencies have responded to significant changes in teaching modalities, the integration of new technologies, and evolving student demands. The article highlights the need for adaptability in the face of new educational models and alternative credential evaluations, proposing strategies to strengthen QAA through flexible approaches, international cooperation, and the use of technology. It </w:t>
      </w:r>
      <w:r w:rsidRPr="002F2389">
        <w:rPr>
          <w:rFonts w:ascii="Arial" w:eastAsiaTheme="minorHAnsi" w:hAnsi="Arial" w:cs="Arial"/>
          <w:kern w:val="2"/>
          <w:lang w:val="en-US" w:eastAsia="en-US"/>
          <w14:ligatures w14:val="standardContextual"/>
        </w:rPr>
        <w:lastRenderedPageBreak/>
        <w:t>emphasizes their essential role in ensuring educational quality and relevance in a dynamic context.</w:t>
      </w:r>
    </w:p>
    <w:p w14:paraId="672318EB" w14:textId="77777777" w:rsidR="002F2389" w:rsidRPr="002F2389" w:rsidRDefault="002F2389" w:rsidP="002F2389">
      <w:pPr>
        <w:spacing w:before="240" w:line="360" w:lineRule="auto"/>
        <w:jc w:val="both"/>
        <w:rPr>
          <w:rFonts w:ascii="Arial" w:eastAsiaTheme="minorHAnsi" w:hAnsi="Arial" w:cs="Arial"/>
          <w:kern w:val="2"/>
          <w:lang w:val="en-US" w:eastAsia="en-US"/>
          <w14:ligatures w14:val="standardContextual"/>
        </w:rPr>
      </w:pPr>
      <w:r w:rsidRPr="002F2389">
        <w:rPr>
          <w:rFonts w:ascii="Arial" w:eastAsiaTheme="minorHAnsi" w:hAnsi="Arial" w:cs="Arial"/>
          <w:b/>
          <w:bCs/>
          <w:kern w:val="2"/>
          <w:lang w:val="en-US" w:eastAsia="en-US"/>
          <w14:ligatures w14:val="standardContextual"/>
        </w:rPr>
        <w:t>Keywords:</w:t>
      </w:r>
      <w:r w:rsidRPr="002F2389">
        <w:rPr>
          <w:rFonts w:ascii="Arial" w:eastAsiaTheme="minorHAnsi" w:hAnsi="Arial" w:cs="Arial"/>
          <w:kern w:val="2"/>
          <w:lang w:val="en-US" w:eastAsia="en-US"/>
          <w14:ligatures w14:val="standardContextual"/>
        </w:rPr>
        <w:t xml:space="preserve"> quality assurance, higher education, post-pandemic, </w:t>
      </w:r>
      <w:proofErr w:type="spellStart"/>
      <w:r w:rsidRPr="002F2389">
        <w:rPr>
          <w:rFonts w:ascii="Arial" w:eastAsiaTheme="minorHAnsi" w:hAnsi="Arial" w:cs="Arial"/>
          <w:kern w:val="2"/>
          <w:lang w:val="en-US" w:eastAsia="en-US"/>
          <w14:ligatures w14:val="standardContextual"/>
        </w:rPr>
        <w:t>Ibero</w:t>
      </w:r>
      <w:proofErr w:type="spellEnd"/>
      <w:r w:rsidRPr="002F2389">
        <w:rPr>
          <w:rFonts w:ascii="Arial" w:eastAsiaTheme="minorHAnsi" w:hAnsi="Arial" w:cs="Arial"/>
          <w:kern w:val="2"/>
          <w:lang w:val="en-US" w:eastAsia="en-US"/>
          <w14:ligatures w14:val="standardContextual"/>
        </w:rPr>
        <w:t>-America, accreditation agencies</w:t>
      </w:r>
    </w:p>
    <w:p w14:paraId="487FDE91" w14:textId="77777777" w:rsidR="002F2389" w:rsidRPr="002F2389" w:rsidRDefault="002F2389" w:rsidP="002F2389">
      <w:pPr>
        <w:spacing w:before="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Introducción</w:t>
      </w:r>
    </w:p>
    <w:p w14:paraId="6C8A296E" w14:textId="77777777" w:rsidR="002F2389" w:rsidRPr="002F2389" w:rsidRDefault="002F2389" w:rsidP="002F2389">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Durante las últimas dos décadas la Red Iberoamericana para el Aseguramiento de la Calidad de la Educación Superior (RIACES) ha sido clave en fomentar la excelencia de la educación superior a través de 45 agencias de evaluación y acreditación distribuidas en 18 países. Este artículo revisa los desafíos emergentes que enfrentan estas agencias, especialmente tras la pandemia, y examina su papel en un entorno globalizado y tecnológicamente avanzado. Se discuten las sinergias creadas y las oportunidades de mejora continua que RIACES ha promovido para adaptarse a las transformaciones globales de la educación superior.</w:t>
      </w:r>
    </w:p>
    <w:p w14:paraId="0B64491D" w14:textId="77777777" w:rsidR="002F2389" w:rsidRPr="002F2389" w:rsidRDefault="002F2389" w:rsidP="002F2389">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El contexto actual de la educación superior, marcado por los Objetivos de Desarrollo Sostenible (ODS) de la ONU y los resultados de la Conferencia Mundial de Educación Superior CMES 2022, demanda una reflexión profunda sobre los retos que enfrentan las agencias de aseguramiento de la calidad (AAC). Las variaciones en la matrícula, la diversificación de la oferta educativa con programas virtuales y nuevas credenciales, y los rápidos avances tecnológicos, plantean desafíos y oportunidades sin precedentes para estas agencias.</w:t>
      </w:r>
    </w:p>
    <w:p w14:paraId="2155A398" w14:textId="77777777" w:rsidR="002F2389" w:rsidRPr="002F2389" w:rsidRDefault="002F2389" w:rsidP="002F2389">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lastRenderedPageBreak/>
        <w:t xml:space="preserve">En este escenario, se analizan los retos y oportunidades que enfrentan las AAC en la era </w:t>
      </w:r>
      <w:proofErr w:type="spellStart"/>
      <w:r w:rsidRPr="002F2389">
        <w:rPr>
          <w:rFonts w:ascii="Arial" w:eastAsiaTheme="minorHAnsi" w:hAnsi="Arial" w:cs="Arial"/>
          <w:kern w:val="2"/>
          <w:lang w:val="es-CO" w:eastAsia="en-US"/>
          <w14:ligatures w14:val="standardContextual"/>
        </w:rPr>
        <w:t>postpandemia</w:t>
      </w:r>
      <w:proofErr w:type="spellEnd"/>
      <w:r w:rsidRPr="002F2389">
        <w:rPr>
          <w:rFonts w:ascii="Arial" w:eastAsiaTheme="minorHAnsi" w:hAnsi="Arial" w:cs="Arial"/>
          <w:kern w:val="2"/>
          <w:lang w:val="es-CO" w:eastAsia="en-US"/>
          <w14:ligatures w14:val="standardContextual"/>
        </w:rPr>
        <w:t>, con un enfoque particular en la región iberoamericana. Se examina el impacto de la pandemia en la educación superior, las respuestas de las AAC a los cambios emergentes y los desafíos clave que deben abordar para seguir siendo relevantes y efectivas. Asimismo, se exploran las tendencias globales que afectan a la educación superior, como los cambios demográficos, las nuevas propuestas curriculares y la creciente importancia de la internacionalización y la movilidad estudiantil.</w:t>
      </w:r>
    </w:p>
    <w:p w14:paraId="6D71D1B0" w14:textId="77777777" w:rsidR="002F2389" w:rsidRPr="002F2389" w:rsidRDefault="002F2389" w:rsidP="002F2389">
      <w:pPr>
        <w:spacing w:before="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Se ha realizado una revisión de literatura académica y documentos institucionales, así como el análisis de buenas prácticas de AAC en Iberoamérica y otras regiones. El objetivo es contribuir al debate sobre el futuro del aseguramiento de la calidad en la educación superior y ofrecer recomendaciones prácticas para las agencias en la región, teniendo en cuenta sus particularidades y desafíos específicos.</w:t>
      </w:r>
    </w:p>
    <w:p w14:paraId="4286341D" w14:textId="77777777" w:rsidR="002F2389" w:rsidRPr="002F2389" w:rsidRDefault="002F2389"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r w:rsidRPr="002F2389">
        <w:rPr>
          <w:rFonts w:ascii="Arial" w:eastAsiaTheme="minorHAnsi" w:hAnsi="Arial" w:cs="Arial"/>
          <w:b/>
          <w:bCs/>
          <w:kern w:val="2"/>
          <w:sz w:val="28"/>
          <w:szCs w:val="28"/>
          <w:lang w:val="es-CO" w:eastAsia="en-US"/>
          <w14:ligatures w14:val="standardContextual"/>
        </w:rPr>
        <w:t xml:space="preserve">Marco Teórico </w:t>
      </w:r>
    </w:p>
    <w:p w14:paraId="318A1B05"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El aseguramiento de la calidad en la educación superior ha sido profundamente influenciado por factores tanto internos como externos. Organizaciones como el Instituto Internacional para la Educación Superior en América Latina y el Caribe (IESALC-UNESCO) han jugado un papel crucial, contribuyendo al desarrollo de estrategias que abordan desafíos emergentes como la equidad y la calidad educativa.</w:t>
      </w:r>
    </w:p>
    <w:p w14:paraId="1A3B6A88"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lastRenderedPageBreak/>
        <w:t xml:space="preserve">Estudios como los de López </w:t>
      </w:r>
      <w:proofErr w:type="spellStart"/>
      <w:r w:rsidRPr="002F2389">
        <w:rPr>
          <w:rFonts w:ascii="Arial" w:eastAsiaTheme="minorHAnsi" w:hAnsi="Arial" w:cs="Arial"/>
          <w:kern w:val="2"/>
          <w:lang w:val="es-CO" w:eastAsia="en-US"/>
          <w14:ligatures w14:val="standardContextual"/>
        </w:rPr>
        <w:t>Segrera</w:t>
      </w:r>
      <w:proofErr w:type="spellEnd"/>
      <w:r w:rsidRPr="002F2389">
        <w:rPr>
          <w:rFonts w:ascii="Arial" w:eastAsiaTheme="minorHAnsi" w:hAnsi="Arial" w:cs="Arial"/>
          <w:kern w:val="2"/>
          <w:lang w:val="es-CO" w:eastAsia="en-US"/>
          <w14:ligatures w14:val="standardContextual"/>
        </w:rPr>
        <w:t xml:space="preserve"> (2023), subrayan la relevancia de adaptar los sistemas educativos a desafíos globales como la digitalización y la innovación tecnológica. Proyectos como "Universidad 2030" buscan reconfigurar los enfoques educativos frente a las exigencias de la globalización y los avances tecnológicos, mientras aseguran la calidad y pertinencia educativa.</w:t>
      </w:r>
    </w:p>
    <w:p w14:paraId="7472A378"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A nivel de proyectos específicos, la iniciativa "Universidad 2030" ha emergido como un marco de referencia para comprender y abordar los retos de la educación superior en la próxima década (</w:t>
      </w:r>
      <w:proofErr w:type="spellStart"/>
      <w:r w:rsidRPr="002F2389">
        <w:rPr>
          <w:rFonts w:ascii="Arial" w:eastAsiaTheme="minorHAnsi" w:hAnsi="Arial" w:cs="Arial"/>
          <w:kern w:val="2"/>
          <w:lang w:val="es-CO" w:eastAsia="en-US"/>
          <w14:ligatures w14:val="standardContextual"/>
        </w:rPr>
        <w:t>Marúm</w:t>
      </w:r>
      <w:proofErr w:type="spellEnd"/>
      <w:r w:rsidRPr="002F2389">
        <w:rPr>
          <w:rFonts w:ascii="Arial" w:eastAsiaTheme="minorHAnsi" w:hAnsi="Arial" w:cs="Arial"/>
          <w:kern w:val="2"/>
          <w:lang w:val="es-CO" w:eastAsia="en-US"/>
          <w14:ligatures w14:val="standardContextual"/>
        </w:rPr>
        <w:t xml:space="preserve"> Espinosa, 2023). Este proyecto apunta a reconfigurar los enfoques educativos para hacer frente a las exigencias de la globalización y los avances tecnológicos, al mismo tiempo que promueve estudios e implementación de políticas que aseguren la calidad y la pertinencia educativa.</w:t>
      </w:r>
    </w:p>
    <w:p w14:paraId="6CF6180B"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En el contexto iberoamericano, la Red Iberoamericana para el Aseguramiento de la Calidad de la Educación Superior (RIACES) ha sido instrumental en adaptar estos marcos teóricos a la realidad regional. Colaboraciones con la Organización de Estados Iberoamericanos para la Educación, la Ciencia y la Cultura (OEI) han dado lugar a iniciativas como el sello de calidad para programas a distancia y virtuales, respondiendo así a la creciente relevancia de estas modalidades educativas. También, la participación en proyectos de reconocimiento de títulos a nivel regional es un paso clave para facilitar la movilidad de los graduados entre los países de Iberoamérica, aspecto crítico dado el creciente enfoque en la internacionalización y la movilidad estudiantil.</w:t>
      </w:r>
    </w:p>
    <w:p w14:paraId="38055C1A"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lastRenderedPageBreak/>
        <w:t xml:space="preserve">La Conferencia Mundial de Educación Superior de 2022 </w:t>
      </w:r>
      <w:sdt>
        <w:sdtPr>
          <w:rPr>
            <w:rFonts w:ascii="Arial" w:eastAsiaTheme="minorHAnsi" w:hAnsi="Arial" w:cs="Arial"/>
            <w:kern w:val="2"/>
            <w:lang w:val="es-CO" w:eastAsia="en-US"/>
            <w14:ligatures w14:val="standardContextual"/>
          </w:rPr>
          <w:id w:val="420767228"/>
          <w:citation/>
        </w:sdtPr>
        <w:sdtEndPr/>
        <w:sdtContent>
          <w:r w:rsidRPr="002F2389">
            <w:rPr>
              <w:rFonts w:ascii="Arial" w:eastAsiaTheme="minorHAnsi" w:hAnsi="Arial" w:cs="Arial"/>
              <w:kern w:val="2"/>
              <w:lang w:val="es-CO" w:eastAsia="en-US"/>
              <w14:ligatures w14:val="standardContextual"/>
            </w:rPr>
            <w:fldChar w:fldCharType="begin"/>
          </w:r>
          <w:r w:rsidRPr="002F2389">
            <w:rPr>
              <w:rFonts w:ascii="Arial" w:eastAsiaTheme="minorHAnsi" w:hAnsi="Arial" w:cs="Arial"/>
              <w:kern w:val="2"/>
              <w:lang w:val="es-MX" w:eastAsia="en-US"/>
              <w14:ligatures w14:val="standardContextual"/>
            </w:rPr>
            <w:instrText xml:space="preserve"> CITATION UNE22 \l 1033 </w:instrText>
          </w:r>
          <w:r w:rsidRPr="002F2389">
            <w:rPr>
              <w:rFonts w:ascii="Arial" w:eastAsiaTheme="minorHAnsi" w:hAnsi="Arial" w:cs="Arial"/>
              <w:kern w:val="2"/>
              <w:lang w:val="es-CO" w:eastAsia="en-US"/>
              <w14:ligatures w14:val="standardContextual"/>
            </w:rPr>
            <w:fldChar w:fldCharType="separate"/>
          </w:r>
          <w:r w:rsidRPr="002F2389">
            <w:rPr>
              <w:rFonts w:ascii="Arial" w:eastAsiaTheme="minorHAnsi" w:hAnsi="Arial" w:cs="Arial"/>
              <w:noProof/>
              <w:kern w:val="2"/>
              <w:lang w:val="es-MX" w:eastAsia="en-US"/>
              <w14:ligatures w14:val="standardContextual"/>
            </w:rPr>
            <w:t>(UNESCO, 2022)</w:t>
          </w:r>
          <w:r w:rsidRPr="002F2389">
            <w:rPr>
              <w:rFonts w:ascii="Arial" w:eastAsiaTheme="minorHAnsi" w:hAnsi="Arial" w:cs="Arial"/>
              <w:kern w:val="2"/>
              <w:lang w:val="es-CO" w:eastAsia="en-US"/>
              <w14:ligatures w14:val="standardContextual"/>
            </w:rPr>
            <w:fldChar w:fldCharType="end"/>
          </w:r>
        </w:sdtContent>
      </w:sdt>
      <w:r w:rsidRPr="002F2389">
        <w:rPr>
          <w:rFonts w:ascii="Arial" w:eastAsiaTheme="minorHAnsi" w:hAnsi="Arial" w:cs="Arial"/>
          <w:kern w:val="2"/>
          <w:lang w:val="es-CO" w:eastAsia="en-US"/>
          <w14:ligatures w14:val="standardContextual"/>
        </w:rPr>
        <w:t xml:space="preserve"> reforzó la necesidad de una mayor vinculación entre instituciones, agencias de acreditación y gobiernos para abordar los desafíos globales y promover una educación superior más equitativa, inclusiva y de calidad. En este sentido, la movilidad internacional de estudiantes y la armonización de títulos a nivel regional son aspectos clave para fortalecer la cooperación y el intercambio académico en Iberoamérica.</w:t>
      </w:r>
    </w:p>
    <w:p w14:paraId="40AB1FE5"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En este sentido, </w:t>
      </w:r>
      <w:proofErr w:type="spellStart"/>
      <w:r w:rsidRPr="002F2389">
        <w:rPr>
          <w:rFonts w:ascii="Arial" w:eastAsiaTheme="minorHAnsi" w:hAnsi="Arial" w:cs="Arial"/>
          <w:kern w:val="2"/>
          <w:lang w:val="es-CO" w:eastAsia="en-US"/>
          <w14:ligatures w14:val="standardContextual"/>
        </w:rPr>
        <w:t>Uvalić-Trumbić</w:t>
      </w:r>
      <w:proofErr w:type="spellEnd"/>
      <w:r w:rsidRPr="002F2389">
        <w:rPr>
          <w:rFonts w:ascii="Arial" w:eastAsiaTheme="minorHAnsi" w:hAnsi="Arial" w:cs="Arial"/>
          <w:kern w:val="2"/>
          <w:lang w:val="es-CO" w:eastAsia="en-US"/>
          <w14:ligatures w14:val="standardContextual"/>
        </w:rPr>
        <w:t xml:space="preserve"> y Martin </w:t>
      </w:r>
      <w:r w:rsidRPr="002F2389">
        <w:rPr>
          <w:rFonts w:ascii="Arial" w:eastAsiaTheme="minorHAnsi" w:hAnsi="Arial" w:cs="Arial"/>
          <w:noProof/>
          <w:kern w:val="2"/>
          <w:lang w:val="es-MX" w:eastAsia="en-US"/>
          <w14:ligatures w14:val="standardContextual"/>
        </w:rPr>
        <w:t>(2021) d</w:t>
      </w:r>
      <w:r w:rsidRPr="002F2389">
        <w:rPr>
          <w:rFonts w:ascii="Arial" w:eastAsiaTheme="minorHAnsi" w:hAnsi="Arial" w:cs="Arial"/>
          <w:kern w:val="2"/>
          <w:lang w:val="es-CO" w:eastAsia="en-US"/>
          <w14:ligatures w14:val="standardContextual"/>
        </w:rPr>
        <w:t xml:space="preserve">estacan la importancia de la cooperación internacional y las redes regionales de agencias de aseguramiento de la calidad (AAC) en el desarrollo de un modelo global de AC. Este modelo, basado en la autoevaluación institucional y la revisión externa por pares, ha sido adoptado en diversas regiones, aunque con adaptaciones a los contextos locales. Sin embargo, el modelo también ha sido objeto de críticas por su enfoque burocrático y su falta de atención a los resultados de aprendizaje. </w:t>
      </w:r>
    </w:p>
    <w:p w14:paraId="7FF374D8"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Las tendencias actuales, como la masificación de la educación superior, la diversificación de proveedores y modalidades educativas, la internacionalización y los cambios en la gobernanza, plantean nuevos retos para las AAC (</w:t>
      </w:r>
      <w:proofErr w:type="spellStart"/>
      <w:r w:rsidRPr="002F2389">
        <w:rPr>
          <w:rFonts w:ascii="Arial" w:eastAsiaTheme="minorHAnsi" w:hAnsi="Arial" w:cs="Arial"/>
          <w:kern w:val="2"/>
          <w:lang w:val="es-CO" w:eastAsia="en-US"/>
          <w14:ligatures w14:val="standardContextual"/>
        </w:rPr>
        <w:t>Uvalić-Trumbić</w:t>
      </w:r>
      <w:proofErr w:type="spellEnd"/>
      <w:r w:rsidRPr="002F2389">
        <w:rPr>
          <w:rFonts w:ascii="Arial" w:eastAsiaTheme="minorHAnsi" w:hAnsi="Arial" w:cs="Arial"/>
          <w:kern w:val="2"/>
          <w:lang w:val="es-CO" w:eastAsia="en-US"/>
          <w14:ligatures w14:val="standardContextual"/>
        </w:rPr>
        <w:t xml:space="preserve"> y Martin, 2021). Estos desafíos exigen enfoques innovadores que permitan a las agencias adaptarse a los cambios del sector y garantizar la calidad de la educación superior en un entorno cada vez más complejo y dinámico. En este contexto, la región iberoamericana ha sido líder en la promoción de sistemas regionales de acreditación, como </w:t>
      </w:r>
      <w:proofErr w:type="spellStart"/>
      <w:r w:rsidRPr="002F2389">
        <w:rPr>
          <w:rFonts w:ascii="Arial" w:eastAsiaTheme="minorHAnsi" w:hAnsi="Arial" w:cs="Arial"/>
          <w:kern w:val="2"/>
          <w:lang w:val="es-CO" w:eastAsia="en-US"/>
          <w14:ligatures w14:val="standardContextual"/>
        </w:rPr>
        <w:t>Arcusur</w:t>
      </w:r>
      <w:proofErr w:type="spellEnd"/>
      <w:r w:rsidRPr="002F2389">
        <w:rPr>
          <w:rFonts w:ascii="Arial" w:eastAsiaTheme="minorHAnsi" w:hAnsi="Arial" w:cs="Arial"/>
          <w:kern w:val="2"/>
          <w:lang w:val="es-CO" w:eastAsia="en-US"/>
          <w14:ligatures w14:val="standardContextual"/>
        </w:rPr>
        <w:t xml:space="preserve"> del Mercosur, que buscan armonizar los estándares de calidad y facilitar el reconocimiento de títulos entre países. No obstante, la movilidad </w:t>
      </w:r>
      <w:r w:rsidRPr="002F2389">
        <w:rPr>
          <w:rFonts w:ascii="Arial" w:eastAsiaTheme="minorHAnsi" w:hAnsi="Arial" w:cs="Arial"/>
          <w:kern w:val="2"/>
          <w:lang w:val="es-CO" w:eastAsia="en-US"/>
          <w14:ligatures w14:val="standardContextual"/>
        </w:rPr>
        <w:lastRenderedPageBreak/>
        <w:t>internacional de los egresados sigue siendo un desafío pendiente en la región. Aunque se han realizado avances en el reconocimiento de títulos a nivel regional, aún persisten barreras que limitan la movilidad de los graduados iberoamericanos.</w:t>
      </w:r>
    </w:p>
    <w:p w14:paraId="39D68ECF"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En particular, la región iberoamericana enfrenta retos específicos, como la necesidad de fortalecer la independencia de las agencias respecto a las instituciones educativas y los gobiernos para evitar la "captura regulatoria" (</w:t>
      </w:r>
      <w:proofErr w:type="spellStart"/>
      <w:r w:rsidRPr="002F2389">
        <w:rPr>
          <w:rFonts w:ascii="Arial" w:eastAsiaTheme="minorHAnsi" w:hAnsi="Arial" w:cs="Arial"/>
          <w:kern w:val="2"/>
          <w:lang w:val="es-CO" w:eastAsia="en-US"/>
          <w14:ligatures w14:val="standardContextual"/>
        </w:rPr>
        <w:t>Pedró</w:t>
      </w:r>
      <w:proofErr w:type="spellEnd"/>
      <w:r w:rsidRPr="002F2389">
        <w:rPr>
          <w:rFonts w:ascii="Arial" w:eastAsiaTheme="minorHAnsi" w:hAnsi="Arial" w:cs="Arial"/>
          <w:kern w:val="2"/>
          <w:lang w:val="es-CO" w:eastAsia="en-US"/>
          <w14:ligatures w14:val="standardContextual"/>
        </w:rPr>
        <w:t xml:space="preserve">, 2021). Además, se requiere una mayor rendición de cuentas por parte de las agencias, así como un énfasis en la evaluación de los resultados de aprendizaje, más allá de los insumos y procesos </w:t>
      </w:r>
      <w:r w:rsidRPr="002F2389">
        <w:rPr>
          <w:rFonts w:ascii="Arial" w:eastAsiaTheme="minorHAnsi" w:hAnsi="Arial" w:cs="Arial"/>
          <w:noProof/>
          <w:kern w:val="2"/>
          <w:lang w:val="es-MX" w:eastAsia="en-US"/>
          <w14:ligatures w14:val="standardContextual"/>
        </w:rPr>
        <w:t>(Pedró, 2022)</w:t>
      </w:r>
      <w:r w:rsidRPr="002F2389">
        <w:rPr>
          <w:rFonts w:ascii="Arial" w:eastAsiaTheme="minorHAnsi" w:hAnsi="Arial" w:cs="Arial"/>
          <w:kern w:val="2"/>
          <w:lang w:val="es-CO" w:eastAsia="en-US"/>
          <w14:ligatures w14:val="standardContextual"/>
        </w:rPr>
        <w:t>. La incorporación de tecnologías innovadoras y la promoción de la equidad en el acceso a la educación superior también son desafíos clave para las AAC en la región.</w:t>
      </w:r>
    </w:p>
    <w:p w14:paraId="77317D47"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Ante los cambios constantes, se hace necesario repensar y rediseñar los sistemas de aseguramiento de la calidad externa (</w:t>
      </w:r>
      <w:proofErr w:type="spellStart"/>
      <w:r w:rsidRPr="002F2389">
        <w:rPr>
          <w:rFonts w:ascii="Arial" w:eastAsiaTheme="minorHAnsi" w:hAnsi="Arial" w:cs="Arial"/>
          <w:kern w:val="2"/>
          <w:lang w:val="es-CO" w:eastAsia="en-US"/>
          <w14:ligatures w14:val="standardContextual"/>
        </w:rPr>
        <w:t>Uvalić-Trumbić</w:t>
      </w:r>
      <w:proofErr w:type="spellEnd"/>
      <w:r w:rsidRPr="002F2389">
        <w:rPr>
          <w:rFonts w:ascii="Arial" w:eastAsiaTheme="minorHAnsi" w:hAnsi="Arial" w:cs="Arial"/>
          <w:kern w:val="2"/>
          <w:lang w:val="es-CO" w:eastAsia="en-US"/>
          <w14:ligatures w14:val="standardContextual"/>
        </w:rPr>
        <w:t xml:space="preserve"> &amp; Martin, 2021). Esto implica no solo innovar en los métodos y enfoques de evaluación, sino también abordar cuestiones fundamentales como la gobernanza de las agencias, su relación con los actores del sistema educativo y su capacidad para responder a las necesidades cambiantes de la sociedad. Para ello, es crucial que las agencias promuevan la autoevaluación y la mejora continua de la educación, faciliten la movilidad estudiantil y docente, aseguren una educación relevante y actualizada, e impacten el desarrollo económico y social, que proporcione una base de confianza para estudiantes, familias, empleadores y gobiernos.</w:t>
      </w:r>
    </w:p>
    <w:p w14:paraId="2545088F"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40A00414" w14:textId="70B9DC4A" w:rsidR="002F2389" w:rsidRPr="002F2389" w:rsidRDefault="002F2389"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r w:rsidRPr="002F2389">
        <w:rPr>
          <w:rFonts w:ascii="Arial" w:eastAsiaTheme="minorHAnsi" w:hAnsi="Arial" w:cs="Arial"/>
          <w:b/>
          <w:bCs/>
          <w:kern w:val="2"/>
          <w:sz w:val="28"/>
          <w:szCs w:val="28"/>
          <w:lang w:val="es-CO" w:eastAsia="en-US"/>
          <w14:ligatures w14:val="standardContextual"/>
        </w:rPr>
        <w:lastRenderedPageBreak/>
        <w:t>Metodología</w:t>
      </w:r>
    </w:p>
    <w:p w14:paraId="55C953B3"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El estudio se enmarca dentro de un enfoque cualitativo, que explora las dinámicas y desafíos que enfrentan las agencias de aseguramiento de la calidad en la educación superior en Iberoamérica, especialmente en el contexto posterior a la pandemia de COVID-19.</w:t>
      </w:r>
    </w:p>
    <w:p w14:paraId="279CCB1A"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La recopilación de datos se realizó mediante una revisión sistemática de literatura académica, documentos institucionales y reportes de agencias de aseguramiento de la calidad. Se emplearon bases de datos académicas como </w:t>
      </w:r>
      <w:proofErr w:type="spellStart"/>
      <w:r w:rsidRPr="002F2389">
        <w:rPr>
          <w:rFonts w:ascii="Arial" w:eastAsiaTheme="minorHAnsi" w:hAnsi="Arial" w:cs="Arial"/>
          <w:kern w:val="2"/>
          <w:lang w:val="es-CO" w:eastAsia="en-US"/>
          <w14:ligatures w14:val="standardContextual"/>
        </w:rPr>
        <w:t>Scopus</w:t>
      </w:r>
      <w:proofErr w:type="spellEnd"/>
      <w:r w:rsidRPr="002F2389">
        <w:rPr>
          <w:rFonts w:ascii="Arial" w:eastAsiaTheme="minorHAnsi" w:hAnsi="Arial" w:cs="Arial"/>
          <w:kern w:val="2"/>
          <w:lang w:val="es-CO" w:eastAsia="en-US"/>
          <w14:ligatures w14:val="standardContextual"/>
        </w:rPr>
        <w:t xml:space="preserve">, Web </w:t>
      </w:r>
      <w:proofErr w:type="spellStart"/>
      <w:r w:rsidRPr="002F2389">
        <w:rPr>
          <w:rFonts w:ascii="Arial" w:eastAsiaTheme="minorHAnsi" w:hAnsi="Arial" w:cs="Arial"/>
          <w:kern w:val="2"/>
          <w:lang w:val="es-CO" w:eastAsia="en-US"/>
          <w14:ligatures w14:val="standardContextual"/>
        </w:rPr>
        <w:t>of</w:t>
      </w:r>
      <w:proofErr w:type="spellEnd"/>
      <w:r w:rsidRPr="002F2389">
        <w:rPr>
          <w:rFonts w:ascii="Arial" w:eastAsiaTheme="minorHAnsi" w:hAnsi="Arial" w:cs="Arial"/>
          <w:kern w:val="2"/>
          <w:lang w:val="es-CO" w:eastAsia="en-US"/>
          <w14:ligatures w14:val="standardContextual"/>
        </w:rPr>
        <w:t xml:space="preserve"> </w:t>
      </w:r>
      <w:proofErr w:type="spellStart"/>
      <w:r w:rsidRPr="002F2389">
        <w:rPr>
          <w:rFonts w:ascii="Arial" w:eastAsiaTheme="minorHAnsi" w:hAnsi="Arial" w:cs="Arial"/>
          <w:kern w:val="2"/>
          <w:lang w:val="es-CO" w:eastAsia="en-US"/>
          <w14:ligatures w14:val="standardContextual"/>
        </w:rPr>
        <w:t>Science</w:t>
      </w:r>
      <w:proofErr w:type="spellEnd"/>
      <w:r w:rsidRPr="002F2389">
        <w:rPr>
          <w:rFonts w:ascii="Arial" w:eastAsiaTheme="minorHAnsi" w:hAnsi="Arial" w:cs="Arial"/>
          <w:kern w:val="2"/>
          <w:lang w:val="es-CO" w:eastAsia="en-US"/>
          <w14:ligatures w14:val="standardContextual"/>
        </w:rPr>
        <w:t>, y SciELO, se seleccionaron publicaciones de los últimos cinco años para garantizar la relevancia y actualidad de la información.</w:t>
      </w:r>
    </w:p>
    <w:p w14:paraId="45286C74"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Se utilizó una búsqueda sistemática en bases de datos como </w:t>
      </w:r>
      <w:proofErr w:type="spellStart"/>
      <w:r w:rsidRPr="002F2389">
        <w:rPr>
          <w:rFonts w:ascii="Arial" w:eastAsiaTheme="minorHAnsi" w:hAnsi="Arial" w:cs="Arial"/>
          <w:kern w:val="2"/>
          <w:lang w:val="es-CO" w:eastAsia="en-US"/>
          <w14:ligatures w14:val="standardContextual"/>
        </w:rPr>
        <w:t>Scopus</w:t>
      </w:r>
      <w:proofErr w:type="spellEnd"/>
      <w:r w:rsidRPr="002F2389">
        <w:rPr>
          <w:rFonts w:ascii="Arial" w:eastAsiaTheme="minorHAnsi" w:hAnsi="Arial" w:cs="Arial"/>
          <w:kern w:val="2"/>
          <w:lang w:val="es-CO" w:eastAsia="en-US"/>
          <w14:ligatures w14:val="standardContextual"/>
        </w:rPr>
        <w:t xml:space="preserve">, Web </w:t>
      </w:r>
      <w:proofErr w:type="spellStart"/>
      <w:r w:rsidRPr="002F2389">
        <w:rPr>
          <w:rFonts w:ascii="Arial" w:eastAsiaTheme="minorHAnsi" w:hAnsi="Arial" w:cs="Arial"/>
          <w:kern w:val="2"/>
          <w:lang w:val="es-CO" w:eastAsia="en-US"/>
          <w14:ligatures w14:val="standardContextual"/>
        </w:rPr>
        <w:t>of</w:t>
      </w:r>
      <w:proofErr w:type="spellEnd"/>
      <w:r w:rsidRPr="002F2389">
        <w:rPr>
          <w:rFonts w:ascii="Arial" w:eastAsiaTheme="minorHAnsi" w:hAnsi="Arial" w:cs="Arial"/>
          <w:kern w:val="2"/>
          <w:lang w:val="es-CO" w:eastAsia="en-US"/>
          <w14:ligatures w14:val="standardContextual"/>
        </w:rPr>
        <w:t xml:space="preserve"> </w:t>
      </w:r>
      <w:proofErr w:type="spellStart"/>
      <w:r w:rsidRPr="002F2389">
        <w:rPr>
          <w:rFonts w:ascii="Arial" w:eastAsiaTheme="minorHAnsi" w:hAnsi="Arial" w:cs="Arial"/>
          <w:kern w:val="2"/>
          <w:lang w:val="es-CO" w:eastAsia="en-US"/>
          <w14:ligatures w14:val="standardContextual"/>
        </w:rPr>
        <w:t>Science</w:t>
      </w:r>
      <w:proofErr w:type="spellEnd"/>
      <w:r w:rsidRPr="002F2389">
        <w:rPr>
          <w:rFonts w:ascii="Arial" w:eastAsiaTheme="minorHAnsi" w:hAnsi="Arial" w:cs="Arial"/>
          <w:kern w:val="2"/>
          <w:lang w:val="es-CO" w:eastAsia="en-US"/>
          <w14:ligatures w14:val="standardContextual"/>
        </w:rPr>
        <w:t xml:space="preserve"> y SciELO, empleando términos clave como "aseguramiento de la calidad", "educación superior", "post-pandemia", "Iberoamérica" y "agencias de acreditación". </w:t>
      </w:r>
    </w:p>
    <w:p w14:paraId="3AD566F9"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Para el análisis de los datos, se empleó la técnica de análisis de contenido cualitativo. Esto implicó la identificación de temas centrales, categorización de datos y el establecimiento de patrones y tendencias en las respuestas de las agencias de aseguramiento de la calidad frente a los desafíos post-pandemia.</w:t>
      </w:r>
    </w:p>
    <w:p w14:paraId="39C9692B"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33871799"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27DC2737" w14:textId="7ED459D4" w:rsidR="002F2389" w:rsidRPr="002F2389" w:rsidRDefault="002F2389"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r w:rsidRPr="002F2389">
        <w:rPr>
          <w:rFonts w:ascii="Arial" w:eastAsiaTheme="minorHAnsi" w:hAnsi="Arial" w:cs="Arial"/>
          <w:b/>
          <w:bCs/>
          <w:kern w:val="2"/>
          <w:sz w:val="28"/>
          <w:szCs w:val="28"/>
          <w:lang w:val="es-CO" w:eastAsia="en-US"/>
          <w14:ligatures w14:val="standardContextual"/>
        </w:rPr>
        <w:lastRenderedPageBreak/>
        <w:t>Resultados</w:t>
      </w:r>
    </w:p>
    <w:p w14:paraId="43D92AC5" w14:textId="77777777" w:rsidR="002F2389" w:rsidRPr="002F2389" w:rsidRDefault="002F2389" w:rsidP="002F2389">
      <w:pPr>
        <w:spacing w:before="240" w:after="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Transformaciones en la Educación Superior Iberoamericana:</w:t>
      </w:r>
    </w:p>
    <w:p w14:paraId="7D4A8D79"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La educación superior en Iberoamérica ha experimentado un cambio significativo hacia modalidades emergentes, como el aprendizaje digital y el uso intensivo de las TIC, en respuesta a la demanda creciente de habilidades blandas, tales como comunicación, liderazgo y adaptabilidad, cruciales en el mercado laboral contemporáneo. Los sistemas de acreditación regional, como </w:t>
      </w:r>
      <w:proofErr w:type="spellStart"/>
      <w:r w:rsidRPr="002F2389">
        <w:rPr>
          <w:rFonts w:ascii="Arial" w:eastAsiaTheme="minorHAnsi" w:hAnsi="Arial" w:cs="Arial"/>
          <w:kern w:val="2"/>
          <w:lang w:val="es-CO" w:eastAsia="en-US"/>
          <w14:ligatures w14:val="standardContextual"/>
        </w:rPr>
        <w:t>Arcusur</w:t>
      </w:r>
      <w:proofErr w:type="spellEnd"/>
      <w:r w:rsidRPr="002F2389">
        <w:rPr>
          <w:rFonts w:ascii="Arial" w:eastAsiaTheme="minorHAnsi" w:hAnsi="Arial" w:cs="Arial"/>
          <w:kern w:val="2"/>
          <w:lang w:val="es-CO" w:eastAsia="en-US"/>
          <w14:ligatures w14:val="standardContextual"/>
        </w:rPr>
        <w:t>, han jugado un papel fundamental en la integración y armonización educativa, fomentando la cooperación y el reconocimiento mutuo de la calidad educativa entre los países.</w:t>
      </w:r>
    </w:p>
    <w:p w14:paraId="302246DB" w14:textId="77777777" w:rsidR="002F2389" w:rsidRPr="002F2389" w:rsidRDefault="002F2389" w:rsidP="002F2389">
      <w:pPr>
        <w:spacing w:before="240" w:after="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Desafíos de Acceso y Calidad:</w:t>
      </w:r>
    </w:p>
    <w:p w14:paraId="2E05089D"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Según el Informe 2024 sobre Educación Superior en Iberoamérica publicado por el Centro Interuniversitario de Desarrollo (CINDA), la matrícula en educación superior ha aumentado un 38% entre 2013-2014 y 2020-2021, alcanzando aproximadamente 29,9 millones de estudiantes</w:t>
      </w:r>
      <w:sdt>
        <w:sdtPr>
          <w:rPr>
            <w:rFonts w:ascii="Arial" w:eastAsiaTheme="minorHAnsi" w:hAnsi="Arial" w:cs="Arial"/>
            <w:kern w:val="2"/>
            <w:lang w:val="es-CO" w:eastAsia="en-US"/>
            <w14:ligatures w14:val="standardContextual"/>
          </w:rPr>
          <w:id w:val="-582213724"/>
          <w:citation/>
        </w:sdtPr>
        <w:sdtEndPr/>
        <w:sdtContent>
          <w:r w:rsidRPr="002F2389">
            <w:rPr>
              <w:rFonts w:ascii="Arial" w:eastAsiaTheme="minorHAnsi" w:hAnsi="Arial" w:cs="Arial"/>
              <w:kern w:val="2"/>
              <w:lang w:val="es-CO" w:eastAsia="en-US"/>
              <w14:ligatures w14:val="standardContextual"/>
            </w:rPr>
            <w:fldChar w:fldCharType="begin"/>
          </w:r>
          <w:r w:rsidRPr="002F2389">
            <w:rPr>
              <w:rFonts w:ascii="Arial" w:eastAsiaTheme="minorHAnsi" w:hAnsi="Arial" w:cs="Arial"/>
              <w:kern w:val="2"/>
              <w:lang w:val="es-MX" w:eastAsia="en-US"/>
              <w14:ligatures w14:val="standardContextual"/>
            </w:rPr>
            <w:instrText xml:space="preserve"> CITATION Bru24 \l 1033 </w:instrText>
          </w:r>
          <w:r w:rsidRPr="002F2389">
            <w:rPr>
              <w:rFonts w:ascii="Arial" w:eastAsiaTheme="minorHAnsi" w:hAnsi="Arial" w:cs="Arial"/>
              <w:kern w:val="2"/>
              <w:lang w:val="es-CO" w:eastAsia="en-US"/>
              <w14:ligatures w14:val="standardContextual"/>
            </w:rPr>
            <w:fldChar w:fldCharType="separate"/>
          </w:r>
          <w:r w:rsidRPr="002F2389">
            <w:rPr>
              <w:rFonts w:ascii="Arial" w:eastAsiaTheme="minorHAnsi" w:hAnsi="Arial" w:cs="Arial"/>
              <w:noProof/>
              <w:kern w:val="2"/>
              <w:lang w:val="es-MX" w:eastAsia="en-US"/>
              <w14:ligatures w14:val="standardContextual"/>
            </w:rPr>
            <w:t xml:space="preserve"> (Brunner, 2024)</w:t>
          </w:r>
          <w:r w:rsidRPr="002F2389">
            <w:rPr>
              <w:rFonts w:ascii="Arial" w:eastAsiaTheme="minorHAnsi" w:hAnsi="Arial" w:cs="Arial"/>
              <w:kern w:val="2"/>
              <w:lang w:val="es-CO" w:eastAsia="en-US"/>
              <w14:ligatures w14:val="standardContextual"/>
            </w:rPr>
            <w:fldChar w:fldCharType="end"/>
          </w:r>
        </w:sdtContent>
      </w:sdt>
      <w:r w:rsidRPr="002F2389">
        <w:rPr>
          <w:rFonts w:ascii="Arial" w:eastAsiaTheme="minorHAnsi" w:hAnsi="Arial" w:cs="Arial"/>
          <w:kern w:val="2"/>
          <w:lang w:val="es-CO" w:eastAsia="en-US"/>
          <w14:ligatures w14:val="standardContextual"/>
        </w:rPr>
        <w:t>. A pesar de este crecimiento, la expansión no ha sido homogénea, lo que evidencia una marcada desigualdad en el acceso, particularmente para estudiantes de bajos ingresos y de zonas rurales. El predominio de la matrícula privada, que equivale al 54%, presenta desafíos adicionales en términos de regulación y aseguramiento de la calidad. Aunque las brechas de género en campos como ciencia y tecnología han disminuido, persisten y requieren atención continua.</w:t>
      </w:r>
    </w:p>
    <w:p w14:paraId="1D6B00AC" w14:textId="77777777" w:rsidR="00F61D76" w:rsidRDefault="00F61D76" w:rsidP="002F2389">
      <w:pPr>
        <w:spacing w:before="240" w:after="240" w:line="360" w:lineRule="auto"/>
        <w:jc w:val="both"/>
        <w:rPr>
          <w:rFonts w:ascii="Arial" w:eastAsiaTheme="minorHAnsi" w:hAnsi="Arial" w:cs="Arial"/>
          <w:b/>
          <w:bCs/>
          <w:kern w:val="2"/>
          <w:lang w:val="es-CO" w:eastAsia="en-US"/>
          <w14:ligatures w14:val="standardContextual"/>
        </w:rPr>
      </w:pPr>
    </w:p>
    <w:p w14:paraId="12284CB3" w14:textId="60A10C8A" w:rsidR="002F2389" w:rsidRPr="002F2389" w:rsidRDefault="002F2389" w:rsidP="002F2389">
      <w:pPr>
        <w:spacing w:before="240" w:after="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lastRenderedPageBreak/>
        <w:t xml:space="preserve">Impacto Tecnológico y Adaptación a la Pandemia: </w:t>
      </w:r>
    </w:p>
    <w:p w14:paraId="2F132474"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pandemia de COVID-19 aceleró la transición hacia la educación en línea, una modalidad que, aunque ya existente, vio un incremento significativo en su adopción. Antes de la pandemia, alrededor del 80% de las universidades en América Latina y el Caribe estaban equipadas con plataformas tecnológicas adecuadas para la educación a distancia. Durante la pandemia, un 8% adicional de instituciones implementó nuevas plataformas, Moodle fue entre ellas la más destacada en la región</w:t>
      </w:r>
      <w:sdt>
        <w:sdtPr>
          <w:rPr>
            <w:rFonts w:ascii="Arial" w:eastAsiaTheme="minorHAnsi" w:hAnsi="Arial" w:cs="Arial"/>
            <w:kern w:val="2"/>
            <w:lang w:val="es-CO" w:eastAsia="en-US"/>
            <w14:ligatures w14:val="standardContextual"/>
          </w:rPr>
          <w:id w:val="-312252584"/>
          <w:citation/>
        </w:sdtPr>
        <w:sdtEndPr/>
        <w:sdtContent>
          <w:r w:rsidRPr="002F2389">
            <w:rPr>
              <w:rFonts w:ascii="Arial" w:eastAsiaTheme="minorHAnsi" w:hAnsi="Arial" w:cs="Arial"/>
              <w:kern w:val="2"/>
              <w:lang w:val="es-CO" w:eastAsia="en-US"/>
              <w14:ligatures w14:val="standardContextual"/>
            </w:rPr>
            <w:fldChar w:fldCharType="begin"/>
          </w:r>
          <w:r w:rsidRPr="002F2389">
            <w:rPr>
              <w:rFonts w:ascii="Arial" w:eastAsiaTheme="minorHAnsi" w:hAnsi="Arial" w:cs="Arial"/>
              <w:kern w:val="2"/>
              <w:lang w:val="es-MX" w:eastAsia="en-US"/>
              <w14:ligatures w14:val="standardContextual"/>
            </w:rPr>
            <w:instrText xml:space="preserve"> CITATION UNE21 \l 1033 </w:instrText>
          </w:r>
          <w:r w:rsidRPr="002F2389">
            <w:rPr>
              <w:rFonts w:ascii="Arial" w:eastAsiaTheme="minorHAnsi" w:hAnsi="Arial" w:cs="Arial"/>
              <w:kern w:val="2"/>
              <w:lang w:val="es-CO" w:eastAsia="en-US"/>
              <w14:ligatures w14:val="standardContextual"/>
            </w:rPr>
            <w:fldChar w:fldCharType="separate"/>
          </w:r>
          <w:r w:rsidRPr="002F2389">
            <w:rPr>
              <w:rFonts w:ascii="Arial" w:eastAsiaTheme="minorHAnsi" w:hAnsi="Arial" w:cs="Arial"/>
              <w:noProof/>
              <w:kern w:val="2"/>
              <w:lang w:val="es-MX" w:eastAsia="en-US"/>
              <w14:ligatures w14:val="standardContextual"/>
            </w:rPr>
            <w:t xml:space="preserve"> (UNESCO- IESALC, 2021)</w:t>
          </w:r>
          <w:r w:rsidRPr="002F2389">
            <w:rPr>
              <w:rFonts w:ascii="Arial" w:eastAsiaTheme="minorHAnsi" w:hAnsi="Arial" w:cs="Arial"/>
              <w:kern w:val="2"/>
              <w:lang w:val="es-CO" w:eastAsia="en-US"/>
              <w14:ligatures w14:val="standardContextual"/>
            </w:rPr>
            <w:fldChar w:fldCharType="end"/>
          </w:r>
        </w:sdtContent>
      </w:sdt>
      <w:r w:rsidRPr="002F2389">
        <w:rPr>
          <w:rFonts w:ascii="Arial" w:eastAsiaTheme="minorHAnsi" w:hAnsi="Arial" w:cs="Arial"/>
          <w:kern w:val="2"/>
          <w:lang w:val="es-CO" w:eastAsia="en-US"/>
          <w14:ligatures w14:val="standardContextual"/>
        </w:rPr>
        <w:t>. Este abrupto cambio hacia la enseñanza en línea requirió una rápida adaptación en la capacitación de docentes y la evaluación de los estudiantes, que generó nuevos modelos pedagógicos y promovió intensos debates sobre la efectividad de la enseñanza presencial versus la distancia.</w:t>
      </w:r>
    </w:p>
    <w:p w14:paraId="0C6A3D2D"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Sin embargo, en este momento lo que se está imponiendo a nivel mundial es la modalidad híbrida, que no consiste en hacer una parte presencial y otra virtual, sino que es la interrelación de la presencialidad y la virtualidad en una nueva modalidad, en la cual no se transmite la clase a través de Internet ni tampoco contenidos como modalidad virtual; se trata de una nueva perspectiva que integra posibilidades en espacios de aprendizaje, con mecanismos de evaluación, espacios de discusión e interacción que favorezcan el aprendizaje y respondan a diversos estilos de aprendizaje y necesidades.</w:t>
      </w:r>
    </w:p>
    <w:p w14:paraId="62B9A250"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La necesidad de contar con tecnologías para estas nuevas realidades ha implicado la participación del sector privado. Se han fortalecido las alianzas para construcción y uso de las plataformas, de los desarrollos, de los laboratorios simulados, de los </w:t>
      </w:r>
      <w:r w:rsidRPr="002F2389">
        <w:rPr>
          <w:rFonts w:ascii="Arial" w:eastAsiaTheme="minorHAnsi" w:hAnsi="Arial" w:cs="Arial"/>
          <w:kern w:val="2"/>
          <w:lang w:val="es-CO" w:eastAsia="en-US"/>
          <w14:ligatures w14:val="standardContextual"/>
        </w:rPr>
        <w:lastRenderedPageBreak/>
        <w:t>espacios de aprendizaje mediados tecnológicamente. Los altos costos e inversiones que requiere este soporte tecnológico han generado la necesidad de estas alianzas y de trabajo conjunto.</w:t>
      </w:r>
    </w:p>
    <w:p w14:paraId="0694D565"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Las agencias de acreditación (AAC) en Iberoamérica mostraron una notable capacidad de adaptación durante la pandemia. Si bien algunas AAC interrumpieron sus operaciones, la mayoría adoptó protocolos para reuniones virtuales y evaluaciones remotas, utilizando tecnologías digitales para garantizar la continuidad de los procesos de acreditación (Brunner, 2024). Algunas agencias desarrollaron plataformas específicas para la gestión de documentos y la interacción en línea, agilizando los procesos y reduciendo los tiempos de respuesta. En Colombia, por ejemplo, algunas instituciones de educación superior (IES) mostraron sus campus utilizando drones, y otras utilizaron juegos de simulación virtual para demostrar la calidad de sus programas.</w:t>
      </w:r>
    </w:p>
    <w:p w14:paraId="16CB409C"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pandemia también impulsó la innovación en la evaluación. La necesidad de adaptarse a la virtualidad obligó a las AAC a explorar nuevas formas de evaluar la calidad de los programas e instituciones, lo que resultó en el desarrollo de herramientas y enfoques innovadores. Se demostró así la validez de las tecnologías digitales para la evaluación y se abrieron nuevas posibilidades para la mejora continua de los procesos de acreditación.</w:t>
      </w:r>
    </w:p>
    <w:p w14:paraId="0E7A6E00"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A nivel global, el 74% de las agencias operaban de forma remota durante la pandemia. En Estados Unidos, más de la mitad de las agencias pospusieron visitas presenciales y el 71% extendió los términos de acreditación (</w:t>
      </w:r>
      <w:proofErr w:type="spellStart"/>
      <w:r w:rsidRPr="002F2389">
        <w:rPr>
          <w:rFonts w:ascii="Arial" w:eastAsiaTheme="minorHAnsi" w:hAnsi="Arial" w:cs="Arial"/>
          <w:kern w:val="2"/>
          <w:lang w:val="es-CO" w:eastAsia="en-US"/>
          <w14:ligatures w14:val="standardContextual"/>
        </w:rPr>
        <w:t>Hou</w:t>
      </w:r>
      <w:proofErr w:type="spellEnd"/>
      <w:r w:rsidRPr="002F2389">
        <w:rPr>
          <w:rFonts w:ascii="Arial" w:eastAsiaTheme="minorHAnsi" w:hAnsi="Arial" w:cs="Arial"/>
          <w:kern w:val="2"/>
          <w:lang w:val="es-CO" w:eastAsia="en-US"/>
          <w14:ligatures w14:val="standardContextual"/>
        </w:rPr>
        <w:t xml:space="preserve">, 2022). En Europa </w:t>
      </w:r>
      <w:r w:rsidRPr="002F2389">
        <w:rPr>
          <w:rFonts w:ascii="Arial" w:eastAsiaTheme="minorHAnsi" w:hAnsi="Arial" w:cs="Arial"/>
          <w:kern w:val="2"/>
          <w:lang w:val="es-CO" w:eastAsia="en-US"/>
          <w14:ligatures w14:val="standardContextual"/>
        </w:rPr>
        <w:lastRenderedPageBreak/>
        <w:t>y Asia, se adoptaron visitas virtuales en un 32% y 16% de los casos, respectivamente</w:t>
      </w:r>
      <w:sdt>
        <w:sdtPr>
          <w:rPr>
            <w:rFonts w:ascii="Arial" w:eastAsiaTheme="minorHAnsi" w:hAnsi="Arial" w:cs="Arial"/>
            <w:kern w:val="2"/>
            <w:lang w:val="es-CO" w:eastAsia="en-US"/>
            <w14:ligatures w14:val="standardContextual"/>
          </w:rPr>
          <w:id w:val="743612408"/>
          <w:citation/>
        </w:sdtPr>
        <w:sdtEndPr/>
        <w:sdtContent>
          <w:r w:rsidRPr="002F2389">
            <w:rPr>
              <w:rFonts w:ascii="Arial" w:eastAsiaTheme="minorHAnsi" w:hAnsi="Arial" w:cs="Arial"/>
              <w:kern w:val="2"/>
              <w:lang w:val="es-CO" w:eastAsia="en-US"/>
              <w14:ligatures w14:val="standardContextual"/>
            </w:rPr>
            <w:fldChar w:fldCharType="begin"/>
          </w:r>
          <w:r w:rsidRPr="002F2389">
            <w:rPr>
              <w:rFonts w:ascii="Arial" w:eastAsiaTheme="minorHAnsi" w:hAnsi="Arial" w:cs="Arial"/>
              <w:kern w:val="2"/>
              <w:lang w:val="es-MX" w:eastAsia="en-US"/>
              <w14:ligatures w14:val="standardContextual"/>
            </w:rPr>
            <w:instrText xml:space="preserve"> CITATION Mot201 \l 1033 </w:instrText>
          </w:r>
          <w:r w:rsidRPr="002F2389">
            <w:rPr>
              <w:rFonts w:ascii="Arial" w:eastAsiaTheme="minorHAnsi" w:hAnsi="Arial" w:cs="Arial"/>
              <w:kern w:val="2"/>
              <w:lang w:val="es-CO" w:eastAsia="en-US"/>
              <w14:ligatures w14:val="standardContextual"/>
            </w:rPr>
            <w:fldChar w:fldCharType="separate"/>
          </w:r>
          <w:r w:rsidRPr="002F2389">
            <w:rPr>
              <w:rFonts w:ascii="Arial" w:eastAsiaTheme="minorHAnsi" w:hAnsi="Arial" w:cs="Arial"/>
              <w:noProof/>
              <w:kern w:val="2"/>
              <w:lang w:val="es-MX" w:eastAsia="en-US"/>
              <w14:ligatures w14:val="standardContextual"/>
            </w:rPr>
            <w:t xml:space="preserve"> (Motova, 2020)</w:t>
          </w:r>
          <w:r w:rsidRPr="002F2389">
            <w:rPr>
              <w:rFonts w:ascii="Arial" w:eastAsiaTheme="minorHAnsi" w:hAnsi="Arial" w:cs="Arial"/>
              <w:kern w:val="2"/>
              <w:lang w:val="es-CO" w:eastAsia="en-US"/>
              <w14:ligatures w14:val="standardContextual"/>
            </w:rPr>
            <w:fldChar w:fldCharType="end"/>
          </w:r>
        </w:sdtContent>
      </w:sdt>
      <w:r w:rsidRPr="002F2389">
        <w:rPr>
          <w:rFonts w:ascii="Arial" w:eastAsiaTheme="minorHAnsi" w:hAnsi="Arial" w:cs="Arial"/>
          <w:kern w:val="2"/>
          <w:lang w:val="es-CO" w:eastAsia="en-US"/>
          <w14:ligatures w14:val="standardContextual"/>
        </w:rPr>
        <w:t>. Aunque no hay datos específicos para América Latina, es probable que la región haya enfrentado desafíos y oportunidades similares en la adopción de tecnologías de comunicación a distancia.</w:t>
      </w:r>
    </w:p>
    <w:p w14:paraId="09DABADD"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acreditación remota ha emergido como un nuevo desafío y una oportunidad para las AAC en Iberoamérica. En la actualidad, varias agencias cuentan con plataformas específicas para cargar informes, interactuar en línea y agilizar los procesos de evaluación, lo que permite acortar los tiempos de respuesta y mejorar la eficiencia.</w:t>
      </w:r>
    </w:p>
    <w:p w14:paraId="273F60FE" w14:textId="77777777" w:rsidR="002F2389" w:rsidRPr="002F2389" w:rsidRDefault="002F2389" w:rsidP="002F2389">
      <w:pPr>
        <w:spacing w:before="240" w:after="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Adaptación y Gestión de la Calidad de los Posgrados en Iberoamérica</w:t>
      </w:r>
    </w:p>
    <w:p w14:paraId="4578A64C"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Además de las transformaciones observadas en las modalidades de enseñanza general en Iberoamérica, es crucial resaltar la adaptación específica de los programas de posgrado frente a las circunstancias derivadas de la pandemia. Un estudio reciente ha mostrado que, a pesar de los desafíos iniciales, la modalidad virtual fue bien recibida por los estudiantes, quienes experimentaron bajos niveles de deserción y valoraron positivamente las experiencias de aprendizaje ofrecidas durante este período turbulento.</w:t>
      </w:r>
      <w:r w:rsidRPr="002F2389">
        <w:rPr>
          <w:rFonts w:ascii="Arial" w:eastAsiaTheme="minorHAnsi" w:hAnsi="Arial" w:cs="Arial"/>
          <w:noProof/>
          <w:kern w:val="2"/>
          <w:lang w:val="es-MX" w:eastAsia="en-US"/>
          <w14:ligatures w14:val="standardContextual"/>
        </w:rPr>
        <w:t xml:space="preserve"> </w:t>
      </w:r>
      <w:r w:rsidRPr="002F2389">
        <w:rPr>
          <w:rFonts w:ascii="Arial" w:eastAsiaTheme="minorHAnsi" w:hAnsi="Arial" w:cs="Arial"/>
          <w:noProof/>
          <w:kern w:val="2"/>
          <w:lang w:eastAsia="en-US"/>
          <w14:ligatures w14:val="standardContextual"/>
        </w:rPr>
        <w:t>(Arriaga, 2023)</w:t>
      </w:r>
    </w:p>
    <w:p w14:paraId="40908A06"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Durante la pandemia, los programas de posgrado tuvieron que revisar y adaptar con rapidez sus metodologías de enseñanza y evaluación para continuar proporcionando educación de calidad. Esta transición a modalidades en línea y híbridas incluyó la integración de tecnologías avanzadas y la revisión de los </w:t>
      </w:r>
      <w:r w:rsidRPr="002F2389">
        <w:rPr>
          <w:rFonts w:ascii="Arial" w:eastAsiaTheme="minorHAnsi" w:hAnsi="Arial" w:cs="Arial"/>
          <w:kern w:val="2"/>
          <w:lang w:val="es-CO" w:eastAsia="en-US"/>
          <w14:ligatures w14:val="standardContextual"/>
        </w:rPr>
        <w:lastRenderedPageBreak/>
        <w:t>objetivos pedagógicos para garantizar que respondieran eficazmente a los diversos estilos de aprendizaje y necesidades específicas de los estudiantes avanzados.</w:t>
      </w:r>
    </w:p>
    <w:p w14:paraId="040BEEE9"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Las agencias de acreditación jugaron un papel fundamental en validar estos nuevos modelos pedagógicos, asegurando que los cambios implementados no comprometieran la integridad y la calidad de la educación avanzada. Además, la autoevaluación y la mejora continua se intensificaron, exigiendo a los programas demostrar no solo conformidad con los estándares académicos sino también una capacidad resiliente para innovar y responder a las demandas cambiantes del mercado laboral.</w:t>
      </w:r>
    </w:p>
    <w:p w14:paraId="58D9153E"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El estudio también subraya la importancia de fortalecer continuamente los servicios docentes y administrativos a través de capacitación y sensibilización. Además, destaca la necesidad de mejorar las habilidades lingüísticas y tecnológicas de los estudiantes para maximizar su éxito en modalidades de aprendizaje en línea.</w:t>
      </w:r>
    </w:p>
    <w:p w14:paraId="1B10D8FF" w14:textId="77777777" w:rsidR="002F2389" w:rsidRPr="002F2389" w:rsidRDefault="002F2389" w:rsidP="002F2389">
      <w:pPr>
        <w:spacing w:before="240"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Con estas adaptaciones, los programas de posgrado no solo han logrado superar los desafíos presentados por la pandemia, sino que también han establecido un precedente para futuras innovaciones educativas que podrían continuar beneficiando a los estudiantes y a las instituciones a largo plazo.</w:t>
      </w:r>
    </w:p>
    <w:p w14:paraId="482FCC80"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6493D24E"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64EBD675" w14:textId="77777777" w:rsidR="00F61D76" w:rsidRDefault="00F61D76"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p>
    <w:p w14:paraId="70617092" w14:textId="15F7F7D8" w:rsidR="002F2389" w:rsidRPr="002F2389" w:rsidRDefault="002F2389"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r w:rsidRPr="002F2389">
        <w:rPr>
          <w:rFonts w:ascii="Arial" w:eastAsiaTheme="minorHAnsi" w:hAnsi="Arial" w:cs="Arial"/>
          <w:b/>
          <w:bCs/>
          <w:kern w:val="2"/>
          <w:sz w:val="28"/>
          <w:szCs w:val="28"/>
          <w:lang w:val="es-CO" w:eastAsia="en-US"/>
          <w14:ligatures w14:val="standardContextual"/>
        </w:rPr>
        <w:lastRenderedPageBreak/>
        <w:t>Discusión</w:t>
      </w:r>
    </w:p>
    <w:p w14:paraId="65288B3F" w14:textId="77777777" w:rsidR="002F2389" w:rsidRPr="002F2389" w:rsidRDefault="002F2389" w:rsidP="002F2389">
      <w:pPr>
        <w:spacing w:before="240" w:after="240"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El Rol de las Agencias de Acreditación</w:t>
      </w:r>
    </w:p>
    <w:p w14:paraId="5F72D39D"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En esta dinámica de cambios, tendencias y tensiones sociales, políticas y económicas de nuestros países, así como de los llamados de transformación a la educación superior, las agencias cumplen un papel muy importante en esta perspectiva, entre ellas, se resaltan las siguientes:</w:t>
      </w:r>
    </w:p>
    <w:p w14:paraId="532D252C"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05F7DB7C"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Promoción de la autoevaluación y mejora continua:</w:t>
      </w:r>
      <w:r w:rsidRPr="002F2389">
        <w:rPr>
          <w:rFonts w:ascii="Arial" w:eastAsiaTheme="minorHAnsi" w:hAnsi="Arial" w:cs="Arial"/>
          <w:kern w:val="2"/>
          <w:lang w:val="es-CO" w:eastAsia="en-US"/>
          <w14:ligatures w14:val="standardContextual"/>
        </w:rPr>
        <w:t xml:space="preserve"> Las agencias instan a las instituciones a implementar procesos de autoevaluación rigurosos y continuos que fomenten la mejora permanente, asegura así que tanto los programas como la gestión institucional evolucionen para satisfacer las necesidades emergentes de la sociedad y del mercado laboral.</w:t>
      </w:r>
    </w:p>
    <w:p w14:paraId="10ABD700"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Facilitación de la movilidad estudiantil y docente:</w:t>
      </w:r>
      <w:r w:rsidRPr="002F2389">
        <w:rPr>
          <w:rFonts w:ascii="Arial" w:eastAsiaTheme="minorHAnsi" w:hAnsi="Arial" w:cs="Arial"/>
          <w:kern w:val="2"/>
          <w:lang w:val="es-CO" w:eastAsia="en-US"/>
          <w14:ligatures w14:val="standardContextual"/>
        </w:rPr>
        <w:t xml:space="preserve"> Promueven iniciativas que permiten la movilidad transfronteriza de estudiantes y docentes, esencial para el intercambio de conocimientos y la diversificación de las experiencias educativas. Este esfuerzo incluye la simplificación de procesos de reconocimiento de títulos y calificaciones a nivel internacional.</w:t>
      </w:r>
    </w:p>
    <w:p w14:paraId="2B63E242"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Promoción de la comparabilidad y reconocimiento de títulos:</w:t>
      </w:r>
      <w:r w:rsidRPr="002F2389">
        <w:rPr>
          <w:rFonts w:ascii="Arial" w:eastAsiaTheme="minorHAnsi" w:hAnsi="Arial" w:cs="Arial"/>
          <w:kern w:val="2"/>
          <w:lang w:val="es-CO" w:eastAsia="en-US"/>
          <w14:ligatures w14:val="standardContextual"/>
        </w:rPr>
        <w:t xml:space="preserve"> Las agencias trabajan hacia la estandarización y reconocimiento de títulos académicos a nivel global, lo que es clave para facilitar la movilidad internacional y la integración educativa y profesional entre países.</w:t>
      </w:r>
    </w:p>
    <w:p w14:paraId="31EBCDDA"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lastRenderedPageBreak/>
        <w:t>Aseguramiento de oferta educativa relevante y actualizada:</w:t>
      </w:r>
      <w:r w:rsidRPr="002F2389">
        <w:rPr>
          <w:rFonts w:ascii="Arial" w:eastAsiaTheme="minorHAnsi" w:hAnsi="Arial" w:cs="Arial"/>
          <w:kern w:val="2"/>
          <w:lang w:val="es-CO" w:eastAsia="en-US"/>
          <w14:ligatures w14:val="standardContextual"/>
        </w:rPr>
        <w:t xml:space="preserve"> Se enfatiza que los currículos y programas educativos estén alineados con las últimas tendencias del mercado laboral, incorporando avances tecnológicos y científicos para mantener la relevancia académica y profesional de los egresados.</w:t>
      </w:r>
    </w:p>
    <w:p w14:paraId="3E44EFCC"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Impacto en el desarrollo económico y social:</w:t>
      </w:r>
      <w:r w:rsidRPr="002F2389">
        <w:rPr>
          <w:rFonts w:ascii="Arial" w:eastAsiaTheme="minorHAnsi" w:hAnsi="Arial" w:cs="Arial"/>
          <w:kern w:val="2"/>
          <w:lang w:val="es-CO" w:eastAsia="en-US"/>
          <w14:ligatures w14:val="standardContextual"/>
        </w:rPr>
        <w:t xml:space="preserve"> Contribuyen significativamente al desarrollo económico y social mediante el mejoramiento de la calidad de la educación superior, lo que prepara a los estudiantes no solo para empleos actuales sino para futuras carreras en sectores emergentes.</w:t>
      </w:r>
    </w:p>
    <w:p w14:paraId="75B04983" w14:textId="77777777" w:rsidR="002F2389" w:rsidRPr="002F2389" w:rsidRDefault="002F2389" w:rsidP="002F2389">
      <w:pPr>
        <w:numPr>
          <w:ilvl w:val="0"/>
          <w:numId w:val="43"/>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Construcción de confianza:</w:t>
      </w:r>
      <w:r w:rsidRPr="002F2389">
        <w:rPr>
          <w:rFonts w:ascii="Arial" w:eastAsiaTheme="minorHAnsi" w:hAnsi="Arial" w:cs="Arial"/>
          <w:kern w:val="2"/>
          <w:lang w:val="es-CO" w:eastAsia="en-US"/>
          <w14:ligatures w14:val="standardContextual"/>
        </w:rPr>
        <w:t xml:space="preserve"> Establecen y mantienen altos estándares de calidad que ofrecen garantías a estudiantes, familias, empleadores y gobiernos de que las instituciones educativas cumplen con criterios de excelencia académica y profesional.</w:t>
      </w:r>
    </w:p>
    <w:p w14:paraId="07010FB8" w14:textId="77777777" w:rsidR="002F2389" w:rsidRPr="002F2389" w:rsidRDefault="002F2389" w:rsidP="002F2389">
      <w:pPr>
        <w:spacing w:line="360" w:lineRule="auto"/>
        <w:contextualSpacing/>
        <w:jc w:val="both"/>
        <w:rPr>
          <w:rFonts w:ascii="Arial" w:eastAsiaTheme="minorHAnsi" w:hAnsi="Arial" w:cs="Arial"/>
          <w:kern w:val="2"/>
          <w:lang w:val="es-CO" w:eastAsia="en-US"/>
          <w14:ligatures w14:val="standardContextual"/>
        </w:rPr>
      </w:pPr>
    </w:p>
    <w:p w14:paraId="4EC4B353"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Dinámicas actuales y prospectiva de la Educación Superior</w:t>
      </w:r>
    </w:p>
    <w:p w14:paraId="6B205ACE"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p>
    <w:p w14:paraId="53488101"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educación superior está experimentando una transformación significativa influenciada por factores demográficos cambiantes y la aparición de nuevas modalidades educativas, como las micro credenciales y las micro maestrías. Estas innovaciones surgen como respuesta a la necesidad de un enfoque educativo más flexible y orientado a competencias específicas, diseñado para mejorar la inserción laboral y satisfacer las exigencias dinámicas del mercado laboral.</w:t>
      </w:r>
    </w:p>
    <w:p w14:paraId="1F89DA0F"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067F2AFF"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Esta tendencia hacia una educación personalizada y adaptable destaca la necesidad de estrategias educativas que no solo se enfoquen en la adquisición de conocimientos disciplinares, sino también en el desarrollo de habilidades blandas y digitales. Estas competencias son cruciales para la interacción social y personal en un mundo cada vez más digitalizado. La integración de habilidades digitales es una respuesta no solo a la disminución de matrículas en algunos programas tradicionales, sino también a un creciente interés por especializaciones que requieren tales habilidades.</w:t>
      </w:r>
    </w:p>
    <w:p w14:paraId="57A13F4B"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60060519"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Además, el futuro de la educación superior se perfila bajo la influencia de la inteligencia artificial, la cual no solo sirve como herramienta formativa sino también como un catalizador que redefine las profesiones y la interacción en los espacios de aprendizaje. En este contexto, la creación de ecosistemas de aprendizaje digital se vuelve imperativa, especialmente en momentos donde el desarrollo tecnológico alcanza niveles sin precedentes.</w:t>
      </w:r>
    </w:p>
    <w:p w14:paraId="61FE7CA7"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6EA05BD5" w14:textId="5B181C54" w:rsid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Resulta de interés destacar la iniciativa de la IESALC-UNESCO, que mediante encuestas busca recabar opiniones estudiantiles sobre cómo desean que sea la educación superior hacia el año 2050. Estos estudios apuntan hacia expectativas de una educación asequible, innovadora, de alta calidad, sostenible y equitativa. Este panorama futuro plantea preguntas críticas sobre si las agencias de aseguramiento de la calidad están adecuadamente preparadas para responder a estas expectativas emergentes.</w:t>
      </w:r>
    </w:p>
    <w:p w14:paraId="47039A7B"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18EFFFFB"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capacidad de las agencias de aseguramiento de la calidad para adaptarse y responder a estos retos será determinante para garantizar que la educación superior no solo cumpla con los estándares de calidad actuales, sino que también se mantenga relevante y efectiva frente a las exigencias futuras.</w:t>
      </w:r>
    </w:p>
    <w:p w14:paraId="4A3BEE90"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2F2D8100"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Desafíos emergentes</w:t>
      </w:r>
    </w:p>
    <w:p w14:paraId="7FBAB82F"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p>
    <w:p w14:paraId="3938E573"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Las agencias enfrentan varios desafíos emergentes que requieren atención inmediata:</w:t>
      </w:r>
    </w:p>
    <w:p w14:paraId="56C748B7"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363D6973" w14:textId="77777777" w:rsidR="002F2389" w:rsidRPr="002F2389" w:rsidRDefault="002F2389" w:rsidP="002F2389">
      <w:pPr>
        <w:numPr>
          <w:ilvl w:val="0"/>
          <w:numId w:val="44"/>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Brecha tecnológica y competencias digitales:</w:t>
      </w:r>
      <w:r w:rsidRPr="002F2389">
        <w:rPr>
          <w:rFonts w:ascii="Arial" w:eastAsiaTheme="minorHAnsi" w:hAnsi="Arial" w:cs="Arial"/>
          <w:kern w:val="2"/>
          <w:lang w:val="es-CO" w:eastAsia="en-US"/>
          <w14:ligatures w14:val="standardContextual"/>
        </w:rPr>
        <w:t xml:space="preserve"> La creciente necesidad de habilidades digitales en todos los niveles de educación obliga a las agencias a considerar cómo los programas pueden integrar eficazmente la tecnología en sus currículos para mejorar el acceso y la calidad de la educación.</w:t>
      </w:r>
    </w:p>
    <w:p w14:paraId="6D0339DD" w14:textId="77777777" w:rsidR="002F2389" w:rsidRPr="002F2389" w:rsidRDefault="002F2389" w:rsidP="002F2389">
      <w:pPr>
        <w:numPr>
          <w:ilvl w:val="0"/>
          <w:numId w:val="44"/>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Credibilidad nacional e internacional:</w:t>
      </w:r>
      <w:r w:rsidRPr="002F2389">
        <w:rPr>
          <w:rFonts w:ascii="Arial" w:eastAsiaTheme="minorHAnsi" w:hAnsi="Arial" w:cs="Arial"/>
          <w:kern w:val="2"/>
          <w:lang w:val="es-CO" w:eastAsia="en-US"/>
          <w14:ligatures w14:val="standardContextual"/>
        </w:rPr>
        <w:t xml:space="preserve"> Las agencias deben trabajar en fortalecer la confianza en las acreditaciones que otorgan, asegurando que los títulos sean reconocidos y valorados tanto nacional como internacionalmente.</w:t>
      </w:r>
    </w:p>
    <w:p w14:paraId="2FCFD25D" w14:textId="77777777" w:rsidR="002F2389" w:rsidRPr="002F2389" w:rsidRDefault="002F2389" w:rsidP="002F2389">
      <w:pPr>
        <w:numPr>
          <w:ilvl w:val="0"/>
          <w:numId w:val="44"/>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Adaptación a los nuevos modelos educativos:</w:t>
      </w:r>
      <w:r w:rsidRPr="002F2389">
        <w:rPr>
          <w:rFonts w:ascii="Arial" w:eastAsiaTheme="minorHAnsi" w:hAnsi="Arial" w:cs="Arial"/>
          <w:kern w:val="2"/>
          <w:lang w:val="es-CO" w:eastAsia="en-US"/>
          <w14:ligatures w14:val="standardContextual"/>
        </w:rPr>
        <w:t xml:space="preserve"> La diversificación de la oferta educativa y los nuevos modelos de entrega como la educación en línea o híbrida exigen que las agencias desarrollen y ajusten sus criterios de </w:t>
      </w:r>
      <w:r w:rsidRPr="002F2389">
        <w:rPr>
          <w:rFonts w:ascii="Arial" w:eastAsiaTheme="minorHAnsi" w:hAnsi="Arial" w:cs="Arial"/>
          <w:kern w:val="2"/>
          <w:lang w:val="es-CO" w:eastAsia="en-US"/>
          <w14:ligatures w14:val="standardContextual"/>
        </w:rPr>
        <w:lastRenderedPageBreak/>
        <w:t>evaluación para garantizar que todos los modos de educación cumplan con los estándares de calidad requeridos.</w:t>
      </w:r>
    </w:p>
    <w:p w14:paraId="52C61605" w14:textId="77777777" w:rsidR="002F2389" w:rsidRPr="002F2389" w:rsidRDefault="002F2389" w:rsidP="002F2389">
      <w:pPr>
        <w:numPr>
          <w:ilvl w:val="0"/>
          <w:numId w:val="44"/>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Competencia y relevancia:</w:t>
      </w:r>
      <w:r w:rsidRPr="002F2389">
        <w:rPr>
          <w:rFonts w:ascii="Arial" w:eastAsiaTheme="minorHAnsi" w:hAnsi="Arial" w:cs="Arial"/>
          <w:kern w:val="2"/>
          <w:lang w:val="es-CO" w:eastAsia="en-US"/>
          <w14:ligatures w14:val="standardContextual"/>
        </w:rPr>
        <w:t xml:space="preserve"> Con la creciente oferta de programas de posgrado, las instituciones deben asegurarse de que sus programas sean competitivos y relevantes. Esto implica no solo mejorar la calidad educativa, sino también garantizar que los egresados estén preparados para enfrentar los desafíos del mundo laboral post-pandemia.</w:t>
      </w:r>
    </w:p>
    <w:p w14:paraId="1447AEA9"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1D045201"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Los retos de las agencias de aseguramiento de la calidad</w:t>
      </w:r>
    </w:p>
    <w:p w14:paraId="49CAA437"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p>
    <w:p w14:paraId="7E0AA021"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educación superior está inmersa en un proceso de transformación profunda, caracterizada por la convergencia de la virtualidad, la internacionalización y la innovación. En este contexto dinámico, las agencias de aseguramiento de la calidad enfrentan desafíos complejos que requieren una adaptación significativa en sus operaciones y estrategias:</w:t>
      </w:r>
    </w:p>
    <w:p w14:paraId="78ADFD22"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45D4F7F7" w14:textId="77777777" w:rsidR="002F2389" w:rsidRPr="002F2389" w:rsidRDefault="002F2389" w:rsidP="002F2389">
      <w:pPr>
        <w:numPr>
          <w:ilvl w:val="0"/>
          <w:numId w:val="45"/>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Adaptabilidad y mejora continua:</w:t>
      </w:r>
      <w:r w:rsidRPr="002F2389">
        <w:rPr>
          <w:rFonts w:ascii="Arial" w:eastAsiaTheme="minorHAnsi" w:hAnsi="Arial" w:cs="Arial"/>
          <w:kern w:val="2"/>
          <w:lang w:val="es-CO" w:eastAsia="en-US"/>
          <w14:ligatures w14:val="standardContextual"/>
        </w:rPr>
        <w:t xml:space="preserve"> Las agencias deben incorporar prácticas evaluativas flexibles capaces de adaptarse a la rapidez de los cambios en el ámbito educativo. Esto implica un compromiso continuo con la mejora de la calidad educativa, revisando y ajustando los estándares de acreditación conforme evolucionan las necesidades educativas y las demandas del mercado laboral.</w:t>
      </w:r>
    </w:p>
    <w:p w14:paraId="163986E4" w14:textId="77777777" w:rsidR="002F2389" w:rsidRPr="002F2389" w:rsidRDefault="002F2389" w:rsidP="002F2389">
      <w:pPr>
        <w:numPr>
          <w:ilvl w:val="0"/>
          <w:numId w:val="45"/>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lastRenderedPageBreak/>
        <w:t>Adecuación de métodos de evaluación:</w:t>
      </w:r>
      <w:r w:rsidRPr="002F2389">
        <w:rPr>
          <w:rFonts w:ascii="Arial" w:eastAsiaTheme="minorHAnsi" w:hAnsi="Arial" w:cs="Arial"/>
          <w:kern w:val="2"/>
          <w:lang w:val="es-CO" w:eastAsia="en-US"/>
          <w14:ligatures w14:val="standardContextual"/>
        </w:rPr>
        <w:t xml:space="preserve"> Es imperativo que las agencias de acreditación expandan sus métodos evaluativos para abarcar la creciente diversificación de la oferta </w:t>
      </w:r>
      <w:proofErr w:type="gramStart"/>
      <w:r w:rsidRPr="002F2389">
        <w:rPr>
          <w:rFonts w:ascii="Arial" w:eastAsiaTheme="minorHAnsi" w:hAnsi="Arial" w:cs="Arial"/>
          <w:kern w:val="2"/>
          <w:lang w:val="es-CO" w:eastAsia="en-US"/>
          <w14:ligatures w14:val="standardContextual"/>
        </w:rPr>
        <w:t>educativa,  para</w:t>
      </w:r>
      <w:proofErr w:type="gramEnd"/>
      <w:r w:rsidRPr="002F2389">
        <w:rPr>
          <w:rFonts w:ascii="Arial" w:eastAsiaTheme="minorHAnsi" w:hAnsi="Arial" w:cs="Arial"/>
          <w:kern w:val="2"/>
          <w:lang w:val="es-CO" w:eastAsia="en-US"/>
          <w14:ligatures w14:val="standardContextual"/>
        </w:rPr>
        <w:t xml:space="preserve"> que incluyan cursos en línea, ofertas transnacionales, y nuevas modalidades como certificaciones profesionales y micro credenciales.</w:t>
      </w:r>
    </w:p>
    <w:p w14:paraId="37F8893C" w14:textId="77777777" w:rsidR="002F2389" w:rsidRPr="002F2389" w:rsidRDefault="002F2389" w:rsidP="002F2389">
      <w:pPr>
        <w:numPr>
          <w:ilvl w:val="0"/>
          <w:numId w:val="45"/>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Validación de la relevancia de credenciales:</w:t>
      </w:r>
      <w:r w:rsidRPr="002F2389">
        <w:rPr>
          <w:rFonts w:ascii="Arial" w:eastAsiaTheme="minorHAnsi" w:hAnsi="Arial" w:cs="Arial"/>
          <w:kern w:val="2"/>
          <w:lang w:val="es-CO" w:eastAsia="en-US"/>
          <w14:ligatures w14:val="standardContextual"/>
        </w:rPr>
        <w:t xml:space="preserve"> Las agencias están obligadas a verificar que las diversas credenciales emitidas por instituciones educativas correspondan efectivamente a competencias y conocimientos auténticos y pertinentes.</w:t>
      </w:r>
    </w:p>
    <w:p w14:paraId="54B5834F" w14:textId="77777777" w:rsidR="002F2389" w:rsidRPr="002F2389" w:rsidRDefault="002F2389" w:rsidP="002F2389">
      <w:pPr>
        <w:numPr>
          <w:ilvl w:val="0"/>
          <w:numId w:val="45"/>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Incorporación de modelos evaluativos inclusivos:</w:t>
      </w:r>
      <w:r w:rsidRPr="002F2389">
        <w:rPr>
          <w:rFonts w:ascii="Arial" w:eastAsiaTheme="minorHAnsi" w:hAnsi="Arial" w:cs="Arial"/>
          <w:kern w:val="2"/>
          <w:lang w:val="es-CO" w:eastAsia="en-US"/>
          <w14:ligatures w14:val="standardContextual"/>
        </w:rPr>
        <w:t xml:space="preserve"> Deben reconocer y validar la efectividad de modalidades educativas emergentes, como la educación virtual y híbrida, ajustando sus criterios evaluativos para garantizar la equidad y la calidad en todos los formatos de entrega educativa.</w:t>
      </w:r>
    </w:p>
    <w:p w14:paraId="527B5699"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60B610CF"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Innovaciones en el Proceso de Acreditación</w:t>
      </w:r>
    </w:p>
    <w:p w14:paraId="43AFBE40"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48226A0D"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La integración de innovaciones tecnológicas es crucial para mejorar la eficacia de los procesos de acreditación:</w:t>
      </w:r>
    </w:p>
    <w:p w14:paraId="6B4B5587"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441D0FF5" w14:textId="77777777" w:rsidR="002F2389" w:rsidRPr="002F2389" w:rsidRDefault="002F2389" w:rsidP="002F2389">
      <w:pPr>
        <w:numPr>
          <w:ilvl w:val="0"/>
          <w:numId w:val="46"/>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Sello KALOS:</w:t>
      </w:r>
      <w:r w:rsidRPr="002F2389">
        <w:rPr>
          <w:rFonts w:ascii="Arial" w:eastAsiaTheme="minorHAnsi" w:hAnsi="Arial" w:cs="Arial"/>
          <w:kern w:val="2"/>
          <w:lang w:val="es-CO" w:eastAsia="en-US"/>
          <w14:ligatures w14:val="standardContextual"/>
        </w:rPr>
        <w:t xml:space="preserve"> Un ejemplo destacado de innovación es el sello KALOS, desarrollado como una iniciativa de RIACES para establecer estándares de calidad en programas a distancia y virtuales. Este sello representa un avance </w:t>
      </w:r>
      <w:r w:rsidRPr="002F2389">
        <w:rPr>
          <w:rFonts w:ascii="Arial" w:eastAsiaTheme="minorHAnsi" w:hAnsi="Arial" w:cs="Arial"/>
          <w:kern w:val="2"/>
          <w:lang w:val="es-CO" w:eastAsia="en-US"/>
          <w14:ligatures w14:val="standardContextual"/>
        </w:rPr>
        <w:lastRenderedPageBreak/>
        <w:t>significativo en la acreditación, reconocimiento y garantía de calidad para modalidades de educación innovadoras.</w:t>
      </w:r>
    </w:p>
    <w:p w14:paraId="29FA03D8" w14:textId="77777777" w:rsidR="002F2389" w:rsidRPr="002F2389" w:rsidRDefault="002F2389" w:rsidP="002F2389">
      <w:pPr>
        <w:numPr>
          <w:ilvl w:val="0"/>
          <w:numId w:val="46"/>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Automatización de procesos y uso de inteligencia artificial:</w:t>
      </w:r>
      <w:r w:rsidRPr="002F2389">
        <w:rPr>
          <w:rFonts w:ascii="Arial" w:eastAsiaTheme="minorHAnsi" w:hAnsi="Arial" w:cs="Arial"/>
          <w:kern w:val="2"/>
          <w:lang w:val="es-CO" w:eastAsia="en-US"/>
          <w14:ligatures w14:val="standardContextual"/>
        </w:rPr>
        <w:t xml:space="preserve"> Las agencias deben implementar tecnologías avanzadas para automatizar procesos y utilizar la inteligencia artificial para analizar datos y optimizar decisiones evaluativas. Estas tecnologías no solo aumentan la eficiencia sino que también mejoran la objetividad y precisión de los procesos de acreditación.</w:t>
      </w:r>
    </w:p>
    <w:p w14:paraId="77724723" w14:textId="77777777" w:rsidR="002F2389" w:rsidRPr="002F2389" w:rsidRDefault="002F2389" w:rsidP="002F2389">
      <w:pPr>
        <w:numPr>
          <w:ilvl w:val="0"/>
          <w:numId w:val="46"/>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Plataformas colaborativas:</w:t>
      </w:r>
      <w:r w:rsidRPr="002F2389">
        <w:rPr>
          <w:rFonts w:ascii="Arial" w:eastAsiaTheme="minorHAnsi" w:hAnsi="Arial" w:cs="Arial"/>
          <w:kern w:val="2"/>
          <w:lang w:val="es-CO" w:eastAsia="en-US"/>
          <w14:ligatures w14:val="standardContextual"/>
        </w:rPr>
        <w:t xml:space="preserve"> La adopción de plataformas que faciliten la colaboración en tiempo real entre evaluadores, instituciones y otros grupos de interés es fundamental para incrementar la transparencia y eficiencia del proceso de acreditación.</w:t>
      </w:r>
    </w:p>
    <w:p w14:paraId="76200977"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46180EE5" w14:textId="77777777" w:rsidR="002F2389" w:rsidRPr="002F2389" w:rsidRDefault="002F2389" w:rsidP="002F2389">
      <w:pPr>
        <w:spacing w:line="360" w:lineRule="auto"/>
        <w:jc w:val="both"/>
        <w:rPr>
          <w:rFonts w:ascii="Arial" w:eastAsiaTheme="minorHAnsi" w:hAnsi="Arial" w:cs="Arial"/>
          <w:b/>
          <w:bCs/>
          <w:kern w:val="2"/>
          <w:lang w:val="es-CO" w:eastAsia="en-US"/>
          <w14:ligatures w14:val="standardContextual"/>
        </w:rPr>
      </w:pPr>
      <w:r w:rsidRPr="002F2389">
        <w:rPr>
          <w:rFonts w:ascii="Arial" w:eastAsiaTheme="minorHAnsi" w:hAnsi="Arial" w:cs="Arial"/>
          <w:b/>
          <w:bCs/>
          <w:kern w:val="2"/>
          <w:lang w:val="es-CO" w:eastAsia="en-US"/>
          <w14:ligatures w14:val="standardContextual"/>
        </w:rPr>
        <w:t>Recomendaciones Estratégicas</w:t>
      </w:r>
    </w:p>
    <w:p w14:paraId="240039FD"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37BD6DBC"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Para enfrentar estos retos y maximizar la efectividad de las agencias de acreditación, se recomienda:</w:t>
      </w:r>
    </w:p>
    <w:p w14:paraId="7927A26E" w14:textId="77777777" w:rsidR="002F2389" w:rsidRPr="002F2389" w:rsidRDefault="002F2389" w:rsidP="002F2389">
      <w:pPr>
        <w:spacing w:line="360" w:lineRule="auto"/>
        <w:jc w:val="both"/>
        <w:rPr>
          <w:rFonts w:ascii="Arial" w:eastAsiaTheme="minorHAnsi" w:hAnsi="Arial" w:cs="Arial"/>
          <w:kern w:val="2"/>
          <w:lang w:val="es-CO" w:eastAsia="en-US"/>
          <w14:ligatures w14:val="standardContextual"/>
        </w:rPr>
      </w:pPr>
    </w:p>
    <w:p w14:paraId="008F4DB3" w14:textId="77777777" w:rsidR="002F2389" w:rsidRPr="002F2389" w:rsidRDefault="002F2389" w:rsidP="002F2389">
      <w:pPr>
        <w:numPr>
          <w:ilvl w:val="0"/>
          <w:numId w:val="47"/>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Fortalecer la capacidad tecnológica:</w:t>
      </w:r>
      <w:r w:rsidRPr="002F2389">
        <w:rPr>
          <w:rFonts w:ascii="Arial" w:eastAsiaTheme="minorHAnsi" w:hAnsi="Arial" w:cs="Arial"/>
          <w:kern w:val="2"/>
          <w:lang w:val="es-CO" w:eastAsia="en-US"/>
          <w14:ligatures w14:val="standardContextual"/>
        </w:rPr>
        <w:t xml:space="preserve"> Las agencias deben invertir en soluciones tecnológicas personalizadas que mejoren la gestión y evaluación de la calidad educativa.</w:t>
      </w:r>
    </w:p>
    <w:p w14:paraId="14A489B2" w14:textId="77777777" w:rsidR="002F2389" w:rsidRPr="002F2389" w:rsidRDefault="002F2389" w:rsidP="002F2389">
      <w:pPr>
        <w:numPr>
          <w:ilvl w:val="0"/>
          <w:numId w:val="47"/>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Desarrollar estándares rigurosos para evaluaciones online:</w:t>
      </w:r>
      <w:r w:rsidRPr="002F2389">
        <w:rPr>
          <w:rFonts w:ascii="Arial" w:eastAsiaTheme="minorHAnsi" w:hAnsi="Arial" w:cs="Arial"/>
          <w:kern w:val="2"/>
          <w:lang w:val="es-CO" w:eastAsia="en-US"/>
          <w14:ligatures w14:val="standardContextual"/>
        </w:rPr>
        <w:t xml:space="preserve"> Es crucial establecer criterios claros y robustos para las evaluaciones realizadas en </w:t>
      </w:r>
      <w:r w:rsidRPr="002F2389">
        <w:rPr>
          <w:rFonts w:ascii="Arial" w:eastAsiaTheme="minorHAnsi" w:hAnsi="Arial" w:cs="Arial"/>
          <w:kern w:val="2"/>
          <w:lang w:val="es-CO" w:eastAsia="en-US"/>
          <w14:ligatures w14:val="standardContextual"/>
        </w:rPr>
        <w:lastRenderedPageBreak/>
        <w:t>plataformas en línea, asegurando que mantengan los mismos niveles de exigencia que las evaluaciones presenciales.</w:t>
      </w:r>
    </w:p>
    <w:p w14:paraId="074337F4" w14:textId="77777777" w:rsidR="002F2389" w:rsidRPr="002F2389" w:rsidRDefault="002F2389" w:rsidP="002F2389">
      <w:pPr>
        <w:numPr>
          <w:ilvl w:val="0"/>
          <w:numId w:val="47"/>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Promover la formación continua y la capacitación:</w:t>
      </w:r>
      <w:r w:rsidRPr="002F2389">
        <w:rPr>
          <w:rFonts w:ascii="Arial" w:eastAsiaTheme="minorHAnsi" w:hAnsi="Arial" w:cs="Arial"/>
          <w:kern w:val="2"/>
          <w:lang w:val="es-CO" w:eastAsia="en-US"/>
          <w14:ligatures w14:val="standardContextual"/>
        </w:rPr>
        <w:t xml:space="preserve"> Implementar programas de capacitación continua para evaluadores y personal de las agencias, asegurando que estén equipados con las habilidades necesarias para manejar nuevas tecnologías y enfrentar desafíos emergentes.</w:t>
      </w:r>
    </w:p>
    <w:p w14:paraId="38C632CB" w14:textId="77777777" w:rsidR="002F2389" w:rsidRPr="002F2389" w:rsidRDefault="002F2389" w:rsidP="002F2389">
      <w:pPr>
        <w:numPr>
          <w:ilvl w:val="0"/>
          <w:numId w:val="47"/>
        </w:numPr>
        <w:spacing w:line="360" w:lineRule="auto"/>
        <w:contextualSpacing/>
        <w:jc w:val="both"/>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t>Fomentar la cooperación internacional:</w:t>
      </w:r>
      <w:r w:rsidRPr="002F2389">
        <w:rPr>
          <w:rFonts w:ascii="Arial" w:eastAsiaTheme="minorHAnsi" w:hAnsi="Arial" w:cs="Arial"/>
          <w:kern w:val="2"/>
          <w:lang w:val="es-CO" w:eastAsia="en-US"/>
          <w14:ligatures w14:val="standardContextual"/>
        </w:rPr>
        <w:t xml:space="preserve"> Ampliar la colaboración con agencias acreditadoras internacionales para compartir mejores prácticas y explorar nuevas estrategias de aseguramiento de la calidad.</w:t>
      </w:r>
    </w:p>
    <w:p w14:paraId="269758D9" w14:textId="77777777" w:rsidR="002F2389" w:rsidRPr="002F2389" w:rsidRDefault="002F2389" w:rsidP="002F2389">
      <w:pPr>
        <w:spacing w:before="240" w:after="240" w:line="360" w:lineRule="auto"/>
        <w:jc w:val="both"/>
        <w:rPr>
          <w:rFonts w:ascii="Arial" w:eastAsiaTheme="minorHAnsi" w:hAnsi="Arial" w:cs="Arial"/>
          <w:b/>
          <w:bCs/>
          <w:kern w:val="2"/>
          <w:sz w:val="28"/>
          <w:szCs w:val="28"/>
          <w:lang w:val="es-CO" w:eastAsia="en-US"/>
          <w14:ligatures w14:val="standardContextual"/>
        </w:rPr>
      </w:pPr>
      <w:r w:rsidRPr="002F2389">
        <w:rPr>
          <w:rFonts w:ascii="Arial" w:eastAsiaTheme="minorHAnsi" w:hAnsi="Arial" w:cs="Arial"/>
          <w:b/>
          <w:bCs/>
          <w:kern w:val="2"/>
          <w:sz w:val="28"/>
          <w:szCs w:val="28"/>
          <w:lang w:val="es-CO" w:eastAsia="en-US"/>
          <w14:ligatures w14:val="standardContextual"/>
        </w:rPr>
        <w:t>Conclusión</w:t>
      </w:r>
    </w:p>
    <w:p w14:paraId="17383661" w14:textId="77777777" w:rsidR="002F2389" w:rsidRPr="002F2389" w:rsidRDefault="002F2389" w:rsidP="002F2389">
      <w:pPr>
        <w:spacing w:after="240"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En conclusión, las agencias de aseguramiento de la calidad en la educación superior han alcanzado un punto crítico en su evolución, enfrentando desafíos sin precedentes y oportunidades para la innovación tras la pandemia de COVID-19. La adaptación a los nuevos modelos educativos, la integración efectiva de tecnologías avanzadas y la mejora continua de los procesos evaluativos son indispensables para mantener la relevancia y efectividad de estas agencias. A medida que transitamos en este panorama dinámico, es esencial que las AAC fortalezcan su independencia, transparencia y colaboración internacional para asegurar que la educación superior no solo cumpla con los estándares de calidad, sino que también responda eficazmente a las necesidades de la sociedad. </w:t>
      </w:r>
    </w:p>
    <w:p w14:paraId="628AEDE5" w14:textId="25F3987E" w:rsidR="002F2389" w:rsidRDefault="002F2389" w:rsidP="002F2389">
      <w:pPr>
        <w:spacing w:line="360" w:lineRule="auto"/>
        <w:jc w:val="both"/>
        <w:rPr>
          <w:rFonts w:ascii="Arial" w:eastAsiaTheme="minorHAnsi" w:hAnsi="Arial" w:cs="Arial"/>
          <w:kern w:val="2"/>
          <w:lang w:val="es-CO" w:eastAsia="en-US"/>
          <w14:ligatures w14:val="standardContextual"/>
        </w:rPr>
      </w:pPr>
      <w:r w:rsidRPr="002F2389">
        <w:rPr>
          <w:rFonts w:ascii="Arial" w:eastAsiaTheme="minorHAnsi" w:hAnsi="Arial" w:cs="Arial"/>
          <w:kern w:val="2"/>
          <w:lang w:val="es-CO" w:eastAsia="en-US"/>
          <w14:ligatures w14:val="standardContextual"/>
        </w:rPr>
        <w:t xml:space="preserve">El compromiso con la autoevaluación, la cooperación interinstitucional y la innovación continua será clave para superar los obstáculos actuales y futuros, </w:t>
      </w:r>
      <w:r w:rsidRPr="002F2389">
        <w:rPr>
          <w:rFonts w:ascii="Arial" w:eastAsiaTheme="minorHAnsi" w:hAnsi="Arial" w:cs="Arial"/>
          <w:kern w:val="2"/>
          <w:lang w:val="es-CO" w:eastAsia="en-US"/>
          <w14:ligatures w14:val="standardContextual"/>
        </w:rPr>
        <w:lastRenderedPageBreak/>
        <w:t>garantizando así una educación superior que sea equitativa, inclusiva y adaptada a las realidades del siglo XXI.</w:t>
      </w:r>
    </w:p>
    <w:p w14:paraId="0D2DE5C1" w14:textId="77777777" w:rsidR="00625F84" w:rsidRPr="002F2389" w:rsidRDefault="00625F84" w:rsidP="002F2389">
      <w:pPr>
        <w:spacing w:line="360" w:lineRule="auto"/>
        <w:jc w:val="both"/>
        <w:rPr>
          <w:rFonts w:ascii="Arial" w:eastAsiaTheme="minorHAnsi" w:hAnsi="Arial" w:cs="Arial"/>
          <w:kern w:val="2"/>
          <w:lang w:val="es-CO" w:eastAsia="en-US"/>
          <w14:ligatures w14:val="standardContextual"/>
        </w:rPr>
      </w:pPr>
    </w:p>
    <w:sdt>
      <w:sdtPr>
        <w:rPr>
          <w:rFonts w:ascii="Arial" w:eastAsiaTheme="minorHAnsi" w:hAnsi="Arial" w:cs="Arial"/>
          <w:kern w:val="2"/>
          <w:sz w:val="22"/>
          <w:szCs w:val="22"/>
          <w:lang w:val="es-ES" w:eastAsia="en-US"/>
          <w14:ligatures w14:val="standardContextual"/>
        </w:rPr>
        <w:id w:val="1183328899"/>
        <w:docPartObj>
          <w:docPartGallery w:val="Bibliographies"/>
          <w:docPartUnique/>
        </w:docPartObj>
      </w:sdtPr>
      <w:sdtEndPr>
        <w:rPr>
          <w:sz w:val="24"/>
          <w:szCs w:val="24"/>
          <w:lang w:val="es-CO"/>
        </w:rPr>
      </w:sdtEndPr>
      <w:sdtContent>
        <w:p w14:paraId="40464591" w14:textId="77777777" w:rsidR="002F2389" w:rsidRPr="002F2389" w:rsidRDefault="002F2389" w:rsidP="00625F84">
          <w:pPr>
            <w:keepNext/>
            <w:keepLines/>
            <w:spacing w:line="360" w:lineRule="auto"/>
            <w:outlineLvl w:val="0"/>
            <w:rPr>
              <w:rFonts w:ascii="Arial" w:eastAsiaTheme="majorEastAsia" w:hAnsi="Arial" w:cs="Arial"/>
              <w:b/>
              <w:bCs/>
              <w:lang w:val="es-ES"/>
            </w:rPr>
          </w:pPr>
          <w:r w:rsidRPr="002F2389">
            <w:rPr>
              <w:rFonts w:ascii="Arial" w:eastAsiaTheme="majorEastAsia" w:hAnsi="Arial" w:cs="Arial"/>
              <w:b/>
              <w:bCs/>
              <w:sz w:val="28"/>
              <w:szCs w:val="28"/>
              <w:lang w:val="es-ES"/>
            </w:rPr>
            <w:t>Referencias</w:t>
          </w:r>
        </w:p>
        <w:p w14:paraId="62E7AD15" w14:textId="77777777" w:rsidR="002F2389" w:rsidRPr="002F2389" w:rsidRDefault="002F2389" w:rsidP="00625F84">
          <w:pPr>
            <w:spacing w:line="360" w:lineRule="auto"/>
            <w:rPr>
              <w:rFonts w:ascii="Arial" w:eastAsiaTheme="minorHAnsi" w:hAnsi="Arial" w:cs="Arial"/>
              <w:kern w:val="2"/>
              <w:lang w:val="es-ES"/>
              <w14:ligatures w14:val="standardContextual"/>
            </w:rPr>
          </w:pPr>
        </w:p>
        <w:p w14:paraId="6CE7DD90" w14:textId="77777777" w:rsidR="002F2389" w:rsidRPr="002F2389" w:rsidRDefault="002F2389" w:rsidP="00625F84">
          <w:pPr>
            <w:spacing w:line="360" w:lineRule="auto"/>
            <w:ind w:left="720" w:hanging="720"/>
            <w:rPr>
              <w:rFonts w:ascii="Arial" w:eastAsiaTheme="minorHAnsi" w:hAnsi="Arial" w:cs="Arial"/>
              <w:noProof/>
              <w:lang w:val="es-ES" w:eastAsia="en-US"/>
            </w:rPr>
          </w:pPr>
          <w:r w:rsidRPr="002F2389">
            <w:rPr>
              <w:rFonts w:ascii="Arial" w:eastAsiaTheme="minorHAnsi" w:hAnsi="Arial" w:cs="Arial"/>
              <w:kern w:val="2"/>
              <w:lang w:val="es-CO" w:eastAsia="en-US"/>
              <w14:ligatures w14:val="standardContextual"/>
            </w:rPr>
            <w:fldChar w:fldCharType="begin"/>
          </w:r>
          <w:r w:rsidRPr="002F2389">
            <w:rPr>
              <w:rFonts w:ascii="Arial" w:eastAsiaTheme="minorHAnsi" w:hAnsi="Arial" w:cs="Arial"/>
              <w:kern w:val="2"/>
              <w:lang w:val="es-CO" w:eastAsia="en-US"/>
              <w14:ligatures w14:val="standardContextual"/>
            </w:rPr>
            <w:instrText>BIBLIOGRAPHY</w:instrText>
          </w:r>
          <w:r w:rsidRPr="002F2389">
            <w:rPr>
              <w:rFonts w:ascii="Arial" w:eastAsiaTheme="minorHAnsi" w:hAnsi="Arial" w:cs="Arial"/>
              <w:kern w:val="2"/>
              <w:lang w:val="es-CO" w:eastAsia="en-US"/>
              <w14:ligatures w14:val="standardContextual"/>
            </w:rPr>
            <w:fldChar w:fldCharType="separate"/>
          </w:r>
          <w:r w:rsidRPr="002F2389">
            <w:rPr>
              <w:rFonts w:ascii="Arial" w:eastAsiaTheme="minorHAnsi" w:hAnsi="Arial" w:cs="Arial"/>
              <w:noProof/>
              <w:kern w:val="2"/>
              <w:lang w:val="es-ES" w:eastAsia="en-US"/>
              <w14:ligatures w14:val="standardContextual"/>
            </w:rPr>
            <w:t xml:space="preserve">López Segrera, F. (2023). Posibles futuros de la educación superior en América Latina y el Caribe: antecedentes, situación actual, escenarios y alternativas. </w:t>
          </w:r>
          <w:r w:rsidRPr="002F2389">
            <w:rPr>
              <w:rFonts w:ascii="Arial" w:eastAsiaTheme="minorHAnsi" w:hAnsi="Arial" w:cs="Arial"/>
              <w:i/>
              <w:iCs/>
              <w:noProof/>
              <w:kern w:val="2"/>
              <w:lang w:val="es-ES" w:eastAsia="en-US"/>
              <w14:ligatures w14:val="standardContextual"/>
            </w:rPr>
            <w:t>Revista Educación Superior y Sociedad, 35</w:t>
          </w:r>
          <w:r w:rsidRPr="002F2389">
            <w:rPr>
              <w:rFonts w:ascii="Arial" w:eastAsiaTheme="minorHAnsi" w:hAnsi="Arial" w:cs="Arial"/>
              <w:noProof/>
              <w:kern w:val="2"/>
              <w:lang w:val="es-ES" w:eastAsia="en-US"/>
              <w14:ligatures w14:val="standardContextual"/>
            </w:rPr>
            <w:t>(1), 29-57.</w:t>
          </w:r>
        </w:p>
        <w:p w14:paraId="162BBC79"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s-ES" w:eastAsia="en-US"/>
              <w14:ligatures w14:val="standardContextual"/>
            </w:rPr>
            <w:t xml:space="preserve">Arriaga, M. (2023). Implicaciones de la pandemia por COVID-19 en los programas de posgrado: análisis de percepciones y deserciones estudiantiles. </w:t>
          </w:r>
          <w:r w:rsidRPr="002F2389">
            <w:rPr>
              <w:rFonts w:ascii="Arial" w:eastAsiaTheme="minorHAnsi" w:hAnsi="Arial" w:cs="Arial"/>
              <w:i/>
              <w:iCs/>
              <w:noProof/>
              <w:kern w:val="2"/>
              <w:lang w:val="es-ES" w:eastAsia="en-US"/>
              <w14:ligatures w14:val="standardContextual"/>
            </w:rPr>
            <w:t>Realidades Educativas Entrelazadas</w:t>
          </w:r>
          <w:r w:rsidRPr="002F2389">
            <w:rPr>
              <w:rFonts w:ascii="Arial" w:eastAsiaTheme="minorHAnsi" w:hAnsi="Arial" w:cs="Arial"/>
              <w:noProof/>
              <w:kern w:val="2"/>
              <w:lang w:val="es-ES" w:eastAsia="en-US"/>
              <w14:ligatures w14:val="standardContextual"/>
            </w:rPr>
            <w:t>(2), 2-24.</w:t>
          </w:r>
        </w:p>
        <w:p w14:paraId="26EA3BCF" w14:textId="77777777" w:rsidR="002F2389" w:rsidRPr="002F2389" w:rsidRDefault="002F2389" w:rsidP="00625F84">
          <w:pPr>
            <w:spacing w:line="360" w:lineRule="auto"/>
            <w:ind w:left="720" w:hanging="720"/>
            <w:rPr>
              <w:rFonts w:ascii="Arial" w:eastAsiaTheme="minorHAnsi" w:hAnsi="Arial" w:cs="Arial"/>
              <w:noProof/>
              <w:kern w:val="2"/>
              <w:lang w:val="en-US" w:eastAsia="en-US"/>
              <w14:ligatures w14:val="standardContextual"/>
            </w:rPr>
          </w:pPr>
          <w:r w:rsidRPr="002F2389">
            <w:rPr>
              <w:rFonts w:ascii="Arial" w:eastAsiaTheme="minorHAnsi" w:hAnsi="Arial" w:cs="Arial"/>
              <w:noProof/>
              <w:kern w:val="2"/>
              <w:lang w:val="es-ES" w:eastAsia="en-US"/>
              <w14:ligatures w14:val="standardContextual"/>
            </w:rPr>
            <w:t xml:space="preserve">Brunner, J. (. (2024). </w:t>
          </w:r>
          <w:r w:rsidRPr="002F2389">
            <w:rPr>
              <w:rFonts w:ascii="Arial" w:eastAsiaTheme="minorHAnsi" w:hAnsi="Arial" w:cs="Arial"/>
              <w:i/>
              <w:iCs/>
              <w:noProof/>
              <w:kern w:val="2"/>
              <w:lang w:val="es-ES" w:eastAsia="en-US"/>
              <w14:ligatures w14:val="standardContextual"/>
            </w:rPr>
            <w:t>Educación Superior en Iberoamérica. Informe 2024.</w:t>
          </w:r>
          <w:r w:rsidRPr="002F2389">
            <w:rPr>
              <w:rFonts w:ascii="Arial" w:eastAsiaTheme="minorHAnsi" w:hAnsi="Arial" w:cs="Arial"/>
              <w:noProof/>
              <w:kern w:val="2"/>
              <w:lang w:val="es-ES" w:eastAsia="en-US"/>
              <w14:ligatures w14:val="standardContextual"/>
            </w:rPr>
            <w:t xml:space="preserve"> </w:t>
          </w:r>
          <w:r w:rsidRPr="002F2389">
            <w:rPr>
              <w:rFonts w:ascii="Arial" w:eastAsiaTheme="minorHAnsi" w:hAnsi="Arial" w:cs="Arial"/>
              <w:noProof/>
              <w:kern w:val="2"/>
              <w:lang w:val="en-US" w:eastAsia="en-US"/>
              <w14:ligatures w14:val="standardContextual"/>
            </w:rPr>
            <w:t>Santiago de Chile: Centro Interuniversitario de Desarrollo .</w:t>
          </w:r>
        </w:p>
        <w:p w14:paraId="0305437A"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n-US" w:eastAsia="en-US"/>
              <w14:ligatures w14:val="standardContextual"/>
            </w:rPr>
            <w:t xml:space="preserve">Hou, A. (2022). What Has Been the Impact of COVID-19 on Driving Digitalization, Innovation and Crisis Management of Higher Education and Quality Assurance? A Taiwan Case Study in Alignment with the INQAAHE Virtual Review. </w:t>
          </w:r>
          <w:r w:rsidRPr="002F2389">
            <w:rPr>
              <w:rFonts w:ascii="Arial" w:eastAsiaTheme="minorHAnsi" w:hAnsi="Arial" w:cs="Arial"/>
              <w:i/>
              <w:iCs/>
              <w:noProof/>
              <w:kern w:val="2"/>
              <w:lang w:val="es-ES" w:eastAsia="en-US"/>
              <w14:ligatures w14:val="standardContextual"/>
            </w:rPr>
            <w:t>Higher Education Policy, 35</w:t>
          </w:r>
          <w:r w:rsidRPr="002F2389">
            <w:rPr>
              <w:rFonts w:ascii="Arial" w:eastAsiaTheme="minorHAnsi" w:hAnsi="Arial" w:cs="Arial"/>
              <w:noProof/>
              <w:kern w:val="2"/>
              <w:lang w:val="es-ES" w:eastAsia="en-US"/>
              <w14:ligatures w14:val="standardContextual"/>
            </w:rPr>
            <w:t>(3), 568-590.</w:t>
          </w:r>
        </w:p>
        <w:p w14:paraId="7BFA5989" w14:textId="77777777" w:rsidR="002F2389" w:rsidRPr="002F2389" w:rsidRDefault="002F2389" w:rsidP="00625F84">
          <w:pPr>
            <w:spacing w:line="360" w:lineRule="auto"/>
            <w:ind w:left="720" w:hanging="720"/>
            <w:rPr>
              <w:rFonts w:ascii="Arial" w:eastAsiaTheme="minorHAnsi" w:hAnsi="Arial" w:cs="Arial"/>
              <w:noProof/>
              <w:kern w:val="2"/>
              <w:lang w:val="en-US" w:eastAsia="en-US"/>
              <w14:ligatures w14:val="standardContextual"/>
            </w:rPr>
          </w:pPr>
          <w:r w:rsidRPr="002F2389">
            <w:rPr>
              <w:rFonts w:ascii="Arial" w:eastAsiaTheme="minorHAnsi" w:hAnsi="Arial" w:cs="Arial"/>
              <w:noProof/>
              <w:kern w:val="2"/>
              <w:lang w:val="es-ES" w:eastAsia="en-US"/>
              <w14:ligatures w14:val="standardContextual"/>
            </w:rPr>
            <w:t xml:space="preserve">Marúm Espinosa, E., Sabzalieva, E., &amp; Perez Centeno, C. (2023). Presentación del Dossier temático: “Los Futuros de la Educación Superior en América Latina y el Caribe. </w:t>
          </w:r>
          <w:r w:rsidRPr="002F2389">
            <w:rPr>
              <w:rFonts w:ascii="Arial" w:eastAsiaTheme="minorHAnsi" w:hAnsi="Arial" w:cs="Arial"/>
              <w:i/>
              <w:iCs/>
              <w:noProof/>
              <w:kern w:val="2"/>
              <w:lang w:val="en-US" w:eastAsia="en-US"/>
              <w14:ligatures w14:val="standardContextual"/>
            </w:rPr>
            <w:t>Educación Superior y Sociedad, 35</w:t>
          </w:r>
          <w:r w:rsidRPr="002F2389">
            <w:rPr>
              <w:rFonts w:ascii="Arial" w:eastAsiaTheme="minorHAnsi" w:hAnsi="Arial" w:cs="Arial"/>
              <w:noProof/>
              <w:kern w:val="2"/>
              <w:lang w:val="en-US" w:eastAsia="en-US"/>
              <w14:ligatures w14:val="standardContextual"/>
            </w:rPr>
            <w:t>(1), 19-28.</w:t>
          </w:r>
        </w:p>
        <w:p w14:paraId="4E49E225"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n-US" w:eastAsia="en-US"/>
              <w14:ligatures w14:val="standardContextual"/>
            </w:rPr>
            <w:t xml:space="preserve">Motova, G. (2020). Quality assurance: the new normal and strategies. En ENQA, </w:t>
          </w:r>
          <w:r w:rsidRPr="002F2389">
            <w:rPr>
              <w:rFonts w:ascii="Arial" w:eastAsiaTheme="minorHAnsi" w:hAnsi="Arial" w:cs="Arial"/>
              <w:i/>
              <w:iCs/>
              <w:noProof/>
              <w:kern w:val="2"/>
              <w:lang w:val="en-US" w:eastAsia="en-US"/>
              <w14:ligatures w14:val="standardContextual"/>
            </w:rPr>
            <w:t>Advancing quality in European higher education: celebrating 20 years of ENQA.</w:t>
          </w:r>
          <w:r w:rsidRPr="002F2389">
            <w:rPr>
              <w:rFonts w:ascii="Arial" w:eastAsiaTheme="minorHAnsi" w:hAnsi="Arial" w:cs="Arial"/>
              <w:noProof/>
              <w:kern w:val="2"/>
              <w:lang w:val="en-US" w:eastAsia="en-US"/>
              <w14:ligatures w14:val="standardContextual"/>
            </w:rPr>
            <w:t xml:space="preserve"> </w:t>
          </w:r>
          <w:r w:rsidRPr="002F2389">
            <w:rPr>
              <w:rFonts w:ascii="Arial" w:eastAsiaTheme="minorHAnsi" w:hAnsi="Arial" w:cs="Arial"/>
              <w:noProof/>
              <w:kern w:val="2"/>
              <w:lang w:val="es-ES" w:eastAsia="en-US"/>
              <w14:ligatures w14:val="standardContextual"/>
            </w:rPr>
            <w:t>Bruselas: ENQA.</w:t>
          </w:r>
        </w:p>
        <w:p w14:paraId="03757C4A"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s-ES" w:eastAsia="en-US"/>
              <w14:ligatures w14:val="standardContextual"/>
            </w:rPr>
            <w:lastRenderedPageBreak/>
            <w:t xml:space="preserve">Pedró, F. (2021). ¿Quién le pone el cascabel al gato? Un análisis comparativo de las agencias de garantía de la calidad de la educación superior. </w:t>
          </w:r>
          <w:r w:rsidRPr="002F2389">
            <w:rPr>
              <w:rFonts w:ascii="Arial" w:eastAsiaTheme="minorHAnsi" w:hAnsi="Arial" w:cs="Arial"/>
              <w:i/>
              <w:iCs/>
              <w:noProof/>
              <w:kern w:val="2"/>
              <w:lang w:val="es-ES" w:eastAsia="en-US"/>
              <w14:ligatures w14:val="standardContextual"/>
            </w:rPr>
            <w:t>Revista Española de Educación Comparada, 37</w:t>
          </w:r>
          <w:r w:rsidRPr="002F2389">
            <w:rPr>
              <w:rFonts w:ascii="Arial" w:eastAsiaTheme="minorHAnsi" w:hAnsi="Arial" w:cs="Arial"/>
              <w:noProof/>
              <w:kern w:val="2"/>
              <w:lang w:val="es-ES" w:eastAsia="en-US"/>
              <w14:ligatures w14:val="standardContextual"/>
            </w:rPr>
            <w:t>, 129-152.</w:t>
          </w:r>
        </w:p>
        <w:p w14:paraId="4D2DC400"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s-ES" w:eastAsia="en-US"/>
              <w14:ligatures w14:val="standardContextual"/>
            </w:rPr>
            <w:t xml:space="preserve">Pedró, F. (2022). La crisis de maduración de las agencias de garantía de calidad de la educación superior. </w:t>
          </w:r>
          <w:r w:rsidRPr="002F2389">
            <w:rPr>
              <w:rFonts w:ascii="Arial" w:eastAsiaTheme="minorHAnsi" w:hAnsi="Arial" w:cs="Arial"/>
              <w:i/>
              <w:iCs/>
              <w:noProof/>
              <w:kern w:val="2"/>
              <w:lang w:val="es-ES" w:eastAsia="en-US"/>
              <w14:ligatures w14:val="standardContextual"/>
            </w:rPr>
            <w:t>Revista Iberoamericana de Educación, 88</w:t>
          </w:r>
          <w:r w:rsidRPr="002F2389">
            <w:rPr>
              <w:rFonts w:ascii="Arial" w:eastAsiaTheme="minorHAnsi" w:hAnsi="Arial" w:cs="Arial"/>
              <w:noProof/>
              <w:kern w:val="2"/>
              <w:lang w:val="es-ES" w:eastAsia="en-US"/>
              <w14:ligatures w14:val="standardContextual"/>
            </w:rPr>
            <w:t>(1), 17-32.</w:t>
          </w:r>
        </w:p>
        <w:p w14:paraId="6FC518C7"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s-ES" w:eastAsia="en-US"/>
              <w14:ligatures w14:val="standardContextual"/>
            </w:rPr>
            <w:t xml:space="preserve">UNESCO. (2022). </w:t>
          </w:r>
          <w:r w:rsidRPr="002F2389">
            <w:rPr>
              <w:rFonts w:ascii="Arial" w:eastAsiaTheme="minorHAnsi" w:hAnsi="Arial" w:cs="Arial"/>
              <w:i/>
              <w:iCs/>
              <w:noProof/>
              <w:kern w:val="2"/>
              <w:lang w:val="es-ES" w:eastAsia="en-US"/>
              <w14:ligatures w14:val="standardContextual"/>
            </w:rPr>
            <w:t>Conferencia Mundial de Educación Superior 2022: Reinventando la Educación Superior para un Futuro Sostenible.</w:t>
          </w:r>
          <w:r w:rsidRPr="002F2389">
            <w:rPr>
              <w:rFonts w:ascii="Arial" w:eastAsiaTheme="minorHAnsi" w:hAnsi="Arial" w:cs="Arial"/>
              <w:noProof/>
              <w:kern w:val="2"/>
              <w:lang w:val="es-ES" w:eastAsia="en-US"/>
              <w14:ligatures w14:val="standardContextual"/>
            </w:rPr>
            <w:t xml:space="preserve"> </w:t>
          </w:r>
        </w:p>
        <w:p w14:paraId="77546FE5"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s-ES" w:eastAsia="en-US"/>
              <w14:ligatures w14:val="standardContextual"/>
            </w:rPr>
            <w:t xml:space="preserve">UNESCO- IESALC. (2021). </w:t>
          </w:r>
          <w:r w:rsidRPr="002F2389">
            <w:rPr>
              <w:rFonts w:ascii="Arial" w:eastAsiaTheme="minorHAnsi" w:hAnsi="Arial" w:cs="Arial"/>
              <w:i/>
              <w:iCs/>
              <w:noProof/>
              <w:kern w:val="2"/>
              <w:lang w:val="es-ES" w:eastAsia="en-US"/>
              <w14:ligatures w14:val="standardContextual"/>
            </w:rPr>
            <w:t>Cerrar ahora para reabrir mejor mañana? La continuidad pedagógica en las universidades de América Latina durante la pandemia.</w:t>
          </w:r>
          <w:r w:rsidRPr="002F2389">
            <w:rPr>
              <w:rFonts w:ascii="Arial" w:eastAsiaTheme="minorHAnsi" w:hAnsi="Arial" w:cs="Arial"/>
              <w:noProof/>
              <w:kern w:val="2"/>
              <w:lang w:val="es-ES" w:eastAsia="en-US"/>
              <w14:ligatures w14:val="standardContextual"/>
            </w:rPr>
            <w:t xml:space="preserve"> </w:t>
          </w:r>
        </w:p>
        <w:p w14:paraId="7D5589B7" w14:textId="77777777" w:rsidR="002F2389" w:rsidRPr="002F2389" w:rsidRDefault="002F2389" w:rsidP="00625F84">
          <w:pPr>
            <w:spacing w:line="360" w:lineRule="auto"/>
            <w:ind w:left="720" w:hanging="720"/>
            <w:rPr>
              <w:rFonts w:ascii="Arial" w:eastAsiaTheme="minorHAnsi" w:hAnsi="Arial" w:cs="Arial"/>
              <w:noProof/>
              <w:kern w:val="2"/>
              <w:lang w:val="es-ES" w:eastAsia="en-US"/>
              <w14:ligatures w14:val="standardContextual"/>
            </w:rPr>
          </w:pPr>
          <w:r w:rsidRPr="002F2389">
            <w:rPr>
              <w:rFonts w:ascii="Arial" w:eastAsiaTheme="minorHAnsi" w:hAnsi="Arial" w:cs="Arial"/>
              <w:noProof/>
              <w:kern w:val="2"/>
              <w:lang w:val="en-US" w:eastAsia="en-US"/>
              <w14:ligatures w14:val="standardContextual"/>
            </w:rPr>
            <w:t xml:space="preserve">Uvalić-Trumbić, S., &amp; Martin, M. (2021). </w:t>
          </w:r>
          <w:r w:rsidRPr="002F2389">
            <w:rPr>
              <w:rFonts w:ascii="Arial" w:eastAsiaTheme="minorHAnsi" w:hAnsi="Arial" w:cs="Arial"/>
              <w:i/>
              <w:iCs/>
              <w:noProof/>
              <w:kern w:val="2"/>
              <w:lang w:val="en-US" w:eastAsia="en-US"/>
              <w14:ligatures w14:val="standardContextual"/>
            </w:rPr>
            <w:t>A New Generation of External Quality Assurance: Dynamics of change and innovative approaches.</w:t>
          </w:r>
          <w:r w:rsidRPr="002F2389">
            <w:rPr>
              <w:rFonts w:ascii="Arial" w:eastAsiaTheme="minorHAnsi" w:hAnsi="Arial" w:cs="Arial"/>
              <w:noProof/>
              <w:kern w:val="2"/>
              <w:lang w:val="en-US" w:eastAsia="en-US"/>
              <w14:ligatures w14:val="standardContextual"/>
            </w:rPr>
            <w:t xml:space="preserve"> </w:t>
          </w:r>
          <w:r w:rsidRPr="002F2389">
            <w:rPr>
              <w:rFonts w:ascii="Arial" w:eastAsiaTheme="minorHAnsi" w:hAnsi="Arial" w:cs="Arial"/>
              <w:noProof/>
              <w:kern w:val="2"/>
              <w:lang w:val="es-ES" w:eastAsia="en-US"/>
              <w14:ligatures w14:val="standardContextual"/>
            </w:rPr>
            <w:t>Instituto Internacional de Planificación de la Educación, UNESCO.</w:t>
          </w:r>
        </w:p>
        <w:p w14:paraId="3C6F6EC3" w14:textId="7719CACB" w:rsidR="002F2389" w:rsidRPr="00F80B45" w:rsidRDefault="002F2389" w:rsidP="00B55452">
          <w:pPr>
            <w:spacing w:line="360" w:lineRule="auto"/>
            <w:rPr>
              <w:rFonts w:ascii="Arial" w:eastAsiaTheme="minorHAnsi" w:hAnsi="Arial" w:cs="Arial"/>
              <w:kern w:val="2"/>
              <w:lang w:val="es-CO" w:eastAsia="en-US"/>
              <w14:ligatures w14:val="standardContextual"/>
            </w:rPr>
          </w:pPr>
          <w:r w:rsidRPr="002F2389">
            <w:rPr>
              <w:rFonts w:ascii="Arial" w:eastAsiaTheme="minorHAnsi" w:hAnsi="Arial" w:cs="Arial"/>
              <w:b/>
              <w:bCs/>
              <w:kern w:val="2"/>
              <w:lang w:val="es-CO" w:eastAsia="en-US"/>
              <w14:ligatures w14:val="standardContextual"/>
            </w:rPr>
            <w:fldChar w:fldCharType="end"/>
          </w:r>
        </w:p>
      </w:sdtContent>
    </w:sdt>
    <w:sectPr w:rsidR="002F2389" w:rsidRPr="00F80B45" w:rsidSect="001B5EFE">
      <w:headerReference w:type="default" r:id="rId13"/>
      <w:footerReference w:type="default" r:id="rId14"/>
      <w:pgSz w:w="12240" w:h="15840"/>
      <w:pgMar w:top="1417" w:right="1750" w:bottom="1411" w:left="1701" w:header="708" w:footer="340" w:gutter="0"/>
      <w:pgNumType w:start="1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F37E8" w14:textId="77777777" w:rsidR="009E6DCF" w:rsidRDefault="009E6DCF" w:rsidP="003C3F58">
      <w:r>
        <w:separator/>
      </w:r>
    </w:p>
  </w:endnote>
  <w:endnote w:type="continuationSeparator" w:id="0">
    <w:p w14:paraId="777345FB" w14:textId="77777777" w:rsidR="009E6DCF" w:rsidRDefault="009E6DC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79949BF" w14:textId="694D484A" w:rsidR="0001332F" w:rsidRDefault="0001332F" w:rsidP="0001332F">
        <w:pPr>
          <w:pStyle w:val="Sinespaciado"/>
          <w:jc w:val="center"/>
          <w:rPr>
            <w:rFonts w:ascii="Agency FB" w:hAnsi="Agency FB"/>
            <w:b/>
            <w:color w:val="E36C0A"/>
          </w:rPr>
        </w:pPr>
        <w:r w:rsidRPr="0001332F">
          <w:rPr>
            <w:rFonts w:ascii="Agency FB" w:hAnsi="Agency FB"/>
            <w:b/>
            <w:color w:val="E36C0A"/>
          </w:rPr>
          <w:t>Los Retos de las Agencias de Aseguramiento de la Calidad</w:t>
        </w:r>
      </w:p>
      <w:p w14:paraId="54DB2695" w14:textId="22948EF6" w:rsidR="00DB127C" w:rsidRPr="00DB127C" w:rsidRDefault="00DB127C" w:rsidP="0001332F">
        <w:pPr>
          <w:pStyle w:val="Sinespaciado"/>
          <w:jc w:val="center"/>
          <w:rPr>
            <w:rFonts w:ascii="Agency FB" w:hAnsi="Agency FB"/>
            <w:b/>
            <w:color w:val="E36C0A"/>
          </w:rPr>
        </w:pPr>
        <w:r w:rsidRPr="00DB127C">
          <w:rPr>
            <w:rFonts w:ascii="Agency FB" w:hAnsi="Agency FB"/>
            <w:b/>
            <w:color w:val="E36C0A"/>
          </w:rPr>
          <w:t>Iván-Enrique Ramos-Calderón</w:t>
        </w:r>
        <w:r>
          <w:rPr>
            <w:rFonts w:ascii="Agency FB" w:hAnsi="Agency FB"/>
            <w:b/>
            <w:color w:val="E36C0A"/>
          </w:rPr>
          <w:t xml:space="preserve"> y Olga </w:t>
        </w:r>
        <w:r w:rsidRPr="00DB127C">
          <w:rPr>
            <w:rFonts w:ascii="Agency FB" w:hAnsi="Agency FB"/>
            <w:b/>
            <w:color w:val="E36C0A"/>
          </w:rPr>
          <w:t>Hernández-Limón</w:t>
        </w:r>
      </w:p>
      <w:p w14:paraId="1F70B1D2" w14:textId="2CD3782B" w:rsidR="0020679D" w:rsidRPr="005953BF" w:rsidRDefault="0020679D" w:rsidP="0020679D">
        <w:pPr>
          <w:pStyle w:val="Sinespaciado"/>
          <w:jc w:val="center"/>
          <w:rPr>
            <w:rFonts w:ascii="Agency FB" w:hAnsi="Agency FB"/>
            <w:color w:val="E36C0A"/>
            <w:lang w:val="en-US"/>
          </w:rPr>
        </w:pPr>
        <w:r w:rsidRPr="00DB127C">
          <w:rPr>
            <w:rFonts w:ascii="Agency FB" w:hAnsi="Agency FB"/>
            <w:color w:val="E36C0A"/>
            <w:lang w:val="en-US"/>
          </w:rPr>
          <w:t xml:space="preserve">DOI: </w:t>
        </w:r>
        <w:hyperlink r:id="rId1" w:history="1">
          <w:r w:rsidR="008A1766" w:rsidRPr="00DB127C">
            <w:rPr>
              <w:rStyle w:val="Hipervnculo"/>
              <w:rFonts w:ascii="Agency FB" w:hAnsi="Agency FB"/>
              <w:lang w:val="en-US"/>
            </w:rPr>
            <w:t>http://dx.doi.org/10.22458/caes.v15i2.</w:t>
          </w:r>
        </w:hyperlink>
        <w:r w:rsidRPr="00DB127C">
          <w:rPr>
            <w:rStyle w:val="Hipervnculo"/>
            <w:rFonts w:ascii="Agency FB" w:hAnsi="Agency FB"/>
            <w:lang w:val="en-US"/>
          </w:rPr>
          <w:t>5</w:t>
        </w:r>
        <w:r w:rsidR="00DB127C" w:rsidRPr="00DB127C">
          <w:rPr>
            <w:rStyle w:val="Hipervnculo"/>
            <w:rFonts w:ascii="Agency FB" w:hAnsi="Agency FB"/>
            <w:lang w:val="en-US"/>
          </w:rPr>
          <w:t>565</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E8E1" w14:textId="77777777" w:rsidR="009E6DCF" w:rsidRDefault="009E6DCF" w:rsidP="003C3F58">
      <w:r>
        <w:separator/>
      </w:r>
    </w:p>
  </w:footnote>
  <w:footnote w:type="continuationSeparator" w:id="0">
    <w:p w14:paraId="3CF0489D" w14:textId="77777777" w:rsidR="009E6DCF" w:rsidRDefault="009E6DCF" w:rsidP="003C3F58">
      <w:r>
        <w:continuationSeparator/>
      </w:r>
    </w:p>
  </w:footnote>
  <w:footnote w:id="1">
    <w:p w14:paraId="3CDA730A" w14:textId="48E066F4" w:rsidR="000331C2" w:rsidRPr="000051FF" w:rsidRDefault="000331C2" w:rsidP="000051FF">
      <w:pPr>
        <w:pStyle w:val="Textonotapie"/>
        <w:jc w:val="both"/>
        <w:rPr>
          <w:rFonts w:ascii="Arial" w:hAnsi="Arial" w:cs="Arial"/>
        </w:rPr>
      </w:pPr>
      <w:r w:rsidRPr="000051FF">
        <w:rPr>
          <w:rStyle w:val="Refdenotaalpie"/>
          <w:rFonts w:ascii="Arial" w:hAnsi="Arial" w:cs="Arial"/>
        </w:rPr>
        <w:footnoteRef/>
      </w:r>
      <w:r w:rsidR="000051FF" w:rsidRPr="000051FF">
        <w:rPr>
          <w:rFonts w:ascii="Arial" w:hAnsi="Arial" w:cs="Arial"/>
        </w:rPr>
        <w:t>Intervenciones en la Asamblea de RIACES, Asunción, septiembre de 2023 y en el Foro Internacional de la Alta Calidad en la Educación Superior, Bogotá, octubre de 2023.</w:t>
      </w:r>
    </w:p>
  </w:footnote>
  <w:footnote w:id="2">
    <w:p w14:paraId="7F83BD30" w14:textId="7718A922" w:rsidR="00A82B98" w:rsidRPr="00AA28E7" w:rsidRDefault="00A82B98" w:rsidP="00AA28E7">
      <w:pPr>
        <w:jc w:val="both"/>
        <w:rPr>
          <w:rFonts w:ascii="Arial" w:hAnsi="Arial" w:cs="Arial"/>
          <w:sz w:val="20"/>
          <w:szCs w:val="20"/>
          <w:lang w:val="es-ES"/>
        </w:rPr>
      </w:pPr>
      <w:r w:rsidRPr="000051FF">
        <w:rPr>
          <w:rStyle w:val="Refdenotaalpie"/>
          <w:rFonts w:ascii="Arial" w:eastAsia="Arial" w:hAnsi="Arial" w:cs="Arial"/>
          <w:sz w:val="20"/>
          <w:szCs w:val="20"/>
        </w:rPr>
        <w:footnoteRef/>
      </w:r>
      <w:r w:rsidRPr="000051FF">
        <w:rPr>
          <w:rFonts w:ascii="Arial" w:hAnsi="Arial" w:cs="Arial"/>
          <w:sz w:val="20"/>
          <w:szCs w:val="20"/>
        </w:rPr>
        <w:t xml:space="preserve"> </w:t>
      </w:r>
      <w:r w:rsidR="00AA28E7" w:rsidRPr="000051FF">
        <w:rPr>
          <w:rFonts w:ascii="Arial" w:hAnsi="Arial" w:cs="Arial"/>
          <w:sz w:val="20"/>
          <w:szCs w:val="20"/>
          <w:lang w:val="es-MX"/>
        </w:rPr>
        <w:t>Ingeniero Electricista, Universidad del Valle; M.Sc.</w:t>
      </w:r>
      <w:r w:rsidR="00AA28E7" w:rsidRPr="00AA28E7">
        <w:rPr>
          <w:rFonts w:ascii="Arial" w:hAnsi="Arial" w:cs="Arial"/>
          <w:sz w:val="20"/>
          <w:szCs w:val="20"/>
          <w:lang w:val="es-MX"/>
        </w:rPr>
        <w:t xml:space="preserve"> en Informática Técnica, Escuela Politécnica Federal de </w:t>
      </w:r>
      <w:proofErr w:type="spellStart"/>
      <w:r w:rsidR="00AA28E7" w:rsidRPr="00AA28E7">
        <w:rPr>
          <w:rFonts w:ascii="Arial" w:hAnsi="Arial" w:cs="Arial"/>
          <w:sz w:val="20"/>
          <w:szCs w:val="20"/>
          <w:lang w:val="es-MX"/>
        </w:rPr>
        <w:t>Lausanne</w:t>
      </w:r>
      <w:proofErr w:type="spellEnd"/>
      <w:r w:rsidR="00AA28E7" w:rsidRPr="00AA28E7">
        <w:rPr>
          <w:rFonts w:ascii="Arial" w:hAnsi="Arial" w:cs="Arial"/>
          <w:sz w:val="20"/>
          <w:szCs w:val="20"/>
          <w:lang w:val="es-MX"/>
        </w:rPr>
        <w:t xml:space="preserve">; Maestría en Dirección Universitaria, Universidad de los Andes. Presidente de la </w:t>
      </w:r>
      <w:r w:rsidR="00AA28E7" w:rsidRPr="00AA28E7">
        <w:rPr>
          <w:rFonts w:ascii="Arial" w:hAnsi="Arial" w:cs="Arial"/>
          <w:sz w:val="20"/>
          <w:szCs w:val="20"/>
        </w:rPr>
        <w:t>Red Iberoamericana para el Aseguramiento de la Calidad en la Educación Superior (RIACES)</w:t>
      </w:r>
      <w:r w:rsidR="00AA28E7">
        <w:rPr>
          <w:rFonts w:ascii="Arial" w:hAnsi="Arial" w:cs="Arial"/>
          <w:sz w:val="20"/>
          <w:szCs w:val="20"/>
        </w:rPr>
        <w:t xml:space="preserve">, </w:t>
      </w:r>
      <w:r w:rsidR="00AA28E7" w:rsidRPr="00AA28E7">
        <w:rPr>
          <w:rFonts w:ascii="Arial" w:hAnsi="Arial" w:cs="Arial"/>
          <w:noProof/>
          <w:sz w:val="20"/>
          <w:szCs w:val="20"/>
          <w:lang w:eastAsia="es-CR"/>
        </w:rPr>
        <w:drawing>
          <wp:inline distT="0" distB="0" distL="0" distR="0" wp14:anchorId="78BAB44D" wp14:editId="2DA3D3F4">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A28E7" w:rsidRPr="00AA28E7">
        <w:t xml:space="preserve"> </w:t>
      </w:r>
      <w:r w:rsidR="00AA28E7" w:rsidRPr="00AA28E7">
        <w:rPr>
          <w:rFonts w:ascii="Arial" w:hAnsi="Arial" w:cs="Arial"/>
          <w:sz w:val="20"/>
          <w:szCs w:val="20"/>
        </w:rPr>
        <w:t>https://orcid.org/0009-0004-0598-0164</w:t>
      </w:r>
      <w:r w:rsidR="00AA28E7">
        <w:rPr>
          <w:rFonts w:ascii="Arial" w:hAnsi="Arial" w:cs="Arial"/>
          <w:sz w:val="20"/>
          <w:szCs w:val="20"/>
        </w:rPr>
        <w:t>.</w:t>
      </w:r>
    </w:p>
  </w:footnote>
  <w:footnote w:id="3">
    <w:p w14:paraId="55D06AB4" w14:textId="592C4B84" w:rsidR="00A82B98" w:rsidRPr="0093287B" w:rsidRDefault="00A82B98" w:rsidP="0093287B">
      <w:pPr>
        <w:jc w:val="both"/>
        <w:rPr>
          <w:rFonts w:ascii="Arial" w:hAnsi="Arial" w:cs="Arial"/>
          <w:color w:val="000000" w:themeColor="text1"/>
          <w:sz w:val="20"/>
          <w:szCs w:val="20"/>
        </w:rPr>
      </w:pPr>
      <w:r w:rsidRPr="00AA28E7">
        <w:rPr>
          <w:rStyle w:val="Refdenotaalpie"/>
          <w:rFonts w:ascii="Arial" w:eastAsia="Arial" w:hAnsi="Arial" w:cs="Arial"/>
          <w:sz w:val="20"/>
          <w:szCs w:val="20"/>
        </w:rPr>
        <w:footnoteRef/>
      </w:r>
      <w:r w:rsidRPr="00AA28E7">
        <w:rPr>
          <w:rFonts w:ascii="Arial" w:hAnsi="Arial" w:cs="Arial"/>
          <w:sz w:val="20"/>
          <w:szCs w:val="20"/>
        </w:rPr>
        <w:t xml:space="preserve"> </w:t>
      </w:r>
      <w:r w:rsidR="0093287B" w:rsidRPr="0093287B">
        <w:rPr>
          <w:rFonts w:ascii="Arial" w:hAnsi="Arial" w:cs="Arial"/>
          <w:color w:val="000000" w:themeColor="text1"/>
          <w:sz w:val="20"/>
          <w:szCs w:val="20"/>
        </w:rPr>
        <w:t>Licenciada en Educación y Planeación Educativa por la Universidad Autónoma de Tamaulipas, Maestra en Educación Superior, Universidad Regiomontana de Monterrey y Doctora en Desarrollo de Recursos Humanos por la Universidad de Texas en Austin. Directora Ejecutiva de la Red Iberoamericana para el Aseguramiento de la Calidad en la Educación Superior (RIACES)</w:t>
      </w:r>
      <w:r w:rsidR="00BB2420">
        <w:rPr>
          <w:rFonts w:ascii="Arial" w:hAnsi="Arial" w:cs="Arial"/>
          <w:color w:val="000000" w:themeColor="text1"/>
          <w:sz w:val="20"/>
          <w:szCs w:val="20"/>
        </w:rPr>
        <w:t>,</w:t>
      </w:r>
      <w:r w:rsidR="004520D2">
        <w:rPr>
          <w:rFonts w:ascii="Arial" w:hAnsi="Arial" w:cs="Arial"/>
          <w:color w:val="000000" w:themeColor="text1"/>
          <w:sz w:val="20"/>
          <w:szCs w:val="20"/>
        </w:rPr>
        <w:t xml:space="preserve"> </w:t>
      </w:r>
      <w:r w:rsidR="00C9046E" w:rsidRPr="00AA28E7">
        <w:rPr>
          <w:rFonts w:ascii="Arial" w:hAnsi="Arial" w:cs="Arial"/>
          <w:noProof/>
          <w:sz w:val="20"/>
          <w:szCs w:val="20"/>
          <w:lang w:eastAsia="es-CR"/>
        </w:rPr>
        <w:drawing>
          <wp:inline distT="0" distB="0" distL="0" distR="0" wp14:anchorId="1359FD31" wp14:editId="7E530C66">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520D2" w:rsidRPr="004520D2">
        <w:rPr>
          <w:rFonts w:ascii="Arial" w:hAnsi="Arial" w:cs="Arial"/>
          <w:color w:val="000000" w:themeColor="text1"/>
          <w:sz w:val="20"/>
          <w:szCs w:val="20"/>
        </w:rPr>
        <w:t>https://orcid.org/0009-0004-5207-8616</w:t>
      </w:r>
      <w:r w:rsidR="004520D2">
        <w:rPr>
          <w:rFonts w:ascii="Arial" w:hAnsi="Arial" w:cs="Arial"/>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9AA8BBB" w:rsidR="00A82B98" w:rsidRPr="008A1766" w:rsidRDefault="00A82B98" w:rsidP="008A1766">
    <w:pPr>
      <w:pStyle w:val="Sinespaciado"/>
      <w:jc w:val="center"/>
      <w:rPr>
        <w:rFonts w:ascii="Agency FB" w:hAnsi="Agency FB"/>
        <w:color w:val="E36C0A"/>
        <w:sz w:val="22"/>
        <w:szCs w:val="22"/>
      </w:rPr>
    </w:pPr>
    <w:bookmarkStart w:id="5" w:name="_Hlk151106753"/>
    <w:r w:rsidRPr="008A1766">
      <w:rPr>
        <w:rFonts w:ascii="Agency FB" w:hAnsi="Agency FB"/>
        <w:color w:val="E36C0A"/>
        <w:sz w:val="22"/>
        <w:szCs w:val="22"/>
      </w:rPr>
      <w:t>REVISTA ELECTRÓNICA CALIDAD EN LA EDUCACIÓN SUPERIOR ISSN:</w:t>
    </w:r>
    <w:r w:rsidR="00D056CE">
      <w:rPr>
        <w:rFonts w:ascii="Agency FB" w:hAnsi="Agency FB"/>
        <w:color w:val="E36C0A"/>
        <w:sz w:val="22"/>
        <w:szCs w:val="22"/>
      </w:rPr>
      <w:t xml:space="preserve"> </w:t>
    </w:r>
    <w:r w:rsidRPr="008A1766">
      <w:rPr>
        <w:rFonts w:ascii="Agency FB" w:hAnsi="Agency FB"/>
        <w:color w:val="E36C0A"/>
        <w:sz w:val="22"/>
        <w:szCs w:val="22"/>
      </w:rPr>
      <w:t>1659</w:t>
    </w:r>
    <w:r w:rsidR="00D056CE">
      <w:rPr>
        <w:rFonts w:ascii="Agency FB" w:hAnsi="Agency FB"/>
        <w:color w:val="E36C0A"/>
        <w:sz w:val="22"/>
        <w:szCs w:val="22"/>
      </w:rPr>
      <w:t xml:space="preserve"> </w:t>
    </w:r>
    <w:r w:rsidR="001B5EFE">
      <w:rPr>
        <w:rFonts w:ascii="Agency FB" w:hAnsi="Agency FB"/>
        <w:color w:val="E36C0A"/>
        <w:sz w:val="22"/>
        <w:szCs w:val="22"/>
      </w:rPr>
      <w:t>-</w:t>
    </w:r>
    <w:r w:rsidRPr="008A1766">
      <w:rPr>
        <w:rFonts w:ascii="Agency FB" w:hAnsi="Agency FB"/>
        <w:color w:val="E36C0A"/>
        <w:sz w:val="22"/>
        <w:szCs w:val="22"/>
      </w:rPr>
      <w:t>4703,</w:t>
    </w:r>
    <w:r w:rsidR="008A1766">
      <w:rPr>
        <w:rFonts w:ascii="Agency FB" w:hAnsi="Agency FB"/>
        <w:color w:val="E36C0A"/>
        <w:sz w:val="22"/>
        <w:szCs w:val="22"/>
      </w:rPr>
      <w:t xml:space="preserve"> </w:t>
    </w:r>
    <w:r w:rsidRPr="008A1766">
      <w:rPr>
        <w:rFonts w:ascii="Agency FB" w:hAnsi="Agency FB"/>
        <w:color w:val="E36C0A"/>
        <w:sz w:val="22"/>
        <w:szCs w:val="22"/>
      </w:rPr>
      <w:t>VOL.</w:t>
    </w:r>
    <w:r w:rsidR="008A1766">
      <w:rPr>
        <w:rFonts w:ascii="Agency FB" w:hAnsi="Agency FB"/>
        <w:color w:val="E36C0A"/>
        <w:sz w:val="22"/>
        <w:szCs w:val="22"/>
      </w:rPr>
      <w:t xml:space="preserve"> </w:t>
    </w:r>
    <w:r w:rsidRPr="008A1766">
      <w:rPr>
        <w:rFonts w:ascii="Agency FB" w:hAnsi="Agency FB"/>
        <w:color w:val="E36C0A"/>
        <w:sz w:val="22"/>
        <w:szCs w:val="22"/>
      </w:rPr>
      <w:t>15(</w:t>
    </w:r>
    <w:r w:rsidR="00897E35">
      <w:rPr>
        <w:rFonts w:ascii="Agency FB" w:hAnsi="Agency FB"/>
        <w:color w:val="E36C0A"/>
        <w:sz w:val="22"/>
        <w:szCs w:val="22"/>
      </w:rPr>
      <w:t>Especial</w:t>
    </w:r>
    <w:r w:rsidRPr="008A1766">
      <w:rPr>
        <w:rFonts w:ascii="Agency FB" w:hAnsi="Agency FB"/>
        <w:color w:val="E36C0A"/>
        <w:sz w:val="22"/>
        <w:szCs w:val="22"/>
      </w:rPr>
      <w:t>)</w:t>
    </w:r>
    <w:r w:rsidR="008A1766">
      <w:rPr>
        <w:rFonts w:ascii="Agency FB" w:hAnsi="Agency FB"/>
        <w:color w:val="E36C0A"/>
        <w:sz w:val="22"/>
        <w:szCs w:val="22"/>
      </w:rPr>
      <w:t xml:space="preserve"> </w:t>
    </w:r>
    <w:r w:rsidR="008A1766" w:rsidRPr="008A1766">
      <w:rPr>
        <w:rFonts w:ascii="Agency FB" w:hAnsi="Agency FB"/>
        <w:color w:val="E36C0A"/>
        <w:sz w:val="22"/>
        <w:szCs w:val="22"/>
      </w:rPr>
      <w:t>JUNIO</w:t>
    </w:r>
    <w:r w:rsidRPr="008A1766">
      <w:rPr>
        <w:rFonts w:ascii="Agency FB" w:hAnsi="Agency FB"/>
        <w:color w:val="E36C0A"/>
        <w:sz w:val="22"/>
        <w:szCs w:val="22"/>
      </w:rPr>
      <w:t>-</w:t>
    </w:r>
    <w:r w:rsidR="008A1766" w:rsidRPr="008A1766">
      <w:rPr>
        <w:rFonts w:ascii="Agency FB" w:hAnsi="Agency FB"/>
        <w:color w:val="E36C0A"/>
        <w:sz w:val="22"/>
        <w:szCs w:val="22"/>
      </w:rPr>
      <w:t>NOVIEMBRE</w:t>
    </w:r>
    <w:r w:rsidRPr="008A1766">
      <w:rPr>
        <w:rFonts w:ascii="Agency FB" w:hAnsi="Agency FB"/>
        <w:color w:val="E36C0A"/>
        <w:sz w:val="22"/>
        <w:szCs w:val="22"/>
      </w:rPr>
      <w:t>,</w:t>
    </w:r>
    <w:r w:rsidRPr="0098712E">
      <w:rPr>
        <w:rFonts w:ascii="Agency FB" w:hAnsi="Agency FB"/>
        <w:color w:val="E36C0A"/>
        <w:sz w:val="22"/>
        <w:szCs w:val="22"/>
      </w:rPr>
      <w:t xml:space="preserve">2024: </w:t>
    </w:r>
    <w:r w:rsidR="00D829AB" w:rsidRPr="0098712E">
      <w:rPr>
        <w:rFonts w:ascii="Agency FB" w:hAnsi="Agency FB"/>
        <w:color w:val="E36C0A"/>
        <w:sz w:val="22"/>
        <w:szCs w:val="22"/>
      </w:rPr>
      <w:t>111-</w:t>
    </w:r>
    <w:r w:rsidR="001B5EFE" w:rsidRPr="0098712E">
      <w:rPr>
        <w:rFonts w:ascii="Agency FB" w:hAnsi="Agency FB"/>
        <w:color w:val="E36C0A"/>
        <w:sz w:val="22"/>
        <w:szCs w:val="22"/>
      </w:rPr>
      <w:t>133</w:t>
    </w:r>
  </w:p>
  <w:p w14:paraId="505074AE" w14:textId="7CEF46F0" w:rsidR="00A82B98" w:rsidRPr="00FE0969" w:rsidRDefault="00897E35" w:rsidP="00A82B98">
    <w:pPr>
      <w:pStyle w:val="Sinespaciado"/>
      <w:jc w:val="center"/>
      <w:rPr>
        <w:rFonts w:ascii="Agency FB" w:hAnsi="Agency FB"/>
        <w:color w:val="E36C0A"/>
      </w:rPr>
    </w:pPr>
    <w:r>
      <w:rPr>
        <w:noProof/>
      </w:rPr>
      <w:drawing>
        <wp:inline distT="0" distB="0" distL="0" distR="0" wp14:anchorId="028163AC" wp14:editId="65427026">
          <wp:extent cx="5581015" cy="8001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1015" cy="800100"/>
                  </a:xfrm>
                  <a:prstGeom prst="rect">
                    <a:avLst/>
                  </a:prstGeom>
                </pic:spPr>
              </pic:pic>
            </a:graphicData>
          </a:graphic>
        </wp:inline>
      </w:drawing>
    </w:r>
  </w:p>
  <w:p w14:paraId="39990B5B" w14:textId="77777777" w:rsidR="00A82B98" w:rsidRPr="0081623B" w:rsidRDefault="0037581E"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5"/>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2"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4" w15:restartNumberingAfterBreak="0">
    <w:nsid w:val="143D12B5"/>
    <w:multiLevelType w:val="hybridMultilevel"/>
    <w:tmpl w:val="D930A9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0"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5"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E934530"/>
    <w:multiLevelType w:val="hybridMultilevel"/>
    <w:tmpl w:val="0216432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1"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8"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9"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1"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1B92EA2"/>
    <w:multiLevelType w:val="hybridMultilevel"/>
    <w:tmpl w:val="7B3C0D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5" w15:restartNumberingAfterBreak="0">
    <w:nsid w:val="67A038A0"/>
    <w:multiLevelType w:val="hybridMultilevel"/>
    <w:tmpl w:val="37C4BF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C732DE"/>
    <w:multiLevelType w:val="hybridMultilevel"/>
    <w:tmpl w:val="45F89B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4"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22"/>
  </w:num>
  <w:num w:numId="4">
    <w:abstractNumId w:val="26"/>
  </w:num>
  <w:num w:numId="5">
    <w:abstractNumId w:val="2"/>
  </w:num>
  <w:num w:numId="6">
    <w:abstractNumId w:val="25"/>
  </w:num>
  <w:num w:numId="7">
    <w:abstractNumId w:val="44"/>
  </w:num>
  <w:num w:numId="8">
    <w:abstractNumId w:val="15"/>
  </w:num>
  <w:num w:numId="9">
    <w:abstractNumId w:val="32"/>
  </w:num>
  <w:num w:numId="10">
    <w:abstractNumId w:val="23"/>
  </w:num>
  <w:num w:numId="11">
    <w:abstractNumId w:val="0"/>
  </w:num>
  <w:num w:numId="12">
    <w:abstractNumId w:val="43"/>
  </w:num>
  <w:num w:numId="13">
    <w:abstractNumId w:val="29"/>
  </w:num>
  <w:num w:numId="14">
    <w:abstractNumId w:val="5"/>
  </w:num>
  <w:num w:numId="15">
    <w:abstractNumId w:val="14"/>
  </w:num>
  <w:num w:numId="16">
    <w:abstractNumId w:val="8"/>
  </w:num>
  <w:num w:numId="17">
    <w:abstractNumId w:val="10"/>
  </w:num>
  <w:num w:numId="18">
    <w:abstractNumId w:val="33"/>
  </w:num>
  <w:num w:numId="19">
    <w:abstractNumId w:val="9"/>
  </w:num>
  <w:num w:numId="20">
    <w:abstractNumId w:val="31"/>
  </w:num>
  <w:num w:numId="21">
    <w:abstractNumId w:val="1"/>
  </w:num>
  <w:num w:numId="22">
    <w:abstractNumId w:val="7"/>
  </w:num>
  <w:num w:numId="23">
    <w:abstractNumId w:val="3"/>
  </w:num>
  <w:num w:numId="24">
    <w:abstractNumId w:val="13"/>
  </w:num>
  <w:num w:numId="25">
    <w:abstractNumId w:val="46"/>
  </w:num>
  <w:num w:numId="26">
    <w:abstractNumId w:val="42"/>
  </w:num>
  <w:num w:numId="27">
    <w:abstractNumId w:val="12"/>
  </w:num>
  <w:num w:numId="28">
    <w:abstractNumId w:val="18"/>
  </w:num>
  <w:num w:numId="29">
    <w:abstractNumId w:val="30"/>
  </w:num>
  <w:num w:numId="30">
    <w:abstractNumId w:val="20"/>
  </w:num>
  <w:num w:numId="31">
    <w:abstractNumId w:val="11"/>
  </w:num>
  <w:num w:numId="32">
    <w:abstractNumId w:val="45"/>
  </w:num>
  <w:num w:numId="33">
    <w:abstractNumId w:val="27"/>
  </w:num>
  <w:num w:numId="34">
    <w:abstractNumId w:val="19"/>
  </w:num>
  <w:num w:numId="35">
    <w:abstractNumId w:val="38"/>
  </w:num>
  <w:num w:numId="36">
    <w:abstractNumId w:val="24"/>
  </w:num>
  <w:num w:numId="37">
    <w:abstractNumId w:val="6"/>
  </w:num>
  <w:num w:numId="38">
    <w:abstractNumId w:val="21"/>
  </w:num>
  <w:num w:numId="39">
    <w:abstractNumId w:val="37"/>
  </w:num>
  <w:num w:numId="40">
    <w:abstractNumId w:val="28"/>
  </w:num>
  <w:num w:numId="41">
    <w:abstractNumId w:val="40"/>
  </w:num>
  <w:num w:numId="42">
    <w:abstractNumId w:val="41"/>
  </w:num>
  <w:num w:numId="43">
    <w:abstractNumId w:val="39"/>
  </w:num>
  <w:num w:numId="44">
    <w:abstractNumId w:val="4"/>
  </w:num>
  <w:num w:numId="45">
    <w:abstractNumId w:val="35"/>
  </w:num>
  <w:num w:numId="46">
    <w:abstractNumId w:val="17"/>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51FF"/>
    <w:rsid w:val="00006F80"/>
    <w:rsid w:val="000079D2"/>
    <w:rsid w:val="0001332F"/>
    <w:rsid w:val="00014278"/>
    <w:rsid w:val="00015D9E"/>
    <w:rsid w:val="00016045"/>
    <w:rsid w:val="0001748B"/>
    <w:rsid w:val="0001780B"/>
    <w:rsid w:val="00017E6D"/>
    <w:rsid w:val="0002238C"/>
    <w:rsid w:val="00024251"/>
    <w:rsid w:val="00025A7E"/>
    <w:rsid w:val="00026707"/>
    <w:rsid w:val="000331C2"/>
    <w:rsid w:val="0003520A"/>
    <w:rsid w:val="00036860"/>
    <w:rsid w:val="000374B6"/>
    <w:rsid w:val="00041B5C"/>
    <w:rsid w:val="00041F99"/>
    <w:rsid w:val="00046D6E"/>
    <w:rsid w:val="00050CBC"/>
    <w:rsid w:val="00051E67"/>
    <w:rsid w:val="000534BC"/>
    <w:rsid w:val="000541F3"/>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2596"/>
    <w:rsid w:val="000B7151"/>
    <w:rsid w:val="000C08B0"/>
    <w:rsid w:val="000C1371"/>
    <w:rsid w:val="000C680B"/>
    <w:rsid w:val="000D1334"/>
    <w:rsid w:val="000D144D"/>
    <w:rsid w:val="000D1F91"/>
    <w:rsid w:val="000D2567"/>
    <w:rsid w:val="000D296F"/>
    <w:rsid w:val="000D44E1"/>
    <w:rsid w:val="000D5935"/>
    <w:rsid w:val="000D60AD"/>
    <w:rsid w:val="000D6CBD"/>
    <w:rsid w:val="000D6E20"/>
    <w:rsid w:val="000E184A"/>
    <w:rsid w:val="000E30F2"/>
    <w:rsid w:val="000E31F9"/>
    <w:rsid w:val="000E320A"/>
    <w:rsid w:val="000E4253"/>
    <w:rsid w:val="000E4F1A"/>
    <w:rsid w:val="000E7A28"/>
    <w:rsid w:val="000F1259"/>
    <w:rsid w:val="000F28A9"/>
    <w:rsid w:val="000F2B5D"/>
    <w:rsid w:val="000F38B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B17"/>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B5EFE"/>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2443"/>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168A"/>
    <w:rsid w:val="00282AEC"/>
    <w:rsid w:val="00282C90"/>
    <w:rsid w:val="00284D6F"/>
    <w:rsid w:val="00285DA3"/>
    <w:rsid w:val="002863C4"/>
    <w:rsid w:val="00291424"/>
    <w:rsid w:val="002923A7"/>
    <w:rsid w:val="002977E3"/>
    <w:rsid w:val="002A060D"/>
    <w:rsid w:val="002A0D68"/>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E79DE"/>
    <w:rsid w:val="002F069B"/>
    <w:rsid w:val="002F2389"/>
    <w:rsid w:val="002F4536"/>
    <w:rsid w:val="002F51CC"/>
    <w:rsid w:val="002F541D"/>
    <w:rsid w:val="00300366"/>
    <w:rsid w:val="00301975"/>
    <w:rsid w:val="00302FF9"/>
    <w:rsid w:val="00304107"/>
    <w:rsid w:val="0030625A"/>
    <w:rsid w:val="003072E5"/>
    <w:rsid w:val="003076A7"/>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40EE"/>
    <w:rsid w:val="0037581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04F2F"/>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20D2"/>
    <w:rsid w:val="00455434"/>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91411"/>
    <w:rsid w:val="00494DC3"/>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D5D9A"/>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B9D"/>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50DC"/>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1909"/>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5F84"/>
    <w:rsid w:val="006309AF"/>
    <w:rsid w:val="00633D94"/>
    <w:rsid w:val="00636E5E"/>
    <w:rsid w:val="00643A38"/>
    <w:rsid w:val="00645E24"/>
    <w:rsid w:val="006460F4"/>
    <w:rsid w:val="006512E1"/>
    <w:rsid w:val="00652F95"/>
    <w:rsid w:val="00653068"/>
    <w:rsid w:val="006532E1"/>
    <w:rsid w:val="00655AE8"/>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B7A0E"/>
    <w:rsid w:val="006C170C"/>
    <w:rsid w:val="006C2D94"/>
    <w:rsid w:val="006C4E91"/>
    <w:rsid w:val="006C638B"/>
    <w:rsid w:val="006D1379"/>
    <w:rsid w:val="006D1AFF"/>
    <w:rsid w:val="006D40C4"/>
    <w:rsid w:val="006D4368"/>
    <w:rsid w:val="006E2B35"/>
    <w:rsid w:val="006E472E"/>
    <w:rsid w:val="006E5984"/>
    <w:rsid w:val="006F55E9"/>
    <w:rsid w:val="00700B6E"/>
    <w:rsid w:val="007012CF"/>
    <w:rsid w:val="007013D8"/>
    <w:rsid w:val="007053EE"/>
    <w:rsid w:val="007077DC"/>
    <w:rsid w:val="00711661"/>
    <w:rsid w:val="0071178D"/>
    <w:rsid w:val="007118C9"/>
    <w:rsid w:val="0071394B"/>
    <w:rsid w:val="0071551E"/>
    <w:rsid w:val="0072045D"/>
    <w:rsid w:val="00720A83"/>
    <w:rsid w:val="007220F0"/>
    <w:rsid w:val="0072344A"/>
    <w:rsid w:val="00723D31"/>
    <w:rsid w:val="00723FEB"/>
    <w:rsid w:val="00727ABF"/>
    <w:rsid w:val="007321F5"/>
    <w:rsid w:val="00733199"/>
    <w:rsid w:val="00734975"/>
    <w:rsid w:val="0073623C"/>
    <w:rsid w:val="0073740C"/>
    <w:rsid w:val="007430BA"/>
    <w:rsid w:val="00744618"/>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08D1"/>
    <w:rsid w:val="00775FAB"/>
    <w:rsid w:val="00777310"/>
    <w:rsid w:val="007800DA"/>
    <w:rsid w:val="0078065A"/>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272A"/>
    <w:rsid w:val="00873DD9"/>
    <w:rsid w:val="00875E4B"/>
    <w:rsid w:val="008765EE"/>
    <w:rsid w:val="00876939"/>
    <w:rsid w:val="00880477"/>
    <w:rsid w:val="008804CE"/>
    <w:rsid w:val="00882E05"/>
    <w:rsid w:val="00883D29"/>
    <w:rsid w:val="0088562A"/>
    <w:rsid w:val="00886A2C"/>
    <w:rsid w:val="00896C63"/>
    <w:rsid w:val="00896CBC"/>
    <w:rsid w:val="00897031"/>
    <w:rsid w:val="00897072"/>
    <w:rsid w:val="008972B9"/>
    <w:rsid w:val="00897E35"/>
    <w:rsid w:val="008A1766"/>
    <w:rsid w:val="008A3B1E"/>
    <w:rsid w:val="008B0429"/>
    <w:rsid w:val="008B26CA"/>
    <w:rsid w:val="008B354C"/>
    <w:rsid w:val="008B45E9"/>
    <w:rsid w:val="008C08FC"/>
    <w:rsid w:val="008C38EA"/>
    <w:rsid w:val="008C3C7A"/>
    <w:rsid w:val="008C40C9"/>
    <w:rsid w:val="008C7F3C"/>
    <w:rsid w:val="008D3A13"/>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287B"/>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8712E"/>
    <w:rsid w:val="00991097"/>
    <w:rsid w:val="00991623"/>
    <w:rsid w:val="0099203B"/>
    <w:rsid w:val="009947C9"/>
    <w:rsid w:val="00994CD1"/>
    <w:rsid w:val="0099684D"/>
    <w:rsid w:val="009A0B29"/>
    <w:rsid w:val="009A24C0"/>
    <w:rsid w:val="009A24D0"/>
    <w:rsid w:val="009A3F86"/>
    <w:rsid w:val="009A5D77"/>
    <w:rsid w:val="009A602B"/>
    <w:rsid w:val="009A72CA"/>
    <w:rsid w:val="009B0C9D"/>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6DCF"/>
    <w:rsid w:val="009E7EBB"/>
    <w:rsid w:val="009F0D19"/>
    <w:rsid w:val="009F10DB"/>
    <w:rsid w:val="009F20EE"/>
    <w:rsid w:val="00A02C72"/>
    <w:rsid w:val="00A05C29"/>
    <w:rsid w:val="00A0714B"/>
    <w:rsid w:val="00A115F8"/>
    <w:rsid w:val="00A11A38"/>
    <w:rsid w:val="00A12931"/>
    <w:rsid w:val="00A158DF"/>
    <w:rsid w:val="00A20A87"/>
    <w:rsid w:val="00A21589"/>
    <w:rsid w:val="00A23BAD"/>
    <w:rsid w:val="00A2745F"/>
    <w:rsid w:val="00A27677"/>
    <w:rsid w:val="00A332A4"/>
    <w:rsid w:val="00A36366"/>
    <w:rsid w:val="00A379A4"/>
    <w:rsid w:val="00A42036"/>
    <w:rsid w:val="00A42EA1"/>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76927"/>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28E7"/>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5B89"/>
    <w:rsid w:val="00B363BB"/>
    <w:rsid w:val="00B37206"/>
    <w:rsid w:val="00B40EB5"/>
    <w:rsid w:val="00B4569C"/>
    <w:rsid w:val="00B47C76"/>
    <w:rsid w:val="00B51AF9"/>
    <w:rsid w:val="00B53056"/>
    <w:rsid w:val="00B547E6"/>
    <w:rsid w:val="00B55452"/>
    <w:rsid w:val="00B56C5F"/>
    <w:rsid w:val="00B62C34"/>
    <w:rsid w:val="00B63607"/>
    <w:rsid w:val="00B64379"/>
    <w:rsid w:val="00B72467"/>
    <w:rsid w:val="00B73158"/>
    <w:rsid w:val="00B7794A"/>
    <w:rsid w:val="00B85E0C"/>
    <w:rsid w:val="00B92AAE"/>
    <w:rsid w:val="00B93825"/>
    <w:rsid w:val="00B93855"/>
    <w:rsid w:val="00B95B67"/>
    <w:rsid w:val="00B96872"/>
    <w:rsid w:val="00BA59F2"/>
    <w:rsid w:val="00BA6BA5"/>
    <w:rsid w:val="00BB1F20"/>
    <w:rsid w:val="00BB2420"/>
    <w:rsid w:val="00BB2A2E"/>
    <w:rsid w:val="00BB36EC"/>
    <w:rsid w:val="00BB44B1"/>
    <w:rsid w:val="00BB66F0"/>
    <w:rsid w:val="00BC0725"/>
    <w:rsid w:val="00BC0A56"/>
    <w:rsid w:val="00BC3BCD"/>
    <w:rsid w:val="00BC4115"/>
    <w:rsid w:val="00BC4D54"/>
    <w:rsid w:val="00BC5D54"/>
    <w:rsid w:val="00BC6170"/>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E7F14"/>
    <w:rsid w:val="00BF0C07"/>
    <w:rsid w:val="00BF1831"/>
    <w:rsid w:val="00BF36FD"/>
    <w:rsid w:val="00C011E5"/>
    <w:rsid w:val="00C03587"/>
    <w:rsid w:val="00C04057"/>
    <w:rsid w:val="00C1393F"/>
    <w:rsid w:val="00C14376"/>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1CC3"/>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868E6"/>
    <w:rsid w:val="00C9046E"/>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5B35"/>
    <w:rsid w:val="00CC7AB7"/>
    <w:rsid w:val="00CD3495"/>
    <w:rsid w:val="00CD6E5A"/>
    <w:rsid w:val="00CD72E1"/>
    <w:rsid w:val="00CD7845"/>
    <w:rsid w:val="00CE0D4D"/>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7C84"/>
    <w:rsid w:val="00D40019"/>
    <w:rsid w:val="00D4075F"/>
    <w:rsid w:val="00D4193A"/>
    <w:rsid w:val="00D42AEC"/>
    <w:rsid w:val="00D43C57"/>
    <w:rsid w:val="00D4419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0FA0"/>
    <w:rsid w:val="00D826B8"/>
    <w:rsid w:val="00D829AB"/>
    <w:rsid w:val="00D82EF8"/>
    <w:rsid w:val="00D83A9B"/>
    <w:rsid w:val="00D8512E"/>
    <w:rsid w:val="00D85507"/>
    <w:rsid w:val="00D90802"/>
    <w:rsid w:val="00D911A5"/>
    <w:rsid w:val="00D929AD"/>
    <w:rsid w:val="00D9595B"/>
    <w:rsid w:val="00D95DF8"/>
    <w:rsid w:val="00D9680F"/>
    <w:rsid w:val="00DA585B"/>
    <w:rsid w:val="00DB127C"/>
    <w:rsid w:val="00DB1AC2"/>
    <w:rsid w:val="00DB3216"/>
    <w:rsid w:val="00DB39D7"/>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35389"/>
    <w:rsid w:val="00E40710"/>
    <w:rsid w:val="00E40CC5"/>
    <w:rsid w:val="00E40F1E"/>
    <w:rsid w:val="00E4260B"/>
    <w:rsid w:val="00E426AC"/>
    <w:rsid w:val="00E44732"/>
    <w:rsid w:val="00E4522A"/>
    <w:rsid w:val="00E46DDC"/>
    <w:rsid w:val="00E471D0"/>
    <w:rsid w:val="00E47287"/>
    <w:rsid w:val="00E4795D"/>
    <w:rsid w:val="00E50194"/>
    <w:rsid w:val="00E50FAA"/>
    <w:rsid w:val="00E52180"/>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11F"/>
    <w:rsid w:val="00EC371D"/>
    <w:rsid w:val="00EC5562"/>
    <w:rsid w:val="00EC5EE7"/>
    <w:rsid w:val="00EC6B3F"/>
    <w:rsid w:val="00ED3C72"/>
    <w:rsid w:val="00ED4847"/>
    <w:rsid w:val="00EE1709"/>
    <w:rsid w:val="00EE3DF6"/>
    <w:rsid w:val="00EE7D59"/>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26EA"/>
    <w:rsid w:val="00F33CBE"/>
    <w:rsid w:val="00F35CCD"/>
    <w:rsid w:val="00F3745C"/>
    <w:rsid w:val="00F37D47"/>
    <w:rsid w:val="00F37D74"/>
    <w:rsid w:val="00F41D31"/>
    <w:rsid w:val="00F423EC"/>
    <w:rsid w:val="00F42B1E"/>
    <w:rsid w:val="00F44BB9"/>
    <w:rsid w:val="00F45938"/>
    <w:rsid w:val="00F50667"/>
    <w:rsid w:val="00F51894"/>
    <w:rsid w:val="00F53375"/>
    <w:rsid w:val="00F53F3C"/>
    <w:rsid w:val="00F54108"/>
    <w:rsid w:val="00F5739F"/>
    <w:rsid w:val="00F6074D"/>
    <w:rsid w:val="00F61D76"/>
    <w:rsid w:val="00F64977"/>
    <w:rsid w:val="00F65B31"/>
    <w:rsid w:val="00F67C00"/>
    <w:rsid w:val="00F71F9A"/>
    <w:rsid w:val="00F730FC"/>
    <w:rsid w:val="00F74A88"/>
    <w:rsid w:val="00F76E94"/>
    <w:rsid w:val="00F76EA2"/>
    <w:rsid w:val="00F77272"/>
    <w:rsid w:val="00F80B45"/>
    <w:rsid w:val="00F81DC1"/>
    <w:rsid w:val="00F82B45"/>
    <w:rsid w:val="00F8549F"/>
    <w:rsid w:val="00F86AA2"/>
    <w:rsid w:val="00F87210"/>
    <w:rsid w:val="00F87D82"/>
    <w:rsid w:val="00F92BD0"/>
    <w:rsid w:val="00F93D89"/>
    <w:rsid w:val="00F97097"/>
    <w:rsid w:val="00FA08C6"/>
    <w:rsid w:val="00FA415A"/>
    <w:rsid w:val="00FB3992"/>
    <w:rsid w:val="00FB39BF"/>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galimon@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ramos@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UNE22</b:Tag>
    <b:SourceType>Report</b:SourceType>
    <b:Guid>{1D442504-30DE-1448-925B-88CC48EBBBBF}</b:Guid>
    <b:Title>Conferencia Mundial de Educación Superior 2022: Reinventando la Educación Superior para un Futuro Sostenible.</b:Title>
    <b:Year>2022</b:Year>
    <b:Author>
      <b:Author>
        <b:NameList>
          <b:Person>
            <b:Last>UNESCO</b:Last>
          </b:Person>
        </b:NameList>
      </b:Author>
    </b:Author>
    <b:RefOrder>1</b:RefOrder>
  </b:Source>
  <b:Source>
    <b:Tag>Bru24</b:Tag>
    <b:SourceType>Book</b:SourceType>
    <b:Guid>{693F54E2-EBD5-0141-84A7-397D9686F3B5}</b:Guid>
    <b:Author>
      <b:Author>
        <b:NameList>
          <b:Person>
            <b:Last>Brunner</b:Last>
            <b:First>J.</b:First>
            <b:Middle>(Ed.)</b:Middle>
          </b:Person>
        </b:NameList>
      </b:Author>
    </b:Author>
    <b:Title>Educación Superior en Iberoamérica. Informe 2024</b:Title>
    <b:City>Santiago de Chile</b:City>
    <b:Publisher>Centro Interuniversitario de Desarrollo </b:Publisher>
    <b:Year>2024</b:Year>
    <b:RefOrder>2</b:RefOrder>
  </b:Source>
  <b:Source>
    <b:Tag>UNE21</b:Tag>
    <b:SourceType>Book</b:SourceType>
    <b:Guid>{87FC4936-B4D3-E146-8532-0A8791B564EA}</b:Guid>
    <b:Title>Cerrar ahora para reabrir mejor mañana? La continuidad pedagógica en las universidades de América Latina durante la pandemia</b:Title>
    <b:Year>2021</b:Year>
    <b:Author>
      <b:Author>
        <b:Corporate>UNESCO- IESALC</b:Corporate>
      </b:Author>
    </b:Author>
    <b:RefOrder>3</b:RefOrder>
  </b:Source>
  <b:Source>
    <b:Tag>Mot201</b:Tag>
    <b:SourceType>BookSection</b:SourceType>
    <b:Guid>{8752CE99-EC3D-C64E-97E4-83608CBE34A7}</b:Guid>
    <b:Title>Quality assurance: the new normal and strategies</b:Title>
    <b:Year>2020</b:Year>
    <b:Author>
      <b:Author>
        <b:NameList>
          <b:Person>
            <b:Last>Motova</b:Last>
            <b:First>G.</b:First>
          </b:Person>
        </b:NameList>
      </b:Author>
      <b:BookAuthor>
        <b:NameList>
          <b:Person>
            <b:Last>ENQA</b:Last>
          </b:Person>
        </b:NameList>
      </b:BookAuthor>
    </b:Author>
    <b:BookTitle>Advancing quality in European higher education: celebrating 20 years of ENQA</b:BookTitle>
    <b:City>Bruselas</b:City>
    <b:Publisher>ENQA</b:Publisher>
    <b:RefOrder>4</b:RefOrder>
  </b:Source>
  <b:Source>
    <b:Tag>Lóp23</b:Tag>
    <b:SourceType>JournalArticle</b:SourceType>
    <b:Guid>{FCD9AA4B-23C2-2648-9B58-4A0D7C032976}</b:Guid>
    <b:Title>Posibles futuros de la educación superior en América Latina y el Caribe: antecedentes, situación actual, escenarios y alternativas.</b:Title>
    <b:Year>2023</b:Year>
    <b:Pages>29-57</b:Pages>
    <b:Author>
      <b:Author>
        <b:NameList>
          <b:Person>
            <b:Last>López Segrera</b:Last>
            <b:First>F.</b:First>
          </b:Person>
        </b:NameList>
      </b:Author>
    </b:Author>
    <b:JournalName>Revista Educación Superior y Sociedad</b:JournalName>
    <b:Volume>35</b:Volume>
    <b:Issue>1</b:Issue>
    <b:RefOrder>5</b:RefOrder>
  </b:Source>
  <b:Source>
    <b:Tag>Mar23</b:Tag>
    <b:SourceType>JournalArticle</b:SourceType>
    <b:Guid>{BC642B4C-D05E-D042-A50E-E46AF536CEA5}</b:Guid>
    <b:Author>
      <b:Author>
        <b:NameList>
          <b:Person>
            <b:Last>Marúm Espinosa</b:Last>
            <b:First>E.</b:First>
          </b:Person>
          <b:Person>
            <b:Last>Sabzalieva</b:Last>
            <b:First>E.</b:First>
          </b:Person>
          <b:Person>
            <b:Last>Perez Centeno</b:Last>
            <b:First>C.</b:First>
          </b:Person>
        </b:NameList>
      </b:Author>
    </b:Author>
    <b:Title>Presentación del Dossier temático: “Los Futuros de la Educación Superior en América Latina y el Caribe</b:Title>
    <b:JournalName>Educación Superior y Sociedad</b:JournalName>
    <b:Year>2023</b:Year>
    <b:Pages>19-28</b:Pages>
    <b:Volume>35</b:Volume>
    <b:Issue>1</b:Issue>
    <b:RefOrder>6</b:RefOrder>
  </b:Source>
  <b:Source>
    <b:Tag>Uva211</b:Tag>
    <b:SourceType>Book</b:SourceType>
    <b:Guid>{933C9656-B777-D64F-BA47-A391D1562C1D}</b:Guid>
    <b:Title>A New Generation of External Quality Assurance: Dynamics of change and innovative approaches</b:Title>
    <b:Publisher>Instituto Internacional de Planificación de la Educación, UNESCO.</b:Publisher>
    <b:Year>2021</b:Year>
    <b:Author>
      <b:Author>
        <b:NameList>
          <b:Person>
            <b:Last>Uvalić-Trumbić</b:Last>
            <b:First>S.</b:First>
          </b:Person>
          <b:Person>
            <b:Last>Martin</b:Last>
            <b:First>M.</b:First>
          </b:Person>
        </b:NameList>
      </b:Author>
    </b:Author>
    <b:RefOrder>7</b:RefOrder>
  </b:Source>
  <b:Source>
    <b:Tag>Ped21</b:Tag>
    <b:SourceType>JournalArticle</b:SourceType>
    <b:Guid>{D41DFC9E-09F4-E24C-A8A0-82DC08A044D8}</b:Guid>
    <b:Title>¿Quién le pone el cascabel al gato? Un análisis comparativo de las agencias de garantía de la calidad de la educación superior</b:Title>
    <b:Year>2021</b:Year>
    <b:Author>
      <b:Author>
        <b:NameList>
          <b:Person>
            <b:Last>Pedró</b:Last>
            <b:First>F.</b:First>
          </b:Person>
        </b:NameList>
      </b:Author>
    </b:Author>
    <b:JournalName>Revista Española de Educación Comparada</b:JournalName>
    <b:Pages>129-152</b:Pages>
    <b:Volume>37</b:Volume>
    <b:RefOrder>8</b:RefOrder>
  </b:Source>
  <b:Source>
    <b:Tag>Ped22</b:Tag>
    <b:SourceType>JournalArticle</b:SourceType>
    <b:Guid>{41F15B41-8767-714D-A851-6DA550DAE80C}</b:Guid>
    <b:Author>
      <b:Author>
        <b:NameList>
          <b:Person>
            <b:Last>Pedró</b:Last>
            <b:First>F.</b:First>
          </b:Person>
        </b:NameList>
      </b:Author>
    </b:Author>
    <b:Title>La crisis de maduración de las agencias de garantía de calidad de la educación superior</b:Title>
    <b:JournalName>Revista Iberoamericana de Educación</b:JournalName>
    <b:Year>2022</b:Year>
    <b:Pages>17-32</b:Pages>
    <b:Volume>88</b:Volume>
    <b:Issue>1</b:Issue>
    <b:RefOrder>9</b:RefOrder>
  </b:Source>
  <b:Source>
    <b:Tag>Hou221</b:Tag>
    <b:SourceType>JournalArticle</b:SourceType>
    <b:Guid>{ADF5C15E-1131-DD41-8444-712A31C5857C}</b:Guid>
    <b:Title>What Has Been the Impact of COVID-19 on Driving Digitalization, Innovation and Crisis Management of Higher Education and Quality Assurance? A Taiwan Case Study in Alignment with the INQAAHE Virtual Review</b:Title>
    <b:Year>2022</b:Year>
    <b:Author>
      <b:Author>
        <b:NameList>
          <b:Person>
            <b:Last>Hou</b:Last>
            <b:First>A.</b:First>
          </b:Person>
        </b:NameList>
      </b:Author>
    </b:Author>
    <b:JournalName>Higher Education Policy</b:JournalName>
    <b:Pages>568-590</b:Pages>
    <b:Volume>35</b:Volume>
    <b:Issue>3</b:Issue>
    <b:RefOrder>10</b:RefOrder>
  </b:Source>
  <b:Source>
    <b:Tag>Arr23</b:Tag>
    <b:SourceType>JournalArticle</b:SourceType>
    <b:Guid>{58E7D193-AA48-EF46-A119-701D047FF88A}</b:Guid>
    <b:Title>Implicaciones de la pandemia por COVID-19 en los programas de posgrado: análisis de percepciones y deserciones estudiantiles</b:Title>
    <b:Year>2023</b:Year>
    <b:Author>
      <b:Author>
        <b:NameList>
          <b:Person>
            <b:Last>Arriaga</b:Last>
            <b:First>M.</b:First>
          </b:Person>
        </b:NameList>
      </b:Author>
    </b:Author>
    <b:JournalName>Realidades Educativas Entrelazadas</b:JournalName>
    <b:Pages>2-24</b:Pages>
    <b:Issue>2</b:Issue>
    <b:RefOrder>11</b:RefOrder>
  </b:Source>
</b:Sources>
</file>

<file path=customXml/itemProps1.xml><?xml version="1.0" encoding="utf-8"?>
<ds:datastoreItem xmlns:ds="http://schemas.openxmlformats.org/officeDocument/2006/customXml" ds:itemID="{3F5A792E-3FF5-4211-B103-DCB9F279864B}">
  <ds:schemaRefs>
    <ds:schemaRef ds:uri="http://schemas.microsoft.com/office/infopath/2007/PartnerControls"/>
    <ds:schemaRef ds:uri="http://www.w3.org/XML/1998/namespace"/>
    <ds:schemaRef ds:uri="http://purl.org/dc/dcmitype/"/>
    <ds:schemaRef ds:uri="http://schemas.openxmlformats.org/package/2006/metadata/core-properties"/>
    <ds:schemaRef ds:uri="cfcdc204-4e92-42c3-8531-a843731a3a7f"/>
    <ds:schemaRef ds:uri="http://purl.org/dc/elements/1.1/"/>
    <ds:schemaRef ds:uri="http://schemas.microsoft.com/office/2006/metadata/properties"/>
    <ds:schemaRef ds:uri="http://schemas.microsoft.com/office/2006/documentManagement/types"/>
    <ds:schemaRef ds:uri="8ed3e0dc-cd40-4c41-b3c6-5be0952fa030"/>
    <ds:schemaRef ds:uri="http://purl.org/dc/terms/"/>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193AC-B9C1-4559-AFFC-68A67F03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4780</Words>
  <Characters>26290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2024-11-21T01:03:00Z</dcterms:created>
  <dcterms:modified xsi:type="dcterms:W3CDTF">2024-11-27T17:15:00Z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