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75B88" w14:textId="2B71DEB9" w:rsidR="00010C67" w:rsidRPr="00010C67" w:rsidRDefault="00010C67" w:rsidP="00010C67">
      <w:pPr>
        <w:pStyle w:val="NormalWeb"/>
        <w:spacing w:line="360" w:lineRule="auto"/>
        <w:jc w:val="center"/>
        <w:rPr>
          <w:rFonts w:ascii="Arial" w:hAnsi="Arial" w:cs="Arial"/>
          <w:b/>
          <w:bCs/>
          <w:color w:val="C45911" w:themeColor="accent2" w:themeShade="BF"/>
        </w:rPr>
      </w:pPr>
      <w:bookmarkStart w:id="0" w:name="_Hlk145952311"/>
      <w:r w:rsidRPr="00010C67">
        <w:rPr>
          <w:rFonts w:ascii="Arial" w:hAnsi="Arial" w:cs="Arial"/>
          <w:b/>
          <w:bCs/>
          <w:color w:val="C45911" w:themeColor="accent2" w:themeShade="BF"/>
        </w:rPr>
        <w:t>Propiedades psicométricas del DESIT-17 para medir la satisfacción académica</w:t>
      </w:r>
    </w:p>
    <w:p w14:paraId="09C06C58" w14:textId="6AEF739A" w:rsidR="00A82B98" w:rsidRPr="00010C67" w:rsidRDefault="00010C67" w:rsidP="00010C67">
      <w:pPr>
        <w:pStyle w:val="NormalWeb"/>
        <w:spacing w:before="0" w:beforeAutospacing="0" w:after="0" w:afterAutospacing="0" w:line="360" w:lineRule="auto"/>
        <w:jc w:val="center"/>
        <w:rPr>
          <w:rFonts w:ascii="Arial" w:hAnsi="Arial" w:cs="Arial"/>
          <w:b/>
          <w:bCs/>
          <w:color w:val="C45911" w:themeColor="accent2" w:themeShade="BF"/>
          <w:lang w:val="en-US"/>
        </w:rPr>
      </w:pPr>
      <w:r w:rsidRPr="00010C67">
        <w:rPr>
          <w:rFonts w:ascii="Arial" w:hAnsi="Arial" w:cs="Arial"/>
          <w:b/>
          <w:bCs/>
          <w:color w:val="C45911" w:themeColor="accent2" w:themeShade="BF"/>
          <w:lang w:val="en-US"/>
        </w:rPr>
        <w:t>Psychometric properties of the DESIT-17 for measuring Academic Satisfaction</w:t>
      </w:r>
    </w:p>
    <w:bookmarkEnd w:id="0"/>
    <w:p w14:paraId="0D5145D6" w14:textId="77777777" w:rsidR="00755872" w:rsidRPr="003313E0" w:rsidRDefault="00755872" w:rsidP="0099353C">
      <w:pPr>
        <w:pStyle w:val="NormalWeb"/>
        <w:spacing w:before="0" w:beforeAutospacing="0" w:after="0" w:afterAutospacing="0"/>
        <w:rPr>
          <w:rFonts w:ascii="Arial" w:hAnsi="Arial" w:cs="Arial"/>
          <w:lang w:val="en-US"/>
        </w:rPr>
      </w:pPr>
    </w:p>
    <w:p w14:paraId="15395EE9" w14:textId="6392AF05" w:rsidR="00A82B98" w:rsidRPr="00B55452" w:rsidRDefault="00145FF3" w:rsidP="0099353C">
      <w:pPr>
        <w:pStyle w:val="NormalWeb"/>
        <w:spacing w:before="0" w:beforeAutospacing="0" w:after="0" w:afterAutospacing="0"/>
        <w:rPr>
          <w:rFonts w:ascii="Arial" w:hAnsi="Arial" w:cs="Arial"/>
        </w:rPr>
      </w:pPr>
      <w:r>
        <w:rPr>
          <w:rFonts w:ascii="Arial" w:hAnsi="Arial" w:cs="Arial"/>
        </w:rPr>
        <w:t>Rafael-A. Román-Quirós</w:t>
      </w:r>
      <w:r w:rsidR="00A82B98" w:rsidRPr="00B55452">
        <w:rPr>
          <w:rStyle w:val="Refdenotaalpie"/>
          <w:rFonts w:ascii="Arial" w:eastAsia="Arial" w:hAnsi="Arial" w:cs="Arial"/>
        </w:rPr>
        <w:footnoteReference w:id="1"/>
      </w:r>
      <w:r w:rsidR="0099353C">
        <w:rPr>
          <w:rFonts w:ascii="Arial" w:hAnsi="Arial" w:cs="Arial"/>
        </w:rPr>
        <w:t xml:space="preserve">                                            Esmeralda Azofeifa-Ugalde</w:t>
      </w:r>
      <w:r w:rsidR="0099353C">
        <w:rPr>
          <w:rStyle w:val="Refdenotaalpie"/>
          <w:rFonts w:ascii="Arial" w:eastAsia="Arial" w:hAnsi="Arial" w:cs="Arial"/>
        </w:rPr>
        <w:footnoteReference w:id="2"/>
      </w:r>
    </w:p>
    <w:p w14:paraId="54FACEFC" w14:textId="305C839D" w:rsidR="00A82B98" w:rsidRDefault="00A82B98" w:rsidP="0099353C">
      <w:pPr>
        <w:pStyle w:val="NormalWeb"/>
        <w:spacing w:before="0" w:beforeAutospacing="0" w:after="0" w:afterAutospacing="0"/>
        <w:rPr>
          <w:rFonts w:ascii="Arial" w:hAnsi="Arial" w:cs="Arial"/>
        </w:rPr>
      </w:pPr>
      <w:bookmarkStart w:id="13" w:name="_Hlk214733174"/>
      <w:r w:rsidRPr="00B55452">
        <w:rPr>
          <w:rFonts w:ascii="Arial" w:hAnsi="Arial" w:cs="Arial"/>
        </w:rPr>
        <w:t>Universidad</w:t>
      </w:r>
      <w:r w:rsidR="003E6168">
        <w:rPr>
          <w:rFonts w:ascii="Arial" w:hAnsi="Arial" w:cs="Arial"/>
        </w:rPr>
        <w:t xml:space="preserve"> de Iberoamérica</w:t>
      </w:r>
      <w:r w:rsidR="00A573C8">
        <w:rPr>
          <w:rFonts w:ascii="Arial" w:hAnsi="Arial" w:cs="Arial"/>
        </w:rPr>
        <w:t xml:space="preserve"> (UNIBE)</w:t>
      </w:r>
      <w:r w:rsidR="0099353C">
        <w:rPr>
          <w:rFonts w:ascii="Arial" w:hAnsi="Arial" w:cs="Arial"/>
        </w:rPr>
        <w:t xml:space="preserve">         </w:t>
      </w:r>
      <w:r w:rsidR="0099353C" w:rsidRPr="0099353C">
        <w:rPr>
          <w:rFonts w:ascii="Arial" w:hAnsi="Arial" w:cs="Arial"/>
        </w:rPr>
        <w:t>Universidad de Iberoamérica (UNIBE)</w:t>
      </w:r>
    </w:p>
    <w:p w14:paraId="6D653B1C" w14:textId="45F2214A" w:rsidR="003E6168" w:rsidRDefault="003E6168" w:rsidP="0099353C">
      <w:pPr>
        <w:pStyle w:val="NormalWeb"/>
        <w:spacing w:before="0" w:beforeAutospacing="0" w:after="0" w:afterAutospacing="0"/>
        <w:rPr>
          <w:rFonts w:ascii="Arial" w:hAnsi="Arial" w:cs="Arial"/>
        </w:rPr>
      </w:pPr>
      <w:r>
        <w:rPr>
          <w:rFonts w:ascii="Arial" w:hAnsi="Arial" w:cs="Arial"/>
        </w:rPr>
        <w:t>San José, Costa Rica</w:t>
      </w:r>
      <w:r w:rsidR="0099353C">
        <w:rPr>
          <w:rFonts w:ascii="Arial" w:hAnsi="Arial" w:cs="Arial"/>
        </w:rPr>
        <w:t xml:space="preserve">                                                             San José, Costa Rica                    </w:t>
      </w:r>
    </w:p>
    <w:bookmarkEnd w:id="13"/>
    <w:p w14:paraId="5DE442B7" w14:textId="5233F0B6" w:rsidR="003E6168" w:rsidRPr="003E6168" w:rsidRDefault="0099353C" w:rsidP="0099353C">
      <w:pPr>
        <w:pStyle w:val="NormalWeb"/>
        <w:spacing w:before="0" w:beforeAutospacing="0" w:after="0" w:afterAutospacing="0"/>
        <w:rPr>
          <w:rFonts w:ascii="Arial" w:hAnsi="Arial" w:cs="Arial"/>
          <w:color w:val="2F5496" w:themeColor="accent1" w:themeShade="BF"/>
          <w:u w:val="single"/>
        </w:rPr>
      </w:pPr>
      <w:r>
        <w:rPr>
          <w:rFonts w:ascii="Arial" w:eastAsia="Arial" w:hAnsi="Arial" w:cs="Arial"/>
          <w:color w:val="2F5496" w:themeColor="accent1" w:themeShade="BF"/>
          <w:u w:val="single"/>
        </w:rPr>
        <w:fldChar w:fldCharType="begin"/>
      </w:r>
      <w:r>
        <w:rPr>
          <w:rFonts w:ascii="Arial" w:eastAsia="Arial" w:hAnsi="Arial" w:cs="Arial"/>
          <w:color w:val="2F5496" w:themeColor="accent1" w:themeShade="BF"/>
          <w:u w:val="single"/>
        </w:rPr>
        <w:instrText xml:space="preserve"> HYPERLINK "mailto:</w:instrText>
      </w:r>
      <w:r w:rsidRPr="003E6168">
        <w:rPr>
          <w:rFonts w:ascii="Arial" w:eastAsia="Arial" w:hAnsi="Arial" w:cs="Arial"/>
          <w:color w:val="2F5496" w:themeColor="accent1" w:themeShade="BF"/>
          <w:u w:val="single"/>
        </w:rPr>
        <w:instrText>rafael.roman@unibe.academy</w:instrText>
      </w:r>
      <w:r>
        <w:rPr>
          <w:rFonts w:ascii="Arial" w:eastAsia="Arial" w:hAnsi="Arial" w:cs="Arial"/>
          <w:color w:val="2F5496" w:themeColor="accent1" w:themeShade="BF"/>
          <w:u w:val="single"/>
        </w:rPr>
        <w:instrText xml:space="preserve">" </w:instrText>
      </w:r>
      <w:r>
        <w:rPr>
          <w:rFonts w:ascii="Arial" w:eastAsia="Arial" w:hAnsi="Arial" w:cs="Arial"/>
          <w:color w:val="2F5496" w:themeColor="accent1" w:themeShade="BF"/>
          <w:u w:val="single"/>
        </w:rPr>
        <w:fldChar w:fldCharType="separate"/>
      </w:r>
      <w:r w:rsidRPr="007129F1">
        <w:rPr>
          <w:rStyle w:val="Hipervnculo"/>
          <w:rFonts w:ascii="Arial" w:eastAsia="Arial" w:hAnsi="Arial" w:cs="Arial"/>
        </w:rPr>
        <w:t>rafael.roman@unibe.academy</w:t>
      </w:r>
      <w:r>
        <w:rPr>
          <w:rFonts w:ascii="Arial" w:eastAsia="Arial" w:hAnsi="Arial" w:cs="Arial"/>
          <w:color w:val="2F5496" w:themeColor="accent1" w:themeShade="BF"/>
          <w:u w:val="single"/>
        </w:rPr>
        <w:fldChar w:fldCharType="end"/>
      </w:r>
      <w:r w:rsidRPr="0099353C">
        <w:rPr>
          <w:rFonts w:ascii="Arial" w:eastAsia="Arial" w:hAnsi="Arial" w:cs="Arial"/>
          <w:color w:val="2F5496" w:themeColor="accent1" w:themeShade="BF"/>
        </w:rPr>
        <w:t xml:space="preserve">                     </w:t>
      </w:r>
      <w:r>
        <w:rPr>
          <w:rFonts w:ascii="Arial" w:eastAsia="Arial" w:hAnsi="Arial" w:cs="Arial"/>
          <w:color w:val="2F5496" w:themeColor="accent1" w:themeShade="BF"/>
        </w:rPr>
        <w:t xml:space="preserve">                         </w:t>
      </w:r>
      <w:r w:rsidRPr="0099353C">
        <w:rPr>
          <w:rFonts w:ascii="Arial" w:eastAsia="Arial" w:hAnsi="Arial" w:cs="Arial"/>
          <w:color w:val="2F5496" w:themeColor="accent1" w:themeShade="BF"/>
        </w:rPr>
        <w:t xml:space="preserve">  </w:t>
      </w:r>
      <w:r w:rsidRPr="0099353C">
        <w:rPr>
          <w:rFonts w:ascii="Arial" w:eastAsia="Arial" w:hAnsi="Arial" w:cs="Arial"/>
          <w:color w:val="2F5496" w:themeColor="accent1" w:themeShade="BF"/>
          <w:u w:val="single"/>
        </w:rPr>
        <w:t>esmiu19@gmail.com</w:t>
      </w:r>
    </w:p>
    <w:p w14:paraId="1586665D" w14:textId="7785E574" w:rsidR="00A82B98" w:rsidRPr="005953BF" w:rsidRDefault="00A82B98" w:rsidP="00DE2FD1">
      <w:pPr>
        <w:pStyle w:val="NormalWeb"/>
        <w:spacing w:before="0" w:beforeAutospacing="0" w:after="0" w:afterAutospacing="0"/>
        <w:rPr>
          <w:rFonts w:ascii="Arial" w:hAnsi="Arial" w:cs="Arial"/>
          <w:color w:val="2E74B5" w:themeColor="accent5" w:themeShade="BF"/>
        </w:rPr>
      </w:pPr>
    </w:p>
    <w:p w14:paraId="01FCF6ED" w14:textId="049D74BD" w:rsidR="00E9293F" w:rsidRPr="003E6168" w:rsidRDefault="00E9293F" w:rsidP="00BE4B92">
      <w:pPr>
        <w:rPr>
          <w:rFonts w:ascii="Arial" w:eastAsia="Arial" w:hAnsi="Arial" w:cs="Arial"/>
        </w:rPr>
      </w:pPr>
      <w:bookmarkStart w:id="14" w:name="_Hlk214735566"/>
      <w:r w:rsidRPr="003E6168">
        <w:rPr>
          <w:rFonts w:ascii="Arial" w:eastAsia="Arial" w:hAnsi="Arial" w:cs="Arial"/>
        </w:rPr>
        <w:t xml:space="preserve">Andrés </w:t>
      </w:r>
      <w:proofErr w:type="spellStart"/>
      <w:r w:rsidRPr="003E6168">
        <w:rPr>
          <w:rFonts w:ascii="Arial" w:eastAsia="Arial" w:hAnsi="Arial" w:cs="Arial"/>
        </w:rPr>
        <w:t>Cairol</w:t>
      </w:r>
      <w:proofErr w:type="spellEnd"/>
      <w:r w:rsidR="00E142CD">
        <w:rPr>
          <w:rFonts w:ascii="Arial" w:eastAsia="Arial" w:hAnsi="Arial" w:cs="Arial"/>
        </w:rPr>
        <w:t>-</w:t>
      </w:r>
      <w:r w:rsidRPr="003E6168">
        <w:rPr>
          <w:rFonts w:ascii="Arial" w:eastAsia="Arial" w:hAnsi="Arial" w:cs="Arial"/>
        </w:rPr>
        <w:t>Barquero</w:t>
      </w:r>
      <w:bookmarkEnd w:id="14"/>
      <w:r w:rsidR="002E087D">
        <w:rPr>
          <w:rStyle w:val="Refdenotaalpie"/>
          <w:rFonts w:ascii="Arial" w:eastAsia="Arial" w:hAnsi="Arial" w:cs="Arial"/>
        </w:rPr>
        <w:footnoteReference w:id="3"/>
      </w:r>
      <w:r w:rsidR="002051E5">
        <w:rPr>
          <w:rFonts w:ascii="Arial" w:eastAsia="Arial" w:hAnsi="Arial" w:cs="Arial"/>
        </w:rPr>
        <w:t xml:space="preserve">                                                </w:t>
      </w:r>
      <w:r w:rsidR="002051E5" w:rsidRPr="002051E5">
        <w:rPr>
          <w:rFonts w:ascii="Arial" w:eastAsia="Arial" w:hAnsi="Arial" w:cs="Arial"/>
        </w:rPr>
        <w:t>Adrián-F. Brenes-Bolaños</w:t>
      </w:r>
      <w:r w:rsidR="002051E5" w:rsidRPr="002051E5">
        <w:rPr>
          <w:rFonts w:ascii="Arial" w:eastAsia="Arial" w:hAnsi="Arial" w:cs="Arial"/>
          <w:vertAlign w:val="superscript"/>
        </w:rPr>
        <w:footnoteReference w:id="4"/>
      </w:r>
    </w:p>
    <w:p w14:paraId="7A1A8739" w14:textId="66CA614F" w:rsidR="00E9293F" w:rsidRDefault="00E9293F" w:rsidP="00BE4B92">
      <w:pPr>
        <w:pStyle w:val="NormalWeb"/>
        <w:spacing w:before="0" w:beforeAutospacing="0" w:after="0" w:afterAutospacing="0"/>
        <w:rPr>
          <w:rFonts w:ascii="Arial" w:hAnsi="Arial" w:cs="Arial"/>
        </w:rPr>
      </w:pPr>
      <w:bookmarkStart w:id="15" w:name="_Hlk214734554"/>
      <w:r w:rsidRPr="00B55452">
        <w:rPr>
          <w:rFonts w:ascii="Arial" w:hAnsi="Arial" w:cs="Arial"/>
        </w:rPr>
        <w:t>Universidad</w:t>
      </w:r>
      <w:r>
        <w:rPr>
          <w:rFonts w:ascii="Arial" w:hAnsi="Arial" w:cs="Arial"/>
        </w:rPr>
        <w:t xml:space="preserve"> de Iberoamérica (UNIBE)</w:t>
      </w:r>
      <w:r w:rsidR="002051E5">
        <w:rPr>
          <w:rFonts w:ascii="Arial" w:hAnsi="Arial" w:cs="Arial"/>
        </w:rPr>
        <w:t xml:space="preserve">         </w:t>
      </w:r>
      <w:r w:rsidR="002051E5" w:rsidRPr="002051E5">
        <w:rPr>
          <w:rFonts w:ascii="Arial" w:hAnsi="Arial" w:cs="Arial"/>
        </w:rPr>
        <w:t>Universidad de Iberoamérica (UNIBE)</w:t>
      </w:r>
    </w:p>
    <w:p w14:paraId="66C2893F" w14:textId="6C87B7F3" w:rsidR="00E9293F" w:rsidRDefault="00E9293F" w:rsidP="00BE4B92">
      <w:pPr>
        <w:pStyle w:val="NormalWeb"/>
        <w:spacing w:before="0" w:beforeAutospacing="0" w:after="0" w:afterAutospacing="0"/>
        <w:rPr>
          <w:rFonts w:ascii="Arial" w:hAnsi="Arial" w:cs="Arial"/>
        </w:rPr>
      </w:pPr>
      <w:r>
        <w:rPr>
          <w:rFonts w:ascii="Arial" w:hAnsi="Arial" w:cs="Arial"/>
        </w:rPr>
        <w:t>San José, Costa Rica</w:t>
      </w:r>
      <w:r w:rsidR="002051E5">
        <w:rPr>
          <w:rFonts w:ascii="Arial" w:hAnsi="Arial" w:cs="Arial"/>
        </w:rPr>
        <w:t xml:space="preserve">                                                             San José, Costa Rica</w:t>
      </w:r>
    </w:p>
    <w:bookmarkEnd w:id="15"/>
    <w:p w14:paraId="5F7173C3" w14:textId="1FD8B464" w:rsidR="002051E5" w:rsidRPr="002051E5" w:rsidRDefault="002051E5" w:rsidP="002051E5">
      <w:pPr>
        <w:rPr>
          <w:rFonts w:ascii="Arial" w:eastAsia="Arial" w:hAnsi="Arial" w:cs="Arial"/>
          <w:color w:val="2F5496" w:themeColor="accent1" w:themeShade="BF"/>
          <w:u w:val="single"/>
        </w:rPr>
      </w:pPr>
      <w:r>
        <w:rPr>
          <w:rFonts w:ascii="Arial" w:eastAsia="Arial" w:hAnsi="Arial" w:cs="Arial"/>
          <w:color w:val="2F5496" w:themeColor="accent1" w:themeShade="BF"/>
          <w:u w:val="single"/>
        </w:rPr>
        <w:fldChar w:fldCharType="begin"/>
      </w:r>
      <w:r>
        <w:rPr>
          <w:rFonts w:ascii="Arial" w:eastAsia="Arial" w:hAnsi="Arial" w:cs="Arial"/>
          <w:color w:val="2F5496" w:themeColor="accent1" w:themeShade="BF"/>
          <w:u w:val="single"/>
        </w:rPr>
        <w:instrText xml:space="preserve"> HYPERLINK "mailto:</w:instrText>
      </w:r>
      <w:r w:rsidRPr="00E9293F">
        <w:rPr>
          <w:rFonts w:ascii="Arial" w:eastAsia="Arial" w:hAnsi="Arial" w:cs="Arial"/>
          <w:color w:val="2F5496" w:themeColor="accent1" w:themeShade="BF"/>
          <w:u w:val="single"/>
        </w:rPr>
        <w:instrText>acairol@unibe.ac.cr</w:instrText>
      </w:r>
      <w:r>
        <w:rPr>
          <w:rFonts w:ascii="Arial" w:eastAsia="Arial" w:hAnsi="Arial" w:cs="Arial"/>
          <w:color w:val="2F5496" w:themeColor="accent1" w:themeShade="BF"/>
          <w:u w:val="single"/>
        </w:rPr>
        <w:instrText xml:space="preserve">" </w:instrText>
      </w:r>
      <w:r>
        <w:rPr>
          <w:rFonts w:ascii="Arial" w:eastAsia="Arial" w:hAnsi="Arial" w:cs="Arial"/>
          <w:color w:val="2F5496" w:themeColor="accent1" w:themeShade="BF"/>
          <w:u w:val="single"/>
        </w:rPr>
        <w:fldChar w:fldCharType="separate"/>
      </w:r>
      <w:r w:rsidRPr="007129F1">
        <w:rPr>
          <w:rStyle w:val="Hipervnculo"/>
          <w:rFonts w:ascii="Arial" w:eastAsia="Arial" w:hAnsi="Arial" w:cs="Arial"/>
        </w:rPr>
        <w:t>acairol@unibe.ac.cr</w:t>
      </w:r>
      <w:r>
        <w:rPr>
          <w:rFonts w:ascii="Arial" w:eastAsia="Arial" w:hAnsi="Arial" w:cs="Arial"/>
          <w:color w:val="2F5496" w:themeColor="accent1" w:themeShade="BF"/>
          <w:u w:val="single"/>
        </w:rPr>
        <w:fldChar w:fldCharType="end"/>
      </w:r>
      <w:r w:rsidRPr="002051E5">
        <w:rPr>
          <w:rFonts w:ascii="Arial" w:eastAsia="Arial" w:hAnsi="Arial" w:cs="Arial"/>
          <w:color w:val="2F5496" w:themeColor="accent1" w:themeShade="BF"/>
        </w:rPr>
        <w:t xml:space="preserve">                                                </w:t>
      </w:r>
      <w:proofErr w:type="spellStart"/>
      <w:r w:rsidRPr="002051E5">
        <w:rPr>
          <w:rFonts w:ascii="Arial" w:eastAsia="Arial" w:hAnsi="Arial" w:cs="Arial"/>
          <w:color w:val="2F5496" w:themeColor="accent1" w:themeShade="BF"/>
          <w:u w:val="single"/>
        </w:rPr>
        <w:t>adrian.brenes@unibe.academy</w:t>
      </w:r>
      <w:proofErr w:type="spellEnd"/>
    </w:p>
    <w:p w14:paraId="60999AF7" w14:textId="4BB3C095" w:rsidR="00E9293F" w:rsidRPr="00E9293F" w:rsidRDefault="00E9293F" w:rsidP="00BE4B92">
      <w:pPr>
        <w:rPr>
          <w:rFonts w:ascii="Arial" w:eastAsia="Arial" w:hAnsi="Arial" w:cs="Arial"/>
          <w:color w:val="2F5496" w:themeColor="accent1" w:themeShade="BF"/>
          <w:u w:val="single"/>
        </w:rPr>
      </w:pPr>
    </w:p>
    <w:p w14:paraId="319F6C9B"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4C1650BF" w14:textId="68206BFD" w:rsidR="00A82B98" w:rsidRPr="00F02C8F" w:rsidRDefault="00A82B98" w:rsidP="00A82B98">
      <w:pPr>
        <w:tabs>
          <w:tab w:val="left" w:pos="5865"/>
        </w:tabs>
        <w:jc w:val="center"/>
        <w:rPr>
          <w:rFonts w:ascii="Arial" w:hAnsi="Arial" w:cs="Arial"/>
          <w:bCs/>
          <w:color w:val="2F5496" w:themeColor="accent1" w:themeShade="BF"/>
          <w:u w:val="single"/>
          <w:lang w:val="en-US"/>
        </w:rPr>
      </w:pPr>
      <w:r w:rsidRPr="00F02C8F">
        <w:rPr>
          <w:rFonts w:ascii="Arial" w:hAnsi="Arial" w:cs="Arial"/>
          <w:bCs/>
          <w:color w:val="2F5496" w:themeColor="accent1" w:themeShade="BF"/>
          <w:u w:val="single"/>
          <w:lang w:val="en-US"/>
        </w:rPr>
        <w:t>DOI: http://dx.doi.org/10.22458/caes.v1</w:t>
      </w:r>
      <w:r w:rsidR="00B344FA" w:rsidRPr="00F02C8F">
        <w:rPr>
          <w:rFonts w:ascii="Arial" w:hAnsi="Arial" w:cs="Arial"/>
          <w:bCs/>
          <w:color w:val="2F5496" w:themeColor="accent1" w:themeShade="BF"/>
          <w:u w:val="single"/>
          <w:lang w:val="en-US"/>
        </w:rPr>
        <w:t>6</w:t>
      </w:r>
      <w:r w:rsidRPr="00F02C8F">
        <w:rPr>
          <w:rFonts w:ascii="Arial" w:hAnsi="Arial" w:cs="Arial"/>
          <w:bCs/>
          <w:color w:val="2F5496" w:themeColor="accent1" w:themeShade="BF"/>
          <w:u w:val="single"/>
          <w:lang w:val="en-US"/>
        </w:rPr>
        <w:t>i</w:t>
      </w:r>
      <w:r w:rsidR="009D2F64" w:rsidRPr="00F02C8F">
        <w:rPr>
          <w:rFonts w:ascii="Arial" w:hAnsi="Arial" w:cs="Arial"/>
          <w:bCs/>
          <w:color w:val="2F5496" w:themeColor="accent1" w:themeShade="BF"/>
          <w:u w:val="single"/>
          <w:lang w:val="en-US"/>
        </w:rPr>
        <w:t>2</w:t>
      </w:r>
      <w:r w:rsidRPr="00F02C8F">
        <w:rPr>
          <w:rFonts w:ascii="Arial" w:hAnsi="Arial" w:cs="Arial"/>
          <w:bCs/>
          <w:color w:val="2F5496" w:themeColor="accent1" w:themeShade="BF"/>
          <w:u w:val="single"/>
          <w:lang w:val="en-US"/>
        </w:rPr>
        <w:t>.</w:t>
      </w:r>
      <w:r w:rsidR="00F02C8F" w:rsidRPr="00F02C8F">
        <w:rPr>
          <w:rFonts w:ascii="Arial" w:hAnsi="Arial" w:cs="Arial"/>
          <w:bCs/>
          <w:color w:val="2F5496" w:themeColor="accent1" w:themeShade="BF"/>
          <w:u w:val="single"/>
          <w:lang w:val="en-US"/>
        </w:rPr>
        <w:t>5061</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01EFCC86"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F02C8F">
        <w:rPr>
          <w:rFonts w:ascii="Arial" w:hAnsi="Arial" w:cs="Arial"/>
          <w:bCs/>
        </w:rPr>
        <w:t>100</w:t>
      </w:r>
      <w:r w:rsidRPr="00F4765F">
        <w:rPr>
          <w:rFonts w:ascii="Arial" w:hAnsi="Arial" w:cs="Arial"/>
          <w:bCs/>
        </w:rPr>
        <w:t>-</w:t>
      </w:r>
      <w:r w:rsidR="00747ABC">
        <w:rPr>
          <w:rFonts w:ascii="Arial" w:hAnsi="Arial" w:cs="Arial"/>
          <w:bCs/>
        </w:rPr>
        <w:t>14</w:t>
      </w:r>
      <w:r w:rsidR="0004555A">
        <w:rPr>
          <w:rFonts w:ascii="Arial" w:hAnsi="Arial" w:cs="Arial"/>
          <w:bCs/>
        </w:rPr>
        <w:t>1</w:t>
      </w:r>
    </w:p>
    <w:p w14:paraId="69C632D5" w14:textId="77777777" w:rsidR="006E20CE" w:rsidRDefault="006E20CE" w:rsidP="0020679D">
      <w:pPr>
        <w:tabs>
          <w:tab w:val="left" w:pos="5865"/>
        </w:tabs>
        <w:spacing w:line="276" w:lineRule="auto"/>
        <w:rPr>
          <w:rFonts w:ascii="Arial" w:hAnsi="Arial" w:cs="Arial"/>
          <w:bCs/>
        </w:rPr>
      </w:pPr>
      <w:bookmarkStart w:id="16" w:name="_Hlk182838172"/>
    </w:p>
    <w:p w14:paraId="1591C2AD" w14:textId="2D89A953" w:rsidR="00A82B98" w:rsidRPr="00F4765F"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4A5048">
        <w:rPr>
          <w:rFonts w:ascii="Arial" w:hAnsi="Arial" w:cs="Arial"/>
          <w:bCs/>
        </w:rPr>
        <w:t xml:space="preserve">14 </w:t>
      </w:r>
      <w:r w:rsidRPr="00F4765F">
        <w:rPr>
          <w:rFonts w:ascii="Arial" w:hAnsi="Arial" w:cs="Arial"/>
          <w:bCs/>
        </w:rPr>
        <w:t xml:space="preserve">de </w:t>
      </w:r>
      <w:r w:rsidR="004A5048">
        <w:rPr>
          <w:rFonts w:ascii="Arial" w:hAnsi="Arial" w:cs="Arial"/>
          <w:bCs/>
        </w:rPr>
        <w:t>enero</w:t>
      </w:r>
      <w:r w:rsidRPr="00F4765F">
        <w:rPr>
          <w:rFonts w:ascii="Arial" w:hAnsi="Arial" w:cs="Arial"/>
          <w:bCs/>
        </w:rPr>
        <w:t xml:space="preserve"> de 202</w:t>
      </w:r>
      <w:r w:rsidR="00F4765F" w:rsidRPr="00F4765F">
        <w:rPr>
          <w:rFonts w:ascii="Arial" w:hAnsi="Arial" w:cs="Arial"/>
          <w:bCs/>
        </w:rPr>
        <w:t>5</w:t>
      </w:r>
    </w:p>
    <w:p w14:paraId="13E62770" w14:textId="213F99EF" w:rsidR="00A82B98" w:rsidRDefault="00A82B98" w:rsidP="0020679D">
      <w:pPr>
        <w:tabs>
          <w:tab w:val="left" w:pos="5865"/>
        </w:tabs>
        <w:spacing w:line="276" w:lineRule="auto"/>
        <w:rPr>
          <w:rFonts w:ascii="Arial" w:hAnsi="Arial" w:cs="Arial"/>
          <w:bCs/>
        </w:rPr>
      </w:pPr>
      <w:r w:rsidRPr="00F4765F">
        <w:rPr>
          <w:rFonts w:ascii="Arial" w:hAnsi="Arial" w:cs="Arial"/>
          <w:bCs/>
        </w:rPr>
        <w:t xml:space="preserve">Aprobado: </w:t>
      </w:r>
      <w:r w:rsidR="004A5048">
        <w:rPr>
          <w:rFonts w:ascii="Arial" w:hAnsi="Arial" w:cs="Arial"/>
          <w:bCs/>
        </w:rPr>
        <w:t>17</w:t>
      </w:r>
      <w:r w:rsidRPr="00F4765F">
        <w:rPr>
          <w:rFonts w:ascii="Arial" w:hAnsi="Arial" w:cs="Arial"/>
          <w:bCs/>
        </w:rPr>
        <w:t xml:space="preserve"> de </w:t>
      </w:r>
      <w:r w:rsidR="00F4765F" w:rsidRPr="00F4765F">
        <w:rPr>
          <w:rFonts w:ascii="Arial" w:hAnsi="Arial" w:cs="Arial"/>
          <w:bCs/>
        </w:rPr>
        <w:t>ju</w:t>
      </w:r>
      <w:r w:rsidR="004A5048">
        <w:rPr>
          <w:rFonts w:ascii="Arial" w:hAnsi="Arial" w:cs="Arial"/>
          <w:bCs/>
        </w:rPr>
        <w:t>lio</w:t>
      </w:r>
      <w:r w:rsidR="00F4765F" w:rsidRPr="00F4765F">
        <w:rPr>
          <w:rFonts w:ascii="Arial" w:hAnsi="Arial" w:cs="Arial"/>
          <w:bCs/>
        </w:rPr>
        <w:t xml:space="preserve"> </w:t>
      </w:r>
      <w:r w:rsidRPr="00F4765F">
        <w:rPr>
          <w:rFonts w:ascii="Arial" w:hAnsi="Arial" w:cs="Arial"/>
          <w:bCs/>
        </w:rPr>
        <w:t>de 202</w:t>
      </w:r>
      <w:r w:rsidR="00F4765F" w:rsidRPr="00F4765F">
        <w:rPr>
          <w:rFonts w:ascii="Arial" w:hAnsi="Arial" w:cs="Arial"/>
          <w:bCs/>
        </w:rPr>
        <w:t>5</w:t>
      </w:r>
    </w:p>
    <w:bookmarkEnd w:id="16"/>
    <w:p w14:paraId="35F12B17" w14:textId="55146959" w:rsidR="00D00233" w:rsidRDefault="001C4921" w:rsidP="006418DC">
      <w:pPr>
        <w:jc w:val="both"/>
        <w:rPr>
          <w:rFonts w:ascii="Arial" w:hAnsi="Arial" w:cs="Arial"/>
          <w:b/>
          <w:bCs/>
          <w:lang w:eastAsia="en-US"/>
        </w:rPr>
      </w:pPr>
      <w:r w:rsidRPr="001C4921">
        <w:rPr>
          <w:rFonts w:ascii="Arial" w:hAnsi="Arial" w:cs="Arial"/>
          <w:b/>
          <w:bCs/>
          <w:lang w:eastAsia="en-US"/>
        </w:rPr>
        <w:lastRenderedPageBreak/>
        <w:t>Resumen</w:t>
      </w:r>
    </w:p>
    <w:p w14:paraId="6E62EC8C" w14:textId="61C0A119" w:rsidR="001C4921" w:rsidRPr="001C4921" w:rsidRDefault="001C4921" w:rsidP="006418DC">
      <w:pPr>
        <w:jc w:val="both"/>
        <w:rPr>
          <w:rFonts w:ascii="Arial" w:hAnsi="Arial" w:cs="Arial"/>
          <w:lang w:eastAsia="en-US"/>
        </w:rPr>
      </w:pPr>
      <w:r w:rsidRPr="001C4921">
        <w:rPr>
          <w:rFonts w:ascii="Arial" w:hAnsi="Arial" w:cs="Arial"/>
          <w:i/>
          <w:iCs/>
          <w:lang w:eastAsia="en-US"/>
        </w:rPr>
        <w:t>Objetivo</w:t>
      </w:r>
      <w:r w:rsidRPr="001C4921">
        <w:rPr>
          <w:rFonts w:ascii="Arial" w:hAnsi="Arial" w:cs="Arial"/>
          <w:b/>
          <w:bCs/>
          <w:lang w:eastAsia="en-US"/>
        </w:rPr>
        <w:t xml:space="preserve">. </w:t>
      </w:r>
      <w:r w:rsidRPr="001C4921">
        <w:rPr>
          <w:rFonts w:ascii="Arial" w:hAnsi="Arial" w:cs="Arial"/>
          <w:lang w:eastAsia="en-US"/>
        </w:rPr>
        <w:t>E</w:t>
      </w:r>
      <w:r w:rsidRPr="001C4921">
        <w:rPr>
          <w:rFonts w:ascii="Arial" w:hAnsi="Arial" w:cs="Arial"/>
          <w:lang w:val="es" w:eastAsia="en-US"/>
        </w:rPr>
        <w:t xml:space="preserve">valuar las propiedades psicométricas del DESIT-17 en estudiantes de Ciencias de la Salud. </w:t>
      </w:r>
      <w:r w:rsidRPr="001C4921">
        <w:rPr>
          <w:rFonts w:ascii="Arial" w:hAnsi="Arial" w:cs="Arial"/>
          <w:i/>
          <w:iCs/>
          <w:lang w:val="es" w:eastAsia="en-US"/>
        </w:rPr>
        <w:t>Método</w:t>
      </w:r>
      <w:r w:rsidRPr="001C4921">
        <w:rPr>
          <w:rFonts w:ascii="Arial" w:hAnsi="Arial" w:cs="Arial"/>
          <w:lang w:val="es" w:eastAsia="en-US"/>
        </w:rPr>
        <w:t xml:space="preserve">. Participaron 287 </w:t>
      </w:r>
      <w:r w:rsidRPr="001C4921">
        <w:rPr>
          <w:rFonts w:ascii="Arial" w:hAnsi="Arial" w:cs="Arial"/>
          <w:lang w:eastAsia="en-US"/>
        </w:rPr>
        <w:t>(</w:t>
      </w:r>
      <w:r w:rsidRPr="001C4921">
        <w:rPr>
          <w:rFonts w:ascii="Arial" w:hAnsi="Arial" w:cs="Arial"/>
          <w:i/>
          <w:iCs/>
          <w:lang w:eastAsia="en-US"/>
        </w:rPr>
        <w:t xml:space="preserve">ME = </w:t>
      </w:r>
      <w:r w:rsidRPr="001C4921">
        <w:rPr>
          <w:rFonts w:ascii="Arial" w:hAnsi="Arial" w:cs="Arial"/>
          <w:lang w:eastAsia="en-US"/>
        </w:rPr>
        <w:t xml:space="preserve">21,91, </w:t>
      </w:r>
      <w:r w:rsidRPr="001C4921">
        <w:rPr>
          <w:rFonts w:ascii="Arial" w:hAnsi="Arial" w:cs="Arial"/>
          <w:i/>
          <w:iCs/>
          <w:lang w:eastAsia="en-US"/>
        </w:rPr>
        <w:t xml:space="preserve">DE = </w:t>
      </w:r>
      <w:r w:rsidRPr="001C4921">
        <w:rPr>
          <w:rFonts w:ascii="Arial" w:hAnsi="Arial" w:cs="Arial"/>
          <w:lang w:eastAsia="en-US"/>
        </w:rPr>
        <w:t>4,24)</w:t>
      </w:r>
      <w:r w:rsidRPr="001C4921">
        <w:rPr>
          <w:rFonts w:ascii="Arial" w:hAnsi="Arial" w:cs="Arial"/>
          <w:lang w:val="es" w:eastAsia="en-US"/>
        </w:rPr>
        <w:t xml:space="preserve"> estudiantes de Medicina, Enfermería, Farmacia y Psicología de la UNIBE. Los datos son de julio de 2023. </w:t>
      </w:r>
      <w:r w:rsidRPr="001C4921">
        <w:rPr>
          <w:rFonts w:ascii="Arial" w:hAnsi="Arial" w:cs="Arial"/>
          <w:i/>
          <w:iCs/>
          <w:lang w:val="es" w:eastAsia="en-US"/>
        </w:rPr>
        <w:t>Resultados</w:t>
      </w:r>
      <w:r w:rsidRPr="001C4921">
        <w:rPr>
          <w:rFonts w:ascii="Arial" w:hAnsi="Arial" w:cs="Arial"/>
          <w:lang w:val="es" w:eastAsia="en-US"/>
        </w:rPr>
        <w:t xml:space="preserve">. El Análisis Factorial Confirmatorio muestra evidencias de validez afianzando los cuatro factores </w:t>
      </w:r>
      <w:r w:rsidRPr="001C4921">
        <w:rPr>
          <w:rFonts w:ascii="Arial" w:hAnsi="Arial" w:cs="Arial"/>
          <w:lang w:eastAsia="en-US"/>
        </w:rPr>
        <w:t>(</w:t>
      </w:r>
      <w:r w:rsidRPr="001C4921">
        <w:rPr>
          <w:rFonts w:ascii="Arial" w:hAnsi="Arial" w:cs="Arial"/>
          <w:i/>
          <w:iCs/>
          <w:lang w:eastAsia="en-US"/>
        </w:rPr>
        <w:t>χ</w:t>
      </w:r>
      <w:proofErr w:type="gramStart"/>
      <w:r w:rsidRPr="001C4921">
        <w:rPr>
          <w:rFonts w:ascii="Arial" w:hAnsi="Arial" w:cs="Arial"/>
          <w:i/>
          <w:iCs/>
          <w:vertAlign w:val="superscript"/>
          <w:lang w:eastAsia="en-US"/>
        </w:rPr>
        <w:t>2</w:t>
      </w:r>
      <w:r w:rsidRPr="001C4921">
        <w:rPr>
          <w:rFonts w:ascii="Arial" w:hAnsi="Arial" w:cs="Arial"/>
          <w:vertAlign w:val="superscript"/>
          <w:lang w:eastAsia="en-US"/>
        </w:rPr>
        <w:t xml:space="preserve">  </w:t>
      </w:r>
      <w:r w:rsidRPr="001C4921">
        <w:rPr>
          <w:rFonts w:ascii="Arial" w:hAnsi="Arial" w:cs="Arial"/>
          <w:lang w:eastAsia="en-US"/>
        </w:rPr>
        <w:t>=</w:t>
      </w:r>
      <w:proofErr w:type="gramEnd"/>
      <w:r w:rsidRPr="001C4921">
        <w:rPr>
          <w:rFonts w:ascii="Arial" w:hAnsi="Arial" w:cs="Arial"/>
          <w:lang w:val="es" w:eastAsia="en-US"/>
        </w:rPr>
        <w:t xml:space="preserve"> 285</w:t>
      </w:r>
      <w:r w:rsidRPr="001C4921">
        <w:rPr>
          <w:rFonts w:ascii="Arial" w:hAnsi="Arial" w:cs="Arial"/>
          <w:lang w:eastAsia="en-US"/>
        </w:rPr>
        <w:t xml:space="preserve">, </w:t>
      </w:r>
      <w:proofErr w:type="spellStart"/>
      <w:r w:rsidRPr="001C4921">
        <w:rPr>
          <w:rFonts w:ascii="Arial" w:hAnsi="Arial" w:cs="Arial"/>
          <w:i/>
          <w:iCs/>
          <w:lang w:eastAsia="en-US"/>
        </w:rPr>
        <w:t>gl</w:t>
      </w:r>
      <w:proofErr w:type="spellEnd"/>
      <w:r w:rsidRPr="001C4921">
        <w:rPr>
          <w:rFonts w:ascii="Arial" w:hAnsi="Arial" w:cs="Arial"/>
          <w:i/>
          <w:iCs/>
          <w:lang w:eastAsia="en-US"/>
        </w:rPr>
        <w:t xml:space="preserve"> </w:t>
      </w:r>
      <w:r w:rsidRPr="001C4921">
        <w:rPr>
          <w:rFonts w:ascii="Arial" w:hAnsi="Arial" w:cs="Arial"/>
          <w:lang w:eastAsia="en-US"/>
        </w:rPr>
        <w:t xml:space="preserve">= </w:t>
      </w:r>
      <w:r w:rsidRPr="001C4921">
        <w:rPr>
          <w:rFonts w:ascii="Arial" w:hAnsi="Arial" w:cs="Arial"/>
          <w:lang w:val="es" w:eastAsia="en-US"/>
        </w:rPr>
        <w:t>111</w:t>
      </w:r>
      <w:r w:rsidRPr="001C4921">
        <w:rPr>
          <w:rFonts w:ascii="Arial" w:hAnsi="Arial" w:cs="Arial"/>
          <w:lang w:eastAsia="en-US"/>
        </w:rPr>
        <w:t xml:space="preserve">, </w:t>
      </w:r>
      <w:r w:rsidRPr="001C4921">
        <w:rPr>
          <w:rFonts w:ascii="Arial" w:hAnsi="Arial" w:cs="Arial"/>
          <w:i/>
          <w:iCs/>
          <w:lang w:eastAsia="en-US"/>
        </w:rPr>
        <w:t>p</w:t>
      </w:r>
      <w:r w:rsidRPr="001C4921">
        <w:rPr>
          <w:rFonts w:ascii="Arial" w:hAnsi="Arial" w:cs="Arial"/>
          <w:lang w:eastAsia="en-US"/>
        </w:rPr>
        <w:t xml:space="preserve"> &lt; .001; </w:t>
      </w:r>
      <w:r w:rsidRPr="001C4921">
        <w:rPr>
          <w:rFonts w:ascii="Arial" w:hAnsi="Arial" w:cs="Arial"/>
          <w:i/>
          <w:iCs/>
          <w:lang w:eastAsia="en-US"/>
        </w:rPr>
        <w:t xml:space="preserve">CFI </w:t>
      </w:r>
      <w:r w:rsidRPr="001C4921">
        <w:rPr>
          <w:rFonts w:ascii="Arial" w:hAnsi="Arial" w:cs="Arial"/>
          <w:lang w:eastAsia="en-US"/>
        </w:rPr>
        <w:t xml:space="preserve">= .950; </w:t>
      </w:r>
      <w:r w:rsidRPr="001C4921">
        <w:rPr>
          <w:rFonts w:ascii="Arial" w:hAnsi="Arial" w:cs="Arial"/>
          <w:i/>
          <w:iCs/>
          <w:lang w:eastAsia="en-US"/>
        </w:rPr>
        <w:t xml:space="preserve">RMSEA </w:t>
      </w:r>
      <w:r w:rsidRPr="001C4921">
        <w:rPr>
          <w:rFonts w:ascii="Arial" w:hAnsi="Arial" w:cs="Arial"/>
          <w:lang w:eastAsia="en-US"/>
        </w:rPr>
        <w:t xml:space="preserve">= .074 [.063 - .084], </w:t>
      </w:r>
      <w:r w:rsidRPr="001C4921">
        <w:rPr>
          <w:rFonts w:ascii="Arial" w:hAnsi="Arial" w:cs="Arial"/>
          <w:i/>
          <w:iCs/>
          <w:lang w:eastAsia="en-US"/>
        </w:rPr>
        <w:t>SRMR</w:t>
      </w:r>
      <w:r w:rsidRPr="001C4921">
        <w:rPr>
          <w:rFonts w:ascii="Arial" w:hAnsi="Arial" w:cs="Arial"/>
          <w:lang w:eastAsia="en-US"/>
        </w:rPr>
        <w:t xml:space="preserve"> = .046). </w:t>
      </w:r>
      <w:proofErr w:type="gramStart"/>
      <w:r w:rsidRPr="001C4921">
        <w:rPr>
          <w:rFonts w:ascii="Arial" w:hAnsi="Arial" w:cs="Arial"/>
          <w:lang w:eastAsia="en-US"/>
        </w:rPr>
        <w:t>Los alfas</w:t>
      </w:r>
      <w:proofErr w:type="gramEnd"/>
      <w:r w:rsidRPr="001C4921">
        <w:rPr>
          <w:rFonts w:ascii="Arial" w:hAnsi="Arial" w:cs="Arial"/>
          <w:lang w:eastAsia="en-US"/>
        </w:rPr>
        <w:t xml:space="preserve"> de Cronbach resultan adecuados (α = .85 - .91). Se encuentra evidencia de validez nomológica con la Escala de Satisfacción Académica (ESA) (</w:t>
      </w:r>
      <w:r w:rsidRPr="001C4921">
        <w:rPr>
          <w:rFonts w:ascii="Arial" w:hAnsi="Arial" w:cs="Arial"/>
          <w:i/>
          <w:iCs/>
          <w:lang w:eastAsia="en-US"/>
        </w:rPr>
        <w:t xml:space="preserve">r </w:t>
      </w:r>
      <w:r w:rsidRPr="001C4921">
        <w:rPr>
          <w:rFonts w:ascii="Arial" w:hAnsi="Arial" w:cs="Arial"/>
          <w:lang w:eastAsia="en-US"/>
        </w:rPr>
        <w:t xml:space="preserve">= .64, </w:t>
      </w:r>
      <w:r w:rsidRPr="001C4921">
        <w:rPr>
          <w:rFonts w:ascii="Arial" w:hAnsi="Arial" w:cs="Arial"/>
          <w:i/>
          <w:iCs/>
          <w:lang w:eastAsia="en-US"/>
        </w:rPr>
        <w:t>p</w:t>
      </w:r>
      <w:r w:rsidRPr="001C4921">
        <w:rPr>
          <w:rFonts w:ascii="Arial" w:hAnsi="Arial" w:cs="Arial"/>
          <w:lang w:val="es-ES" w:eastAsia="en-US"/>
        </w:rPr>
        <w:t xml:space="preserve"> </w:t>
      </w:r>
      <w:proofErr w:type="gramStart"/>
      <w:r w:rsidRPr="001C4921">
        <w:rPr>
          <w:rFonts w:ascii="Arial" w:hAnsi="Arial" w:cs="Arial"/>
          <w:lang w:val="es-ES" w:eastAsia="en-US"/>
        </w:rPr>
        <w:t xml:space="preserve">&lt; </w:t>
      </w:r>
      <w:r w:rsidRPr="001C4921">
        <w:rPr>
          <w:rFonts w:ascii="Arial" w:hAnsi="Arial" w:cs="Arial"/>
          <w:lang w:eastAsia="en-US"/>
        </w:rPr>
        <w:t>.</w:t>
      </w:r>
      <w:proofErr w:type="gramEnd"/>
      <w:r w:rsidRPr="001C4921">
        <w:rPr>
          <w:rFonts w:ascii="Arial" w:hAnsi="Arial" w:cs="Arial"/>
          <w:lang w:eastAsia="en-US"/>
        </w:rPr>
        <w:t xml:space="preserve"> “01”) y con el haber considerado dejar la carrera (t (285) = -4.35, p</w:t>
      </w:r>
      <w:r w:rsidRPr="001C4921">
        <w:rPr>
          <w:rFonts w:ascii="Arial" w:hAnsi="Arial" w:cs="Arial"/>
          <w:lang w:val="es-ES" w:eastAsia="en-US"/>
        </w:rPr>
        <w:t xml:space="preserve"> &lt;</w:t>
      </w:r>
      <w:r w:rsidRPr="001C4921">
        <w:rPr>
          <w:rFonts w:ascii="Arial" w:hAnsi="Arial" w:cs="Arial"/>
          <w:lang w:eastAsia="en-US"/>
        </w:rPr>
        <w:t xml:space="preserve"> “01”). El DESIT-17 muestra propiedades psicométricas adecuadas para medir la satisfacción académica. </w:t>
      </w:r>
    </w:p>
    <w:p w14:paraId="17C668E5" w14:textId="77777777" w:rsidR="00D00233" w:rsidRDefault="00D00233" w:rsidP="006418DC">
      <w:pPr>
        <w:jc w:val="both"/>
        <w:rPr>
          <w:rFonts w:ascii="Arial" w:hAnsi="Arial" w:cs="Arial"/>
          <w:b/>
          <w:bCs/>
          <w:lang w:eastAsia="en-US"/>
        </w:rPr>
      </w:pPr>
    </w:p>
    <w:p w14:paraId="641997E4" w14:textId="68B8E217" w:rsidR="001C4921" w:rsidRPr="001C4921" w:rsidRDefault="001C4921" w:rsidP="006418DC">
      <w:pPr>
        <w:jc w:val="both"/>
        <w:rPr>
          <w:rFonts w:ascii="Arial" w:hAnsi="Arial" w:cs="Arial"/>
          <w:lang w:eastAsia="en-US"/>
        </w:rPr>
      </w:pPr>
      <w:r w:rsidRPr="001C4921">
        <w:rPr>
          <w:rFonts w:ascii="Arial" w:hAnsi="Arial" w:cs="Arial"/>
          <w:b/>
          <w:bCs/>
          <w:lang w:eastAsia="en-US"/>
        </w:rPr>
        <w:t>Palabras clave:</w:t>
      </w:r>
      <w:r w:rsidRPr="001C4921">
        <w:rPr>
          <w:rFonts w:ascii="Arial" w:hAnsi="Arial" w:cs="Arial"/>
          <w:lang w:eastAsia="en-US"/>
        </w:rPr>
        <w:t xml:space="preserve"> calidad de la educación, ciencias de la salud, estudiantes, satisfacción académica, satisfacción estudiantil. </w:t>
      </w:r>
    </w:p>
    <w:p w14:paraId="35429832" w14:textId="77777777" w:rsidR="00D00233" w:rsidRPr="0099353C" w:rsidRDefault="00D00233" w:rsidP="006418DC">
      <w:pPr>
        <w:jc w:val="both"/>
        <w:rPr>
          <w:rFonts w:ascii="Arial" w:hAnsi="Arial" w:cs="Arial"/>
          <w:b/>
          <w:bCs/>
          <w:lang w:eastAsia="en-US"/>
        </w:rPr>
      </w:pPr>
    </w:p>
    <w:p w14:paraId="5A0C1E93" w14:textId="31B2D92E" w:rsidR="00D00233" w:rsidRDefault="001C4921" w:rsidP="006418DC">
      <w:pPr>
        <w:jc w:val="both"/>
        <w:rPr>
          <w:rFonts w:ascii="Arial" w:hAnsi="Arial" w:cs="Arial"/>
          <w:b/>
          <w:bCs/>
          <w:lang w:val="en-US" w:eastAsia="en-US"/>
        </w:rPr>
      </w:pPr>
      <w:r w:rsidRPr="001C4921">
        <w:rPr>
          <w:rFonts w:ascii="Arial" w:hAnsi="Arial" w:cs="Arial"/>
          <w:b/>
          <w:bCs/>
          <w:lang w:val="en-US" w:eastAsia="en-US"/>
        </w:rPr>
        <w:t xml:space="preserve">Abstract: </w:t>
      </w:r>
    </w:p>
    <w:p w14:paraId="1CB2E5CB" w14:textId="0FA22257" w:rsidR="001C4921" w:rsidRPr="001C4921" w:rsidRDefault="001C4921" w:rsidP="006418DC">
      <w:pPr>
        <w:jc w:val="both"/>
        <w:rPr>
          <w:rFonts w:ascii="Arial" w:hAnsi="Arial" w:cs="Arial"/>
          <w:lang w:val="en-US" w:eastAsia="en-US"/>
        </w:rPr>
      </w:pPr>
      <w:r w:rsidRPr="001C4921">
        <w:rPr>
          <w:rFonts w:ascii="Arial" w:hAnsi="Arial" w:cs="Arial"/>
          <w:i/>
          <w:iCs/>
          <w:lang w:val="en-US" w:eastAsia="en-US"/>
        </w:rPr>
        <w:t>Objective</w:t>
      </w:r>
      <w:r w:rsidRPr="001C4921">
        <w:rPr>
          <w:rFonts w:ascii="Arial" w:hAnsi="Arial" w:cs="Arial"/>
          <w:lang w:val="en-US" w:eastAsia="en-US"/>
        </w:rPr>
        <w:t xml:space="preserve">. Evaluate the psychometric properties of the DESIT-17 in Health Sciences students. </w:t>
      </w:r>
      <w:r w:rsidRPr="001C4921">
        <w:rPr>
          <w:rFonts w:ascii="Arial" w:hAnsi="Arial" w:cs="Arial"/>
          <w:i/>
          <w:iCs/>
          <w:lang w:val="en-US" w:eastAsia="en-US"/>
        </w:rPr>
        <w:t>Method</w:t>
      </w:r>
      <w:r w:rsidRPr="001C4921">
        <w:rPr>
          <w:rFonts w:ascii="Arial" w:hAnsi="Arial" w:cs="Arial"/>
          <w:lang w:val="en-US" w:eastAsia="en-US"/>
        </w:rPr>
        <w:t>. A total of 287 (</w:t>
      </w:r>
      <w:r w:rsidRPr="001C4921">
        <w:rPr>
          <w:rFonts w:ascii="Arial" w:hAnsi="Arial" w:cs="Arial"/>
          <w:i/>
          <w:iCs/>
          <w:lang w:val="en-US" w:eastAsia="en-US"/>
        </w:rPr>
        <w:t xml:space="preserve">M = </w:t>
      </w:r>
      <w:r w:rsidRPr="001C4921">
        <w:rPr>
          <w:rFonts w:ascii="Arial" w:hAnsi="Arial" w:cs="Arial"/>
          <w:lang w:val="en-US" w:eastAsia="en-US"/>
        </w:rPr>
        <w:t xml:space="preserve">21.91, </w:t>
      </w:r>
      <w:r w:rsidRPr="001C4921">
        <w:rPr>
          <w:rFonts w:ascii="Arial" w:hAnsi="Arial" w:cs="Arial"/>
          <w:i/>
          <w:iCs/>
          <w:lang w:val="en-US" w:eastAsia="en-US"/>
        </w:rPr>
        <w:t xml:space="preserve">SD = </w:t>
      </w:r>
      <w:r w:rsidRPr="001C4921">
        <w:rPr>
          <w:rFonts w:ascii="Arial" w:hAnsi="Arial" w:cs="Arial"/>
          <w:lang w:val="en-US" w:eastAsia="en-US"/>
        </w:rPr>
        <w:t xml:space="preserve">4.24) students from Medicine, Nursing, Pharmacy, and Psychology at the University of </w:t>
      </w:r>
      <w:proofErr w:type="spellStart"/>
      <w:r w:rsidRPr="001C4921">
        <w:rPr>
          <w:rFonts w:ascii="Arial" w:hAnsi="Arial" w:cs="Arial"/>
          <w:lang w:val="en-US" w:eastAsia="en-US"/>
        </w:rPr>
        <w:t>Iberoamérica</w:t>
      </w:r>
      <w:proofErr w:type="spellEnd"/>
      <w:r w:rsidRPr="001C4921">
        <w:rPr>
          <w:rFonts w:ascii="Arial" w:hAnsi="Arial" w:cs="Arial"/>
          <w:lang w:val="en-US" w:eastAsia="en-US"/>
        </w:rPr>
        <w:t xml:space="preserve"> (UNIBE) participated in the study. Data were collected in July 2023. </w:t>
      </w:r>
      <w:r w:rsidRPr="001C4921">
        <w:rPr>
          <w:rFonts w:ascii="Arial" w:hAnsi="Arial" w:cs="Arial"/>
          <w:i/>
          <w:iCs/>
          <w:lang w:val="en-US" w:eastAsia="en-US"/>
        </w:rPr>
        <w:t>Results</w:t>
      </w:r>
      <w:r w:rsidRPr="001C4921">
        <w:rPr>
          <w:rFonts w:ascii="Arial" w:hAnsi="Arial" w:cs="Arial"/>
          <w:lang w:val="en-US" w:eastAsia="en-US"/>
        </w:rPr>
        <w:t>. Confirmatory Factor Analysis provided evidence of validity, establishing four factors (χ2 = 285, df = 111, p &lt; .001; CFI = .950; RMSEA = .074 [.063 - .084], SRMR = .046). Cronbach's alphas were adequate (</w:t>
      </w:r>
      <w:r w:rsidRPr="001C4921">
        <w:rPr>
          <w:rFonts w:ascii="Arial" w:hAnsi="Arial" w:cs="Arial"/>
          <w:lang w:eastAsia="en-US"/>
        </w:rPr>
        <w:t>α</w:t>
      </w:r>
      <w:r w:rsidRPr="001C4921">
        <w:rPr>
          <w:rFonts w:ascii="Arial" w:hAnsi="Arial" w:cs="Arial"/>
          <w:lang w:val="en-US" w:eastAsia="en-US"/>
        </w:rPr>
        <w:t xml:space="preserve"> = .85-.91). Nomological validity evidence was found with an Academic Satisfaction Scale (ESA) (r = .64, p &lt; .001) and with having considered leaving the program on some occasions (t (285) = -4.35, p &lt; .01). The DESIT-17 demonstrates adequate psychometric properties for measuring academic satisfaction.</w:t>
      </w:r>
    </w:p>
    <w:p w14:paraId="5A4A24CD" w14:textId="77777777" w:rsidR="00D00233" w:rsidRDefault="00D00233" w:rsidP="006418DC">
      <w:pPr>
        <w:jc w:val="both"/>
        <w:rPr>
          <w:rFonts w:ascii="Arial" w:hAnsi="Arial" w:cs="Arial"/>
          <w:b/>
          <w:bCs/>
          <w:lang w:val="en-US" w:eastAsia="en-US"/>
        </w:rPr>
      </w:pPr>
    </w:p>
    <w:p w14:paraId="16266475" w14:textId="56D591E0" w:rsidR="001C4921" w:rsidRPr="001C4921" w:rsidRDefault="001C4921" w:rsidP="006418DC">
      <w:pPr>
        <w:jc w:val="both"/>
        <w:rPr>
          <w:rFonts w:ascii="Arial" w:hAnsi="Arial" w:cs="Arial"/>
          <w:lang w:val="en-US" w:eastAsia="en-US"/>
        </w:rPr>
      </w:pPr>
      <w:r w:rsidRPr="001C4921">
        <w:rPr>
          <w:rFonts w:ascii="Arial" w:hAnsi="Arial" w:cs="Arial"/>
          <w:b/>
          <w:bCs/>
          <w:lang w:val="en-US" w:eastAsia="en-US"/>
        </w:rPr>
        <w:t>Keywords:</w:t>
      </w:r>
      <w:r w:rsidRPr="001C4921">
        <w:rPr>
          <w:rFonts w:ascii="Arial" w:hAnsi="Arial" w:cs="Arial"/>
          <w:lang w:val="en-US" w:eastAsia="en-US"/>
        </w:rPr>
        <w:t xml:space="preserve"> education quality, health sciences, students, academic satisfaction, student satisfaction.</w:t>
      </w:r>
    </w:p>
    <w:p w14:paraId="59E88976" w14:textId="77777777" w:rsidR="001C4921" w:rsidRPr="001C4921" w:rsidRDefault="001C4921" w:rsidP="001C4921">
      <w:pPr>
        <w:spacing w:after="160" w:line="360" w:lineRule="auto"/>
        <w:rPr>
          <w:rFonts w:ascii="Arial" w:eastAsia="Calibri" w:hAnsi="Arial" w:cs="Arial"/>
          <w:lang w:val="en-US" w:eastAsia="en-US"/>
        </w:rPr>
      </w:pPr>
    </w:p>
    <w:p w14:paraId="7910EB75" w14:textId="4B0EFD85" w:rsidR="001C4921" w:rsidRPr="009065BE" w:rsidRDefault="001C4913" w:rsidP="001C4921">
      <w:pPr>
        <w:spacing w:after="160" w:line="360" w:lineRule="auto"/>
        <w:rPr>
          <w:rFonts w:ascii="Arial" w:hAnsi="Arial" w:cs="Arial"/>
          <w:b/>
          <w:bCs/>
          <w:color w:val="000000"/>
          <w:lang w:eastAsia="en-US"/>
        </w:rPr>
      </w:pPr>
      <w:r w:rsidRPr="001C4921">
        <w:rPr>
          <w:rFonts w:ascii="Arial" w:hAnsi="Arial" w:cs="Arial"/>
          <w:b/>
          <w:bCs/>
          <w:color w:val="000000"/>
          <w:lang w:eastAsia="en-US"/>
        </w:rPr>
        <w:lastRenderedPageBreak/>
        <w:t>INTRODUCCIÓN</w:t>
      </w:r>
    </w:p>
    <w:p w14:paraId="1925E1DD"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Previo a la pandemia del año 2020, Costa Rica se ve afectada por una serie de fenómenos socioeconómicos, como la crisis fiscal y el aumento del desempleo, en concomitancia a una serie de situaciones que aquejan, de manera directa, al sector educativo; por ejemplo: huelgas constantes del sector o problemas de desigualdad en términos de acceso y conectividad (Rivera, 2022). </w:t>
      </w:r>
    </w:p>
    <w:p w14:paraId="5D56A696" w14:textId="7E04437B"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Posteriormente y tras distintas problemáticas socioeconómicas globales, como la pandemia, el conflicto entre Rusia y Ucrania, interrupciones de los suministros globales (crisis de los contenedores) y la inflación global, la crisis del sector educativo se ha agravado dentro del llamado “apagón educativo”. Como consecuencia, el país pasa de contabilizar 186 000 estudiantes de los diferentes niveles educativos en pobreza extrema, en el 2019, a 297 000 (un aumento del 59%), según datos del 2021 (Programa Estado de la Nación, 2021); cifras que afectan, de igual forma, a la educación superior. </w:t>
      </w:r>
    </w:p>
    <w:p w14:paraId="6041B762"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Sobre esta última, el Informe del Estado de la Educación (2023) señala, con preocupación, las deficiencias en conocimientos que se desarrollan en el nivel secundario y que ponen en riesgo las trayectorias educativas de las nuevas generaciones. Por ende, genera preocupación en el nivel universitario respecto a las consecuencias en aspectos, como el rendimiento académico, el tiempo de duración de las carreras, la deserción o la salud mental.</w:t>
      </w:r>
    </w:p>
    <w:p w14:paraId="54252436"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lastRenderedPageBreak/>
        <w:t>Los estudiantes universitarios están sujetos a una serie de estresores, como la transición hacia la adultez,</w:t>
      </w:r>
      <w:r w:rsidRPr="001C4921">
        <w:rPr>
          <w:rFonts w:ascii="Arial" w:hAnsi="Arial" w:cs="Arial"/>
          <w:color w:val="FFC000"/>
          <w:lang w:eastAsia="en-US"/>
        </w:rPr>
        <w:t xml:space="preserve"> </w:t>
      </w:r>
      <w:r w:rsidRPr="001C4921">
        <w:rPr>
          <w:rFonts w:ascii="Arial" w:hAnsi="Arial" w:cs="Arial"/>
          <w:lang w:eastAsia="en-US"/>
        </w:rPr>
        <w:t>las cargas académicas</w:t>
      </w:r>
      <w:r w:rsidRPr="001C4921">
        <w:rPr>
          <w:rFonts w:ascii="Arial" w:hAnsi="Arial" w:cs="Arial"/>
          <w:color w:val="C45911"/>
          <w:lang w:eastAsia="en-US"/>
        </w:rPr>
        <w:t xml:space="preserve"> </w:t>
      </w:r>
      <w:r w:rsidRPr="001C4921">
        <w:rPr>
          <w:rFonts w:ascii="Arial" w:hAnsi="Arial" w:cs="Arial"/>
          <w:lang w:eastAsia="en-US"/>
        </w:rPr>
        <w:t xml:space="preserve">(Wyatt &amp; </w:t>
      </w:r>
      <w:proofErr w:type="spellStart"/>
      <w:r w:rsidRPr="001C4921">
        <w:rPr>
          <w:rFonts w:ascii="Arial" w:hAnsi="Arial" w:cs="Arial"/>
          <w:lang w:eastAsia="en-US"/>
        </w:rPr>
        <w:t>Oswalt</w:t>
      </w:r>
      <w:proofErr w:type="spellEnd"/>
      <w:r w:rsidRPr="001C4921">
        <w:rPr>
          <w:rFonts w:ascii="Arial" w:hAnsi="Arial" w:cs="Arial"/>
          <w:lang w:eastAsia="en-US"/>
        </w:rPr>
        <w:t>, 2013; Schramm-</w:t>
      </w:r>
      <w:proofErr w:type="spellStart"/>
      <w:r w:rsidRPr="001C4921">
        <w:rPr>
          <w:rFonts w:ascii="Arial" w:hAnsi="Arial" w:cs="Arial"/>
          <w:lang w:eastAsia="en-US"/>
        </w:rPr>
        <w:t>Possinger</w:t>
      </w:r>
      <w:proofErr w:type="spellEnd"/>
      <w:r w:rsidRPr="001C4921">
        <w:rPr>
          <w:rFonts w:ascii="Arial" w:hAnsi="Arial" w:cs="Arial"/>
          <w:lang w:eastAsia="en-US"/>
        </w:rPr>
        <w:t xml:space="preserve"> &amp; Powers, 2015);</w:t>
      </w:r>
      <w:r w:rsidRPr="001C4921">
        <w:rPr>
          <w:rFonts w:ascii="Arial" w:hAnsi="Arial" w:cs="Arial"/>
          <w:color w:val="FFC000"/>
          <w:lang w:eastAsia="en-US"/>
        </w:rPr>
        <w:t xml:space="preserve"> </w:t>
      </w:r>
      <w:r w:rsidRPr="001C4921">
        <w:rPr>
          <w:rFonts w:ascii="Arial" w:hAnsi="Arial" w:cs="Arial"/>
          <w:lang w:eastAsia="en-US"/>
        </w:rPr>
        <w:t>la incertidumbre respecto a las posibilidades de insertarse en el mercado laboral a futuro; y presiones económicas, presentes o futuras (por ejemplo, los préstamos para estudiar).  Así, se ha llegado a estimar en 41 y 39%, la tasa de ansiedad y depresión entre estudiantes universitarios avanzados (</w:t>
      </w:r>
      <w:proofErr w:type="spellStart"/>
      <w:r w:rsidRPr="001C4921">
        <w:rPr>
          <w:rFonts w:ascii="Arial" w:hAnsi="Arial" w:cs="Arial"/>
          <w:i/>
          <w:lang w:eastAsia="en-US"/>
        </w:rPr>
        <w:t>graduate</w:t>
      </w:r>
      <w:proofErr w:type="spellEnd"/>
      <w:r w:rsidRPr="001C4921">
        <w:rPr>
          <w:rFonts w:ascii="Arial" w:hAnsi="Arial" w:cs="Arial"/>
          <w:i/>
          <w:lang w:eastAsia="en-US"/>
        </w:rPr>
        <w:t xml:space="preserve"> </w:t>
      </w:r>
      <w:proofErr w:type="spellStart"/>
      <w:r w:rsidRPr="001C4921">
        <w:rPr>
          <w:rFonts w:ascii="Arial" w:hAnsi="Arial" w:cs="Arial"/>
          <w:i/>
          <w:lang w:eastAsia="en-US"/>
        </w:rPr>
        <w:t>students</w:t>
      </w:r>
      <w:proofErr w:type="spellEnd"/>
      <w:r w:rsidRPr="001C4921">
        <w:rPr>
          <w:rFonts w:ascii="Arial" w:hAnsi="Arial" w:cs="Arial"/>
          <w:lang w:eastAsia="en-US"/>
        </w:rPr>
        <w:t xml:space="preserve">), bajo la estimación de que esta población sería seis veces más propensa que la población general a presentar estas afectaciones (Evans et al., 2018, citados por Parks et al., 2021). En Costa Rica, se destaca que el 54,6% de las personas jóvenes que ingresan a las universidades son la primera generación en su familia, en acceder a la universidad (Informe del Estado de la Educación, 2023). </w:t>
      </w:r>
    </w:p>
    <w:p w14:paraId="2FEAFDE4"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Estudios, en otras latitudes, han estimado niveles de afectación catalogados de moderado para arriba, en el 47,1% de estudiantado en el caso de ansiedad; 27,1%, para depresión; y del 27%, para estrés</w:t>
      </w:r>
      <w:r w:rsidRPr="001C4921">
        <w:rPr>
          <w:rFonts w:ascii="Arial" w:hAnsi="Arial" w:cs="Arial"/>
          <w:color w:val="C45911"/>
          <w:lang w:eastAsia="en-US"/>
        </w:rPr>
        <w:t xml:space="preserve"> </w:t>
      </w:r>
      <w:r w:rsidRPr="001C4921">
        <w:rPr>
          <w:rFonts w:ascii="Arial" w:hAnsi="Arial" w:cs="Arial"/>
          <w:lang w:eastAsia="en-US"/>
        </w:rPr>
        <w:t>(</w:t>
      </w:r>
      <w:proofErr w:type="spellStart"/>
      <w:r w:rsidRPr="001C4921">
        <w:rPr>
          <w:rFonts w:ascii="Arial" w:hAnsi="Arial" w:cs="Arial"/>
          <w:lang w:eastAsia="en-US"/>
        </w:rPr>
        <w:t>Bayram</w:t>
      </w:r>
      <w:proofErr w:type="spellEnd"/>
      <w:r w:rsidRPr="001C4921">
        <w:rPr>
          <w:rFonts w:ascii="Arial" w:hAnsi="Arial" w:cs="Arial"/>
          <w:lang w:eastAsia="en-US"/>
        </w:rPr>
        <w:t xml:space="preserve"> &amp; </w:t>
      </w:r>
      <w:proofErr w:type="spellStart"/>
      <w:r w:rsidRPr="001C4921">
        <w:rPr>
          <w:rFonts w:ascii="Arial" w:hAnsi="Arial" w:cs="Arial"/>
          <w:lang w:eastAsia="en-US"/>
        </w:rPr>
        <w:t>Bilgel</w:t>
      </w:r>
      <w:proofErr w:type="spellEnd"/>
      <w:r w:rsidRPr="001C4921">
        <w:rPr>
          <w:rFonts w:ascii="Arial" w:hAnsi="Arial" w:cs="Arial"/>
          <w:lang w:eastAsia="en-US"/>
        </w:rPr>
        <w:t>, 2008).</w:t>
      </w:r>
      <w:r w:rsidRPr="001C4921">
        <w:rPr>
          <w:rFonts w:ascii="Arial" w:hAnsi="Arial" w:cs="Arial"/>
          <w:color w:val="C45911"/>
          <w:lang w:eastAsia="en-US"/>
        </w:rPr>
        <w:t xml:space="preserve"> </w:t>
      </w:r>
      <w:r w:rsidRPr="001C4921">
        <w:rPr>
          <w:rFonts w:ascii="Arial" w:hAnsi="Arial" w:cs="Arial"/>
          <w:lang w:eastAsia="en-US"/>
        </w:rPr>
        <w:t xml:space="preserve">En Costa Rica, un estudio sobre la prevalencia de criterios diagnósticos del DSM-V de ansiedad y depresión realizado en el área rural, en el 2019, encuentra que el 55,93% de los entrevistados reporta tres o más criterios diagnósticos para el trastorno de ansiedad generalizada del DSM-V, a la vez que el 36,16% de estudiantes universitarios entrevistados refiere cumplir siempre o, frecuentemente, con los criterios </w:t>
      </w:r>
      <w:r w:rsidRPr="001C4921">
        <w:rPr>
          <w:rFonts w:ascii="Arial" w:hAnsi="Arial" w:cs="Arial"/>
          <w:lang w:eastAsia="en-US"/>
        </w:rPr>
        <w:lastRenderedPageBreak/>
        <w:t>diagnósticos del trastorno depresivo, junto con un 29,38% de participantes que reportan ideación suicida (Dobles-Villegas, 2019).</w:t>
      </w:r>
    </w:p>
    <w:p w14:paraId="651AD83C"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Aunado a lo anterior, en el caso específico de estudiantado de Ciencias de la Salud, la literatura internacional es consistente en cuanto a señalar las afectaciones a la salud mental; en particular, en las carreras de Ciencias Médicas (</w:t>
      </w:r>
      <w:proofErr w:type="spellStart"/>
      <w:r w:rsidRPr="001C4921">
        <w:rPr>
          <w:rFonts w:ascii="Arial" w:hAnsi="Arial" w:cs="Arial"/>
          <w:lang w:eastAsia="en-US"/>
        </w:rPr>
        <w:t>Dyrbye</w:t>
      </w:r>
      <w:proofErr w:type="spellEnd"/>
      <w:r w:rsidRPr="001C4921">
        <w:rPr>
          <w:rFonts w:ascii="Arial" w:hAnsi="Arial" w:cs="Arial"/>
          <w:lang w:eastAsia="en-US"/>
        </w:rPr>
        <w:t xml:space="preserve">, 2010; </w:t>
      </w:r>
      <w:proofErr w:type="spellStart"/>
      <w:r w:rsidRPr="001C4921">
        <w:rPr>
          <w:rFonts w:ascii="Arial" w:hAnsi="Arial" w:cs="Arial"/>
          <w:lang w:eastAsia="en-US"/>
        </w:rPr>
        <w:t>Dyrbye</w:t>
      </w:r>
      <w:proofErr w:type="spellEnd"/>
      <w:r w:rsidRPr="001C4921">
        <w:rPr>
          <w:rFonts w:ascii="Arial" w:hAnsi="Arial" w:cs="Arial"/>
          <w:lang w:eastAsia="en-US"/>
        </w:rPr>
        <w:t xml:space="preserve">, 2006; </w:t>
      </w:r>
      <w:proofErr w:type="spellStart"/>
      <w:r w:rsidRPr="001C4921">
        <w:rPr>
          <w:rFonts w:ascii="Arial" w:hAnsi="Arial" w:cs="Arial"/>
          <w:lang w:eastAsia="en-US"/>
        </w:rPr>
        <w:t>Rehmani</w:t>
      </w:r>
      <w:proofErr w:type="spellEnd"/>
      <w:r w:rsidRPr="001C4921">
        <w:rPr>
          <w:rFonts w:ascii="Arial" w:hAnsi="Arial" w:cs="Arial"/>
          <w:lang w:eastAsia="en-US"/>
        </w:rPr>
        <w:t xml:space="preserve"> et al., 2018) y Enfermería (Avecillas </w:t>
      </w:r>
      <w:proofErr w:type="spellStart"/>
      <w:r w:rsidRPr="001C4921">
        <w:rPr>
          <w:rFonts w:ascii="Arial" w:hAnsi="Arial" w:cs="Arial"/>
          <w:lang w:eastAsia="en-US"/>
        </w:rPr>
        <w:t>Cazho</w:t>
      </w:r>
      <w:proofErr w:type="spellEnd"/>
      <w:r w:rsidRPr="001C4921">
        <w:rPr>
          <w:rFonts w:ascii="Arial" w:hAnsi="Arial" w:cs="Arial"/>
          <w:lang w:eastAsia="en-US"/>
        </w:rPr>
        <w:t xml:space="preserve"> et al., 2021; Consuelos-Sánchez et al., 2023; Pérez-Contreras, 2021; </w:t>
      </w:r>
      <w:proofErr w:type="spellStart"/>
      <w:r w:rsidRPr="001C4921">
        <w:rPr>
          <w:rFonts w:ascii="Arial" w:hAnsi="Arial" w:cs="Arial"/>
          <w:lang w:eastAsia="en-US"/>
        </w:rPr>
        <w:t>Tavolacci</w:t>
      </w:r>
      <w:proofErr w:type="spellEnd"/>
      <w:r w:rsidRPr="001C4921">
        <w:rPr>
          <w:rFonts w:ascii="Arial" w:hAnsi="Arial" w:cs="Arial"/>
          <w:lang w:eastAsia="en-US"/>
        </w:rPr>
        <w:t xml:space="preserve"> et al., 2018). Sin embargo, también existe evidencia, en este sentido, en el caso de estudiantes de Farmacia (</w:t>
      </w:r>
      <w:proofErr w:type="spellStart"/>
      <w:r w:rsidRPr="001C4921">
        <w:rPr>
          <w:rFonts w:ascii="Arial" w:hAnsi="Arial" w:cs="Arial"/>
          <w:lang w:eastAsia="en-US"/>
        </w:rPr>
        <w:t>Fischbein</w:t>
      </w:r>
      <w:proofErr w:type="spellEnd"/>
      <w:r w:rsidRPr="001C4921">
        <w:rPr>
          <w:rFonts w:ascii="Arial" w:hAnsi="Arial" w:cs="Arial"/>
          <w:lang w:eastAsia="en-US"/>
        </w:rPr>
        <w:t xml:space="preserve"> &amp; </w:t>
      </w:r>
      <w:proofErr w:type="spellStart"/>
      <w:r w:rsidRPr="001C4921">
        <w:rPr>
          <w:rFonts w:ascii="Arial" w:hAnsi="Arial" w:cs="Arial"/>
          <w:lang w:eastAsia="en-US"/>
        </w:rPr>
        <w:t>Bonfine</w:t>
      </w:r>
      <w:proofErr w:type="spellEnd"/>
      <w:r w:rsidRPr="001C4921">
        <w:rPr>
          <w:rFonts w:ascii="Arial" w:hAnsi="Arial" w:cs="Arial"/>
          <w:lang w:eastAsia="en-US"/>
        </w:rPr>
        <w:t xml:space="preserve">, 2019; </w:t>
      </w:r>
      <w:proofErr w:type="spellStart"/>
      <w:r w:rsidRPr="001C4921">
        <w:rPr>
          <w:rFonts w:ascii="Arial" w:hAnsi="Arial" w:cs="Arial"/>
          <w:lang w:eastAsia="en-US"/>
        </w:rPr>
        <w:t>Franzen</w:t>
      </w:r>
      <w:proofErr w:type="spellEnd"/>
      <w:r w:rsidRPr="001C4921">
        <w:rPr>
          <w:rFonts w:ascii="Arial" w:hAnsi="Arial" w:cs="Arial"/>
          <w:lang w:eastAsia="en-US"/>
        </w:rPr>
        <w:t xml:space="preserve"> et al., 2021)</w:t>
      </w:r>
      <w:r w:rsidRPr="001C4921">
        <w:rPr>
          <w:rFonts w:ascii="Arial" w:hAnsi="Arial" w:cs="Arial"/>
          <w:color w:val="FFC000"/>
          <w:lang w:eastAsia="en-US"/>
        </w:rPr>
        <w:t xml:space="preserve"> </w:t>
      </w:r>
      <w:r w:rsidRPr="001C4921">
        <w:rPr>
          <w:rFonts w:ascii="Arial" w:hAnsi="Arial" w:cs="Arial"/>
          <w:lang w:eastAsia="en-US"/>
        </w:rPr>
        <w:t>y Psicología (</w:t>
      </w:r>
      <w:proofErr w:type="spellStart"/>
      <w:r w:rsidRPr="001C4921">
        <w:rPr>
          <w:rFonts w:ascii="Arial" w:hAnsi="Arial" w:cs="Arial"/>
          <w:lang w:eastAsia="en-US"/>
        </w:rPr>
        <w:t>Franzen</w:t>
      </w:r>
      <w:proofErr w:type="spellEnd"/>
      <w:r w:rsidRPr="001C4921">
        <w:rPr>
          <w:rFonts w:ascii="Arial" w:hAnsi="Arial" w:cs="Arial"/>
          <w:lang w:eastAsia="en-US"/>
        </w:rPr>
        <w:t xml:space="preserve"> et al., 2021; Park et al., 2021). </w:t>
      </w:r>
    </w:p>
    <w:p w14:paraId="51E66FC8" w14:textId="77777777" w:rsidR="001C4921" w:rsidRPr="001C4921" w:rsidRDefault="001C4921" w:rsidP="009065BE">
      <w:pPr>
        <w:spacing w:after="160" w:line="360" w:lineRule="auto"/>
        <w:jc w:val="both"/>
        <w:rPr>
          <w:rFonts w:ascii="Arial" w:hAnsi="Arial" w:cs="Arial"/>
          <w:color w:val="C45911"/>
          <w:lang w:eastAsia="en-US"/>
        </w:rPr>
      </w:pPr>
      <w:r w:rsidRPr="001C4921">
        <w:rPr>
          <w:rFonts w:ascii="Arial" w:hAnsi="Arial" w:cs="Arial"/>
          <w:lang w:eastAsia="en-US"/>
        </w:rPr>
        <w:t>El hecho de que la literatura en general se ha centrado en las carreras de Medicina y Enfermería (</w:t>
      </w:r>
      <w:proofErr w:type="spellStart"/>
      <w:r w:rsidRPr="001C4921">
        <w:rPr>
          <w:rFonts w:ascii="Arial" w:hAnsi="Arial" w:cs="Arial"/>
          <w:color w:val="000000"/>
          <w:lang w:eastAsia="en-US"/>
        </w:rPr>
        <w:t>Franzen</w:t>
      </w:r>
      <w:proofErr w:type="spellEnd"/>
      <w:r w:rsidRPr="001C4921">
        <w:rPr>
          <w:rFonts w:ascii="Arial" w:hAnsi="Arial" w:cs="Arial"/>
          <w:color w:val="000000"/>
          <w:lang w:eastAsia="en-US"/>
        </w:rPr>
        <w:t xml:space="preserve"> et al., 2021), puede deberse, quizás, a que los estudiantes de ambas carreras deben lidiar, ocasionalmente, de una manera más frontal con temas como la muerte y la enfermedad durante su entrenamiento y formación</w:t>
      </w:r>
      <w:r w:rsidRPr="001C4921">
        <w:rPr>
          <w:rFonts w:ascii="Arial" w:hAnsi="Arial" w:cs="Arial"/>
          <w:color w:val="C45911"/>
          <w:lang w:eastAsia="en-US"/>
        </w:rPr>
        <w:t xml:space="preserve"> </w:t>
      </w:r>
      <w:r w:rsidRPr="001C4921">
        <w:rPr>
          <w:rFonts w:ascii="Arial" w:hAnsi="Arial" w:cs="Arial"/>
          <w:color w:val="000000"/>
          <w:lang w:eastAsia="en-US"/>
        </w:rPr>
        <w:t>(</w:t>
      </w:r>
      <w:proofErr w:type="spellStart"/>
      <w:r w:rsidRPr="001C4921">
        <w:rPr>
          <w:rFonts w:ascii="Arial" w:hAnsi="Arial" w:cs="Arial"/>
          <w:color w:val="000000"/>
          <w:lang w:eastAsia="en-US"/>
        </w:rPr>
        <w:t>Dyrbye</w:t>
      </w:r>
      <w:proofErr w:type="spellEnd"/>
      <w:r w:rsidRPr="001C4921">
        <w:rPr>
          <w:rFonts w:ascii="Arial" w:hAnsi="Arial" w:cs="Arial"/>
          <w:color w:val="000000"/>
          <w:lang w:eastAsia="en-US"/>
        </w:rPr>
        <w:t>, 2010; Gibbons, 2010 y</w:t>
      </w:r>
      <w:r w:rsidRPr="001C4921">
        <w:rPr>
          <w:rFonts w:ascii="Arial" w:hAnsi="Arial" w:cs="Arial"/>
          <w:color w:val="C45911"/>
          <w:lang w:eastAsia="en-US"/>
        </w:rPr>
        <w:t xml:space="preserve"> </w:t>
      </w:r>
      <w:proofErr w:type="spellStart"/>
      <w:r w:rsidRPr="001C4921">
        <w:rPr>
          <w:rFonts w:ascii="Arial" w:hAnsi="Arial" w:cs="Arial"/>
          <w:color w:val="000000"/>
          <w:lang w:eastAsia="en-US"/>
        </w:rPr>
        <w:t>Bíró</w:t>
      </w:r>
      <w:proofErr w:type="spellEnd"/>
      <w:r w:rsidRPr="001C4921">
        <w:rPr>
          <w:rFonts w:ascii="Arial" w:hAnsi="Arial" w:cs="Arial"/>
          <w:color w:val="000000"/>
          <w:lang w:eastAsia="en-US"/>
        </w:rPr>
        <w:t xml:space="preserve"> et al., 2016, citados por </w:t>
      </w:r>
      <w:proofErr w:type="spellStart"/>
      <w:r w:rsidRPr="001C4921">
        <w:rPr>
          <w:rFonts w:ascii="Arial" w:hAnsi="Arial" w:cs="Arial"/>
          <w:color w:val="000000"/>
          <w:lang w:eastAsia="en-US"/>
        </w:rPr>
        <w:t>Tavolacci</w:t>
      </w:r>
      <w:proofErr w:type="spellEnd"/>
      <w:r w:rsidRPr="001C4921">
        <w:rPr>
          <w:rFonts w:ascii="Arial" w:hAnsi="Arial" w:cs="Arial"/>
          <w:color w:val="000000"/>
          <w:lang w:eastAsia="en-US"/>
        </w:rPr>
        <w:t xml:space="preserve"> et al., 2018). </w:t>
      </w:r>
    </w:p>
    <w:p w14:paraId="105B1A69"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En Costa Rica, Arguedas et al. (2012),</w:t>
      </w:r>
      <w:r w:rsidRPr="001C4921">
        <w:rPr>
          <w:rFonts w:ascii="Arial" w:hAnsi="Arial" w:cs="Arial"/>
          <w:color w:val="538135"/>
          <w:lang w:eastAsia="en-US"/>
        </w:rPr>
        <w:t xml:space="preserve"> </w:t>
      </w:r>
      <w:r w:rsidRPr="001C4921">
        <w:rPr>
          <w:rFonts w:ascii="Arial" w:hAnsi="Arial" w:cs="Arial"/>
          <w:lang w:eastAsia="en-US"/>
        </w:rPr>
        <w:t xml:space="preserve">en una investigación efectuada en estudiantado de Ciencias Médicas hallan que 69% de los estudiantes consumen bebidas energéticas con el propósito de mantenerse despiertos, mezclándolas, en un 45% de los casos, con tiamina u otros fármacos, lo que sugiere una fuerte presión en cuanto a cargas académicas. Sobre este punto, llama la atención que la literatura internacional y nacional es consistente en señalar, con preocupación, los </w:t>
      </w:r>
      <w:r w:rsidRPr="001C4921">
        <w:rPr>
          <w:rFonts w:ascii="Arial" w:hAnsi="Arial" w:cs="Arial"/>
          <w:lang w:eastAsia="en-US"/>
        </w:rPr>
        <w:lastRenderedPageBreak/>
        <w:t xml:space="preserve">niveles de automedicación en estudiantado universitario, profesional de Ciencias de la Salud y estudiantado de Ciencias de la Salud (Alfaro-Mora et al., 2019; </w:t>
      </w:r>
      <w:proofErr w:type="spellStart"/>
      <w:r w:rsidRPr="001C4921">
        <w:rPr>
          <w:rFonts w:ascii="Arial" w:hAnsi="Arial" w:cs="Arial"/>
          <w:lang w:eastAsia="en-US"/>
        </w:rPr>
        <w:t>Azami-Aghdash</w:t>
      </w:r>
      <w:proofErr w:type="spellEnd"/>
      <w:r w:rsidRPr="001C4921">
        <w:rPr>
          <w:rFonts w:ascii="Arial" w:hAnsi="Arial" w:cs="Arial"/>
          <w:lang w:eastAsia="en-US"/>
        </w:rPr>
        <w:t xml:space="preserve"> et al., 2015), detrás de lo cual podría estar una serie de estresores importantes que se deben vigilar. </w:t>
      </w:r>
    </w:p>
    <w:p w14:paraId="1210DDF4" w14:textId="77777777" w:rsidR="001C4921" w:rsidRPr="001C4921" w:rsidRDefault="001C4921" w:rsidP="009065BE">
      <w:pPr>
        <w:spacing w:after="160" w:line="360" w:lineRule="auto"/>
        <w:jc w:val="both"/>
        <w:rPr>
          <w:rFonts w:ascii="Arial" w:hAnsi="Arial" w:cs="Arial"/>
          <w:color w:val="C45911"/>
          <w:lang w:eastAsia="en-US"/>
        </w:rPr>
      </w:pPr>
      <w:r w:rsidRPr="001C4921">
        <w:rPr>
          <w:rFonts w:ascii="Arial" w:hAnsi="Arial" w:cs="Arial"/>
          <w:lang w:eastAsia="en-US"/>
        </w:rPr>
        <w:t xml:space="preserve">Tomando en cuenta el difícil contexto y la afectación a la salud mental que experimenta, por lo general, la población de estudio, diferentes investigaciones han demostrado una relación entre mayores niveles de satisfacción académica (SA) y mejores indicadores de salud mental. Lee y </w:t>
      </w:r>
      <w:proofErr w:type="spellStart"/>
      <w:r w:rsidRPr="001C4921">
        <w:rPr>
          <w:rFonts w:ascii="Arial" w:hAnsi="Arial" w:cs="Arial"/>
          <w:lang w:eastAsia="en-US"/>
        </w:rPr>
        <w:t>Jang</w:t>
      </w:r>
      <w:proofErr w:type="spellEnd"/>
      <w:r w:rsidRPr="001C4921">
        <w:rPr>
          <w:rFonts w:ascii="Arial" w:hAnsi="Arial" w:cs="Arial"/>
          <w:lang w:eastAsia="en-US"/>
        </w:rPr>
        <w:t xml:space="preserve"> (2015) encuentran menores niveles de SA en estudiantado que presenta mayores niveles de estrés. Un estudio conducido en Turquía señala que población estudiantil de diferentes carreras universitarias satisfechos con su educación muestran menores niveles de depresión, ansiedad y estrés con respecto a aquellos insatisfechos</w:t>
      </w:r>
      <w:r w:rsidRPr="001C4921">
        <w:rPr>
          <w:rFonts w:ascii="Arial" w:hAnsi="Arial" w:cs="Arial"/>
          <w:color w:val="C45911"/>
          <w:lang w:eastAsia="en-US"/>
        </w:rPr>
        <w:t xml:space="preserve"> </w:t>
      </w:r>
      <w:r w:rsidRPr="001C4921">
        <w:rPr>
          <w:rFonts w:ascii="Arial" w:hAnsi="Arial" w:cs="Arial"/>
          <w:lang w:eastAsia="en-US"/>
        </w:rPr>
        <w:t>(</w:t>
      </w:r>
      <w:proofErr w:type="spellStart"/>
      <w:r w:rsidRPr="001C4921">
        <w:rPr>
          <w:rFonts w:ascii="Arial" w:hAnsi="Arial" w:cs="Arial"/>
          <w:lang w:eastAsia="en-US"/>
        </w:rPr>
        <w:t>Bayram</w:t>
      </w:r>
      <w:proofErr w:type="spellEnd"/>
      <w:r w:rsidRPr="001C4921">
        <w:rPr>
          <w:rFonts w:ascii="Arial" w:hAnsi="Arial" w:cs="Arial"/>
          <w:lang w:eastAsia="en-US"/>
        </w:rPr>
        <w:t xml:space="preserve"> &amp; </w:t>
      </w:r>
      <w:proofErr w:type="spellStart"/>
      <w:r w:rsidRPr="001C4921">
        <w:rPr>
          <w:rFonts w:ascii="Arial" w:hAnsi="Arial" w:cs="Arial"/>
          <w:lang w:eastAsia="en-US"/>
        </w:rPr>
        <w:t>Bilgel</w:t>
      </w:r>
      <w:proofErr w:type="spellEnd"/>
      <w:r w:rsidRPr="001C4921">
        <w:rPr>
          <w:rFonts w:ascii="Arial" w:hAnsi="Arial" w:cs="Arial"/>
          <w:lang w:eastAsia="en-US"/>
        </w:rPr>
        <w:t>, 2008).</w:t>
      </w:r>
      <w:r w:rsidRPr="001C4921">
        <w:rPr>
          <w:rFonts w:ascii="Arial" w:hAnsi="Arial" w:cs="Arial"/>
          <w:color w:val="C45911"/>
          <w:lang w:eastAsia="en-US"/>
        </w:rPr>
        <w:t xml:space="preserve"> </w:t>
      </w:r>
    </w:p>
    <w:p w14:paraId="2C1F88C6"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En el caso específico de carreras de Ciencias de la Salud, diferentes investigaciones han encontrado menores niveles de depresión ansiedad y estrés cuando se reportan mayores niveles de satisfacción académica, lo </w:t>
      </w:r>
      <w:proofErr w:type="gramStart"/>
      <w:r w:rsidRPr="001C4921">
        <w:rPr>
          <w:rFonts w:ascii="Arial" w:hAnsi="Arial" w:cs="Arial"/>
          <w:lang w:eastAsia="en-US"/>
        </w:rPr>
        <w:t>cual  también</w:t>
      </w:r>
      <w:proofErr w:type="gramEnd"/>
      <w:r w:rsidRPr="001C4921">
        <w:rPr>
          <w:rFonts w:ascii="Arial" w:hAnsi="Arial" w:cs="Arial"/>
          <w:lang w:eastAsia="en-US"/>
        </w:rPr>
        <w:t xml:space="preserve"> ofrece relacionarse con mayores niveles de bienestar psicológico (</w:t>
      </w:r>
      <w:proofErr w:type="spellStart"/>
      <w:r w:rsidRPr="001C4921">
        <w:rPr>
          <w:rFonts w:ascii="Arial" w:hAnsi="Arial" w:cs="Arial"/>
          <w:lang w:eastAsia="en-US"/>
        </w:rPr>
        <w:t>Franzen</w:t>
      </w:r>
      <w:proofErr w:type="spellEnd"/>
      <w:r w:rsidRPr="001C4921">
        <w:rPr>
          <w:rFonts w:ascii="Arial" w:hAnsi="Arial" w:cs="Arial"/>
          <w:lang w:eastAsia="en-US"/>
        </w:rPr>
        <w:t xml:space="preserve"> et al., 2021; Tran et al., 2022).</w:t>
      </w:r>
      <w:r w:rsidRPr="001C4921">
        <w:rPr>
          <w:rFonts w:ascii="Arial" w:hAnsi="Arial" w:cs="Arial"/>
          <w:color w:val="538135"/>
          <w:lang w:eastAsia="en-US"/>
        </w:rPr>
        <w:t xml:space="preserve"> </w:t>
      </w:r>
      <w:r w:rsidRPr="001C4921">
        <w:rPr>
          <w:rFonts w:ascii="Arial" w:hAnsi="Arial" w:cs="Arial"/>
          <w:lang w:eastAsia="en-US"/>
        </w:rPr>
        <w:t xml:space="preserve">Tran et al. (2022), en una investigación llevada a cabo en Suiza, hallan, por ejemplo, que la satisfacción académica actúa como un poderoso predictor de la salud mental del estudiantado, incluso, por encima del nivel de estrés experimentado durante la pandemia de COVID-19. </w:t>
      </w:r>
    </w:p>
    <w:p w14:paraId="50CED112"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lastRenderedPageBreak/>
        <w:t xml:space="preserve">La satisfacción académica (SA), como objeto de estudio, puede ser investigada en la actualidad sobre todo bajo tres perspectivas distintas. En primer lugar, bajo la </w:t>
      </w:r>
      <w:r w:rsidRPr="001C4921">
        <w:rPr>
          <w:rFonts w:ascii="Arial" w:hAnsi="Arial" w:cs="Arial"/>
          <w:i/>
          <w:lang w:eastAsia="en-US"/>
        </w:rPr>
        <w:t>calidad del servicio</w:t>
      </w:r>
      <w:r w:rsidRPr="001C4921">
        <w:rPr>
          <w:rFonts w:ascii="Arial" w:hAnsi="Arial" w:cs="Arial"/>
          <w:lang w:eastAsia="en-US"/>
        </w:rPr>
        <w:t xml:space="preserve">, entendiéndola como la percepción que tiene el grupo estudiantil respecto a la calidad académica como resultado de sus experiencias y expectativas educativas (Abarca Franco et al., 2013; </w:t>
      </w:r>
      <w:proofErr w:type="spellStart"/>
      <w:r w:rsidRPr="001C4921">
        <w:rPr>
          <w:rFonts w:ascii="Arial" w:hAnsi="Arial" w:cs="Arial"/>
          <w:lang w:eastAsia="en-US"/>
        </w:rPr>
        <w:t>Athiyaman</w:t>
      </w:r>
      <w:proofErr w:type="spellEnd"/>
      <w:r w:rsidRPr="001C4921">
        <w:rPr>
          <w:rFonts w:ascii="Arial" w:hAnsi="Arial" w:cs="Arial"/>
          <w:lang w:eastAsia="en-US"/>
        </w:rPr>
        <w:t xml:space="preserve">, 1997); en segundo lugar, desde una </w:t>
      </w:r>
      <w:r w:rsidRPr="001C4921">
        <w:rPr>
          <w:rFonts w:ascii="Arial" w:hAnsi="Arial" w:cs="Arial"/>
          <w:i/>
          <w:lang w:eastAsia="en-US"/>
        </w:rPr>
        <w:t>perspectiva psicológica</w:t>
      </w:r>
      <w:r w:rsidRPr="001C4921">
        <w:rPr>
          <w:rFonts w:ascii="Arial" w:hAnsi="Arial" w:cs="Arial"/>
          <w:lang w:eastAsia="en-US"/>
        </w:rPr>
        <w:t xml:space="preserve">, relacionada con el bienestar </w:t>
      </w:r>
      <w:hyperlink>
        <w:r w:rsidRPr="001C4921">
          <w:rPr>
            <w:rFonts w:ascii="Arial" w:hAnsi="Arial" w:cs="Arial"/>
            <w:lang w:eastAsia="en-US"/>
          </w:rPr>
          <w:t>(Vergara-Morales et al., 2018)</w:t>
        </w:r>
      </w:hyperlink>
      <w:r w:rsidRPr="001C4921">
        <w:rPr>
          <w:rFonts w:ascii="Arial" w:hAnsi="Arial" w:cs="Arial"/>
          <w:lang w:eastAsia="en-US"/>
        </w:rPr>
        <w:t xml:space="preserve">; y, en tercer lugar, desde el </w:t>
      </w:r>
      <w:r w:rsidRPr="001C4921">
        <w:rPr>
          <w:rFonts w:ascii="Arial" w:hAnsi="Arial" w:cs="Arial"/>
          <w:i/>
          <w:lang w:eastAsia="en-US"/>
        </w:rPr>
        <w:t>ámbito laboral</w:t>
      </w:r>
      <w:r w:rsidRPr="001C4921">
        <w:rPr>
          <w:rFonts w:ascii="Arial" w:hAnsi="Arial" w:cs="Arial"/>
          <w:lang w:eastAsia="en-US"/>
        </w:rPr>
        <w:t xml:space="preserve"> en relación con la esperanza y aspiración futura (Pate, 1993). </w:t>
      </w:r>
    </w:p>
    <w:p w14:paraId="293781C6"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Partiendo de la satisfacción académica en relación con la calidad del servicio, </w:t>
      </w:r>
      <w:proofErr w:type="spellStart"/>
      <w:r w:rsidRPr="001C4921">
        <w:rPr>
          <w:rFonts w:ascii="Arial" w:hAnsi="Arial" w:cs="Arial"/>
          <w:lang w:eastAsia="en-US"/>
        </w:rPr>
        <w:t>Athiyaman</w:t>
      </w:r>
      <w:proofErr w:type="spellEnd"/>
      <w:r w:rsidRPr="001C4921">
        <w:rPr>
          <w:rFonts w:ascii="Arial" w:hAnsi="Arial" w:cs="Arial"/>
          <w:lang w:eastAsia="en-US"/>
        </w:rPr>
        <w:t xml:space="preserve"> (1997) desarrolla el concepto a partir de modelos de satisfacción del consumidor, y define la SA como un estado cognitivo favorable, que es influenciado por la evaluación positiva de la </w:t>
      </w:r>
      <w:proofErr w:type="gramStart"/>
      <w:r w:rsidRPr="001C4921">
        <w:rPr>
          <w:rFonts w:ascii="Arial" w:hAnsi="Arial" w:cs="Arial"/>
          <w:lang w:eastAsia="en-US"/>
        </w:rPr>
        <w:t>experiencia  la</w:t>
      </w:r>
      <w:proofErr w:type="gramEnd"/>
      <w:r w:rsidRPr="001C4921">
        <w:rPr>
          <w:rFonts w:ascii="Arial" w:hAnsi="Arial" w:cs="Arial"/>
          <w:lang w:eastAsia="en-US"/>
        </w:rPr>
        <w:t xml:space="preserve"> comunidad estudiantil. Tratándose de un constructo amplio, una revisión sistemática y metaanálisis que se efectúa a partir de 83 investigaciones, publicadas entre 1986 y 2016, identifica, de manera general, seis aspectos que componen la SA, a saber: el ambiente académico, la percepción respecto a la calidad de los servicios, los recursos con que cuenta el estudiantado, el valor que el grupo estudiantil asigna a la educación recibida, las tácticas y estrategias de mercadeo utilizadas por el centro de educación superior, y el sentido de identidad de estudiantes con la institución. </w:t>
      </w:r>
    </w:p>
    <w:p w14:paraId="517A416D" w14:textId="049DD03B"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Dichos aspectos se reflejarían en actitudes hacia el centro de enseñanza, la intención de recomendarlo, involucramiento, motivación para mantenerse vinculado </w:t>
      </w:r>
      <w:r w:rsidRPr="001C4921">
        <w:rPr>
          <w:rFonts w:ascii="Arial" w:hAnsi="Arial" w:cs="Arial"/>
          <w:lang w:eastAsia="en-US"/>
        </w:rPr>
        <w:lastRenderedPageBreak/>
        <w:t xml:space="preserve">a la institución a largo plazo, confianza y recomendaciones espontáneas de persona a persona. Cabe resaltar que cada aspecto contemplado en el componente calidad del servicio muestra relacionarse, de modo significativo, con la SA en dicha investigación (Santini et al., 2017), y es este el enfoque de del actual estudio. </w:t>
      </w:r>
    </w:p>
    <w:p w14:paraId="5A2CCAC9"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Adicionalmente, una revisión de literatura llevada a cabo por </w:t>
      </w:r>
      <w:r w:rsidRPr="001C4921">
        <w:rPr>
          <w:rFonts w:ascii="Arial" w:hAnsi="Arial" w:cs="Arial"/>
          <w:lang w:eastAsia="en-US"/>
        </w:rPr>
        <w:fldChar w:fldCharType="begin"/>
      </w:r>
      <w:r w:rsidRPr="001C4921">
        <w:rPr>
          <w:rFonts w:ascii="Arial" w:hAnsi="Arial" w:cs="Arial"/>
          <w:lang w:eastAsia="en-US"/>
        </w:rPr>
        <w:instrText xml:space="preserve"> ADDIN ZOTERO_ITEM CSL_CITATION {"citationID":"a2jbbqmgc85","properties":{"formattedCitation":"\\uldash{(Mireles V\\uc0\\u225{}zquez &amp; Garc\\uc0\\u237{}a Garc\\uc0\\u237{}a, 2022)}","plainCitation":"(Mireles Vázquez &amp; García García, 2022)","noteIndex":0},"citationItems":[{"id":1038,"uris":["http://zotero.org/users/10211823/items/EPZ9JF2Q"],"itemData":{"id":1038,"type":"article-journal","abstract":"ResumenLa satisfacción es el estado placentero que tiene la o el individuo al sentir cubiertas sus expectativas; en ámbito estudiantil refiere al nivel de bienestar que las y los estudiantes perciben al cubrir sus expectativas y necesidades académicas. El objetivo de este estudio es revisar sistemáticamente la literatura reportada acerca de la satisfacción estudiantil. Método: se realizó describiendo año de publicación y realización, país de origen, grado académico, instrumento, diseño, número de participantes, rangos de edad, sexo, y factores sobresalientes de satisfacción estudiantil, con la finalidad de generar interés en el tema para futuras investigaciones. Se realizó una revisión sistemática para identificar estudios relacionados con la satisfacción estudiantil. Se analizaron las bases de datos de RedALyC, Scielo y Scopus. Se buscaron artículos de 2015 a 2021 durante una semana al azar en abril 2021, utilizando como término de búsqueda satisfacción estudiantil. Resultados: la revisión realizada arrojó que durante el 2019 hubo mayor publicación del tema, países latinoamericanos cuentan con el mayor número de publicaciones, con análisis de carácter mixto, siendo el alumnado de licenciatura los más estudiados mediante cuestionarios. Conclusiones: los componentes de la satisfacción estudiantil más importantes fueron: la buena imagen y calidad de la institución, docencia, tutorías y motivación. El presente estudio tiene implicaciones prácticas porque permite identificar los componentes que de manera global impactan la satisfacción estudiantil, por ende, aporta información que se puede utilizar para tomar decisiones escolares más eficientes y resolver problemas educativos asociados con el estrés escolar, deserción y bajo rendimiento académico. Se recomienda continuar con la realización de más investigaciones del tema que permitan conformar un corpus de conocimiento más amplio que integre las nuevas realidades educativas provocadas por la pandemia de COVID-19.Palabras clave Actitud estudiantil; Satisfacción estudiantil; Estudiantes; Revisión sistemática; Educación superior","container-title":"Revista Educación","DOI":"10.15517/revedu.v46i2.47621","ISSN":"2215-2644","issue":"2","language":"es","note":"publisher: http://creativecommons.org/licenses/by-nc-nd/3.0/","page":"610-626","source":"SciELO","title":"Satisfacción estudiantil en universitarios: una revisión sistemática de la literatura","title-short":"Satisfacción estudiantil en universitarios","volume":"46","author":[{"family":"Mireles Vázquez","given":"Mariel Guadalupe"},{"family":"García García","given":"Jesús Alberto"}],"issued":{"date-parts":[["2022",12]]}}}],"schema":"https://github.com/citation-style-language/schema/raw/master/csl-citation.json"} </w:instrText>
      </w:r>
      <w:r w:rsidRPr="001C4921">
        <w:rPr>
          <w:rFonts w:ascii="Arial" w:hAnsi="Arial" w:cs="Arial"/>
          <w:lang w:eastAsia="en-US"/>
        </w:rPr>
        <w:fldChar w:fldCharType="separate"/>
      </w:r>
      <w:r w:rsidRPr="001C4921">
        <w:rPr>
          <w:rFonts w:ascii="Arial" w:eastAsia="Calibri" w:hAnsi="Arial" w:cs="Arial"/>
          <w:szCs w:val="22"/>
          <w:lang w:val="es-ES" w:eastAsia="en-US"/>
        </w:rPr>
        <w:t>Mireles Vázquez y García- García (2022)</w:t>
      </w:r>
      <w:r w:rsidRPr="001C4921">
        <w:rPr>
          <w:rFonts w:ascii="Arial" w:hAnsi="Arial" w:cs="Arial"/>
          <w:lang w:eastAsia="en-US"/>
        </w:rPr>
        <w:fldChar w:fldCharType="end"/>
      </w:r>
      <w:r w:rsidRPr="001C4921">
        <w:rPr>
          <w:rFonts w:ascii="Arial" w:hAnsi="Arial" w:cs="Arial"/>
          <w:lang w:eastAsia="en-US"/>
        </w:rPr>
        <w:t xml:space="preserve"> señala, como aspectos importantes, la imagen con que cuenta la institución, la calidad de la docencia, tutorías ofrecidas en la institución y el aspecto motivacional del estudiantado. Ambos trabajos de revisión coinciden en que la figura docente es central dentro del tema de la SA (Mireles-Vázquez &amp; García-García, 2022), sobre todo, cuando se considera que, tratándose de un constructo amplio, el aspecto que muestra mayor relación con la SA (</w:t>
      </w:r>
      <w:r w:rsidRPr="001C4921">
        <w:rPr>
          <w:rFonts w:ascii="Arial" w:hAnsi="Arial" w:cs="Arial"/>
          <w:i/>
          <w:iCs/>
          <w:lang w:eastAsia="en-US"/>
        </w:rPr>
        <w:t xml:space="preserve">r </w:t>
      </w:r>
      <w:r w:rsidRPr="001C4921">
        <w:rPr>
          <w:rFonts w:ascii="Arial" w:hAnsi="Arial" w:cs="Arial"/>
          <w:lang w:eastAsia="en-US"/>
        </w:rPr>
        <w:t xml:space="preserve">= .67), en el metaanálisis de Santini et al. (2017), es el de la retroalimentación entre estudiantado y profesorado, lo cual se refiere, específicamente, a la evaluación y al seguimiento del trabajo y de actividades ejecutadas. </w:t>
      </w:r>
    </w:p>
    <w:p w14:paraId="036C7935" w14:textId="354A155E"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Otros aspectos unidos a la SA, según la revisión hecha por Lee y </w:t>
      </w:r>
      <w:proofErr w:type="spellStart"/>
      <w:r w:rsidRPr="001C4921">
        <w:rPr>
          <w:rFonts w:ascii="Arial" w:hAnsi="Arial" w:cs="Arial"/>
          <w:lang w:eastAsia="en-US"/>
        </w:rPr>
        <w:t>Jang</w:t>
      </w:r>
      <w:proofErr w:type="spellEnd"/>
      <w:r w:rsidRPr="001C4921">
        <w:rPr>
          <w:rFonts w:ascii="Arial" w:hAnsi="Arial" w:cs="Arial"/>
          <w:lang w:eastAsia="en-US"/>
        </w:rPr>
        <w:t xml:space="preserve"> (2015), son las credenciales del profesorado, las notas obtenidas por los estudiantes (</w:t>
      </w:r>
      <w:r w:rsidRPr="001C4921">
        <w:rPr>
          <w:rFonts w:ascii="Arial" w:hAnsi="Arial" w:cs="Arial"/>
          <w:color w:val="000000"/>
          <w:lang w:eastAsia="en-US"/>
        </w:rPr>
        <w:t xml:space="preserve">Elliot; Martínez; </w:t>
      </w:r>
      <w:proofErr w:type="spellStart"/>
      <w:r w:rsidRPr="001C4921">
        <w:rPr>
          <w:rFonts w:ascii="Arial" w:hAnsi="Arial" w:cs="Arial"/>
          <w:color w:val="000000"/>
          <w:lang w:eastAsia="en-US"/>
        </w:rPr>
        <w:t>Babin</w:t>
      </w:r>
      <w:proofErr w:type="spellEnd"/>
      <w:r w:rsidRPr="001C4921">
        <w:rPr>
          <w:rFonts w:ascii="Arial" w:hAnsi="Arial" w:cs="Arial"/>
          <w:color w:val="000000"/>
          <w:lang w:eastAsia="en-US"/>
        </w:rPr>
        <w:t xml:space="preserve"> &amp; Griffin, citados por Lee &amp; </w:t>
      </w:r>
      <w:proofErr w:type="spellStart"/>
      <w:r w:rsidRPr="001C4921">
        <w:rPr>
          <w:rFonts w:ascii="Arial" w:hAnsi="Arial" w:cs="Arial"/>
          <w:color w:val="000000"/>
          <w:lang w:eastAsia="en-US"/>
        </w:rPr>
        <w:t>Jang</w:t>
      </w:r>
      <w:proofErr w:type="spellEnd"/>
      <w:r w:rsidRPr="001C4921">
        <w:rPr>
          <w:rFonts w:ascii="Arial" w:hAnsi="Arial" w:cs="Arial"/>
          <w:color w:val="000000"/>
          <w:lang w:eastAsia="en-US"/>
        </w:rPr>
        <w:t>, 2015</w:t>
      </w:r>
      <w:r w:rsidRPr="001C4921">
        <w:rPr>
          <w:rFonts w:ascii="Arial" w:hAnsi="Arial" w:cs="Arial"/>
          <w:lang w:eastAsia="en-US"/>
        </w:rPr>
        <w:t xml:space="preserve">), y una experiencia de calidad de la vida social experimentada (Browne et al.,1998; Saenz et al., 1999 citados por Lee &amp; </w:t>
      </w:r>
      <w:proofErr w:type="spellStart"/>
      <w:r w:rsidRPr="001C4921">
        <w:rPr>
          <w:rFonts w:ascii="Arial" w:hAnsi="Arial" w:cs="Arial"/>
          <w:lang w:eastAsia="en-US"/>
        </w:rPr>
        <w:t>Jang</w:t>
      </w:r>
      <w:proofErr w:type="spellEnd"/>
      <w:r w:rsidRPr="001C4921">
        <w:rPr>
          <w:rFonts w:ascii="Arial" w:hAnsi="Arial" w:cs="Arial"/>
          <w:lang w:eastAsia="en-US"/>
        </w:rPr>
        <w:t>, 2015). De igual forma, la utilización de bibliografía actualizada dentro de los cursos, también, ha sido señalado como un aspecto relacionado (Flores Mamani &amp; Arce Ortiz, 2019; García Rojas et al., 2019).</w:t>
      </w:r>
    </w:p>
    <w:p w14:paraId="7372A737" w14:textId="77777777" w:rsidR="001C4921" w:rsidRPr="001C4921" w:rsidRDefault="001C4921" w:rsidP="009065BE">
      <w:pPr>
        <w:spacing w:after="160" w:line="360" w:lineRule="auto"/>
        <w:jc w:val="both"/>
        <w:rPr>
          <w:rFonts w:ascii="Arial" w:hAnsi="Arial" w:cs="Arial"/>
          <w:color w:val="C45911"/>
          <w:lang w:eastAsia="en-US"/>
        </w:rPr>
      </w:pPr>
      <w:r w:rsidRPr="001C4921">
        <w:rPr>
          <w:rFonts w:ascii="Arial" w:hAnsi="Arial" w:cs="Arial"/>
          <w:lang w:eastAsia="en-US"/>
        </w:rPr>
        <w:lastRenderedPageBreak/>
        <w:t>Existen algunas investigaciones sobre SA en Costa Rica (Méndez-Vega, 1993; Otero, 1973); sin embargo, cuentan con varias décadas de haber sido publicadas. Al menos, desde el año 2000 y bajo una perspectiva de calidad del servicio, la única investigación localizada sobre el tema es la de Román-Quirós (2023) en estudiantado de Ciencias Médicas, en la cual se encuentra una relación entre menores niveles del factor de satisfacción académica relacionada con los servicios (SAS) y una edad mayor, al igual que menores niveles del factor de satisfacción académica en enlace con el equipo con que dispone la universidad (SAE) respecto grupos de estudiantes que estudian y trabajan. Asimismo, se encuentra una disminución de la SA en general conforme se avanza en la carrera; no obstante, es importante mencionar que la recolección se efectúa durante la experiencia de educación virtual durante la pandemia. Por último, no se registran diferencias por género.</w:t>
      </w:r>
      <w:r w:rsidRPr="001C4921">
        <w:rPr>
          <w:rFonts w:ascii="Arial" w:hAnsi="Arial" w:cs="Arial"/>
          <w:color w:val="C45911"/>
          <w:lang w:eastAsia="en-US"/>
        </w:rPr>
        <w:t xml:space="preserve"> </w:t>
      </w:r>
    </w:p>
    <w:p w14:paraId="1085D554" w14:textId="762277E2" w:rsidR="001C4921" w:rsidRPr="001C4921" w:rsidRDefault="001C4921" w:rsidP="009065BE">
      <w:pPr>
        <w:spacing w:after="160" w:line="360" w:lineRule="auto"/>
        <w:jc w:val="both"/>
        <w:rPr>
          <w:rFonts w:ascii="Arial" w:hAnsi="Arial" w:cs="Arial"/>
          <w:lang w:val="es" w:eastAsia="en-US"/>
        </w:rPr>
      </w:pPr>
      <w:r w:rsidRPr="001C4921">
        <w:rPr>
          <w:rFonts w:ascii="Arial" w:hAnsi="Arial" w:cs="Arial"/>
          <w:lang w:val="es" w:eastAsia="en-US"/>
        </w:rPr>
        <w:t>En esta investigación, se utiliza el instrumento denominado DESIT-17 para medir la SA (Román-Quirós, 2023), elaborado a partir de los cuestionarios para la evaluación de la población estudiantil del Sistema Nacional de Acreditación de la Educación Superior (SINAES) de Costa Rica. El DESIT-17 posee la enorme ventaja de estar siendo aplicado con asiduidad para recolectar datos en las universidades acreditadas en Costa Rica dentro de sus procesos de acreditación y mejora continua, lo cual hace que su desarrollo de evidencias de validez de constructo signifique un aporte relevante para el país.</w:t>
      </w:r>
      <w:r w:rsidRPr="001C4921">
        <w:rPr>
          <w:rFonts w:ascii="Arial" w:hAnsi="Arial" w:cs="Arial"/>
          <w:color w:val="C45911"/>
          <w:lang w:val="es" w:eastAsia="en-US"/>
        </w:rPr>
        <w:t xml:space="preserve"> </w:t>
      </w:r>
      <w:r w:rsidRPr="001C4921">
        <w:rPr>
          <w:rFonts w:ascii="Arial" w:hAnsi="Arial" w:cs="Arial"/>
          <w:lang w:val="es" w:eastAsia="en-US"/>
        </w:rPr>
        <w:t xml:space="preserve">En esta oportunidad, se puso a prueba </w:t>
      </w:r>
      <w:r w:rsidRPr="001C4921">
        <w:rPr>
          <w:rFonts w:ascii="Arial" w:hAnsi="Arial" w:cs="Arial"/>
          <w:lang w:val="es" w:eastAsia="en-US"/>
        </w:rPr>
        <w:lastRenderedPageBreak/>
        <w:t xml:space="preserve">el instrumento en una recolección de datos fuera del proceso de reacreditación de SINAES para evaluar su funcionamiento independiente con respecto al cuestionario original. </w:t>
      </w:r>
    </w:p>
    <w:p w14:paraId="7955C42A" w14:textId="77777777" w:rsidR="001C4921" w:rsidRPr="001C4921" w:rsidRDefault="001C4921" w:rsidP="009065BE">
      <w:pPr>
        <w:spacing w:after="160" w:line="360" w:lineRule="auto"/>
        <w:jc w:val="both"/>
        <w:rPr>
          <w:rFonts w:ascii="Arial" w:hAnsi="Arial" w:cs="Arial"/>
          <w:color w:val="C45911"/>
          <w:lang w:val="es" w:eastAsia="en-US"/>
        </w:rPr>
      </w:pPr>
      <w:r w:rsidRPr="001C4921">
        <w:rPr>
          <w:rFonts w:ascii="Arial" w:hAnsi="Arial" w:cs="Arial"/>
          <w:lang w:val="es" w:eastAsia="en-US"/>
        </w:rPr>
        <w:t>En este contexto nacional, resulta indispensable cualquier aporte en favor de la evaluación de la educación que facilite la disponibilidad de información, en especial, del sector privado, ya que tanto, en el octavo como en el noveno Informe del Estado de la Educación, se señala la carencia de información con respecto a diferentes aspectos de calidad académica de dicho sector como un problema (Programa Estado de la Nación 2021; Programa Estado de la Nación 2023). El desarrollo de un instrumento psicométricamente adecuado, que está siendo aplicado, de manera continua, y para el cual las universidades ya cuentan, en muchos casos, con datos recolectados, contribuiría enormemente; sobre todo, al considerar que la educación superior privada es la que más profesionales gradúa en nuestro país (Programa Estado de la Nación, 2023).</w:t>
      </w:r>
      <w:r w:rsidRPr="001C4921">
        <w:rPr>
          <w:rFonts w:ascii="Arial" w:hAnsi="Arial" w:cs="Arial"/>
          <w:color w:val="C45911"/>
          <w:lang w:val="es" w:eastAsia="en-US"/>
        </w:rPr>
        <w:t xml:space="preserve"> </w:t>
      </w:r>
    </w:p>
    <w:p w14:paraId="6A53787D"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Otro elemento por considerar es la instauración de las clases virtuales después de la pandemia, un aspecto que conviene vigilar considerando que los porcentajes de reprobación han pasado de oscilar entre el 12 y 34%, durante el 2015-2019, a estar entre 6 y 23%, en el periodo 2019-2020 (durante la pandemia) en universidades públicas (únicas con datos disponibles) (Programa Estado de la Nación, 2023). Esta baja en la reprobación no es, necesariamente, sinónimo ni de satisfacción académica por parte de los estudiantes ni de calidad de la educación; de manera </w:t>
      </w:r>
      <w:r w:rsidRPr="001C4921">
        <w:rPr>
          <w:rFonts w:ascii="Arial" w:hAnsi="Arial" w:cs="Arial"/>
          <w:lang w:eastAsia="en-US"/>
        </w:rPr>
        <w:lastRenderedPageBreak/>
        <w:t xml:space="preserve">que es importante no solo una evaluación continua, sino una disponibilidad de datos constante, que permitan evaluar y vigilar diferentes criterios de calidad académica (uno de ellos es la satisfacción académica) bajo nuevas modalidades que mezclan la presencialidad y la virtualidad en grados distintos. </w:t>
      </w:r>
    </w:p>
    <w:p w14:paraId="1F424FB8"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Así pues, considerando el difícil contexto nacional e internacional que afecta a la educación superior, las evaluaciones de satisfacción académica constituyen uno de los indicadores de desempeño más significativos para dichas instituciones, pues funge como un buen indicador del bienestar, utilizado por una gran cantidad de instituciones universitarias (Lee &amp; </w:t>
      </w:r>
      <w:proofErr w:type="spellStart"/>
      <w:r w:rsidRPr="001C4921">
        <w:rPr>
          <w:rFonts w:ascii="Arial" w:hAnsi="Arial" w:cs="Arial"/>
          <w:lang w:eastAsia="en-US"/>
        </w:rPr>
        <w:t>Jang</w:t>
      </w:r>
      <w:proofErr w:type="spellEnd"/>
      <w:r w:rsidRPr="001C4921">
        <w:rPr>
          <w:rFonts w:ascii="Arial" w:hAnsi="Arial" w:cs="Arial"/>
          <w:lang w:eastAsia="en-US"/>
        </w:rPr>
        <w:t xml:space="preserve">, 2015), y el cual sostiene una relación directa con resultados financieros institucionales (Zeithaml et al., 2006). </w:t>
      </w:r>
    </w:p>
    <w:p w14:paraId="4DF9066E"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La satisfacción académica como un aspecto de la calidad académica contribuye, de modo parcial, en la adaptación del estudiantado universitario, a la vez que contribuye a evitar el abandono de los estudios (Medrano &amp; Pérez, 2010; Melo et al., 2015; Tinto, 1994, citado por Lee &amp; </w:t>
      </w:r>
      <w:proofErr w:type="spellStart"/>
      <w:r w:rsidRPr="001C4921">
        <w:rPr>
          <w:rFonts w:ascii="Arial" w:hAnsi="Arial" w:cs="Arial"/>
          <w:lang w:eastAsia="en-US"/>
        </w:rPr>
        <w:t>Jang</w:t>
      </w:r>
      <w:proofErr w:type="spellEnd"/>
      <w:r w:rsidRPr="001C4921">
        <w:rPr>
          <w:rFonts w:ascii="Arial" w:hAnsi="Arial" w:cs="Arial"/>
          <w:lang w:eastAsia="en-US"/>
        </w:rPr>
        <w:t xml:space="preserve">, 2015). Adicionalmente, el evaluar la satisfacción académica adquiere especial importancia ante las particularidades y dificultades asociadas con el estudio de carreras de Ciencias de la Salud. </w:t>
      </w:r>
    </w:p>
    <w:p w14:paraId="657899D4"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E</w:t>
      </w:r>
      <w:r w:rsidRPr="001C4921">
        <w:rPr>
          <w:rFonts w:ascii="Arial" w:hAnsi="Arial" w:cs="Arial"/>
          <w:lang w:val="es" w:eastAsia="en-US"/>
        </w:rPr>
        <w:t xml:space="preserve">l DESIT-17 constituye un instrumento clave en el desarrollo y en la proliferación de la investigación educativa en Costa Rica, debido a que al aplicarse con regularidad en las instituciones acreditadas por el SINAES representa grandes ventajas. Por ello, el objetivo del presente estudio es evaluar las propiedades psicométricas del DESIT-17 en estudiantado de Ciencias de la Salud, lo cual </w:t>
      </w:r>
      <w:r w:rsidRPr="001C4921">
        <w:rPr>
          <w:rFonts w:ascii="Arial" w:hAnsi="Arial" w:cs="Arial"/>
          <w:lang w:val="es" w:eastAsia="en-US"/>
        </w:rPr>
        <w:lastRenderedPageBreak/>
        <w:t xml:space="preserve">propiciará la publicación de investigación educativa en el país y la disponibilidad de datos, sobre todo, por parte de universidades privadas en cuanto a indicadores relevantes. Todo esto en conjunto permitirá llevar a cabo </w:t>
      </w:r>
      <w:r w:rsidRPr="001C4921">
        <w:rPr>
          <w:rFonts w:ascii="Arial" w:hAnsi="Arial" w:cs="Arial"/>
          <w:lang w:eastAsia="en-US"/>
        </w:rPr>
        <w:t xml:space="preserve">un manejo más eficiente y un control más efectivo de lo que las instituciones en educación superior ejecutan, lo cual redunda en mejorar la calidad de la educación superior de comunidades estudiantiles o profesionales de las Ciencias de la Salud en Costa Rica. </w:t>
      </w:r>
    </w:p>
    <w:p w14:paraId="7692FDAF" w14:textId="1772861D" w:rsidR="001C4921" w:rsidRPr="001C4921" w:rsidRDefault="001C4913" w:rsidP="009065BE">
      <w:pPr>
        <w:spacing w:after="160" w:line="259" w:lineRule="auto"/>
        <w:rPr>
          <w:rFonts w:ascii="Arial" w:hAnsi="Arial" w:cs="Arial"/>
          <w:b/>
          <w:bCs/>
          <w:color w:val="000000"/>
          <w:lang w:eastAsia="en-US"/>
        </w:rPr>
      </w:pPr>
      <w:r w:rsidRPr="001C4921">
        <w:rPr>
          <w:rFonts w:ascii="Arial" w:hAnsi="Arial" w:cs="Arial"/>
          <w:b/>
          <w:bCs/>
          <w:color w:val="000000"/>
          <w:lang w:eastAsia="en-US"/>
        </w:rPr>
        <w:t>MÉTODO</w:t>
      </w:r>
    </w:p>
    <w:p w14:paraId="2996BAB3" w14:textId="77777777" w:rsidR="001C4921" w:rsidRPr="001C4921" w:rsidRDefault="001C4921" w:rsidP="001C4921">
      <w:pPr>
        <w:spacing w:after="160" w:line="259" w:lineRule="auto"/>
        <w:rPr>
          <w:rFonts w:ascii="Arial" w:hAnsi="Arial" w:cs="Arial"/>
          <w:b/>
          <w:bCs/>
          <w:color w:val="000000"/>
          <w:lang w:eastAsia="en-US"/>
        </w:rPr>
      </w:pPr>
      <w:r w:rsidRPr="001C4921">
        <w:rPr>
          <w:rFonts w:ascii="Arial" w:hAnsi="Arial" w:cs="Arial"/>
          <w:b/>
          <w:bCs/>
          <w:color w:val="000000"/>
          <w:lang w:eastAsia="en-US"/>
        </w:rPr>
        <w:t>Tipo de investigación</w:t>
      </w:r>
    </w:p>
    <w:p w14:paraId="16851C07"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El presente es un estudio con diseño transversal, pues se lleva a cabo en un espacio determinado en un momento único, y bajo un enfoque cuantitativo que contempla procesos organizados de forma secuencial para poner a prueba suposiciones. En cuanto a su alcance, es correlacional, en el tanto aporta resultados estadísticos sobre relaciones entre variables. Sin embargo, Montero y León (2002) utilizan, también, la designación de “investigación instrumental” para investigaciones que tienen la finalidad primordial de avanzar en el desarrollo de un instrumento de evaluación. </w:t>
      </w:r>
    </w:p>
    <w:p w14:paraId="55C05F30" w14:textId="77777777" w:rsidR="001C4921" w:rsidRPr="001C4921" w:rsidRDefault="001C4921" w:rsidP="001C4921">
      <w:pPr>
        <w:spacing w:after="160" w:line="259" w:lineRule="auto"/>
        <w:rPr>
          <w:rFonts w:ascii="Arial" w:hAnsi="Arial" w:cs="Arial"/>
          <w:b/>
          <w:bCs/>
          <w:color w:val="000000"/>
          <w:lang w:eastAsia="en-US"/>
        </w:rPr>
      </w:pPr>
      <w:r w:rsidRPr="001C4921">
        <w:rPr>
          <w:rFonts w:ascii="Arial" w:hAnsi="Arial" w:cs="Arial"/>
          <w:b/>
          <w:bCs/>
          <w:color w:val="000000"/>
          <w:lang w:eastAsia="en-US"/>
        </w:rPr>
        <w:t>Participantes</w:t>
      </w:r>
    </w:p>
    <w:p w14:paraId="5010A2A8"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La población corresponde a la totalidad del grupo estudiantil empadronado en las carreras de Ciencias de la Salud de la Universidad de Iberoamérica (UNIBE) para el II cuatrimestre del 2023, es decir, un total de 997 estudiantes. La muestra se determina de forma no probabilística, con una participación final de 287 estudiantes, </w:t>
      </w:r>
      <w:r w:rsidRPr="001C4921">
        <w:rPr>
          <w:rFonts w:ascii="Arial" w:hAnsi="Arial" w:cs="Arial"/>
          <w:lang w:eastAsia="en-US"/>
        </w:rPr>
        <w:lastRenderedPageBreak/>
        <w:t xml:space="preserve">tomando en cuenta recomendaciones estadísticas respecto al tamaño de la muestra en estudios psicométricos, la cual depende de las características y del tipo de instrumento por evaluar. </w:t>
      </w:r>
    </w:p>
    <w:p w14:paraId="293CE84A"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De esta manera, las muestras por encima de los 100 participantes se consideran adecuadas para análisis de consistencia interna (</w:t>
      </w:r>
      <w:proofErr w:type="spellStart"/>
      <w:r w:rsidRPr="001C4921">
        <w:rPr>
          <w:rFonts w:ascii="Arial" w:hAnsi="Arial" w:cs="Arial"/>
          <w:lang w:eastAsia="en-US"/>
        </w:rPr>
        <w:t>Sheng</w:t>
      </w:r>
      <w:proofErr w:type="spellEnd"/>
      <w:r w:rsidRPr="001C4921">
        <w:rPr>
          <w:rFonts w:ascii="Arial" w:hAnsi="Arial" w:cs="Arial"/>
          <w:lang w:eastAsia="en-US"/>
        </w:rPr>
        <w:t xml:space="preserve"> &amp; </w:t>
      </w:r>
      <w:proofErr w:type="spellStart"/>
      <w:r w:rsidRPr="001C4921">
        <w:rPr>
          <w:rFonts w:ascii="Arial" w:hAnsi="Arial" w:cs="Arial"/>
          <w:lang w:eastAsia="en-US"/>
        </w:rPr>
        <w:t>Sheng</w:t>
      </w:r>
      <w:proofErr w:type="spellEnd"/>
      <w:r w:rsidRPr="001C4921">
        <w:rPr>
          <w:rFonts w:ascii="Arial" w:hAnsi="Arial" w:cs="Arial"/>
          <w:lang w:eastAsia="en-US"/>
        </w:rPr>
        <w:t>, 2012); de los 150, para análisis factoriales exploratorios (</w:t>
      </w:r>
      <w:proofErr w:type="spellStart"/>
      <w:r w:rsidRPr="001C4921">
        <w:rPr>
          <w:rFonts w:ascii="Arial" w:hAnsi="Arial" w:cs="Arial"/>
          <w:lang w:eastAsia="en-US"/>
        </w:rPr>
        <w:t>Guadagnoli</w:t>
      </w:r>
      <w:proofErr w:type="spellEnd"/>
      <w:r w:rsidRPr="001C4921">
        <w:rPr>
          <w:rFonts w:ascii="Arial" w:hAnsi="Arial" w:cs="Arial"/>
          <w:lang w:eastAsia="en-US"/>
        </w:rPr>
        <w:t xml:space="preserve"> &amp; </w:t>
      </w:r>
      <w:proofErr w:type="spellStart"/>
      <w:r w:rsidRPr="001C4921">
        <w:rPr>
          <w:rFonts w:ascii="Arial" w:hAnsi="Arial" w:cs="Arial"/>
          <w:lang w:eastAsia="en-US"/>
        </w:rPr>
        <w:t>Velicer</w:t>
      </w:r>
      <w:proofErr w:type="spellEnd"/>
      <w:r w:rsidRPr="001C4921">
        <w:rPr>
          <w:rFonts w:ascii="Arial" w:hAnsi="Arial" w:cs="Arial"/>
          <w:lang w:eastAsia="en-US"/>
        </w:rPr>
        <w:t>, 1988), y de los 200 participantes, en el caso, por ejemplo, de modelos de ecuaciones estructurales (</w:t>
      </w:r>
      <w:proofErr w:type="spellStart"/>
      <w:r w:rsidRPr="001C4921">
        <w:rPr>
          <w:rFonts w:ascii="Arial" w:hAnsi="Arial" w:cs="Arial"/>
          <w:lang w:eastAsia="en-US"/>
        </w:rPr>
        <w:t>Hoe</w:t>
      </w:r>
      <w:proofErr w:type="spellEnd"/>
      <w:r w:rsidRPr="001C4921">
        <w:rPr>
          <w:rFonts w:ascii="Arial" w:hAnsi="Arial" w:cs="Arial"/>
          <w:lang w:eastAsia="en-US"/>
        </w:rPr>
        <w:t>, 2008). Como criterios de inclusión y exclusión, se parte de los mismos criterios utilizados por el centro de enseñanza superior para aceptar a sus estudiantes.</w:t>
      </w:r>
    </w:p>
    <w:p w14:paraId="20A82FE2" w14:textId="77777777" w:rsidR="001C4921" w:rsidRPr="001C4921" w:rsidRDefault="001C4921" w:rsidP="009065BE">
      <w:pPr>
        <w:spacing w:after="160" w:line="360" w:lineRule="auto"/>
        <w:jc w:val="both"/>
        <w:rPr>
          <w:rFonts w:ascii="Arial" w:hAnsi="Arial" w:cs="Arial"/>
          <w:color w:val="C45911"/>
          <w:lang w:eastAsia="en-US"/>
        </w:rPr>
      </w:pPr>
      <w:r w:rsidRPr="001C4921">
        <w:rPr>
          <w:rFonts w:ascii="Arial" w:hAnsi="Arial" w:cs="Arial"/>
          <w:lang w:eastAsia="en-US"/>
        </w:rPr>
        <w:t>El presente proyecto se realiza en concordancia con las diferentes disposiciones éticas internacionales (CIOMS) reconocidas en investigación; además, sigue los requerimientos éticos solicitados por el CEC-UNIBE y las disposiciones de la Ley Reguladora de Investigación Biomédica (Ley 9234), su respectivo Reglamento (Decreto 39061) y su reforma (Decreto 39533-S). Los participantes reciben la información pertinente del estudio, y se les informa, en un consentimiento informado, el carácter voluntario de la participación, así como la anonimidad con que serían tratados sus datos; en todo momento, se protege la identidad y derechos de los participantes.</w:t>
      </w:r>
    </w:p>
    <w:p w14:paraId="243CCDCA" w14:textId="77777777" w:rsidR="00B2276D" w:rsidRDefault="00B2276D" w:rsidP="001C4921">
      <w:pPr>
        <w:spacing w:after="160" w:line="259" w:lineRule="auto"/>
        <w:rPr>
          <w:rFonts w:ascii="Arial" w:hAnsi="Arial" w:cs="Arial"/>
          <w:b/>
          <w:bCs/>
          <w:color w:val="000000"/>
          <w:lang w:eastAsia="en-US"/>
        </w:rPr>
      </w:pPr>
    </w:p>
    <w:p w14:paraId="24C6D590" w14:textId="77777777" w:rsidR="00B2276D" w:rsidRDefault="00B2276D" w:rsidP="001C4921">
      <w:pPr>
        <w:spacing w:after="160" w:line="259" w:lineRule="auto"/>
        <w:rPr>
          <w:rFonts w:ascii="Arial" w:hAnsi="Arial" w:cs="Arial"/>
          <w:b/>
          <w:bCs/>
          <w:color w:val="000000"/>
          <w:lang w:eastAsia="en-US"/>
        </w:rPr>
      </w:pPr>
    </w:p>
    <w:p w14:paraId="465BDC08" w14:textId="4BAF7275" w:rsidR="001C4921" w:rsidRPr="001C4921" w:rsidRDefault="001C4921" w:rsidP="001C4921">
      <w:pPr>
        <w:spacing w:after="160" w:line="259" w:lineRule="auto"/>
        <w:rPr>
          <w:rFonts w:ascii="Arial" w:eastAsia="Calibri" w:hAnsi="Arial" w:cs="Arial"/>
          <w:sz w:val="22"/>
          <w:szCs w:val="22"/>
          <w:lang w:eastAsia="en-US"/>
        </w:rPr>
      </w:pPr>
      <w:r w:rsidRPr="001C4921">
        <w:rPr>
          <w:rFonts w:ascii="Arial" w:hAnsi="Arial" w:cs="Arial"/>
          <w:b/>
          <w:bCs/>
          <w:color w:val="000000"/>
          <w:lang w:eastAsia="en-US"/>
        </w:rPr>
        <w:lastRenderedPageBreak/>
        <w:t>Instrumentos</w:t>
      </w:r>
    </w:p>
    <w:p w14:paraId="4D14E75D" w14:textId="77777777" w:rsidR="001C4921" w:rsidRPr="001C4921" w:rsidRDefault="001C4921" w:rsidP="009065BE">
      <w:pPr>
        <w:spacing w:after="160" w:line="360" w:lineRule="auto"/>
        <w:jc w:val="both"/>
        <w:rPr>
          <w:rFonts w:ascii="Arial" w:hAnsi="Arial" w:cs="Arial"/>
          <w:lang w:eastAsia="en-US"/>
        </w:rPr>
      </w:pPr>
      <w:r w:rsidRPr="001C4921">
        <w:rPr>
          <w:rFonts w:ascii="Arial" w:hAnsi="Arial" w:cs="Arial"/>
          <w:lang w:eastAsia="en-US"/>
        </w:rPr>
        <w:t xml:space="preserve">Se toma en cuenta variables sociodemográficas, como la edad, carrera, género, año de ingreso, cuatrimestre que se cursa actualmente, aspectos de financiamiento, becas, ocupación actual y personas con quienes cohabita el estudiante. Adicionalmente, se utiliza dos instrumentos para medir la satisfacción académica, que se detallan a continuación. </w:t>
      </w:r>
    </w:p>
    <w:p w14:paraId="38A1E735" w14:textId="77777777" w:rsidR="001C4921" w:rsidRPr="001C4921" w:rsidRDefault="001C4921" w:rsidP="001C4913">
      <w:pPr>
        <w:spacing w:after="160" w:line="360" w:lineRule="auto"/>
        <w:jc w:val="both"/>
        <w:rPr>
          <w:rFonts w:ascii="Arial" w:hAnsi="Arial" w:cs="Arial"/>
          <w:color w:val="FFC000"/>
          <w:lang w:val="es" w:eastAsia="en-US"/>
        </w:rPr>
      </w:pPr>
      <w:r w:rsidRPr="001C4921">
        <w:rPr>
          <w:rFonts w:ascii="Arial" w:hAnsi="Arial" w:cs="Arial"/>
          <w:b/>
          <w:bCs/>
          <w:lang w:eastAsia="en-US"/>
        </w:rPr>
        <w:t>DESIT-17</w:t>
      </w:r>
    </w:p>
    <w:p w14:paraId="362FA04A"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Este instrumento ha sido desarrollado a partir del cuestionario para la población estudiantil del SINAES, y se trata de un instrumento de 17 ítems, tipo Likert de 5 puntos, dirigidos a evaluar la satisfacción académica desde una perspectiva de calidad del servicio. Román-Quirós (2023) realiza el análisis factorial exploratorio del instrumento, e indica una estructura de cuatro factores que explican el 64,78% de la varianza de los reactivos; el primer factor, el 41,07%; el segundo, 9,72%; el tercero, 9,13%; y el cuarto, 4,86%. </w:t>
      </w:r>
    </w:p>
    <w:p w14:paraId="5C250E06"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Dichos factores constituyen: 1) la satisfacción con la atención docente (SAD); 2) la satisfacción con el equipo multimedia (SAE); 3) la satisfacción con los servicios (SAS), y 4) la satisfacción con aspectos científicos y tecnológicos de la formación (SACT). El personal del SINAES elabora el cuestionario original bajo una validación de expertos y una validación empírica en dos estudios piloto, contemplando evaluaciones cognitivas de los ítems (SINAES, 2011). No existen, hasta este estudio, evidencias de validez de constructo del instrumento. Román-Quirós (2023) </w:t>
      </w:r>
      <w:r w:rsidRPr="001C4921">
        <w:rPr>
          <w:rFonts w:ascii="Arial" w:hAnsi="Arial" w:cs="Arial"/>
          <w:lang w:eastAsia="en-US"/>
        </w:rPr>
        <w:lastRenderedPageBreak/>
        <w:t xml:space="preserve">reporta niveles de confiabilidad adecuados para los cuatro factores, con alfas de Cronbach de .93, en el caso de a SAD, .90 con respecto a la SAE, .87 en el factor SAS y .84 en lo que atañe a la SACT. </w:t>
      </w:r>
    </w:p>
    <w:p w14:paraId="21675F11" w14:textId="538CF073" w:rsidR="001C4921" w:rsidRPr="001C4921" w:rsidRDefault="001C4921" w:rsidP="001C4913">
      <w:pPr>
        <w:spacing w:after="160" w:line="360" w:lineRule="auto"/>
        <w:jc w:val="both"/>
        <w:rPr>
          <w:rFonts w:ascii="Arial" w:hAnsi="Arial" w:cs="Arial"/>
          <w:b/>
          <w:bCs/>
          <w:lang w:val="es" w:eastAsia="en-US"/>
        </w:rPr>
      </w:pPr>
      <w:r w:rsidRPr="001C4921">
        <w:rPr>
          <w:rFonts w:ascii="Arial" w:hAnsi="Arial" w:cs="Arial"/>
          <w:b/>
          <w:bCs/>
          <w:lang w:val="es" w:eastAsia="en-US"/>
        </w:rPr>
        <w:t>Escala de Satisfacción Académica (ESA)</w:t>
      </w:r>
    </w:p>
    <w:p w14:paraId="15B6CFEB" w14:textId="77777777" w:rsidR="001C4921" w:rsidRPr="001C4921" w:rsidRDefault="001C4921" w:rsidP="001C4913">
      <w:pPr>
        <w:spacing w:after="160" w:line="360" w:lineRule="auto"/>
        <w:jc w:val="both"/>
        <w:rPr>
          <w:rFonts w:ascii="Arial" w:hAnsi="Arial" w:cs="Arial"/>
          <w:lang w:val="es" w:eastAsia="en-US"/>
        </w:rPr>
      </w:pPr>
      <w:r w:rsidRPr="001C4921">
        <w:rPr>
          <w:rFonts w:ascii="Arial" w:hAnsi="Arial" w:cs="Arial"/>
          <w:lang w:val="es" w:eastAsia="en-US"/>
        </w:rPr>
        <w:t xml:space="preserve">La Escala de Satisfacción Académica de </w:t>
      </w:r>
      <w:proofErr w:type="spellStart"/>
      <w:r w:rsidRPr="001C4921">
        <w:rPr>
          <w:rFonts w:ascii="Arial" w:hAnsi="Arial" w:cs="Arial"/>
          <w:lang w:val="es" w:eastAsia="en-US"/>
        </w:rPr>
        <w:t>Lent</w:t>
      </w:r>
      <w:proofErr w:type="spellEnd"/>
      <w:r w:rsidRPr="001C4921">
        <w:rPr>
          <w:rFonts w:ascii="Arial" w:hAnsi="Arial" w:cs="Arial"/>
          <w:lang w:val="es" w:eastAsia="en-US"/>
        </w:rPr>
        <w:t xml:space="preserve"> et al. (2007) es una escala </w:t>
      </w:r>
      <w:proofErr w:type="spellStart"/>
      <w:r w:rsidRPr="001C4921">
        <w:rPr>
          <w:rFonts w:ascii="Arial" w:hAnsi="Arial" w:cs="Arial"/>
          <w:lang w:val="es" w:eastAsia="en-US"/>
        </w:rPr>
        <w:t>unifactorial</w:t>
      </w:r>
      <w:proofErr w:type="spellEnd"/>
      <w:r w:rsidRPr="001C4921">
        <w:rPr>
          <w:rFonts w:ascii="Arial" w:hAnsi="Arial" w:cs="Arial"/>
          <w:lang w:val="es" w:eastAsia="en-US"/>
        </w:rPr>
        <w:t xml:space="preserve"> que se compone de siete ítems tipo Likert que evalúan el bienestar y el disfrute experimentado en el rol de estudiantes. Los estudios psicométricos iniciales reportan una confiabilidad de .94, y proporcionan evidencias nomológicas de validez, de manera consistente con la teoría respecto a mediciones de satisfacción con la vida, persistencia académica y una variedad de variables sociocognitivas (</w:t>
      </w:r>
      <w:proofErr w:type="spellStart"/>
      <w:r w:rsidRPr="001C4921">
        <w:rPr>
          <w:rFonts w:ascii="Arial" w:hAnsi="Arial" w:cs="Arial"/>
          <w:lang w:val="es" w:eastAsia="en-US"/>
        </w:rPr>
        <w:t>Lent</w:t>
      </w:r>
      <w:proofErr w:type="spellEnd"/>
      <w:r w:rsidRPr="001C4921">
        <w:rPr>
          <w:rFonts w:ascii="Arial" w:hAnsi="Arial" w:cs="Arial"/>
          <w:lang w:val="es" w:eastAsia="en-US"/>
        </w:rPr>
        <w:t xml:space="preserve"> et al., 2005, citado por </w:t>
      </w:r>
      <w:proofErr w:type="spellStart"/>
      <w:r w:rsidRPr="001C4921">
        <w:rPr>
          <w:rFonts w:ascii="Arial" w:hAnsi="Arial" w:cs="Arial"/>
          <w:lang w:val="es" w:eastAsia="en-US"/>
        </w:rPr>
        <w:t>Lent</w:t>
      </w:r>
      <w:proofErr w:type="spellEnd"/>
      <w:r w:rsidRPr="001C4921">
        <w:rPr>
          <w:rFonts w:ascii="Arial" w:hAnsi="Arial" w:cs="Arial"/>
          <w:lang w:val="es" w:eastAsia="en-US"/>
        </w:rPr>
        <w:t xml:space="preserve"> et al., 2007). </w:t>
      </w:r>
    </w:p>
    <w:p w14:paraId="21531B74" w14:textId="77777777" w:rsidR="001C4921" w:rsidRPr="001C4921" w:rsidRDefault="001C4921" w:rsidP="001C4913">
      <w:pPr>
        <w:spacing w:after="160" w:line="360" w:lineRule="auto"/>
        <w:jc w:val="both"/>
        <w:rPr>
          <w:rFonts w:ascii="Arial" w:hAnsi="Arial" w:cs="Arial"/>
          <w:lang w:val="es" w:eastAsia="en-US"/>
        </w:rPr>
      </w:pPr>
      <w:r w:rsidRPr="001C4921">
        <w:rPr>
          <w:rFonts w:ascii="Arial" w:hAnsi="Arial" w:cs="Arial"/>
          <w:lang w:val="es" w:eastAsia="en-US"/>
        </w:rPr>
        <w:t xml:space="preserve">En esa investigación, se utiliza la adaptación desarrollada por Medrano et al. (2014), que es, a su vez, la misma utilizada por Vergara-Morales et al. (2018), la cual reporta una confiabilidad de .85 y de .92 en ambas investigaciones, respectivamente. Además, Vergara-Morales et al. (2018) realizan un análisis factorial confirmatorio y obtienen, de igual manera, una solución </w:t>
      </w:r>
      <w:proofErr w:type="spellStart"/>
      <w:r w:rsidRPr="001C4921">
        <w:rPr>
          <w:rFonts w:ascii="Arial" w:hAnsi="Arial" w:cs="Arial"/>
          <w:lang w:val="es" w:eastAsia="en-US"/>
        </w:rPr>
        <w:t>unifactorial</w:t>
      </w:r>
      <w:proofErr w:type="spellEnd"/>
      <w:r w:rsidRPr="001C4921">
        <w:rPr>
          <w:rFonts w:ascii="Arial" w:hAnsi="Arial" w:cs="Arial"/>
          <w:lang w:val="es" w:eastAsia="en-US"/>
        </w:rPr>
        <w:t xml:space="preserve"> y un buen ajuste del modelo.</w:t>
      </w:r>
    </w:p>
    <w:p w14:paraId="1639F4C1" w14:textId="77777777" w:rsidR="001C4921" w:rsidRPr="001C4921" w:rsidRDefault="001C4921" w:rsidP="001C4921">
      <w:pPr>
        <w:spacing w:after="160" w:line="259" w:lineRule="auto"/>
        <w:rPr>
          <w:rFonts w:ascii="Arial" w:hAnsi="Arial" w:cs="Arial"/>
          <w:b/>
          <w:bCs/>
          <w:color w:val="000000"/>
          <w:lang w:eastAsia="en-US"/>
        </w:rPr>
      </w:pPr>
      <w:r w:rsidRPr="001C4921">
        <w:rPr>
          <w:rFonts w:ascii="Arial" w:hAnsi="Arial" w:cs="Arial"/>
          <w:b/>
          <w:bCs/>
          <w:color w:val="000000"/>
          <w:lang w:eastAsia="en-US"/>
        </w:rPr>
        <w:t>Procedimientos de recolección</w:t>
      </w:r>
    </w:p>
    <w:p w14:paraId="486F525A" w14:textId="1E3FD35B" w:rsidR="001C4921" w:rsidRPr="001C4921" w:rsidRDefault="001C4921" w:rsidP="001C4913">
      <w:pPr>
        <w:spacing w:after="160" w:line="360" w:lineRule="auto"/>
        <w:jc w:val="both"/>
        <w:rPr>
          <w:rFonts w:ascii="Arial" w:hAnsi="Arial" w:cs="Arial"/>
          <w:color w:val="C45911"/>
          <w:lang w:eastAsia="en-US"/>
        </w:rPr>
      </w:pPr>
      <w:r w:rsidRPr="001C4921">
        <w:rPr>
          <w:rFonts w:ascii="Arial" w:hAnsi="Arial" w:cs="Arial"/>
          <w:lang w:eastAsia="en-US"/>
        </w:rPr>
        <w:t xml:space="preserve">El estudio se considera como una investigación de importancia institucional, pues se brinda la propuesta a las instancias correspondientes. Al contar con la </w:t>
      </w:r>
      <w:r w:rsidRPr="001C4921">
        <w:rPr>
          <w:rFonts w:ascii="Arial" w:hAnsi="Arial" w:cs="Arial"/>
          <w:lang w:eastAsia="en-US"/>
        </w:rPr>
        <w:lastRenderedPageBreak/>
        <w:t xml:space="preserve">aprobación, se procede al siguiente paso, que implica la valoración de los cursos activos en el II-Cuatrimestre, para lograr la mayor representación posible de cada facultad y sus diferentes niveles. Se visita al estudiantado </w:t>
      </w:r>
      <w:r w:rsidRPr="001C4921">
        <w:rPr>
          <w:rFonts w:ascii="Arial" w:hAnsi="Arial" w:cs="Arial"/>
          <w:i/>
          <w:lang w:eastAsia="en-US"/>
        </w:rPr>
        <w:t>in situ</w:t>
      </w:r>
      <w:r w:rsidRPr="001C4921">
        <w:rPr>
          <w:rFonts w:ascii="Arial" w:hAnsi="Arial" w:cs="Arial"/>
          <w:lang w:eastAsia="en-US"/>
        </w:rPr>
        <w:t xml:space="preserve"> durante el mes de julio de 2023, en las diferentes lecciones. El cuestionario se aplica a través de un formulario en línea en la plataforma </w:t>
      </w:r>
      <w:proofErr w:type="spellStart"/>
      <w:r w:rsidRPr="001C4921">
        <w:rPr>
          <w:rFonts w:ascii="Arial" w:hAnsi="Arial" w:cs="Arial"/>
          <w:lang w:eastAsia="en-US"/>
        </w:rPr>
        <w:t>Limesurvey</w:t>
      </w:r>
      <w:proofErr w:type="spellEnd"/>
      <w:r w:rsidRPr="001C4921">
        <w:rPr>
          <w:rFonts w:ascii="Arial" w:hAnsi="Arial" w:cs="Arial"/>
          <w:lang w:eastAsia="en-US"/>
        </w:rPr>
        <w:t>, al cual se accede mediante un código “</w:t>
      </w:r>
      <w:proofErr w:type="spellStart"/>
      <w:r w:rsidRPr="001C4921">
        <w:rPr>
          <w:rFonts w:ascii="Arial" w:hAnsi="Arial" w:cs="Arial"/>
          <w:lang w:eastAsia="en-US"/>
        </w:rPr>
        <w:t>Quit</w:t>
      </w:r>
      <w:proofErr w:type="spellEnd"/>
      <w:r w:rsidRPr="001C4921">
        <w:rPr>
          <w:rFonts w:ascii="Arial" w:hAnsi="Arial" w:cs="Arial"/>
          <w:lang w:eastAsia="en-US"/>
        </w:rPr>
        <w:t xml:space="preserve"> Response” (QR). Cada aplicador se mantiene al tanto en caso de consultas por parte del estudiantado. </w:t>
      </w:r>
    </w:p>
    <w:p w14:paraId="16EF95E5" w14:textId="77777777" w:rsidR="001C4921" w:rsidRPr="001C4921" w:rsidRDefault="001C4921" w:rsidP="001C4921">
      <w:pPr>
        <w:spacing w:after="160" w:line="259" w:lineRule="auto"/>
        <w:rPr>
          <w:rFonts w:ascii="Arial" w:hAnsi="Arial" w:cs="Arial"/>
          <w:b/>
          <w:bCs/>
          <w:color w:val="000000"/>
          <w:lang w:eastAsia="en-US"/>
        </w:rPr>
      </w:pPr>
      <w:r w:rsidRPr="001C4921">
        <w:rPr>
          <w:rFonts w:ascii="Arial" w:hAnsi="Arial" w:cs="Arial"/>
          <w:b/>
          <w:bCs/>
          <w:color w:val="000000"/>
          <w:lang w:eastAsia="en-US"/>
        </w:rPr>
        <w:t>Procedimientos de análisis</w:t>
      </w:r>
    </w:p>
    <w:p w14:paraId="00563DA6" w14:textId="77777777" w:rsidR="001C4921" w:rsidRPr="001C4921" w:rsidRDefault="001C4921" w:rsidP="001C4913">
      <w:pPr>
        <w:spacing w:after="160" w:line="360" w:lineRule="auto"/>
        <w:jc w:val="both"/>
        <w:rPr>
          <w:rFonts w:ascii="Arial" w:hAnsi="Arial" w:cs="Arial"/>
          <w:color w:val="C45911"/>
          <w:lang w:eastAsia="en-US"/>
        </w:rPr>
      </w:pPr>
      <w:r w:rsidRPr="001C4921">
        <w:rPr>
          <w:rFonts w:ascii="Arial" w:hAnsi="Arial" w:cs="Arial"/>
          <w:lang w:eastAsia="en-US"/>
        </w:rPr>
        <w:t>Para proceder con el análisis estadístico, se exportan los resultados al programa estadístico</w:t>
      </w:r>
      <w:r w:rsidRPr="001C4921">
        <w:rPr>
          <w:rFonts w:ascii="Arial" w:hAnsi="Arial" w:cs="Arial"/>
          <w:color w:val="C45911"/>
          <w:lang w:eastAsia="en-US"/>
        </w:rPr>
        <w:t xml:space="preserve"> </w:t>
      </w:r>
      <w:r w:rsidRPr="001C4921">
        <w:rPr>
          <w:rFonts w:ascii="Arial" w:hAnsi="Arial" w:cs="Arial"/>
          <w:lang w:eastAsia="en-US"/>
        </w:rPr>
        <w:t xml:space="preserve">IBM SPSS, v. 25.0 (IBM Corp., 2017). Posteriormente, se realiza el análisis factorial confirmatorio, en el programa estadístico </w:t>
      </w:r>
      <w:proofErr w:type="spellStart"/>
      <w:r w:rsidRPr="001C4921">
        <w:rPr>
          <w:rFonts w:ascii="Arial" w:hAnsi="Arial" w:cs="Arial"/>
          <w:lang w:eastAsia="en-US"/>
        </w:rPr>
        <w:t>Jamovi</w:t>
      </w:r>
      <w:proofErr w:type="spellEnd"/>
      <w:r w:rsidRPr="001C4921">
        <w:rPr>
          <w:rFonts w:ascii="Arial" w:hAnsi="Arial" w:cs="Arial"/>
          <w:lang w:eastAsia="en-US"/>
        </w:rPr>
        <w:t xml:space="preserve"> (v. 2.3.18.0), a fin de</w:t>
      </w:r>
      <w:r w:rsidRPr="001C4921">
        <w:rPr>
          <w:rFonts w:ascii="Arial" w:hAnsi="Arial" w:cs="Arial"/>
          <w:color w:val="C45911"/>
          <w:lang w:eastAsia="en-US"/>
        </w:rPr>
        <w:t xml:space="preserve"> </w:t>
      </w:r>
      <w:r w:rsidRPr="001C4921">
        <w:rPr>
          <w:rFonts w:ascii="Arial" w:hAnsi="Arial" w:cs="Arial"/>
          <w:lang w:eastAsia="en-US"/>
        </w:rPr>
        <w:t>evaluar la estructura teórica original del instrumento y su ajuste a la muestra. Para ello, se evalúa el índice de ajuste comparativo (CFI) por encima de .95, el error de aproximación (RMSEA), y la raíz cuadrada de media de residuos (SRMR), para errores menores a .08 (Marsh et al., 2004).</w:t>
      </w:r>
      <w:r w:rsidRPr="001C4921">
        <w:rPr>
          <w:rFonts w:ascii="Arial" w:hAnsi="Arial" w:cs="Arial"/>
          <w:color w:val="C45911"/>
          <w:lang w:eastAsia="en-US"/>
        </w:rPr>
        <w:t xml:space="preserve"> </w:t>
      </w:r>
    </w:p>
    <w:p w14:paraId="0787B96A" w14:textId="77777777" w:rsidR="001C4921" w:rsidRPr="001C4921" w:rsidRDefault="001C4921" w:rsidP="001C4913">
      <w:pPr>
        <w:spacing w:after="160" w:line="360" w:lineRule="auto"/>
        <w:jc w:val="both"/>
        <w:rPr>
          <w:rFonts w:ascii="Arial" w:hAnsi="Arial" w:cs="Arial"/>
          <w:color w:val="C45911"/>
          <w:lang w:eastAsia="en-US"/>
        </w:rPr>
      </w:pPr>
      <w:r w:rsidRPr="001C4921">
        <w:rPr>
          <w:rFonts w:ascii="Arial" w:hAnsi="Arial" w:cs="Arial"/>
          <w:lang w:eastAsia="en-US"/>
        </w:rPr>
        <w:t xml:space="preserve">Luego, se ejecutan análisis de consistencia interna para los factores, mediante el alfa de Cronbach, así como un análisis de correlación </w:t>
      </w:r>
      <w:proofErr w:type="spellStart"/>
      <w:r w:rsidRPr="001C4921">
        <w:rPr>
          <w:rFonts w:ascii="Arial" w:hAnsi="Arial" w:cs="Arial"/>
          <w:lang w:eastAsia="en-US"/>
        </w:rPr>
        <w:t>bivariada</w:t>
      </w:r>
      <w:proofErr w:type="spellEnd"/>
      <w:r w:rsidRPr="001C4921">
        <w:rPr>
          <w:rFonts w:ascii="Arial" w:hAnsi="Arial" w:cs="Arial"/>
          <w:lang w:eastAsia="en-US"/>
        </w:rPr>
        <w:t xml:space="preserve">, con el objeto de descubrir evidencias de validez nomológica, junto con análisis de comparación de medias.  </w:t>
      </w:r>
    </w:p>
    <w:p w14:paraId="3954510C" w14:textId="77777777" w:rsidR="00B2276D" w:rsidRDefault="00B2276D" w:rsidP="001C4913">
      <w:pPr>
        <w:spacing w:after="160" w:line="259" w:lineRule="auto"/>
        <w:rPr>
          <w:rFonts w:ascii="Arial" w:hAnsi="Arial" w:cs="Arial"/>
          <w:b/>
          <w:bCs/>
          <w:color w:val="000000"/>
          <w:lang w:eastAsia="en-US"/>
        </w:rPr>
      </w:pPr>
    </w:p>
    <w:p w14:paraId="549EDF34" w14:textId="68630218" w:rsidR="001C4921" w:rsidRPr="001C4921" w:rsidRDefault="001C4913" w:rsidP="001C4913">
      <w:pPr>
        <w:spacing w:after="160" w:line="259" w:lineRule="auto"/>
        <w:rPr>
          <w:rFonts w:ascii="Arial" w:hAnsi="Arial" w:cs="Arial"/>
          <w:b/>
          <w:bCs/>
          <w:color w:val="000000"/>
          <w:lang w:eastAsia="en-US"/>
        </w:rPr>
      </w:pPr>
      <w:r w:rsidRPr="001C4921">
        <w:rPr>
          <w:rFonts w:ascii="Arial" w:hAnsi="Arial" w:cs="Arial"/>
          <w:b/>
          <w:bCs/>
          <w:color w:val="000000"/>
          <w:lang w:eastAsia="en-US"/>
        </w:rPr>
        <w:lastRenderedPageBreak/>
        <w:t>RESULTADOS</w:t>
      </w:r>
    </w:p>
    <w:p w14:paraId="1CDF53F0"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El instrumento es completado por 287 estudiantes (</w:t>
      </w:r>
      <w:r w:rsidRPr="001C4921">
        <w:rPr>
          <w:rFonts w:ascii="Arial" w:hAnsi="Arial" w:cs="Arial"/>
          <w:i/>
          <w:iCs/>
          <w:lang w:eastAsia="en-US"/>
        </w:rPr>
        <w:t xml:space="preserve">M </w:t>
      </w:r>
      <w:r w:rsidRPr="001C4921">
        <w:rPr>
          <w:rFonts w:ascii="Arial" w:hAnsi="Arial" w:cs="Arial"/>
          <w:lang w:eastAsia="en-US"/>
        </w:rPr>
        <w:t xml:space="preserve">= 4,16, </w:t>
      </w:r>
      <w:r w:rsidRPr="001C4921">
        <w:rPr>
          <w:rFonts w:ascii="Arial" w:hAnsi="Arial" w:cs="Arial"/>
          <w:i/>
          <w:iCs/>
          <w:lang w:eastAsia="en-US"/>
        </w:rPr>
        <w:t xml:space="preserve">DE </w:t>
      </w:r>
      <w:r w:rsidRPr="001C4921">
        <w:rPr>
          <w:rFonts w:ascii="Arial" w:hAnsi="Arial" w:cs="Arial"/>
          <w:lang w:eastAsia="en-US"/>
        </w:rPr>
        <w:t>= .71). El 32,8% pertenece a la carrera de Medicina; el 31,4%, a Psicología; el 22.6%, a Farmacia; y el 13,2%, a Enfermería. Los participantes se encuentran entre los 17 y 53 años (</w:t>
      </w:r>
      <w:r w:rsidRPr="001C4921">
        <w:rPr>
          <w:rFonts w:ascii="Arial" w:hAnsi="Arial" w:cs="Arial"/>
          <w:i/>
          <w:iCs/>
          <w:lang w:eastAsia="en-US"/>
        </w:rPr>
        <w:t xml:space="preserve">ME = </w:t>
      </w:r>
      <w:r w:rsidRPr="001C4921">
        <w:rPr>
          <w:rFonts w:ascii="Arial" w:hAnsi="Arial" w:cs="Arial"/>
          <w:lang w:eastAsia="en-US"/>
        </w:rPr>
        <w:t xml:space="preserve">21,91, </w:t>
      </w:r>
      <w:r w:rsidRPr="001C4921">
        <w:rPr>
          <w:rFonts w:ascii="Arial" w:hAnsi="Arial" w:cs="Arial"/>
          <w:i/>
          <w:iCs/>
          <w:lang w:eastAsia="en-US"/>
        </w:rPr>
        <w:t xml:space="preserve">DE = </w:t>
      </w:r>
      <w:r w:rsidRPr="001C4921">
        <w:rPr>
          <w:rFonts w:ascii="Arial" w:hAnsi="Arial" w:cs="Arial"/>
          <w:lang w:eastAsia="en-US"/>
        </w:rPr>
        <w:t>4.24). El 21,3% se identifica como hombre; y el 78,4%, como mujer. Los participantes ingresan a sus respectivas carreras entre los años 2009 y 2023, ubicados en promedio en el cuarto cuatrimestre (</w:t>
      </w:r>
      <w:r w:rsidRPr="001C4921">
        <w:rPr>
          <w:rFonts w:ascii="Arial" w:hAnsi="Arial" w:cs="Arial"/>
          <w:i/>
          <w:iCs/>
          <w:lang w:eastAsia="en-US"/>
        </w:rPr>
        <w:t xml:space="preserve">M = </w:t>
      </w:r>
      <w:r w:rsidRPr="001C4921">
        <w:rPr>
          <w:rFonts w:ascii="Arial" w:hAnsi="Arial" w:cs="Arial"/>
          <w:lang w:eastAsia="en-US"/>
        </w:rPr>
        <w:t xml:space="preserve">4.37, </w:t>
      </w:r>
      <w:r w:rsidRPr="001C4921">
        <w:rPr>
          <w:rFonts w:ascii="Arial" w:hAnsi="Arial" w:cs="Arial"/>
          <w:i/>
          <w:iCs/>
          <w:lang w:eastAsia="en-US"/>
        </w:rPr>
        <w:t xml:space="preserve">DE = </w:t>
      </w:r>
      <w:r w:rsidRPr="001C4921">
        <w:rPr>
          <w:rFonts w:ascii="Arial" w:hAnsi="Arial" w:cs="Arial"/>
          <w:lang w:eastAsia="en-US"/>
        </w:rPr>
        <w:t>2,90).</w:t>
      </w:r>
    </w:p>
    <w:p w14:paraId="3EA3E059"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En cuanto al </w:t>
      </w:r>
      <w:r w:rsidRPr="001C4921">
        <w:rPr>
          <w:rFonts w:ascii="Arial" w:hAnsi="Arial" w:cs="Arial"/>
          <w:i/>
          <w:lang w:eastAsia="en-US"/>
        </w:rPr>
        <w:t>análisis factorial confirmatorio</w:t>
      </w:r>
      <w:r w:rsidRPr="001C4921">
        <w:rPr>
          <w:rFonts w:ascii="Arial" w:hAnsi="Arial" w:cs="Arial"/>
          <w:lang w:eastAsia="en-US"/>
        </w:rPr>
        <w:t>, el modelo original propuesto de cuatro factores muestra índices de ajuste satisfactorios para apoyar la estructura del modelo de medida (</w:t>
      </w:r>
      <w:r w:rsidRPr="001C4921">
        <w:rPr>
          <w:rFonts w:ascii="Arial" w:hAnsi="Arial" w:cs="Arial"/>
          <w:i/>
          <w:iCs/>
          <w:lang w:eastAsia="en-US"/>
        </w:rPr>
        <w:t>χ</w:t>
      </w:r>
      <w:r w:rsidRPr="001C4921">
        <w:rPr>
          <w:rFonts w:ascii="Arial" w:hAnsi="Arial" w:cs="Arial"/>
          <w:i/>
          <w:iCs/>
          <w:vertAlign w:val="superscript"/>
          <w:lang w:eastAsia="en-US"/>
        </w:rPr>
        <w:t>2</w:t>
      </w:r>
      <w:r w:rsidRPr="001C4921">
        <w:rPr>
          <w:rFonts w:ascii="Arial" w:hAnsi="Arial" w:cs="Arial"/>
          <w:vertAlign w:val="superscript"/>
          <w:lang w:eastAsia="en-US"/>
        </w:rPr>
        <w:t xml:space="preserve"> </w:t>
      </w:r>
      <w:r w:rsidRPr="001C4921">
        <w:rPr>
          <w:rFonts w:ascii="Arial" w:hAnsi="Arial" w:cs="Arial"/>
          <w:lang w:eastAsia="en-US"/>
        </w:rPr>
        <w:t>=</w:t>
      </w:r>
      <w:r w:rsidRPr="001C4921">
        <w:rPr>
          <w:rFonts w:ascii="Arial" w:hAnsi="Arial" w:cs="Arial"/>
          <w:lang w:val="es" w:eastAsia="en-US"/>
        </w:rPr>
        <w:t xml:space="preserve"> 285</w:t>
      </w:r>
      <w:r w:rsidRPr="001C4921">
        <w:rPr>
          <w:rFonts w:ascii="Arial" w:hAnsi="Arial" w:cs="Arial"/>
          <w:lang w:eastAsia="en-US"/>
        </w:rPr>
        <w:t xml:space="preserve">, </w:t>
      </w:r>
      <w:proofErr w:type="spellStart"/>
      <w:r w:rsidRPr="001C4921">
        <w:rPr>
          <w:rFonts w:ascii="Arial" w:hAnsi="Arial" w:cs="Arial"/>
          <w:i/>
          <w:iCs/>
          <w:lang w:eastAsia="en-US"/>
        </w:rPr>
        <w:t>gl</w:t>
      </w:r>
      <w:proofErr w:type="spellEnd"/>
      <w:r w:rsidRPr="001C4921">
        <w:rPr>
          <w:rFonts w:ascii="Arial" w:hAnsi="Arial" w:cs="Arial"/>
          <w:lang w:eastAsia="en-US"/>
        </w:rPr>
        <w:t xml:space="preserve"> = </w:t>
      </w:r>
      <w:r w:rsidRPr="001C4921">
        <w:rPr>
          <w:rFonts w:ascii="Arial" w:hAnsi="Arial" w:cs="Arial"/>
          <w:lang w:val="es" w:eastAsia="en-US"/>
        </w:rPr>
        <w:t>111</w:t>
      </w:r>
      <w:r w:rsidRPr="001C4921">
        <w:rPr>
          <w:rFonts w:ascii="Arial" w:hAnsi="Arial" w:cs="Arial"/>
          <w:lang w:eastAsia="en-US"/>
        </w:rPr>
        <w:t xml:space="preserve">, </w:t>
      </w:r>
      <w:r w:rsidRPr="001C4921">
        <w:rPr>
          <w:rFonts w:ascii="Arial" w:hAnsi="Arial" w:cs="Arial"/>
          <w:i/>
          <w:iCs/>
          <w:lang w:eastAsia="en-US"/>
        </w:rPr>
        <w:t>p</w:t>
      </w:r>
      <w:r w:rsidRPr="001C4921">
        <w:rPr>
          <w:rFonts w:ascii="Arial" w:hAnsi="Arial" w:cs="Arial"/>
          <w:lang w:eastAsia="en-US"/>
        </w:rPr>
        <w:t xml:space="preserve"> &lt; .001; </w:t>
      </w:r>
      <w:r w:rsidRPr="001C4921">
        <w:rPr>
          <w:rFonts w:ascii="Arial" w:hAnsi="Arial" w:cs="Arial"/>
          <w:i/>
          <w:iCs/>
          <w:lang w:eastAsia="en-US"/>
        </w:rPr>
        <w:t xml:space="preserve">CFI </w:t>
      </w:r>
      <w:r w:rsidRPr="001C4921">
        <w:rPr>
          <w:rFonts w:ascii="Arial" w:hAnsi="Arial" w:cs="Arial"/>
          <w:lang w:eastAsia="en-US"/>
        </w:rPr>
        <w:t xml:space="preserve">= .950; </w:t>
      </w:r>
      <w:r w:rsidRPr="001C4921">
        <w:rPr>
          <w:rFonts w:ascii="Arial" w:hAnsi="Arial" w:cs="Arial"/>
          <w:i/>
          <w:iCs/>
          <w:lang w:eastAsia="en-US"/>
        </w:rPr>
        <w:t xml:space="preserve">RMSEA </w:t>
      </w:r>
      <w:r w:rsidRPr="001C4921">
        <w:rPr>
          <w:rFonts w:ascii="Arial" w:hAnsi="Arial" w:cs="Arial"/>
          <w:lang w:eastAsia="en-US"/>
        </w:rPr>
        <w:t xml:space="preserve">= .074 [.063 - .084], </w:t>
      </w:r>
      <w:r w:rsidRPr="001C4921">
        <w:rPr>
          <w:rFonts w:ascii="Arial" w:hAnsi="Arial" w:cs="Arial"/>
          <w:i/>
          <w:iCs/>
          <w:lang w:eastAsia="en-US"/>
        </w:rPr>
        <w:t>SRMR</w:t>
      </w:r>
      <w:r w:rsidRPr="001C4921">
        <w:rPr>
          <w:rFonts w:ascii="Arial" w:hAnsi="Arial" w:cs="Arial"/>
          <w:lang w:eastAsia="en-US"/>
        </w:rPr>
        <w:t xml:space="preserve"> = .046) (ver tabla 1). Las cargas factoriales se presentan en la tabla 2. Los ítems muestran cargas estadísticamente significativas (</w:t>
      </w:r>
      <w:r w:rsidRPr="001C4921">
        <w:rPr>
          <w:rFonts w:ascii="Arial" w:hAnsi="Arial" w:cs="Arial"/>
          <w:i/>
          <w:iCs/>
          <w:lang w:eastAsia="en-US"/>
        </w:rPr>
        <w:t>p</w:t>
      </w:r>
      <w:r w:rsidRPr="001C4921">
        <w:rPr>
          <w:rFonts w:ascii="Arial" w:hAnsi="Arial" w:cs="Arial"/>
          <w:lang w:eastAsia="en-US"/>
        </w:rPr>
        <w:t xml:space="preserve">&lt; .001). El rango de las cargas factoriales se encuentra entre .579 y .938, como puede apreciarse en la tabla 2. </w:t>
      </w:r>
      <w:proofErr w:type="gramStart"/>
      <w:r w:rsidRPr="001C4921">
        <w:rPr>
          <w:rFonts w:ascii="Arial" w:hAnsi="Arial" w:cs="Arial"/>
          <w:lang w:eastAsia="en-US"/>
        </w:rPr>
        <w:t>Los alfas</w:t>
      </w:r>
      <w:proofErr w:type="gramEnd"/>
      <w:r w:rsidRPr="001C4921">
        <w:rPr>
          <w:rFonts w:ascii="Arial" w:hAnsi="Arial" w:cs="Arial"/>
          <w:lang w:eastAsia="en-US"/>
        </w:rPr>
        <w:t xml:space="preserve"> de Cronbach resultantes para los cuatro factores son: SAD .85, SAS .88, SAE .91 y SACT .86.</w:t>
      </w:r>
    </w:p>
    <w:p w14:paraId="23FDBFEC" w14:textId="77777777" w:rsidR="001C4921" w:rsidRPr="001C4921" w:rsidRDefault="001C4921" w:rsidP="001C4921">
      <w:pPr>
        <w:spacing w:after="160" w:line="257" w:lineRule="auto"/>
        <w:jc w:val="both"/>
        <w:rPr>
          <w:rFonts w:ascii="Arial" w:hAnsi="Arial" w:cs="Arial"/>
          <w:b/>
          <w:bCs/>
          <w:lang w:eastAsia="en-US"/>
        </w:rPr>
      </w:pPr>
      <w:r w:rsidRPr="001C4921">
        <w:rPr>
          <w:rFonts w:ascii="Arial" w:hAnsi="Arial" w:cs="Arial"/>
          <w:b/>
          <w:bCs/>
          <w:lang w:eastAsia="en-US"/>
        </w:rPr>
        <w:t xml:space="preserve">Tabla 1 </w:t>
      </w:r>
    </w:p>
    <w:p w14:paraId="58B88BA9" w14:textId="77777777" w:rsidR="001C4921" w:rsidRPr="001C4921" w:rsidRDefault="001C4921" w:rsidP="001C4921">
      <w:pPr>
        <w:spacing w:after="160" w:line="360" w:lineRule="auto"/>
        <w:jc w:val="both"/>
        <w:rPr>
          <w:rFonts w:ascii="Arial" w:hAnsi="Arial" w:cs="Arial"/>
          <w:i/>
          <w:iCs/>
          <w:lang w:eastAsia="en-US"/>
        </w:rPr>
      </w:pPr>
      <w:r w:rsidRPr="001C4921">
        <w:rPr>
          <w:rFonts w:ascii="Arial" w:hAnsi="Arial" w:cs="Arial"/>
          <w:i/>
          <w:iCs/>
          <w:lang w:eastAsia="en-US"/>
        </w:rPr>
        <w:t>Índice de ajuste del modelo de AFC</w:t>
      </w:r>
    </w:p>
    <w:tbl>
      <w:tblPr>
        <w:tblStyle w:val="Tablaconcuadrcula1"/>
        <w:tblW w:w="0" w:type="auto"/>
        <w:tblLayout w:type="fixed"/>
        <w:tblLook w:val="04A0" w:firstRow="1" w:lastRow="0" w:firstColumn="1" w:lastColumn="0" w:noHBand="0" w:noVBand="1"/>
      </w:tblPr>
      <w:tblGrid>
        <w:gridCol w:w="1605"/>
        <w:gridCol w:w="976"/>
        <w:gridCol w:w="1113"/>
        <w:gridCol w:w="1127"/>
        <w:gridCol w:w="1113"/>
        <w:gridCol w:w="1142"/>
        <w:gridCol w:w="1142"/>
        <w:gridCol w:w="1142"/>
      </w:tblGrid>
      <w:tr w:rsidR="001C4921" w:rsidRPr="001C4921" w14:paraId="09BE23DA" w14:textId="77777777" w:rsidTr="00D00233">
        <w:trPr>
          <w:trHeight w:val="660"/>
        </w:trPr>
        <w:tc>
          <w:tcPr>
            <w:tcW w:w="1605" w:type="dxa"/>
            <w:tcBorders>
              <w:top w:val="single" w:sz="8" w:space="0" w:color="auto"/>
              <w:left w:val="nil"/>
              <w:bottom w:val="single" w:sz="8" w:space="0" w:color="auto"/>
              <w:right w:val="nil"/>
            </w:tcBorders>
            <w:tcMar>
              <w:left w:w="108" w:type="dxa"/>
              <w:right w:w="108" w:type="dxa"/>
            </w:tcMar>
            <w:vAlign w:val="center"/>
          </w:tcPr>
          <w:p w14:paraId="3AD2C4D0" w14:textId="77777777" w:rsidR="001C4921" w:rsidRPr="001C4921" w:rsidRDefault="001C4921" w:rsidP="001C4921">
            <w:pPr>
              <w:spacing w:line="360" w:lineRule="auto"/>
              <w:rPr>
                <w:rFonts w:ascii="Arial" w:hAnsi="Arial" w:cs="Arial"/>
                <w:lang w:eastAsia="en-US"/>
              </w:rPr>
            </w:pPr>
            <w:proofErr w:type="spellStart"/>
            <w:r w:rsidRPr="001C4921">
              <w:rPr>
                <w:rFonts w:ascii="Arial" w:hAnsi="Arial" w:cs="Arial"/>
                <w:lang w:eastAsia="en-US"/>
              </w:rPr>
              <w:t>Instrumento</w:t>
            </w:r>
            <w:proofErr w:type="spellEnd"/>
          </w:p>
        </w:tc>
        <w:tc>
          <w:tcPr>
            <w:tcW w:w="976" w:type="dxa"/>
            <w:tcBorders>
              <w:top w:val="single" w:sz="8" w:space="0" w:color="auto"/>
              <w:left w:val="nil"/>
              <w:bottom w:val="single" w:sz="8" w:space="0" w:color="auto"/>
              <w:right w:val="nil"/>
            </w:tcBorders>
            <w:tcMar>
              <w:left w:w="108" w:type="dxa"/>
              <w:right w:w="108" w:type="dxa"/>
            </w:tcMar>
            <w:vAlign w:val="center"/>
          </w:tcPr>
          <w:p w14:paraId="42D5210D" w14:textId="77777777" w:rsidR="001C4921" w:rsidRPr="001C4921" w:rsidRDefault="001C4921" w:rsidP="001C4921">
            <w:pPr>
              <w:spacing w:line="360" w:lineRule="auto"/>
              <w:rPr>
                <w:rFonts w:ascii="Arial" w:hAnsi="Arial" w:cs="Arial"/>
                <w:i/>
                <w:iCs/>
                <w:lang w:eastAsia="en-US"/>
              </w:rPr>
            </w:pPr>
            <w:r w:rsidRPr="001C4921">
              <w:rPr>
                <w:rFonts w:ascii="Arial" w:hAnsi="Arial" w:cs="Arial"/>
                <w:i/>
                <w:iCs/>
                <w:lang w:eastAsia="en-US"/>
              </w:rPr>
              <w:t>χ²</w:t>
            </w:r>
          </w:p>
        </w:tc>
        <w:tc>
          <w:tcPr>
            <w:tcW w:w="1113" w:type="dxa"/>
            <w:tcBorders>
              <w:top w:val="single" w:sz="8" w:space="0" w:color="auto"/>
              <w:left w:val="nil"/>
              <w:bottom w:val="single" w:sz="8" w:space="0" w:color="auto"/>
              <w:right w:val="nil"/>
            </w:tcBorders>
            <w:tcMar>
              <w:left w:w="108" w:type="dxa"/>
              <w:right w:w="108" w:type="dxa"/>
            </w:tcMar>
            <w:vAlign w:val="center"/>
          </w:tcPr>
          <w:p w14:paraId="0561C020" w14:textId="77777777" w:rsidR="001C4921" w:rsidRPr="001C4921" w:rsidRDefault="001C4921" w:rsidP="001C4921">
            <w:pPr>
              <w:spacing w:line="360" w:lineRule="auto"/>
              <w:rPr>
                <w:rFonts w:ascii="Arial" w:hAnsi="Arial" w:cs="Arial"/>
                <w:i/>
                <w:iCs/>
                <w:lang w:eastAsia="en-US"/>
              </w:rPr>
            </w:pPr>
            <w:proofErr w:type="spellStart"/>
            <w:r w:rsidRPr="001C4921">
              <w:rPr>
                <w:rFonts w:ascii="Arial" w:hAnsi="Arial" w:cs="Arial"/>
                <w:i/>
                <w:iCs/>
                <w:lang w:eastAsia="en-US"/>
              </w:rPr>
              <w:t>Gl</w:t>
            </w:r>
            <w:proofErr w:type="spellEnd"/>
          </w:p>
        </w:tc>
        <w:tc>
          <w:tcPr>
            <w:tcW w:w="1127" w:type="dxa"/>
            <w:tcBorders>
              <w:top w:val="single" w:sz="8" w:space="0" w:color="auto"/>
              <w:left w:val="nil"/>
              <w:bottom w:val="single" w:sz="8" w:space="0" w:color="auto"/>
              <w:right w:val="nil"/>
            </w:tcBorders>
            <w:tcMar>
              <w:left w:w="108" w:type="dxa"/>
              <w:right w:w="108" w:type="dxa"/>
            </w:tcMar>
            <w:vAlign w:val="center"/>
          </w:tcPr>
          <w:p w14:paraId="12143B48" w14:textId="77777777" w:rsidR="001C4921" w:rsidRPr="001C4921" w:rsidRDefault="001C4921" w:rsidP="001C4921">
            <w:pPr>
              <w:spacing w:line="360" w:lineRule="auto"/>
              <w:rPr>
                <w:rFonts w:ascii="Arial" w:hAnsi="Arial" w:cs="Arial"/>
                <w:i/>
                <w:iCs/>
                <w:lang w:eastAsia="en-US"/>
              </w:rPr>
            </w:pPr>
            <w:r w:rsidRPr="001C4921">
              <w:rPr>
                <w:rFonts w:ascii="Arial" w:hAnsi="Arial" w:cs="Arial"/>
                <w:i/>
                <w:iCs/>
                <w:lang w:eastAsia="en-US"/>
              </w:rPr>
              <w:t>P</w:t>
            </w:r>
          </w:p>
        </w:tc>
        <w:tc>
          <w:tcPr>
            <w:tcW w:w="1113" w:type="dxa"/>
            <w:tcBorders>
              <w:top w:val="single" w:sz="8" w:space="0" w:color="auto"/>
              <w:left w:val="nil"/>
              <w:bottom w:val="single" w:sz="8" w:space="0" w:color="auto"/>
              <w:right w:val="nil"/>
            </w:tcBorders>
            <w:tcMar>
              <w:left w:w="108" w:type="dxa"/>
              <w:right w:w="108" w:type="dxa"/>
            </w:tcMar>
            <w:vAlign w:val="center"/>
          </w:tcPr>
          <w:p w14:paraId="2D3300B7" w14:textId="77777777" w:rsidR="001C4921" w:rsidRPr="001C4921" w:rsidRDefault="001C4921" w:rsidP="001C4921">
            <w:pPr>
              <w:spacing w:line="360" w:lineRule="auto"/>
              <w:rPr>
                <w:rFonts w:ascii="Arial" w:hAnsi="Arial" w:cs="Arial"/>
                <w:i/>
                <w:iCs/>
                <w:lang w:eastAsia="en-US"/>
              </w:rPr>
            </w:pPr>
            <w:r w:rsidRPr="001C4921">
              <w:rPr>
                <w:rFonts w:ascii="Arial" w:hAnsi="Arial" w:cs="Arial"/>
                <w:i/>
                <w:iCs/>
                <w:lang w:eastAsia="en-US"/>
              </w:rPr>
              <w:t>CFI</w:t>
            </w:r>
          </w:p>
        </w:tc>
        <w:tc>
          <w:tcPr>
            <w:tcW w:w="1142" w:type="dxa"/>
            <w:tcBorders>
              <w:top w:val="single" w:sz="8" w:space="0" w:color="auto"/>
              <w:left w:val="nil"/>
              <w:bottom w:val="single" w:sz="8" w:space="0" w:color="auto"/>
              <w:right w:val="nil"/>
            </w:tcBorders>
            <w:tcMar>
              <w:left w:w="108" w:type="dxa"/>
              <w:right w:w="108" w:type="dxa"/>
            </w:tcMar>
            <w:vAlign w:val="center"/>
          </w:tcPr>
          <w:p w14:paraId="18AF31DE" w14:textId="77777777" w:rsidR="001C4921" w:rsidRPr="001C4921" w:rsidRDefault="001C4921" w:rsidP="001C4921">
            <w:pPr>
              <w:spacing w:line="360" w:lineRule="auto"/>
              <w:rPr>
                <w:rFonts w:ascii="Arial" w:hAnsi="Arial" w:cs="Arial"/>
                <w:i/>
                <w:iCs/>
                <w:lang w:eastAsia="en-US"/>
              </w:rPr>
            </w:pPr>
            <w:r w:rsidRPr="001C4921">
              <w:rPr>
                <w:rFonts w:ascii="Arial" w:hAnsi="Arial" w:cs="Arial"/>
                <w:i/>
                <w:iCs/>
                <w:lang w:eastAsia="en-US"/>
              </w:rPr>
              <w:t>SRMR</w:t>
            </w:r>
          </w:p>
        </w:tc>
        <w:tc>
          <w:tcPr>
            <w:tcW w:w="1142" w:type="dxa"/>
            <w:tcBorders>
              <w:top w:val="single" w:sz="8" w:space="0" w:color="auto"/>
              <w:left w:val="nil"/>
              <w:bottom w:val="single" w:sz="8" w:space="0" w:color="auto"/>
              <w:right w:val="nil"/>
            </w:tcBorders>
            <w:tcMar>
              <w:left w:w="108" w:type="dxa"/>
              <w:right w:w="108" w:type="dxa"/>
            </w:tcMar>
            <w:vAlign w:val="center"/>
          </w:tcPr>
          <w:p w14:paraId="1418CCC5" w14:textId="77777777" w:rsidR="001C4921" w:rsidRPr="001C4921" w:rsidRDefault="001C4921" w:rsidP="001C4921">
            <w:pPr>
              <w:rPr>
                <w:rFonts w:ascii="Arial" w:hAnsi="Arial" w:cs="Arial"/>
                <w:i/>
                <w:iCs/>
                <w:lang w:eastAsia="en-US"/>
              </w:rPr>
            </w:pPr>
            <w:r w:rsidRPr="001C4921">
              <w:rPr>
                <w:rFonts w:ascii="Arial" w:hAnsi="Arial" w:cs="Arial"/>
                <w:i/>
                <w:iCs/>
                <w:lang w:eastAsia="en-US"/>
              </w:rPr>
              <w:t>RMSEA</w:t>
            </w:r>
          </w:p>
        </w:tc>
        <w:tc>
          <w:tcPr>
            <w:tcW w:w="1142" w:type="dxa"/>
            <w:tcBorders>
              <w:top w:val="single" w:sz="8" w:space="0" w:color="auto"/>
              <w:left w:val="nil"/>
              <w:bottom w:val="single" w:sz="8" w:space="0" w:color="auto"/>
              <w:right w:val="nil"/>
            </w:tcBorders>
            <w:tcMar>
              <w:left w:w="108" w:type="dxa"/>
              <w:right w:w="108" w:type="dxa"/>
            </w:tcMar>
            <w:vAlign w:val="center"/>
          </w:tcPr>
          <w:p w14:paraId="1674611C" w14:textId="77777777" w:rsidR="001C4921" w:rsidRPr="001C4921" w:rsidRDefault="001C4921" w:rsidP="001C4921">
            <w:pPr>
              <w:rPr>
                <w:rFonts w:ascii="Arial" w:hAnsi="Arial" w:cs="Arial"/>
                <w:i/>
                <w:iCs/>
                <w:lang w:eastAsia="en-US"/>
              </w:rPr>
            </w:pPr>
            <w:r w:rsidRPr="001C4921">
              <w:rPr>
                <w:rFonts w:ascii="Arial" w:hAnsi="Arial" w:cs="Arial"/>
                <w:i/>
                <w:iCs/>
                <w:lang w:eastAsia="en-US"/>
              </w:rPr>
              <w:t>RMSEA IC 90%</w:t>
            </w:r>
          </w:p>
        </w:tc>
      </w:tr>
      <w:tr w:rsidR="001C4921" w:rsidRPr="001C4921" w14:paraId="01E6976B" w14:textId="77777777" w:rsidTr="00D00233">
        <w:trPr>
          <w:trHeight w:val="615"/>
        </w:trPr>
        <w:tc>
          <w:tcPr>
            <w:tcW w:w="1605" w:type="dxa"/>
            <w:tcBorders>
              <w:top w:val="single" w:sz="8" w:space="0" w:color="auto"/>
              <w:left w:val="nil"/>
              <w:bottom w:val="single" w:sz="8" w:space="0" w:color="auto"/>
              <w:right w:val="nil"/>
            </w:tcBorders>
            <w:tcMar>
              <w:left w:w="108" w:type="dxa"/>
              <w:right w:w="108" w:type="dxa"/>
            </w:tcMar>
            <w:vAlign w:val="center"/>
          </w:tcPr>
          <w:p w14:paraId="5E7209E8" w14:textId="77777777" w:rsidR="001C4921" w:rsidRPr="001C4921" w:rsidRDefault="001C4921" w:rsidP="001C4921">
            <w:pPr>
              <w:spacing w:line="360" w:lineRule="auto"/>
              <w:rPr>
                <w:rFonts w:ascii="Arial" w:hAnsi="Arial" w:cs="Arial"/>
                <w:lang w:eastAsia="en-US"/>
              </w:rPr>
            </w:pPr>
            <w:r w:rsidRPr="001C4921">
              <w:rPr>
                <w:rFonts w:ascii="Arial" w:hAnsi="Arial" w:cs="Arial"/>
                <w:lang w:eastAsia="en-US"/>
              </w:rPr>
              <w:t>DESIT-17</w:t>
            </w:r>
          </w:p>
        </w:tc>
        <w:tc>
          <w:tcPr>
            <w:tcW w:w="976" w:type="dxa"/>
            <w:tcBorders>
              <w:top w:val="single" w:sz="8" w:space="0" w:color="auto"/>
              <w:left w:val="nil"/>
              <w:bottom w:val="single" w:sz="8" w:space="0" w:color="auto"/>
              <w:right w:val="nil"/>
            </w:tcBorders>
            <w:tcMar>
              <w:left w:w="108" w:type="dxa"/>
              <w:right w:w="108" w:type="dxa"/>
            </w:tcMar>
            <w:vAlign w:val="center"/>
          </w:tcPr>
          <w:p w14:paraId="57F2ED76" w14:textId="77777777" w:rsidR="001C4921" w:rsidRPr="001C4921" w:rsidRDefault="001C4921" w:rsidP="001C4921">
            <w:pPr>
              <w:spacing w:line="360" w:lineRule="auto"/>
              <w:rPr>
                <w:rFonts w:ascii="Arial" w:hAnsi="Arial" w:cs="Arial"/>
                <w:lang w:eastAsia="en-US"/>
              </w:rPr>
            </w:pPr>
            <w:r w:rsidRPr="001C4921">
              <w:rPr>
                <w:rFonts w:ascii="Arial" w:hAnsi="Arial" w:cs="Arial"/>
                <w:lang w:eastAsia="en-US"/>
              </w:rPr>
              <w:t>285</w:t>
            </w:r>
          </w:p>
        </w:tc>
        <w:tc>
          <w:tcPr>
            <w:tcW w:w="1113" w:type="dxa"/>
            <w:tcBorders>
              <w:top w:val="single" w:sz="8" w:space="0" w:color="auto"/>
              <w:left w:val="nil"/>
              <w:bottom w:val="single" w:sz="8" w:space="0" w:color="auto"/>
              <w:right w:val="nil"/>
            </w:tcBorders>
            <w:tcMar>
              <w:left w:w="108" w:type="dxa"/>
              <w:right w:w="108" w:type="dxa"/>
            </w:tcMar>
            <w:vAlign w:val="center"/>
          </w:tcPr>
          <w:p w14:paraId="1D8C9C17" w14:textId="77777777" w:rsidR="001C4921" w:rsidRPr="001C4921" w:rsidRDefault="001C4921" w:rsidP="001C4921">
            <w:pPr>
              <w:spacing w:line="360" w:lineRule="auto"/>
              <w:rPr>
                <w:rFonts w:ascii="Arial" w:hAnsi="Arial" w:cs="Arial"/>
                <w:lang w:eastAsia="en-US"/>
              </w:rPr>
            </w:pPr>
            <w:r w:rsidRPr="001C4921">
              <w:rPr>
                <w:rFonts w:ascii="Arial" w:hAnsi="Arial" w:cs="Arial"/>
                <w:lang w:eastAsia="en-US"/>
              </w:rPr>
              <w:t>111</w:t>
            </w:r>
          </w:p>
        </w:tc>
        <w:tc>
          <w:tcPr>
            <w:tcW w:w="1127" w:type="dxa"/>
            <w:tcBorders>
              <w:top w:val="single" w:sz="8" w:space="0" w:color="auto"/>
              <w:left w:val="nil"/>
              <w:bottom w:val="single" w:sz="8" w:space="0" w:color="auto"/>
              <w:right w:val="nil"/>
            </w:tcBorders>
            <w:tcMar>
              <w:left w:w="108" w:type="dxa"/>
              <w:right w:w="108" w:type="dxa"/>
            </w:tcMar>
            <w:vAlign w:val="center"/>
          </w:tcPr>
          <w:p w14:paraId="364CD820" w14:textId="77777777" w:rsidR="001C4921" w:rsidRPr="001C4921" w:rsidRDefault="001C4921" w:rsidP="001C4921">
            <w:pPr>
              <w:spacing w:line="360" w:lineRule="auto"/>
              <w:rPr>
                <w:rFonts w:ascii="Arial" w:hAnsi="Arial" w:cs="Arial"/>
                <w:lang w:eastAsia="en-US"/>
              </w:rPr>
            </w:pPr>
            <w:r w:rsidRPr="001C4921">
              <w:rPr>
                <w:rFonts w:ascii="Arial" w:hAnsi="Arial" w:cs="Arial"/>
                <w:lang w:eastAsia="en-US"/>
              </w:rPr>
              <w:t>&lt; .001</w:t>
            </w:r>
          </w:p>
        </w:tc>
        <w:tc>
          <w:tcPr>
            <w:tcW w:w="1113" w:type="dxa"/>
            <w:tcBorders>
              <w:top w:val="single" w:sz="8" w:space="0" w:color="auto"/>
              <w:left w:val="nil"/>
              <w:bottom w:val="single" w:sz="8" w:space="0" w:color="auto"/>
              <w:right w:val="nil"/>
            </w:tcBorders>
            <w:tcMar>
              <w:left w:w="108" w:type="dxa"/>
              <w:right w:w="108" w:type="dxa"/>
            </w:tcMar>
            <w:vAlign w:val="center"/>
          </w:tcPr>
          <w:p w14:paraId="3D0C1F30" w14:textId="77777777" w:rsidR="001C4921" w:rsidRPr="001C4921" w:rsidRDefault="001C4921" w:rsidP="001C4921">
            <w:pPr>
              <w:spacing w:line="360" w:lineRule="auto"/>
              <w:rPr>
                <w:rFonts w:ascii="Arial" w:hAnsi="Arial" w:cs="Arial"/>
                <w:lang w:eastAsia="en-US"/>
              </w:rPr>
            </w:pPr>
            <w:r w:rsidRPr="001C4921">
              <w:rPr>
                <w:rFonts w:ascii="Arial" w:hAnsi="Arial" w:cs="Arial"/>
                <w:lang w:eastAsia="en-US"/>
              </w:rPr>
              <w:t>.950</w:t>
            </w:r>
          </w:p>
        </w:tc>
        <w:tc>
          <w:tcPr>
            <w:tcW w:w="1142" w:type="dxa"/>
            <w:tcBorders>
              <w:top w:val="single" w:sz="8" w:space="0" w:color="auto"/>
              <w:left w:val="nil"/>
              <w:bottom w:val="single" w:sz="8" w:space="0" w:color="auto"/>
              <w:right w:val="nil"/>
            </w:tcBorders>
            <w:tcMar>
              <w:left w:w="108" w:type="dxa"/>
              <w:right w:w="108" w:type="dxa"/>
            </w:tcMar>
            <w:vAlign w:val="center"/>
          </w:tcPr>
          <w:p w14:paraId="15154CEE" w14:textId="77777777" w:rsidR="001C4921" w:rsidRPr="001C4921" w:rsidRDefault="001C4921" w:rsidP="001C4921">
            <w:pPr>
              <w:spacing w:line="360" w:lineRule="auto"/>
              <w:rPr>
                <w:rFonts w:ascii="Arial" w:hAnsi="Arial" w:cs="Arial"/>
                <w:lang w:eastAsia="en-US"/>
              </w:rPr>
            </w:pPr>
            <w:r w:rsidRPr="001C4921">
              <w:rPr>
                <w:rFonts w:ascii="Arial" w:hAnsi="Arial" w:cs="Arial"/>
                <w:lang w:eastAsia="en-US"/>
              </w:rPr>
              <w:t>.046</w:t>
            </w:r>
          </w:p>
        </w:tc>
        <w:tc>
          <w:tcPr>
            <w:tcW w:w="1142" w:type="dxa"/>
            <w:tcBorders>
              <w:top w:val="single" w:sz="8" w:space="0" w:color="auto"/>
              <w:left w:val="nil"/>
              <w:bottom w:val="single" w:sz="8" w:space="0" w:color="auto"/>
              <w:right w:val="nil"/>
            </w:tcBorders>
            <w:tcMar>
              <w:left w:w="108" w:type="dxa"/>
              <w:right w:w="108" w:type="dxa"/>
            </w:tcMar>
            <w:vAlign w:val="center"/>
          </w:tcPr>
          <w:p w14:paraId="6D350DCA" w14:textId="77777777" w:rsidR="001C4921" w:rsidRPr="001C4921" w:rsidRDefault="001C4921" w:rsidP="001C4921">
            <w:pPr>
              <w:rPr>
                <w:rFonts w:ascii="Arial" w:hAnsi="Arial" w:cs="Arial"/>
                <w:lang w:eastAsia="en-US"/>
              </w:rPr>
            </w:pPr>
            <w:r w:rsidRPr="001C4921">
              <w:rPr>
                <w:rFonts w:ascii="Arial" w:hAnsi="Arial" w:cs="Arial"/>
                <w:lang w:eastAsia="en-US"/>
              </w:rPr>
              <w:t>.074</w:t>
            </w:r>
          </w:p>
        </w:tc>
        <w:tc>
          <w:tcPr>
            <w:tcW w:w="1142" w:type="dxa"/>
            <w:tcBorders>
              <w:top w:val="single" w:sz="8" w:space="0" w:color="auto"/>
              <w:left w:val="nil"/>
              <w:bottom w:val="single" w:sz="8" w:space="0" w:color="auto"/>
              <w:right w:val="nil"/>
            </w:tcBorders>
            <w:tcMar>
              <w:left w:w="108" w:type="dxa"/>
              <w:right w:w="108" w:type="dxa"/>
            </w:tcMar>
            <w:vAlign w:val="center"/>
          </w:tcPr>
          <w:p w14:paraId="275EFB97" w14:textId="77777777" w:rsidR="001C4921" w:rsidRPr="001C4921" w:rsidRDefault="001C4921" w:rsidP="001C4921">
            <w:pPr>
              <w:rPr>
                <w:rFonts w:ascii="Arial" w:hAnsi="Arial" w:cs="Arial"/>
                <w:lang w:eastAsia="en-US"/>
              </w:rPr>
            </w:pPr>
            <w:r w:rsidRPr="001C4921">
              <w:rPr>
                <w:rFonts w:ascii="Arial" w:hAnsi="Arial" w:cs="Arial"/>
                <w:lang w:eastAsia="en-US"/>
              </w:rPr>
              <w:t>.063- .084</w:t>
            </w:r>
          </w:p>
        </w:tc>
      </w:tr>
    </w:tbl>
    <w:p w14:paraId="253B4199" w14:textId="77777777" w:rsidR="001C4921" w:rsidRPr="001C4921" w:rsidRDefault="001C4921" w:rsidP="001C4921">
      <w:pPr>
        <w:spacing w:after="160" w:line="257" w:lineRule="auto"/>
        <w:jc w:val="both"/>
        <w:rPr>
          <w:rFonts w:ascii="Arial" w:hAnsi="Arial" w:cs="Arial"/>
          <w:b/>
          <w:bCs/>
          <w:lang w:eastAsia="en-US"/>
        </w:rPr>
      </w:pPr>
      <w:r w:rsidRPr="001C4921">
        <w:rPr>
          <w:rFonts w:ascii="Arial" w:hAnsi="Arial" w:cs="Arial"/>
          <w:b/>
          <w:bCs/>
          <w:lang w:eastAsia="en-US"/>
        </w:rPr>
        <w:lastRenderedPageBreak/>
        <w:t>Tabla 2</w:t>
      </w:r>
    </w:p>
    <w:p w14:paraId="6D504D4E" w14:textId="77777777" w:rsidR="001C4921" w:rsidRPr="001C4921" w:rsidRDefault="001C4921" w:rsidP="001C4921">
      <w:pPr>
        <w:spacing w:after="160" w:line="257" w:lineRule="auto"/>
        <w:jc w:val="both"/>
        <w:rPr>
          <w:rFonts w:ascii="Arial" w:hAnsi="Arial" w:cs="Arial"/>
          <w:i/>
          <w:iCs/>
          <w:lang w:eastAsia="en-US"/>
        </w:rPr>
      </w:pPr>
      <w:r w:rsidRPr="001C4921">
        <w:rPr>
          <w:rFonts w:ascii="Arial" w:hAnsi="Arial" w:cs="Arial"/>
          <w:i/>
          <w:iCs/>
          <w:lang w:eastAsia="en-US"/>
        </w:rPr>
        <w:t>Reactivos y cargas factoriales estandarizadas para el DESIT-17</w:t>
      </w:r>
    </w:p>
    <w:tbl>
      <w:tblPr>
        <w:tblW w:w="0" w:type="auto"/>
        <w:tblLayout w:type="fixed"/>
        <w:tblLook w:val="06A0" w:firstRow="1" w:lastRow="0" w:firstColumn="1" w:lastColumn="0" w:noHBand="1" w:noVBand="1"/>
      </w:tblPr>
      <w:tblGrid>
        <w:gridCol w:w="720"/>
        <w:gridCol w:w="7560"/>
        <w:gridCol w:w="1080"/>
      </w:tblGrid>
      <w:tr w:rsidR="001C4921" w:rsidRPr="001C4921" w14:paraId="552D6A7B" w14:textId="77777777" w:rsidTr="00D00233">
        <w:trPr>
          <w:trHeight w:val="300"/>
        </w:trPr>
        <w:tc>
          <w:tcPr>
            <w:tcW w:w="720" w:type="dxa"/>
            <w:tcBorders>
              <w:top w:val="single" w:sz="8" w:space="0" w:color="auto"/>
              <w:left w:val="nil"/>
              <w:bottom w:val="single" w:sz="8" w:space="0" w:color="auto"/>
              <w:right w:val="nil"/>
            </w:tcBorders>
            <w:tcMar>
              <w:top w:w="120" w:type="dxa"/>
              <w:left w:w="120" w:type="dxa"/>
              <w:bottom w:w="30" w:type="dxa"/>
              <w:right w:w="108" w:type="dxa"/>
            </w:tcMar>
            <w:vAlign w:val="center"/>
          </w:tcPr>
          <w:p w14:paraId="3CB28CCE"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Borders>
              <w:top w:val="single" w:sz="8" w:space="0" w:color="auto"/>
              <w:left w:val="nil"/>
              <w:bottom w:val="single" w:sz="8" w:space="0" w:color="auto"/>
              <w:right w:val="nil"/>
            </w:tcBorders>
            <w:tcMar>
              <w:top w:w="120" w:type="dxa"/>
              <w:left w:w="120" w:type="dxa"/>
              <w:bottom w:w="30" w:type="dxa"/>
              <w:right w:w="108" w:type="dxa"/>
            </w:tcMar>
            <w:vAlign w:val="center"/>
          </w:tcPr>
          <w:p w14:paraId="28D08671" w14:textId="77777777" w:rsidR="001C4921" w:rsidRPr="001C4921" w:rsidRDefault="001C4921" w:rsidP="001C4921">
            <w:pPr>
              <w:spacing w:line="257" w:lineRule="auto"/>
              <w:jc w:val="both"/>
              <w:rPr>
                <w:rFonts w:ascii="Arial" w:hAnsi="Arial" w:cs="Arial"/>
                <w:lang w:eastAsia="en-US"/>
              </w:rPr>
            </w:pPr>
            <w:r w:rsidRPr="001C4921">
              <w:rPr>
                <w:rFonts w:ascii="Arial" w:hAnsi="Arial" w:cs="Arial"/>
                <w:lang w:eastAsia="en-US"/>
              </w:rPr>
              <w:t>Ítem</w:t>
            </w:r>
          </w:p>
        </w:tc>
        <w:tc>
          <w:tcPr>
            <w:tcW w:w="1080" w:type="dxa"/>
            <w:tcBorders>
              <w:top w:val="single" w:sz="8" w:space="0" w:color="auto"/>
              <w:left w:val="nil"/>
              <w:bottom w:val="single" w:sz="8" w:space="0" w:color="auto"/>
              <w:right w:val="nil"/>
            </w:tcBorders>
            <w:tcMar>
              <w:top w:w="120" w:type="dxa"/>
              <w:left w:w="120" w:type="dxa"/>
              <w:bottom w:w="30" w:type="dxa"/>
              <w:right w:w="108" w:type="dxa"/>
            </w:tcMar>
            <w:vAlign w:val="center"/>
          </w:tcPr>
          <w:p w14:paraId="62C25B17" w14:textId="77777777" w:rsidR="001C4921" w:rsidRPr="001C4921" w:rsidRDefault="001C4921" w:rsidP="001C4921">
            <w:pPr>
              <w:spacing w:line="257" w:lineRule="auto"/>
              <w:jc w:val="right"/>
              <w:rPr>
                <w:rFonts w:ascii="Arial" w:hAnsi="Arial" w:cs="Arial"/>
                <w:i/>
                <w:iCs/>
                <w:lang w:eastAsia="en-US"/>
              </w:rPr>
            </w:pPr>
            <w:r w:rsidRPr="001C4921">
              <w:rPr>
                <w:rFonts w:ascii="Arial" w:hAnsi="Arial" w:cs="Arial"/>
                <w:i/>
                <w:iCs/>
                <w:lang w:eastAsia="en-US"/>
              </w:rPr>
              <w:t xml:space="preserve">    β</w:t>
            </w:r>
            <w:r w:rsidRPr="001C4921">
              <w:rPr>
                <w:rFonts w:ascii="Arial" w:hAnsi="Arial" w:cs="Arial"/>
                <w:lang w:eastAsia="en-US"/>
              </w:rPr>
              <w:t>/</w:t>
            </w:r>
            <w:r w:rsidRPr="001C4921">
              <w:rPr>
                <w:rFonts w:ascii="Arial" w:hAnsi="Arial" w:cs="Arial"/>
                <w:i/>
                <w:iCs/>
                <w:lang w:eastAsia="en-US"/>
              </w:rPr>
              <w:t>R2</w:t>
            </w:r>
          </w:p>
        </w:tc>
      </w:tr>
      <w:tr w:rsidR="001C4921" w:rsidRPr="001C4921" w14:paraId="61787FCB" w14:textId="77777777" w:rsidTr="00D00233">
        <w:trPr>
          <w:trHeight w:val="300"/>
        </w:trPr>
        <w:tc>
          <w:tcPr>
            <w:tcW w:w="720" w:type="dxa"/>
            <w:tcBorders>
              <w:top w:val="single" w:sz="8" w:space="0" w:color="auto"/>
              <w:left w:val="nil"/>
              <w:bottom w:val="nil"/>
              <w:right w:val="nil"/>
            </w:tcBorders>
            <w:tcMar>
              <w:top w:w="120" w:type="dxa"/>
              <w:left w:w="120" w:type="dxa"/>
              <w:bottom w:w="30" w:type="dxa"/>
              <w:right w:w="108" w:type="dxa"/>
            </w:tcMar>
            <w:vAlign w:val="center"/>
          </w:tcPr>
          <w:p w14:paraId="4A5AC474"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SAD</w:t>
            </w:r>
          </w:p>
        </w:tc>
        <w:tc>
          <w:tcPr>
            <w:tcW w:w="7560" w:type="dxa"/>
            <w:tcBorders>
              <w:top w:val="single" w:sz="8" w:space="0" w:color="auto"/>
              <w:left w:val="nil"/>
              <w:bottom w:val="nil"/>
              <w:right w:val="nil"/>
            </w:tcBorders>
            <w:tcMar>
              <w:top w:w="120" w:type="dxa"/>
              <w:left w:w="120" w:type="dxa"/>
              <w:bottom w:w="30" w:type="dxa"/>
              <w:right w:w="108" w:type="dxa"/>
            </w:tcMar>
            <w:vAlign w:val="center"/>
          </w:tcPr>
          <w:p w14:paraId="172F72D4"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El horario establecido para la consulta se adecúa a sus posibilidades (VE2)</w:t>
            </w:r>
          </w:p>
        </w:tc>
        <w:tc>
          <w:tcPr>
            <w:tcW w:w="1080" w:type="dxa"/>
            <w:tcBorders>
              <w:top w:val="single" w:sz="8" w:space="0" w:color="auto"/>
              <w:left w:val="nil"/>
              <w:bottom w:val="nil"/>
              <w:right w:val="nil"/>
            </w:tcBorders>
            <w:tcMar>
              <w:top w:w="120" w:type="dxa"/>
              <w:left w:w="120" w:type="dxa"/>
              <w:bottom w:w="30" w:type="dxa"/>
              <w:right w:w="108" w:type="dxa"/>
            </w:tcMar>
            <w:vAlign w:val="center"/>
          </w:tcPr>
          <w:p w14:paraId="1254FCF2"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.619/.697</w:t>
            </w:r>
          </w:p>
        </w:tc>
      </w:tr>
      <w:tr w:rsidR="001C4921" w:rsidRPr="001C4921" w14:paraId="70EC6DA0" w14:textId="77777777" w:rsidTr="00D00233">
        <w:trPr>
          <w:trHeight w:val="300"/>
        </w:trPr>
        <w:tc>
          <w:tcPr>
            <w:tcW w:w="720" w:type="dxa"/>
            <w:tcMar>
              <w:top w:w="30" w:type="dxa"/>
              <w:left w:w="120" w:type="dxa"/>
              <w:bottom w:w="30" w:type="dxa"/>
              <w:right w:w="108" w:type="dxa"/>
            </w:tcMar>
            <w:vAlign w:val="center"/>
          </w:tcPr>
          <w:p w14:paraId="66CB6B35"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24DCAFA4"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El trato que recibe por parte de los profesores es respetuoso (VE4)</w:t>
            </w:r>
          </w:p>
        </w:tc>
        <w:tc>
          <w:tcPr>
            <w:tcW w:w="1080" w:type="dxa"/>
            <w:tcMar>
              <w:top w:w="30" w:type="dxa"/>
              <w:left w:w="120" w:type="dxa"/>
              <w:bottom w:w="30" w:type="dxa"/>
              <w:right w:w="108" w:type="dxa"/>
            </w:tcMar>
            <w:vAlign w:val="center"/>
          </w:tcPr>
          <w:p w14:paraId="414AE2D2"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.579/.535</w:t>
            </w:r>
          </w:p>
        </w:tc>
      </w:tr>
      <w:tr w:rsidR="001C4921" w:rsidRPr="001C4921" w14:paraId="7E9783F2" w14:textId="77777777" w:rsidTr="00D00233">
        <w:trPr>
          <w:trHeight w:val="300"/>
        </w:trPr>
        <w:tc>
          <w:tcPr>
            <w:tcW w:w="720" w:type="dxa"/>
            <w:tcMar>
              <w:top w:w="30" w:type="dxa"/>
              <w:left w:w="120" w:type="dxa"/>
              <w:bottom w:w="30" w:type="dxa"/>
              <w:right w:w="108" w:type="dxa"/>
            </w:tcMar>
            <w:vAlign w:val="center"/>
          </w:tcPr>
          <w:p w14:paraId="39367D13"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7A6915BE"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El docente muestra una buena disponibilidad (VE3)</w:t>
            </w:r>
          </w:p>
        </w:tc>
        <w:tc>
          <w:tcPr>
            <w:tcW w:w="1080" w:type="dxa"/>
            <w:tcMar>
              <w:top w:w="30" w:type="dxa"/>
              <w:left w:w="120" w:type="dxa"/>
              <w:bottom w:w="30" w:type="dxa"/>
              <w:right w:w="108" w:type="dxa"/>
            </w:tcMar>
            <w:vAlign w:val="center"/>
          </w:tcPr>
          <w:p w14:paraId="2C74240B"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.819/.747</w:t>
            </w:r>
          </w:p>
        </w:tc>
      </w:tr>
      <w:tr w:rsidR="001C4921" w:rsidRPr="001C4921" w14:paraId="4BA993F6" w14:textId="77777777" w:rsidTr="00D00233">
        <w:trPr>
          <w:trHeight w:val="300"/>
        </w:trPr>
        <w:tc>
          <w:tcPr>
            <w:tcW w:w="720" w:type="dxa"/>
            <w:tcMar>
              <w:top w:w="30" w:type="dxa"/>
              <w:left w:w="120" w:type="dxa"/>
              <w:bottom w:w="30" w:type="dxa"/>
              <w:right w:w="108" w:type="dxa"/>
            </w:tcMar>
            <w:vAlign w:val="center"/>
          </w:tcPr>
          <w:p w14:paraId="15ADE5D6"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4B56ED3A"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El apoyo recibido por parte del profesor(a) le es útil (VE6)</w:t>
            </w:r>
          </w:p>
        </w:tc>
        <w:tc>
          <w:tcPr>
            <w:tcW w:w="1080" w:type="dxa"/>
            <w:tcMar>
              <w:top w:w="30" w:type="dxa"/>
              <w:left w:w="120" w:type="dxa"/>
              <w:bottom w:w="30" w:type="dxa"/>
              <w:right w:w="108" w:type="dxa"/>
            </w:tcMar>
            <w:vAlign w:val="center"/>
          </w:tcPr>
          <w:p w14:paraId="60D7A388"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.865/.826</w:t>
            </w:r>
          </w:p>
        </w:tc>
      </w:tr>
      <w:tr w:rsidR="001C4921" w:rsidRPr="001C4921" w14:paraId="08BC812F" w14:textId="77777777" w:rsidTr="00D00233">
        <w:trPr>
          <w:trHeight w:val="300"/>
        </w:trPr>
        <w:tc>
          <w:tcPr>
            <w:tcW w:w="720" w:type="dxa"/>
            <w:tcMar>
              <w:top w:w="30" w:type="dxa"/>
              <w:left w:w="120" w:type="dxa"/>
              <w:bottom w:w="30" w:type="dxa"/>
              <w:right w:w="108" w:type="dxa"/>
            </w:tcMar>
            <w:vAlign w:val="center"/>
          </w:tcPr>
          <w:p w14:paraId="439E325D"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26FEE624"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El docente le presta suficiente atención (VE5)</w:t>
            </w:r>
          </w:p>
        </w:tc>
        <w:tc>
          <w:tcPr>
            <w:tcW w:w="1080" w:type="dxa"/>
            <w:tcMar>
              <w:top w:w="30" w:type="dxa"/>
              <w:left w:w="120" w:type="dxa"/>
              <w:bottom w:w="30" w:type="dxa"/>
              <w:right w:w="108" w:type="dxa"/>
            </w:tcMar>
            <w:vAlign w:val="center"/>
          </w:tcPr>
          <w:p w14:paraId="1BCFAA14"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.829/.753</w:t>
            </w:r>
          </w:p>
        </w:tc>
      </w:tr>
      <w:tr w:rsidR="001C4921" w:rsidRPr="001C4921" w14:paraId="2833B712" w14:textId="77777777" w:rsidTr="00D00233">
        <w:trPr>
          <w:trHeight w:val="300"/>
        </w:trPr>
        <w:tc>
          <w:tcPr>
            <w:tcW w:w="720" w:type="dxa"/>
            <w:tcMar>
              <w:top w:w="120" w:type="dxa"/>
              <w:left w:w="120" w:type="dxa"/>
              <w:bottom w:w="30" w:type="dxa"/>
              <w:right w:w="108" w:type="dxa"/>
            </w:tcMar>
            <w:vAlign w:val="center"/>
          </w:tcPr>
          <w:p w14:paraId="42B4993A"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SAE</w:t>
            </w:r>
          </w:p>
        </w:tc>
        <w:tc>
          <w:tcPr>
            <w:tcW w:w="7560" w:type="dxa"/>
            <w:tcMar>
              <w:top w:w="120" w:type="dxa"/>
              <w:left w:w="120" w:type="dxa"/>
              <w:bottom w:w="30" w:type="dxa"/>
              <w:right w:w="108" w:type="dxa"/>
            </w:tcMar>
            <w:vAlign w:val="center"/>
          </w:tcPr>
          <w:p w14:paraId="256725E8"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 xml:space="preserve">La carrera cuenta con equipo multimedia (pantallas, </w:t>
            </w:r>
            <w:r w:rsidRPr="001C4921">
              <w:rPr>
                <w:rFonts w:ascii="Arial" w:hAnsi="Arial" w:cs="Arial"/>
                <w:i/>
                <w:sz w:val="20"/>
                <w:szCs w:val="20"/>
                <w:lang w:eastAsia="en-US"/>
              </w:rPr>
              <w:t xml:space="preserve">video </w:t>
            </w:r>
            <w:proofErr w:type="spellStart"/>
            <w:r w:rsidRPr="001C4921">
              <w:rPr>
                <w:rFonts w:ascii="Arial" w:hAnsi="Arial" w:cs="Arial"/>
                <w:i/>
                <w:sz w:val="20"/>
                <w:szCs w:val="20"/>
                <w:lang w:eastAsia="en-US"/>
              </w:rPr>
              <w:t>beam</w:t>
            </w:r>
            <w:proofErr w:type="spellEnd"/>
            <w:r w:rsidRPr="001C4921">
              <w:rPr>
                <w:rFonts w:ascii="Arial" w:hAnsi="Arial" w:cs="Arial"/>
                <w:sz w:val="20"/>
                <w:szCs w:val="20"/>
                <w:lang w:eastAsia="en-US"/>
              </w:rPr>
              <w:t xml:space="preserve">, </w:t>
            </w:r>
            <w:proofErr w:type="spellStart"/>
            <w:r w:rsidRPr="001C4921">
              <w:rPr>
                <w:rFonts w:ascii="Arial" w:hAnsi="Arial" w:cs="Arial"/>
                <w:i/>
                <w:sz w:val="20"/>
                <w:szCs w:val="20"/>
                <w:lang w:eastAsia="en-US"/>
              </w:rPr>
              <w:t>tablets</w:t>
            </w:r>
            <w:proofErr w:type="spellEnd"/>
            <w:r w:rsidRPr="001C4921">
              <w:rPr>
                <w:rFonts w:ascii="Arial" w:hAnsi="Arial" w:cs="Arial"/>
                <w:sz w:val="20"/>
                <w:szCs w:val="20"/>
                <w:lang w:eastAsia="en-US"/>
              </w:rPr>
              <w:t>) en buen estado físico (M18)</w:t>
            </w:r>
          </w:p>
        </w:tc>
        <w:tc>
          <w:tcPr>
            <w:tcW w:w="1080" w:type="dxa"/>
            <w:tcMar>
              <w:top w:w="120" w:type="dxa"/>
              <w:left w:w="120" w:type="dxa"/>
              <w:bottom w:w="30" w:type="dxa"/>
              <w:right w:w="108" w:type="dxa"/>
            </w:tcMar>
            <w:vAlign w:val="center"/>
          </w:tcPr>
          <w:p w14:paraId="0125F4F9"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.852/.707</w:t>
            </w:r>
          </w:p>
        </w:tc>
      </w:tr>
      <w:tr w:rsidR="001C4921" w:rsidRPr="001C4921" w14:paraId="72957082" w14:textId="77777777" w:rsidTr="00D00233">
        <w:trPr>
          <w:trHeight w:val="300"/>
        </w:trPr>
        <w:tc>
          <w:tcPr>
            <w:tcW w:w="720" w:type="dxa"/>
            <w:tcMar>
              <w:top w:w="30" w:type="dxa"/>
              <w:left w:w="120" w:type="dxa"/>
              <w:bottom w:w="30" w:type="dxa"/>
              <w:right w:w="108" w:type="dxa"/>
            </w:tcMar>
            <w:vAlign w:val="center"/>
          </w:tcPr>
          <w:p w14:paraId="6302F35F"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033F73F2"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 xml:space="preserve">La carrera cuenta con una disponibilidad adecuada de equipo multimedia (pantallas, </w:t>
            </w:r>
            <w:r w:rsidRPr="001C4921">
              <w:rPr>
                <w:rFonts w:ascii="Arial" w:hAnsi="Arial" w:cs="Arial"/>
                <w:i/>
                <w:sz w:val="20"/>
                <w:szCs w:val="20"/>
                <w:lang w:eastAsia="en-US"/>
              </w:rPr>
              <w:t xml:space="preserve">video </w:t>
            </w:r>
            <w:proofErr w:type="spellStart"/>
            <w:r w:rsidRPr="001C4921">
              <w:rPr>
                <w:rFonts w:ascii="Arial" w:hAnsi="Arial" w:cs="Arial"/>
                <w:i/>
                <w:sz w:val="20"/>
                <w:szCs w:val="20"/>
                <w:lang w:eastAsia="en-US"/>
              </w:rPr>
              <w:t>beam</w:t>
            </w:r>
            <w:proofErr w:type="spellEnd"/>
            <w:r w:rsidRPr="001C4921">
              <w:rPr>
                <w:rFonts w:ascii="Arial" w:hAnsi="Arial" w:cs="Arial"/>
                <w:sz w:val="20"/>
                <w:szCs w:val="20"/>
                <w:lang w:eastAsia="en-US"/>
              </w:rPr>
              <w:t xml:space="preserve">, </w:t>
            </w:r>
            <w:proofErr w:type="spellStart"/>
            <w:r w:rsidRPr="001C4921">
              <w:rPr>
                <w:rFonts w:ascii="Arial" w:hAnsi="Arial" w:cs="Arial"/>
                <w:i/>
                <w:sz w:val="20"/>
                <w:szCs w:val="20"/>
                <w:lang w:eastAsia="en-US"/>
              </w:rPr>
              <w:t>tablets</w:t>
            </w:r>
            <w:proofErr w:type="spellEnd"/>
            <w:r w:rsidRPr="001C4921">
              <w:rPr>
                <w:rFonts w:ascii="Arial" w:hAnsi="Arial" w:cs="Arial"/>
                <w:sz w:val="20"/>
                <w:szCs w:val="20"/>
                <w:lang w:eastAsia="en-US"/>
              </w:rPr>
              <w:t>) (M16)</w:t>
            </w:r>
          </w:p>
        </w:tc>
        <w:tc>
          <w:tcPr>
            <w:tcW w:w="1080" w:type="dxa"/>
            <w:tcMar>
              <w:top w:w="30" w:type="dxa"/>
              <w:left w:w="120" w:type="dxa"/>
              <w:bottom w:w="30" w:type="dxa"/>
              <w:right w:w="108" w:type="dxa"/>
            </w:tcMar>
            <w:vAlign w:val="center"/>
          </w:tcPr>
          <w:p w14:paraId="344FC06A"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.938/.808</w:t>
            </w:r>
          </w:p>
        </w:tc>
      </w:tr>
      <w:tr w:rsidR="001C4921" w:rsidRPr="001C4921" w14:paraId="2C8C4E33" w14:textId="77777777" w:rsidTr="00D00233">
        <w:trPr>
          <w:trHeight w:val="300"/>
        </w:trPr>
        <w:tc>
          <w:tcPr>
            <w:tcW w:w="720" w:type="dxa"/>
            <w:tcMar>
              <w:top w:w="30" w:type="dxa"/>
              <w:left w:w="120" w:type="dxa"/>
              <w:bottom w:w="30" w:type="dxa"/>
              <w:right w:w="108" w:type="dxa"/>
            </w:tcMar>
            <w:vAlign w:val="center"/>
          </w:tcPr>
          <w:p w14:paraId="6A0A1F70"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21650167"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 xml:space="preserve">La carrera cuenta con equipo multimedia (pantallas, </w:t>
            </w:r>
            <w:r w:rsidRPr="001C4921">
              <w:rPr>
                <w:rFonts w:ascii="Arial" w:hAnsi="Arial" w:cs="Arial"/>
                <w:i/>
                <w:sz w:val="20"/>
                <w:szCs w:val="20"/>
                <w:lang w:eastAsia="en-US"/>
              </w:rPr>
              <w:t xml:space="preserve">video </w:t>
            </w:r>
            <w:proofErr w:type="spellStart"/>
            <w:r w:rsidRPr="001C4921">
              <w:rPr>
                <w:rFonts w:ascii="Arial" w:hAnsi="Arial" w:cs="Arial"/>
                <w:i/>
                <w:sz w:val="20"/>
                <w:szCs w:val="20"/>
                <w:lang w:eastAsia="en-US"/>
              </w:rPr>
              <w:t>beam</w:t>
            </w:r>
            <w:proofErr w:type="spellEnd"/>
            <w:r w:rsidRPr="001C4921">
              <w:rPr>
                <w:rFonts w:ascii="Arial" w:hAnsi="Arial" w:cs="Arial"/>
                <w:sz w:val="20"/>
                <w:szCs w:val="20"/>
                <w:lang w:eastAsia="en-US"/>
              </w:rPr>
              <w:t xml:space="preserve">, </w:t>
            </w:r>
            <w:proofErr w:type="spellStart"/>
            <w:r w:rsidRPr="001C4921">
              <w:rPr>
                <w:rFonts w:ascii="Arial" w:hAnsi="Arial" w:cs="Arial"/>
                <w:i/>
                <w:sz w:val="20"/>
                <w:szCs w:val="20"/>
                <w:lang w:eastAsia="en-US"/>
              </w:rPr>
              <w:t>tablets</w:t>
            </w:r>
            <w:proofErr w:type="spellEnd"/>
            <w:r w:rsidRPr="001C4921">
              <w:rPr>
                <w:rFonts w:ascii="Arial" w:hAnsi="Arial" w:cs="Arial"/>
                <w:sz w:val="20"/>
                <w:szCs w:val="20"/>
                <w:lang w:eastAsia="en-US"/>
              </w:rPr>
              <w:t>) actualizado (M17)</w:t>
            </w:r>
          </w:p>
        </w:tc>
        <w:tc>
          <w:tcPr>
            <w:tcW w:w="1080" w:type="dxa"/>
            <w:tcMar>
              <w:top w:w="30" w:type="dxa"/>
              <w:left w:w="120" w:type="dxa"/>
              <w:bottom w:w="30" w:type="dxa"/>
              <w:right w:w="108" w:type="dxa"/>
            </w:tcMar>
            <w:vAlign w:val="center"/>
          </w:tcPr>
          <w:p w14:paraId="3AF38D9B"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.936/.819</w:t>
            </w:r>
          </w:p>
        </w:tc>
      </w:tr>
      <w:tr w:rsidR="001C4921" w:rsidRPr="001C4921" w14:paraId="16755BE4" w14:textId="77777777" w:rsidTr="00D00233">
        <w:trPr>
          <w:trHeight w:val="300"/>
        </w:trPr>
        <w:tc>
          <w:tcPr>
            <w:tcW w:w="720" w:type="dxa"/>
            <w:tcMar>
              <w:top w:w="120" w:type="dxa"/>
              <w:left w:w="120" w:type="dxa"/>
              <w:bottom w:w="30" w:type="dxa"/>
              <w:right w:w="108" w:type="dxa"/>
            </w:tcMar>
            <w:vAlign w:val="center"/>
          </w:tcPr>
          <w:p w14:paraId="1DA0BAAB"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SAS</w:t>
            </w:r>
          </w:p>
        </w:tc>
        <w:tc>
          <w:tcPr>
            <w:tcW w:w="7560" w:type="dxa"/>
            <w:tcMar>
              <w:top w:w="120" w:type="dxa"/>
              <w:left w:w="120" w:type="dxa"/>
              <w:bottom w:w="30" w:type="dxa"/>
              <w:right w:w="108" w:type="dxa"/>
            </w:tcMar>
            <w:vAlign w:val="center"/>
          </w:tcPr>
          <w:p w14:paraId="3A25F82E"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Me encuentro satisfecho(a) con la calidad de los servicios que dispone la universidad para sus estudiantes (VE18)</w:t>
            </w:r>
          </w:p>
        </w:tc>
        <w:tc>
          <w:tcPr>
            <w:tcW w:w="1080" w:type="dxa"/>
            <w:tcMar>
              <w:top w:w="120" w:type="dxa"/>
              <w:left w:w="120" w:type="dxa"/>
              <w:bottom w:w="30" w:type="dxa"/>
              <w:right w:w="108" w:type="dxa"/>
            </w:tcMar>
            <w:vAlign w:val="center"/>
          </w:tcPr>
          <w:p w14:paraId="5DAED02E"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787/.948</w:t>
            </w:r>
          </w:p>
        </w:tc>
      </w:tr>
      <w:tr w:rsidR="001C4921" w:rsidRPr="001C4921" w14:paraId="14A9EA7F" w14:textId="77777777" w:rsidTr="00D00233">
        <w:trPr>
          <w:trHeight w:val="300"/>
        </w:trPr>
        <w:tc>
          <w:tcPr>
            <w:tcW w:w="720" w:type="dxa"/>
            <w:tcMar>
              <w:top w:w="30" w:type="dxa"/>
              <w:left w:w="120" w:type="dxa"/>
              <w:bottom w:w="30" w:type="dxa"/>
              <w:right w:w="108" w:type="dxa"/>
            </w:tcMar>
            <w:vAlign w:val="center"/>
          </w:tcPr>
          <w:p w14:paraId="2F52F1E0"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1C15F31F"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Me encuentro satisfecho(a) con el proceso de formación (VE15)</w:t>
            </w:r>
          </w:p>
        </w:tc>
        <w:tc>
          <w:tcPr>
            <w:tcW w:w="1080" w:type="dxa"/>
            <w:tcMar>
              <w:top w:w="30" w:type="dxa"/>
              <w:left w:w="120" w:type="dxa"/>
              <w:bottom w:w="30" w:type="dxa"/>
              <w:right w:w="108" w:type="dxa"/>
            </w:tcMar>
            <w:vAlign w:val="center"/>
          </w:tcPr>
          <w:p w14:paraId="111CB073"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.869.810</w:t>
            </w:r>
          </w:p>
        </w:tc>
      </w:tr>
      <w:tr w:rsidR="001C4921" w:rsidRPr="001C4921" w14:paraId="5AB4EB43" w14:textId="77777777" w:rsidTr="00D00233">
        <w:trPr>
          <w:trHeight w:val="300"/>
        </w:trPr>
        <w:tc>
          <w:tcPr>
            <w:tcW w:w="720" w:type="dxa"/>
            <w:tcMar>
              <w:top w:w="30" w:type="dxa"/>
              <w:left w:w="120" w:type="dxa"/>
              <w:bottom w:w="30" w:type="dxa"/>
              <w:right w:w="108" w:type="dxa"/>
            </w:tcMar>
            <w:vAlign w:val="center"/>
          </w:tcPr>
          <w:p w14:paraId="5595BEE3"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6CC8DF82"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Me encuentro satisfecho(a) con las actividades que se realizan en la universidad (ferias, conferencias, talleres, actividades artísticas, deportivas o culturales) (VE19)</w:t>
            </w:r>
          </w:p>
        </w:tc>
        <w:tc>
          <w:tcPr>
            <w:tcW w:w="1080" w:type="dxa"/>
            <w:tcMar>
              <w:top w:w="30" w:type="dxa"/>
              <w:left w:w="120" w:type="dxa"/>
              <w:bottom w:w="30" w:type="dxa"/>
              <w:right w:w="108" w:type="dxa"/>
            </w:tcMar>
            <w:vAlign w:val="center"/>
          </w:tcPr>
          <w:p w14:paraId="71335E48"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.579/.785</w:t>
            </w:r>
          </w:p>
        </w:tc>
      </w:tr>
      <w:tr w:rsidR="001C4921" w:rsidRPr="001C4921" w14:paraId="14D4A8FF" w14:textId="77777777" w:rsidTr="00D00233">
        <w:trPr>
          <w:trHeight w:val="300"/>
        </w:trPr>
        <w:tc>
          <w:tcPr>
            <w:tcW w:w="720" w:type="dxa"/>
            <w:tcMar>
              <w:top w:w="30" w:type="dxa"/>
              <w:left w:w="120" w:type="dxa"/>
              <w:bottom w:w="30" w:type="dxa"/>
              <w:right w:w="108" w:type="dxa"/>
            </w:tcMar>
            <w:vAlign w:val="center"/>
          </w:tcPr>
          <w:p w14:paraId="69B253F6"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794BF069"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Me encuentro satisfecho(a) con el personal docente de la carrera (VE16)</w:t>
            </w:r>
          </w:p>
        </w:tc>
        <w:tc>
          <w:tcPr>
            <w:tcW w:w="1080" w:type="dxa"/>
            <w:tcMar>
              <w:top w:w="30" w:type="dxa"/>
              <w:left w:w="120" w:type="dxa"/>
              <w:bottom w:w="30" w:type="dxa"/>
              <w:right w:w="108" w:type="dxa"/>
            </w:tcMar>
            <w:vAlign w:val="center"/>
          </w:tcPr>
          <w:p w14:paraId="7152E97F"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.811/.812</w:t>
            </w:r>
          </w:p>
        </w:tc>
      </w:tr>
      <w:tr w:rsidR="001C4921" w:rsidRPr="001C4921" w14:paraId="34EF5887" w14:textId="77777777" w:rsidTr="00D00233">
        <w:trPr>
          <w:trHeight w:val="300"/>
        </w:trPr>
        <w:tc>
          <w:tcPr>
            <w:tcW w:w="720" w:type="dxa"/>
            <w:tcMar>
              <w:top w:w="30" w:type="dxa"/>
              <w:left w:w="120" w:type="dxa"/>
              <w:bottom w:w="30" w:type="dxa"/>
              <w:right w:w="108" w:type="dxa"/>
            </w:tcMar>
            <w:vAlign w:val="center"/>
          </w:tcPr>
          <w:p w14:paraId="3D63FBDB"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3FC1C365"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Me encuentro satisfecho(a) con los servicios que brinda la carrera (VE17)</w:t>
            </w:r>
          </w:p>
        </w:tc>
        <w:tc>
          <w:tcPr>
            <w:tcW w:w="1080" w:type="dxa"/>
            <w:tcMar>
              <w:top w:w="30" w:type="dxa"/>
              <w:left w:w="120" w:type="dxa"/>
              <w:bottom w:w="30" w:type="dxa"/>
              <w:right w:w="108" w:type="dxa"/>
            </w:tcMar>
            <w:vAlign w:val="center"/>
          </w:tcPr>
          <w:p w14:paraId="0771D46F"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.853/.960</w:t>
            </w:r>
          </w:p>
        </w:tc>
      </w:tr>
      <w:tr w:rsidR="001C4921" w:rsidRPr="001C4921" w14:paraId="0C4FCCCB" w14:textId="77777777" w:rsidTr="00D00233">
        <w:trPr>
          <w:trHeight w:val="300"/>
        </w:trPr>
        <w:tc>
          <w:tcPr>
            <w:tcW w:w="720" w:type="dxa"/>
            <w:tcMar>
              <w:top w:w="120" w:type="dxa"/>
              <w:left w:w="120" w:type="dxa"/>
              <w:bottom w:w="30" w:type="dxa"/>
              <w:right w:w="108" w:type="dxa"/>
            </w:tcMar>
            <w:vAlign w:val="center"/>
          </w:tcPr>
          <w:p w14:paraId="5D240157"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SACT</w:t>
            </w:r>
          </w:p>
        </w:tc>
        <w:tc>
          <w:tcPr>
            <w:tcW w:w="7560" w:type="dxa"/>
            <w:tcMar>
              <w:top w:w="120" w:type="dxa"/>
              <w:left w:w="120" w:type="dxa"/>
              <w:bottom w:w="30" w:type="dxa"/>
              <w:right w:w="108" w:type="dxa"/>
            </w:tcMar>
            <w:vAlign w:val="center"/>
          </w:tcPr>
          <w:p w14:paraId="49545FB0"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En los cursos del plan de estudio se estudian técnicas que permiten llevar a cabo investigaciones (PE30)</w:t>
            </w:r>
          </w:p>
        </w:tc>
        <w:tc>
          <w:tcPr>
            <w:tcW w:w="1080" w:type="dxa"/>
            <w:tcMar>
              <w:top w:w="120" w:type="dxa"/>
              <w:left w:w="120" w:type="dxa"/>
              <w:bottom w:w="30" w:type="dxa"/>
              <w:right w:w="108" w:type="dxa"/>
            </w:tcMar>
            <w:vAlign w:val="center"/>
          </w:tcPr>
          <w:p w14:paraId="44E7D128"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.845/.802</w:t>
            </w:r>
          </w:p>
        </w:tc>
      </w:tr>
      <w:tr w:rsidR="001C4921" w:rsidRPr="001C4921" w14:paraId="1970F3CA" w14:textId="77777777" w:rsidTr="00D00233">
        <w:trPr>
          <w:trHeight w:val="300"/>
        </w:trPr>
        <w:tc>
          <w:tcPr>
            <w:tcW w:w="720" w:type="dxa"/>
            <w:tcMar>
              <w:top w:w="30" w:type="dxa"/>
              <w:left w:w="120" w:type="dxa"/>
              <w:bottom w:w="30" w:type="dxa"/>
              <w:right w:w="108" w:type="dxa"/>
            </w:tcMar>
            <w:vAlign w:val="center"/>
          </w:tcPr>
          <w:p w14:paraId="6C703261"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27499AA4"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En los cursos del plan de estudio se integra la teoría y la práctica (PE26)</w:t>
            </w:r>
          </w:p>
        </w:tc>
        <w:tc>
          <w:tcPr>
            <w:tcW w:w="1080" w:type="dxa"/>
            <w:tcMar>
              <w:top w:w="30" w:type="dxa"/>
              <w:left w:w="120" w:type="dxa"/>
              <w:bottom w:w="30" w:type="dxa"/>
              <w:right w:w="108" w:type="dxa"/>
            </w:tcMar>
            <w:vAlign w:val="center"/>
          </w:tcPr>
          <w:p w14:paraId="4DBE5287"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w:t>
            </w:r>
            <w:proofErr w:type="gramStart"/>
            <w:r w:rsidRPr="001C4921">
              <w:rPr>
                <w:rFonts w:ascii="Arial" w:hAnsi="Arial" w:cs="Arial"/>
                <w:sz w:val="20"/>
                <w:szCs w:val="20"/>
                <w:lang w:eastAsia="en-US"/>
              </w:rPr>
              <w:t>701./</w:t>
            </w:r>
            <w:proofErr w:type="gramEnd"/>
            <w:r w:rsidRPr="001C4921">
              <w:rPr>
                <w:rFonts w:ascii="Arial" w:hAnsi="Arial" w:cs="Arial"/>
                <w:sz w:val="20"/>
                <w:szCs w:val="20"/>
                <w:lang w:eastAsia="en-US"/>
              </w:rPr>
              <w:t>608</w:t>
            </w:r>
          </w:p>
        </w:tc>
      </w:tr>
      <w:tr w:rsidR="001C4921" w:rsidRPr="001C4921" w14:paraId="05B1EB29" w14:textId="77777777" w:rsidTr="00D00233">
        <w:trPr>
          <w:trHeight w:val="300"/>
        </w:trPr>
        <w:tc>
          <w:tcPr>
            <w:tcW w:w="720" w:type="dxa"/>
            <w:tcMar>
              <w:top w:w="30" w:type="dxa"/>
              <w:left w:w="120" w:type="dxa"/>
              <w:bottom w:w="30" w:type="dxa"/>
              <w:right w:w="108" w:type="dxa"/>
            </w:tcMar>
            <w:vAlign w:val="center"/>
          </w:tcPr>
          <w:p w14:paraId="1D4551B2"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7560" w:type="dxa"/>
            <w:tcMar>
              <w:top w:w="30" w:type="dxa"/>
              <w:left w:w="120" w:type="dxa"/>
              <w:bottom w:w="30" w:type="dxa"/>
              <w:right w:w="108" w:type="dxa"/>
            </w:tcMar>
            <w:vAlign w:val="center"/>
          </w:tcPr>
          <w:p w14:paraId="075BCDD1"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 xml:space="preserve">En los cursos del plan de estudio se utilizan tecnologías de la información y comunicación (aula virtual, internet, foros, </w:t>
            </w:r>
            <w:proofErr w:type="spellStart"/>
            <w:r w:rsidRPr="001C4921">
              <w:rPr>
                <w:rFonts w:ascii="Arial" w:hAnsi="Arial" w:cs="Arial"/>
                <w:i/>
                <w:sz w:val="20"/>
                <w:szCs w:val="20"/>
                <w:lang w:eastAsia="en-US"/>
              </w:rPr>
              <w:t>tablets</w:t>
            </w:r>
            <w:proofErr w:type="spellEnd"/>
            <w:r w:rsidRPr="001C4921">
              <w:rPr>
                <w:rFonts w:ascii="Arial" w:hAnsi="Arial" w:cs="Arial"/>
                <w:sz w:val="20"/>
                <w:szCs w:val="20"/>
                <w:lang w:eastAsia="en-US"/>
              </w:rPr>
              <w:t>, etc.) (PE31)</w:t>
            </w:r>
          </w:p>
        </w:tc>
        <w:tc>
          <w:tcPr>
            <w:tcW w:w="1080" w:type="dxa"/>
            <w:tcMar>
              <w:top w:w="30" w:type="dxa"/>
              <w:left w:w="120" w:type="dxa"/>
              <w:bottom w:w="30" w:type="dxa"/>
              <w:right w:w="108" w:type="dxa"/>
            </w:tcMar>
            <w:vAlign w:val="center"/>
          </w:tcPr>
          <w:p w14:paraId="67F38E95"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.769/.641</w:t>
            </w:r>
          </w:p>
        </w:tc>
      </w:tr>
      <w:tr w:rsidR="001C4921" w:rsidRPr="001C4921" w14:paraId="11E61228" w14:textId="77777777" w:rsidTr="00D00233">
        <w:trPr>
          <w:trHeight w:val="300"/>
        </w:trPr>
        <w:tc>
          <w:tcPr>
            <w:tcW w:w="720" w:type="dxa"/>
            <w:tcBorders>
              <w:left w:val="nil"/>
              <w:bottom w:val="single" w:sz="8" w:space="0" w:color="auto"/>
              <w:right w:val="nil"/>
            </w:tcBorders>
            <w:tcMar>
              <w:top w:w="30" w:type="dxa"/>
              <w:left w:w="120" w:type="dxa"/>
              <w:bottom w:w="120" w:type="dxa"/>
              <w:right w:w="108" w:type="dxa"/>
            </w:tcMar>
            <w:vAlign w:val="center"/>
          </w:tcPr>
          <w:p w14:paraId="15972F22"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lastRenderedPageBreak/>
              <w:t xml:space="preserve"> </w:t>
            </w:r>
          </w:p>
        </w:tc>
        <w:tc>
          <w:tcPr>
            <w:tcW w:w="7560" w:type="dxa"/>
            <w:tcBorders>
              <w:left w:val="nil"/>
              <w:bottom w:val="single" w:sz="8" w:space="0" w:color="auto"/>
              <w:right w:val="nil"/>
            </w:tcBorders>
            <w:tcMar>
              <w:top w:w="30" w:type="dxa"/>
              <w:left w:w="120" w:type="dxa"/>
              <w:bottom w:w="120" w:type="dxa"/>
              <w:right w:w="108" w:type="dxa"/>
            </w:tcMar>
            <w:vAlign w:val="center"/>
          </w:tcPr>
          <w:p w14:paraId="63F7D768" w14:textId="77777777" w:rsidR="001C4921" w:rsidRPr="001C4921" w:rsidRDefault="001C4921" w:rsidP="001C4921">
            <w:pPr>
              <w:spacing w:line="257" w:lineRule="auto"/>
              <w:jc w:val="both"/>
              <w:rPr>
                <w:rFonts w:ascii="Arial" w:hAnsi="Arial" w:cs="Arial"/>
                <w:sz w:val="20"/>
                <w:szCs w:val="20"/>
                <w:lang w:eastAsia="en-US"/>
              </w:rPr>
            </w:pPr>
            <w:r w:rsidRPr="001C4921">
              <w:rPr>
                <w:rFonts w:ascii="Arial" w:hAnsi="Arial" w:cs="Arial"/>
                <w:sz w:val="20"/>
                <w:szCs w:val="20"/>
                <w:lang w:eastAsia="en-US"/>
              </w:rPr>
              <w:t>En los cursos del plan de estudio se realiza investigación en temas afines a la carrera (PE29)</w:t>
            </w:r>
          </w:p>
        </w:tc>
        <w:tc>
          <w:tcPr>
            <w:tcW w:w="1080" w:type="dxa"/>
            <w:tcBorders>
              <w:left w:val="nil"/>
              <w:bottom w:val="single" w:sz="8" w:space="0" w:color="auto"/>
              <w:right w:val="nil"/>
            </w:tcBorders>
            <w:tcMar>
              <w:top w:w="30" w:type="dxa"/>
              <w:left w:w="120" w:type="dxa"/>
              <w:bottom w:w="120" w:type="dxa"/>
              <w:right w:w="108" w:type="dxa"/>
            </w:tcMar>
            <w:vAlign w:val="center"/>
          </w:tcPr>
          <w:p w14:paraId="360FA97E" w14:textId="77777777" w:rsidR="001C4921" w:rsidRPr="001C4921" w:rsidRDefault="001C4921" w:rsidP="001C4921">
            <w:pPr>
              <w:spacing w:line="257" w:lineRule="auto"/>
              <w:jc w:val="right"/>
              <w:rPr>
                <w:rFonts w:ascii="Arial" w:hAnsi="Arial" w:cs="Arial"/>
                <w:sz w:val="20"/>
                <w:szCs w:val="20"/>
                <w:lang w:eastAsia="en-US"/>
              </w:rPr>
            </w:pPr>
            <w:r w:rsidRPr="001C4921">
              <w:rPr>
                <w:rFonts w:ascii="Arial" w:hAnsi="Arial" w:cs="Arial"/>
                <w:sz w:val="20"/>
                <w:szCs w:val="20"/>
                <w:lang w:eastAsia="en-US"/>
              </w:rPr>
              <w:t>.791/.795</w:t>
            </w:r>
          </w:p>
        </w:tc>
      </w:tr>
    </w:tbl>
    <w:p w14:paraId="425331AB" w14:textId="77777777" w:rsidR="001C4921" w:rsidRPr="001C4921" w:rsidRDefault="001C4921" w:rsidP="001C4921">
      <w:pPr>
        <w:spacing w:after="160" w:line="360" w:lineRule="auto"/>
        <w:jc w:val="both"/>
        <w:rPr>
          <w:rFonts w:ascii="Arial" w:hAnsi="Arial" w:cs="Arial"/>
          <w:sz w:val="20"/>
          <w:szCs w:val="20"/>
          <w:lang w:eastAsia="en-US"/>
        </w:rPr>
      </w:pPr>
      <w:r w:rsidRPr="001C4921">
        <w:rPr>
          <w:rFonts w:ascii="Arial" w:hAnsi="Arial" w:cs="Arial"/>
          <w:i/>
          <w:iCs/>
          <w:sz w:val="20"/>
          <w:szCs w:val="20"/>
          <w:lang w:eastAsia="en-US"/>
        </w:rPr>
        <w:t xml:space="preserve">Nota. </w:t>
      </w:r>
      <w:r w:rsidRPr="001C4921">
        <w:rPr>
          <w:rFonts w:ascii="Arial" w:hAnsi="Arial" w:cs="Arial"/>
          <w:sz w:val="20"/>
          <w:szCs w:val="20"/>
          <w:lang w:eastAsia="en-US"/>
        </w:rPr>
        <w:t>SAD = Satisfacción con la atención docente; SAE = Satisfacción con el equipo; SAS = Satisfacción con los servicios; SACT = Satisfacción con aspectos científicos y tecnológicos de la formación. El código al final de cada ítem corresponde al código de cada reactivo dentro del instrumento original de SINAES.</w:t>
      </w:r>
    </w:p>
    <w:p w14:paraId="3A050F89"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Desde una perspectiva nomológica, se encuentra una correlación entre cada factor del DESIT-17 con la ESA: SAD (</w:t>
      </w:r>
      <w:r w:rsidRPr="001C4921">
        <w:rPr>
          <w:rFonts w:ascii="Arial" w:hAnsi="Arial" w:cs="Arial"/>
          <w:i/>
          <w:iCs/>
          <w:lang w:eastAsia="en-US"/>
        </w:rPr>
        <w:t xml:space="preserve">r </w:t>
      </w:r>
      <w:r w:rsidRPr="001C4921">
        <w:rPr>
          <w:rFonts w:ascii="Arial" w:hAnsi="Arial" w:cs="Arial"/>
          <w:lang w:eastAsia="en-US"/>
        </w:rPr>
        <w:t xml:space="preserve">= .54, </w:t>
      </w:r>
      <w:r w:rsidRPr="001C4921">
        <w:rPr>
          <w:rFonts w:ascii="Arial" w:hAnsi="Arial" w:cs="Arial"/>
          <w:i/>
          <w:iCs/>
          <w:lang w:eastAsia="en-US"/>
        </w:rPr>
        <w:t xml:space="preserve">p </w:t>
      </w:r>
      <w:r w:rsidRPr="001C4921">
        <w:rPr>
          <w:rFonts w:ascii="Arial" w:hAnsi="Arial" w:cs="Arial"/>
          <w:lang w:eastAsia="en-US"/>
        </w:rPr>
        <w:t>= “01”); SAS (</w:t>
      </w:r>
      <w:r w:rsidRPr="001C4921">
        <w:rPr>
          <w:rFonts w:ascii="Arial" w:hAnsi="Arial" w:cs="Arial"/>
          <w:i/>
          <w:iCs/>
          <w:lang w:eastAsia="en-US"/>
        </w:rPr>
        <w:t xml:space="preserve">r </w:t>
      </w:r>
      <w:r w:rsidRPr="001C4921">
        <w:rPr>
          <w:rFonts w:ascii="Arial" w:hAnsi="Arial" w:cs="Arial"/>
          <w:lang w:eastAsia="en-US"/>
        </w:rPr>
        <w:t xml:space="preserve">= .64, </w:t>
      </w:r>
      <w:r w:rsidRPr="001C4921">
        <w:rPr>
          <w:rFonts w:ascii="Arial" w:hAnsi="Arial" w:cs="Arial"/>
          <w:i/>
          <w:iCs/>
          <w:lang w:eastAsia="en-US"/>
        </w:rPr>
        <w:t xml:space="preserve">p </w:t>
      </w:r>
      <w:r w:rsidRPr="001C4921">
        <w:rPr>
          <w:rFonts w:ascii="Arial" w:hAnsi="Arial" w:cs="Arial"/>
          <w:lang w:eastAsia="en-US"/>
        </w:rPr>
        <w:t>= “01”); SAE (</w:t>
      </w:r>
      <w:r w:rsidRPr="001C4921">
        <w:rPr>
          <w:rFonts w:ascii="Arial" w:hAnsi="Arial" w:cs="Arial"/>
          <w:i/>
          <w:iCs/>
          <w:lang w:eastAsia="en-US"/>
        </w:rPr>
        <w:t xml:space="preserve">r </w:t>
      </w:r>
      <w:r w:rsidRPr="001C4921">
        <w:rPr>
          <w:rFonts w:ascii="Arial" w:hAnsi="Arial" w:cs="Arial"/>
          <w:lang w:eastAsia="en-US"/>
        </w:rPr>
        <w:t xml:space="preserve">= .45, </w:t>
      </w:r>
      <w:r w:rsidRPr="001C4921">
        <w:rPr>
          <w:rFonts w:ascii="Arial" w:hAnsi="Arial" w:cs="Arial"/>
          <w:i/>
          <w:iCs/>
          <w:lang w:eastAsia="en-US"/>
        </w:rPr>
        <w:t xml:space="preserve">p </w:t>
      </w:r>
      <w:r w:rsidRPr="001C4921">
        <w:rPr>
          <w:rFonts w:ascii="Arial" w:hAnsi="Arial" w:cs="Arial"/>
          <w:lang w:eastAsia="en-US"/>
        </w:rPr>
        <w:t xml:space="preserve">= “01”), y </w:t>
      </w:r>
      <w:proofErr w:type="gramStart"/>
      <w:r w:rsidRPr="001C4921">
        <w:rPr>
          <w:rFonts w:ascii="Arial" w:hAnsi="Arial" w:cs="Arial"/>
          <w:lang w:eastAsia="en-US"/>
        </w:rPr>
        <w:t>SACT(</w:t>
      </w:r>
      <w:proofErr w:type="gramEnd"/>
      <w:r w:rsidRPr="001C4921">
        <w:rPr>
          <w:rFonts w:ascii="Arial" w:hAnsi="Arial" w:cs="Arial"/>
          <w:i/>
          <w:iCs/>
          <w:lang w:eastAsia="en-US"/>
        </w:rPr>
        <w:t xml:space="preserve">r </w:t>
      </w:r>
      <w:r w:rsidRPr="001C4921">
        <w:rPr>
          <w:rFonts w:ascii="Arial" w:hAnsi="Arial" w:cs="Arial"/>
          <w:lang w:eastAsia="en-US"/>
        </w:rPr>
        <w:t xml:space="preserve">= .50, </w:t>
      </w:r>
      <w:r w:rsidRPr="001C4921">
        <w:rPr>
          <w:rFonts w:ascii="Arial" w:hAnsi="Arial" w:cs="Arial"/>
          <w:i/>
          <w:iCs/>
          <w:lang w:eastAsia="en-US"/>
        </w:rPr>
        <w:t xml:space="preserve">p </w:t>
      </w:r>
      <w:r w:rsidRPr="001C4921">
        <w:rPr>
          <w:rFonts w:ascii="Arial" w:hAnsi="Arial" w:cs="Arial"/>
          <w:lang w:eastAsia="en-US"/>
        </w:rPr>
        <w:t xml:space="preserve">= “01”). De esta manera, se da cuenta de evidencias de validez convergente del instrumento. Asimismo, se localizan diferencias significativas en el nivel de SA entre aquellos estudiantes que se han planteado, en algunas ocasiones, dejar la carrera de estudio t (285) = -4.35, p = “01”; diferencias significativas que son encontradas, también, en cada uno de los cuatro factores, SAD t (285) = -3,54, p = “01”, SAS t (285) = -4,54, p = “01”, SAE t (285) = -3.55, p = “01” y SACT t (285) = -2.92, p= “01”, así como respecto a la escala ESA t (285) = -8,709, p = “01”. </w:t>
      </w:r>
    </w:p>
    <w:p w14:paraId="6F31BBA8"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En la tabla 3, se detallan diferentes estadísticos descriptivos, en los cuales se puede apreciar mayores niveles de satisfacción académica; en general, en hombres. En este sentido, las mujeres muestran niveles significativamente inferiores de SA t (284) = 2,54, p = .01. Este es también el caso con los factores: la SAS t (284) = 2.90, p </w:t>
      </w:r>
      <w:proofErr w:type="gramStart"/>
      <w:r w:rsidRPr="001C4921">
        <w:rPr>
          <w:rFonts w:ascii="Arial" w:hAnsi="Arial" w:cs="Arial"/>
          <w:lang w:eastAsia="en-US"/>
        </w:rPr>
        <w:t>= .</w:t>
      </w:r>
      <w:proofErr w:type="gramEnd"/>
      <w:r w:rsidRPr="001C4921">
        <w:rPr>
          <w:rFonts w:ascii="Arial" w:hAnsi="Arial" w:cs="Arial"/>
          <w:lang w:eastAsia="en-US"/>
        </w:rPr>
        <w:t xml:space="preserve"> “01”, la SAE t (284) = 1.84, p =.07 y la SAD t (284) = 1.98, p =.05. El </w:t>
      </w:r>
      <w:r w:rsidRPr="001C4921">
        <w:rPr>
          <w:rFonts w:ascii="Arial" w:hAnsi="Arial" w:cs="Arial"/>
          <w:lang w:eastAsia="en-US"/>
        </w:rPr>
        <w:lastRenderedPageBreak/>
        <w:t>único factor en el que no se encuentran diferencias significativas en razón del género corresponde a la SACT.</w:t>
      </w:r>
    </w:p>
    <w:p w14:paraId="61F90168" w14:textId="77777777" w:rsidR="001C4921" w:rsidRPr="001C4921" w:rsidRDefault="001C4921" w:rsidP="001C4921">
      <w:pPr>
        <w:spacing w:after="160" w:line="360" w:lineRule="auto"/>
        <w:jc w:val="both"/>
        <w:rPr>
          <w:rFonts w:ascii="Arial" w:hAnsi="Arial" w:cs="Arial"/>
          <w:b/>
          <w:bCs/>
          <w:lang w:eastAsia="en-US"/>
        </w:rPr>
      </w:pPr>
      <w:r w:rsidRPr="001C4921">
        <w:rPr>
          <w:rFonts w:ascii="Arial" w:hAnsi="Arial" w:cs="Arial"/>
          <w:b/>
          <w:bCs/>
          <w:lang w:eastAsia="en-US"/>
        </w:rPr>
        <w:t>Tabla 3</w:t>
      </w:r>
    </w:p>
    <w:p w14:paraId="28B7E9D8" w14:textId="77777777" w:rsidR="001C4921" w:rsidRPr="001C4921" w:rsidRDefault="001C4921" w:rsidP="001C4921">
      <w:pPr>
        <w:spacing w:after="160" w:line="360" w:lineRule="auto"/>
        <w:jc w:val="both"/>
        <w:rPr>
          <w:rFonts w:ascii="Arial" w:hAnsi="Arial" w:cs="Arial"/>
          <w:i/>
          <w:iCs/>
          <w:lang w:eastAsia="en-US"/>
        </w:rPr>
      </w:pPr>
      <w:r w:rsidRPr="001C4921">
        <w:rPr>
          <w:rFonts w:ascii="Arial" w:hAnsi="Arial" w:cs="Arial"/>
          <w:i/>
          <w:iCs/>
          <w:lang w:eastAsia="en-US"/>
        </w:rPr>
        <w:t>Estadísticos descriptivos por género y carrera</w:t>
      </w:r>
    </w:p>
    <w:tbl>
      <w:tblPr>
        <w:tblW w:w="0" w:type="auto"/>
        <w:tblLayout w:type="fixed"/>
        <w:tblLook w:val="04A0" w:firstRow="1" w:lastRow="0" w:firstColumn="1" w:lastColumn="0" w:noHBand="0" w:noVBand="1"/>
      </w:tblPr>
      <w:tblGrid>
        <w:gridCol w:w="1215"/>
        <w:gridCol w:w="1335"/>
        <w:gridCol w:w="1335"/>
        <w:gridCol w:w="1215"/>
        <w:gridCol w:w="1275"/>
        <w:gridCol w:w="1335"/>
      </w:tblGrid>
      <w:tr w:rsidR="001C4921" w:rsidRPr="001C4921" w14:paraId="5281383D" w14:textId="77777777" w:rsidTr="001C4921">
        <w:trPr>
          <w:trHeight w:val="570"/>
        </w:trPr>
        <w:tc>
          <w:tcPr>
            <w:tcW w:w="1215" w:type="dxa"/>
            <w:tcBorders>
              <w:top w:val="single" w:sz="8" w:space="0" w:color="000000"/>
              <w:left w:val="nil"/>
              <w:bottom w:val="single" w:sz="8" w:space="0" w:color="auto"/>
              <w:right w:val="nil"/>
            </w:tcBorders>
            <w:tcMar>
              <w:top w:w="40" w:type="dxa"/>
              <w:left w:w="40" w:type="dxa"/>
              <w:bottom w:w="40" w:type="dxa"/>
              <w:right w:w="40" w:type="dxa"/>
            </w:tcMar>
            <w:vAlign w:val="center"/>
          </w:tcPr>
          <w:p w14:paraId="3292CEFF" w14:textId="77777777" w:rsidR="001C4921" w:rsidRPr="001C4921" w:rsidRDefault="001C4921" w:rsidP="001C4921">
            <w:pPr>
              <w:spacing w:line="257" w:lineRule="auto"/>
              <w:rPr>
                <w:rFonts w:ascii="Arial" w:hAnsi="Arial" w:cs="Arial"/>
                <w:lang w:eastAsia="en-US"/>
              </w:rPr>
            </w:pPr>
            <w:r w:rsidRPr="001C4921">
              <w:rPr>
                <w:rFonts w:ascii="Arial" w:hAnsi="Arial" w:cs="Arial"/>
                <w:lang w:eastAsia="en-US"/>
              </w:rPr>
              <w:t xml:space="preserve"> </w:t>
            </w:r>
          </w:p>
        </w:tc>
        <w:tc>
          <w:tcPr>
            <w:tcW w:w="1335" w:type="dxa"/>
            <w:tcBorders>
              <w:top w:val="single" w:sz="8" w:space="0" w:color="000000"/>
              <w:left w:val="nil"/>
              <w:bottom w:val="single" w:sz="8" w:space="0" w:color="auto"/>
              <w:right w:val="nil"/>
            </w:tcBorders>
            <w:tcMar>
              <w:top w:w="40" w:type="dxa"/>
              <w:left w:w="40" w:type="dxa"/>
              <w:bottom w:w="40" w:type="dxa"/>
              <w:right w:w="40" w:type="dxa"/>
            </w:tcMar>
          </w:tcPr>
          <w:p w14:paraId="451BEA13"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DESIT-17</w:t>
            </w:r>
          </w:p>
          <w:p w14:paraId="5AEFA1C8"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w:t>
            </w:r>
            <w:r w:rsidRPr="001C4921">
              <w:rPr>
                <w:rFonts w:ascii="Arial" w:hAnsi="Arial" w:cs="Arial"/>
                <w:i/>
                <w:iCs/>
                <w:sz w:val="20"/>
                <w:szCs w:val="20"/>
                <w:lang w:eastAsia="en-US"/>
              </w:rPr>
              <w:t>M, DE</w:t>
            </w:r>
            <w:r w:rsidRPr="001C4921">
              <w:rPr>
                <w:rFonts w:ascii="Arial" w:hAnsi="Arial" w:cs="Arial"/>
                <w:sz w:val="20"/>
                <w:szCs w:val="20"/>
                <w:lang w:eastAsia="en-US"/>
              </w:rPr>
              <w:t>)</w:t>
            </w:r>
          </w:p>
        </w:tc>
        <w:tc>
          <w:tcPr>
            <w:tcW w:w="1335" w:type="dxa"/>
            <w:tcBorders>
              <w:top w:val="single" w:sz="8" w:space="0" w:color="000000"/>
              <w:left w:val="nil"/>
              <w:bottom w:val="single" w:sz="8" w:space="0" w:color="auto"/>
              <w:right w:val="nil"/>
            </w:tcBorders>
            <w:tcMar>
              <w:top w:w="40" w:type="dxa"/>
              <w:left w:w="40" w:type="dxa"/>
              <w:bottom w:w="40" w:type="dxa"/>
              <w:right w:w="40" w:type="dxa"/>
            </w:tcMar>
          </w:tcPr>
          <w:p w14:paraId="361E6F6A"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SAD</w:t>
            </w:r>
            <w:r w:rsidRPr="001C4921">
              <w:rPr>
                <w:rFonts w:ascii="Arial" w:eastAsia="Calibri" w:hAnsi="Arial" w:cs="Arial"/>
                <w:sz w:val="22"/>
                <w:szCs w:val="22"/>
                <w:lang w:eastAsia="en-US"/>
              </w:rPr>
              <w:br/>
            </w:r>
            <w:r w:rsidRPr="001C4921">
              <w:rPr>
                <w:rFonts w:ascii="Arial" w:hAnsi="Arial" w:cs="Arial"/>
                <w:sz w:val="20"/>
                <w:szCs w:val="20"/>
                <w:lang w:eastAsia="en-US"/>
              </w:rPr>
              <w:t xml:space="preserve"> (</w:t>
            </w:r>
            <w:r w:rsidRPr="001C4921">
              <w:rPr>
                <w:rFonts w:ascii="Arial" w:hAnsi="Arial" w:cs="Arial"/>
                <w:i/>
                <w:iCs/>
                <w:sz w:val="20"/>
                <w:szCs w:val="20"/>
                <w:lang w:eastAsia="en-US"/>
              </w:rPr>
              <w:t>M, DE</w:t>
            </w:r>
            <w:r w:rsidRPr="001C4921">
              <w:rPr>
                <w:rFonts w:ascii="Arial" w:hAnsi="Arial" w:cs="Arial"/>
                <w:sz w:val="20"/>
                <w:szCs w:val="20"/>
                <w:lang w:eastAsia="en-US"/>
              </w:rPr>
              <w:t>)</w:t>
            </w:r>
          </w:p>
        </w:tc>
        <w:tc>
          <w:tcPr>
            <w:tcW w:w="1215" w:type="dxa"/>
            <w:tcBorders>
              <w:top w:val="single" w:sz="8" w:space="0" w:color="000000"/>
              <w:left w:val="nil"/>
              <w:bottom w:val="single" w:sz="8" w:space="0" w:color="auto"/>
              <w:right w:val="nil"/>
            </w:tcBorders>
            <w:tcMar>
              <w:top w:w="40" w:type="dxa"/>
              <w:left w:w="40" w:type="dxa"/>
              <w:bottom w:w="40" w:type="dxa"/>
              <w:right w:w="40" w:type="dxa"/>
            </w:tcMar>
          </w:tcPr>
          <w:p w14:paraId="48A515B7"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SAE</w:t>
            </w:r>
          </w:p>
          <w:p w14:paraId="003EF004"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w:t>
            </w:r>
            <w:r w:rsidRPr="001C4921">
              <w:rPr>
                <w:rFonts w:ascii="Arial" w:hAnsi="Arial" w:cs="Arial"/>
                <w:i/>
                <w:iCs/>
                <w:sz w:val="20"/>
                <w:szCs w:val="20"/>
                <w:lang w:eastAsia="en-US"/>
              </w:rPr>
              <w:t>M, DE</w:t>
            </w:r>
            <w:r w:rsidRPr="001C4921">
              <w:rPr>
                <w:rFonts w:ascii="Arial" w:hAnsi="Arial" w:cs="Arial"/>
                <w:sz w:val="20"/>
                <w:szCs w:val="20"/>
                <w:lang w:eastAsia="en-US"/>
              </w:rPr>
              <w:t>)</w:t>
            </w:r>
          </w:p>
          <w:p w14:paraId="098A7776"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1275" w:type="dxa"/>
            <w:tcBorders>
              <w:top w:val="single" w:sz="8" w:space="0" w:color="000000"/>
              <w:left w:val="nil"/>
              <w:bottom w:val="single" w:sz="8" w:space="0" w:color="auto"/>
              <w:right w:val="nil"/>
            </w:tcBorders>
            <w:tcMar>
              <w:top w:w="40" w:type="dxa"/>
              <w:left w:w="40" w:type="dxa"/>
              <w:bottom w:w="40" w:type="dxa"/>
              <w:right w:w="40" w:type="dxa"/>
            </w:tcMar>
          </w:tcPr>
          <w:p w14:paraId="2015B194"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SAS</w:t>
            </w:r>
          </w:p>
          <w:p w14:paraId="7B4A3619"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w:t>
            </w:r>
            <w:r w:rsidRPr="001C4921">
              <w:rPr>
                <w:rFonts w:ascii="Arial" w:hAnsi="Arial" w:cs="Arial"/>
                <w:i/>
                <w:iCs/>
                <w:sz w:val="20"/>
                <w:szCs w:val="20"/>
                <w:lang w:eastAsia="en-US"/>
              </w:rPr>
              <w:t>M, DE</w:t>
            </w:r>
            <w:r w:rsidRPr="001C4921">
              <w:rPr>
                <w:rFonts w:ascii="Arial" w:hAnsi="Arial" w:cs="Arial"/>
                <w:sz w:val="20"/>
                <w:szCs w:val="20"/>
                <w:lang w:eastAsia="en-US"/>
              </w:rPr>
              <w:t>)</w:t>
            </w:r>
          </w:p>
          <w:p w14:paraId="690A48A4"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1335" w:type="dxa"/>
            <w:tcBorders>
              <w:top w:val="single" w:sz="8" w:space="0" w:color="000000"/>
              <w:left w:val="nil"/>
              <w:bottom w:val="single" w:sz="8" w:space="0" w:color="auto"/>
              <w:right w:val="nil"/>
            </w:tcBorders>
            <w:tcMar>
              <w:top w:w="40" w:type="dxa"/>
              <w:left w:w="40" w:type="dxa"/>
              <w:bottom w:w="40" w:type="dxa"/>
              <w:right w:w="40" w:type="dxa"/>
            </w:tcMar>
          </w:tcPr>
          <w:p w14:paraId="4A919EDC"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SACT</w:t>
            </w:r>
          </w:p>
          <w:p w14:paraId="4F882B3F"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w:t>
            </w:r>
            <w:r w:rsidRPr="001C4921">
              <w:rPr>
                <w:rFonts w:ascii="Arial" w:hAnsi="Arial" w:cs="Arial"/>
                <w:i/>
                <w:iCs/>
                <w:sz w:val="20"/>
                <w:szCs w:val="20"/>
                <w:lang w:eastAsia="en-US"/>
              </w:rPr>
              <w:t>M, DE</w:t>
            </w:r>
            <w:r w:rsidRPr="001C4921">
              <w:rPr>
                <w:rFonts w:ascii="Arial" w:hAnsi="Arial" w:cs="Arial"/>
                <w:sz w:val="20"/>
                <w:szCs w:val="20"/>
                <w:lang w:eastAsia="en-US"/>
              </w:rPr>
              <w:t>)</w:t>
            </w:r>
          </w:p>
          <w:p w14:paraId="35EFFB1C"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 xml:space="preserve"> </w:t>
            </w:r>
          </w:p>
        </w:tc>
      </w:tr>
      <w:tr w:rsidR="001C4921" w:rsidRPr="001C4921" w14:paraId="36B932DE" w14:textId="77777777" w:rsidTr="00D00233">
        <w:trPr>
          <w:trHeight w:val="750"/>
        </w:trPr>
        <w:tc>
          <w:tcPr>
            <w:tcW w:w="1215" w:type="dxa"/>
            <w:tcBorders>
              <w:top w:val="single" w:sz="8" w:space="0" w:color="auto"/>
              <w:left w:val="nil"/>
              <w:bottom w:val="nil"/>
              <w:right w:val="nil"/>
            </w:tcBorders>
            <w:tcMar>
              <w:top w:w="40" w:type="dxa"/>
              <w:left w:w="40" w:type="dxa"/>
              <w:bottom w:w="40" w:type="dxa"/>
              <w:right w:w="40" w:type="dxa"/>
            </w:tcMar>
            <w:vAlign w:val="center"/>
          </w:tcPr>
          <w:p w14:paraId="4257588C"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Mujeres</w:t>
            </w:r>
          </w:p>
          <w:p w14:paraId="2BECCB47"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i/>
                <w:iCs/>
                <w:sz w:val="20"/>
                <w:szCs w:val="20"/>
                <w:lang w:eastAsia="en-US"/>
              </w:rPr>
              <w:t xml:space="preserve">n </w:t>
            </w:r>
            <w:r w:rsidRPr="001C4921">
              <w:rPr>
                <w:rFonts w:ascii="Arial" w:hAnsi="Arial" w:cs="Arial"/>
                <w:sz w:val="20"/>
                <w:szCs w:val="20"/>
                <w:lang w:eastAsia="en-US"/>
              </w:rPr>
              <w:t>= 225</w:t>
            </w:r>
          </w:p>
        </w:tc>
        <w:tc>
          <w:tcPr>
            <w:tcW w:w="1335" w:type="dxa"/>
            <w:tcBorders>
              <w:top w:val="single" w:sz="8" w:space="0" w:color="auto"/>
              <w:left w:val="nil"/>
              <w:bottom w:val="nil"/>
              <w:right w:val="nil"/>
            </w:tcBorders>
            <w:tcMar>
              <w:top w:w="40" w:type="dxa"/>
              <w:left w:w="40" w:type="dxa"/>
              <w:bottom w:w="40" w:type="dxa"/>
              <w:right w:w="40" w:type="dxa"/>
            </w:tcMar>
            <w:vAlign w:val="center"/>
          </w:tcPr>
          <w:p w14:paraId="363F2328"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4.11, .74</w:t>
            </w:r>
          </w:p>
        </w:tc>
        <w:tc>
          <w:tcPr>
            <w:tcW w:w="1335" w:type="dxa"/>
            <w:tcBorders>
              <w:top w:val="single" w:sz="8" w:space="0" w:color="auto"/>
              <w:left w:val="nil"/>
              <w:bottom w:val="nil"/>
              <w:right w:val="nil"/>
            </w:tcBorders>
            <w:tcMar>
              <w:top w:w="40" w:type="dxa"/>
              <w:left w:w="40" w:type="dxa"/>
              <w:bottom w:w="40" w:type="dxa"/>
              <w:right w:w="40" w:type="dxa"/>
            </w:tcMar>
            <w:vAlign w:val="center"/>
          </w:tcPr>
          <w:p w14:paraId="2F34907F"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4.03, .79</w:t>
            </w:r>
          </w:p>
        </w:tc>
        <w:tc>
          <w:tcPr>
            <w:tcW w:w="1215" w:type="dxa"/>
            <w:tcBorders>
              <w:top w:val="single" w:sz="8" w:space="0" w:color="auto"/>
              <w:left w:val="nil"/>
              <w:bottom w:val="nil"/>
              <w:right w:val="nil"/>
            </w:tcBorders>
            <w:tcMar>
              <w:top w:w="40" w:type="dxa"/>
              <w:left w:w="40" w:type="dxa"/>
              <w:bottom w:w="40" w:type="dxa"/>
              <w:right w:w="40" w:type="dxa"/>
            </w:tcMar>
            <w:vAlign w:val="center"/>
          </w:tcPr>
          <w:p w14:paraId="0E981F3F"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4.44, .83</w:t>
            </w:r>
          </w:p>
        </w:tc>
        <w:tc>
          <w:tcPr>
            <w:tcW w:w="1275" w:type="dxa"/>
            <w:tcBorders>
              <w:top w:val="single" w:sz="8" w:space="0" w:color="auto"/>
              <w:left w:val="nil"/>
              <w:bottom w:val="nil"/>
              <w:right w:val="nil"/>
            </w:tcBorders>
            <w:tcMar>
              <w:top w:w="40" w:type="dxa"/>
              <w:left w:w="40" w:type="dxa"/>
              <w:bottom w:w="40" w:type="dxa"/>
              <w:right w:w="40" w:type="dxa"/>
            </w:tcMar>
            <w:vAlign w:val="center"/>
          </w:tcPr>
          <w:p w14:paraId="7CF375D2"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3.85, .96</w:t>
            </w:r>
          </w:p>
        </w:tc>
        <w:tc>
          <w:tcPr>
            <w:tcW w:w="1335" w:type="dxa"/>
            <w:tcBorders>
              <w:top w:val="single" w:sz="8" w:space="0" w:color="auto"/>
              <w:left w:val="nil"/>
              <w:bottom w:val="nil"/>
              <w:right w:val="nil"/>
            </w:tcBorders>
            <w:tcMar>
              <w:top w:w="40" w:type="dxa"/>
              <w:left w:w="40" w:type="dxa"/>
              <w:bottom w:w="40" w:type="dxa"/>
              <w:right w:w="40" w:type="dxa"/>
            </w:tcMar>
            <w:vAlign w:val="center"/>
          </w:tcPr>
          <w:p w14:paraId="22FBF380"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4.28, .80</w:t>
            </w:r>
          </w:p>
        </w:tc>
      </w:tr>
      <w:tr w:rsidR="001C4921" w:rsidRPr="001C4921" w14:paraId="7786D586" w14:textId="77777777" w:rsidTr="00D00233">
        <w:trPr>
          <w:trHeight w:val="720"/>
        </w:trPr>
        <w:tc>
          <w:tcPr>
            <w:tcW w:w="1215" w:type="dxa"/>
            <w:tcBorders>
              <w:top w:val="nil"/>
              <w:left w:val="nil"/>
              <w:bottom w:val="nil"/>
              <w:right w:val="nil"/>
            </w:tcBorders>
            <w:tcMar>
              <w:top w:w="40" w:type="dxa"/>
              <w:left w:w="40" w:type="dxa"/>
              <w:bottom w:w="40" w:type="dxa"/>
              <w:right w:w="40" w:type="dxa"/>
            </w:tcMar>
            <w:vAlign w:val="center"/>
          </w:tcPr>
          <w:p w14:paraId="79E13F6B"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Hombres</w:t>
            </w:r>
          </w:p>
          <w:p w14:paraId="514AE4BB"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i/>
                <w:iCs/>
                <w:sz w:val="20"/>
                <w:szCs w:val="20"/>
                <w:lang w:eastAsia="en-US"/>
              </w:rPr>
              <w:t xml:space="preserve">n </w:t>
            </w:r>
            <w:r w:rsidRPr="001C4921">
              <w:rPr>
                <w:rFonts w:ascii="Arial" w:hAnsi="Arial" w:cs="Arial"/>
                <w:sz w:val="20"/>
                <w:szCs w:val="20"/>
                <w:lang w:eastAsia="en-US"/>
              </w:rPr>
              <w:t>= 61</w:t>
            </w:r>
          </w:p>
        </w:tc>
        <w:tc>
          <w:tcPr>
            <w:tcW w:w="1335" w:type="dxa"/>
            <w:tcBorders>
              <w:top w:val="nil"/>
              <w:left w:val="nil"/>
              <w:bottom w:val="nil"/>
              <w:right w:val="nil"/>
            </w:tcBorders>
            <w:tcMar>
              <w:top w:w="40" w:type="dxa"/>
              <w:left w:w="40" w:type="dxa"/>
              <w:bottom w:w="40" w:type="dxa"/>
              <w:right w:w="40" w:type="dxa"/>
            </w:tcMar>
            <w:vAlign w:val="center"/>
          </w:tcPr>
          <w:p w14:paraId="4135B353"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4.37, .53</w:t>
            </w:r>
          </w:p>
          <w:p w14:paraId="442D4561"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1335" w:type="dxa"/>
            <w:tcBorders>
              <w:top w:val="nil"/>
              <w:left w:val="nil"/>
              <w:bottom w:val="nil"/>
              <w:right w:val="nil"/>
            </w:tcBorders>
            <w:tcMar>
              <w:top w:w="40" w:type="dxa"/>
              <w:left w:w="40" w:type="dxa"/>
              <w:bottom w:w="40" w:type="dxa"/>
              <w:right w:w="40" w:type="dxa"/>
            </w:tcMar>
            <w:vAlign w:val="center"/>
          </w:tcPr>
          <w:p w14:paraId="17CB65FE"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4.25, .69</w:t>
            </w:r>
          </w:p>
        </w:tc>
        <w:tc>
          <w:tcPr>
            <w:tcW w:w="1215" w:type="dxa"/>
            <w:tcBorders>
              <w:top w:val="nil"/>
              <w:left w:val="nil"/>
              <w:bottom w:val="nil"/>
              <w:right w:val="nil"/>
            </w:tcBorders>
            <w:tcMar>
              <w:top w:w="40" w:type="dxa"/>
              <w:left w:w="40" w:type="dxa"/>
              <w:bottom w:w="40" w:type="dxa"/>
              <w:right w:w="40" w:type="dxa"/>
            </w:tcMar>
            <w:vAlign w:val="center"/>
          </w:tcPr>
          <w:p w14:paraId="71148D40"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4.65, .61</w:t>
            </w:r>
          </w:p>
        </w:tc>
        <w:tc>
          <w:tcPr>
            <w:tcW w:w="1275" w:type="dxa"/>
            <w:tcBorders>
              <w:top w:val="nil"/>
              <w:left w:val="nil"/>
              <w:bottom w:val="nil"/>
              <w:right w:val="nil"/>
            </w:tcBorders>
            <w:tcMar>
              <w:top w:w="40" w:type="dxa"/>
              <w:left w:w="40" w:type="dxa"/>
              <w:bottom w:w="40" w:type="dxa"/>
              <w:right w:w="40" w:type="dxa"/>
            </w:tcMar>
            <w:vAlign w:val="center"/>
          </w:tcPr>
          <w:p w14:paraId="3C7BB122"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4.23, .74</w:t>
            </w:r>
          </w:p>
        </w:tc>
        <w:tc>
          <w:tcPr>
            <w:tcW w:w="1335" w:type="dxa"/>
            <w:tcBorders>
              <w:top w:val="nil"/>
              <w:left w:val="nil"/>
              <w:bottom w:val="nil"/>
              <w:right w:val="nil"/>
            </w:tcBorders>
            <w:tcMar>
              <w:top w:w="40" w:type="dxa"/>
              <w:left w:w="40" w:type="dxa"/>
              <w:bottom w:w="40" w:type="dxa"/>
              <w:right w:w="40" w:type="dxa"/>
            </w:tcMar>
            <w:vAlign w:val="center"/>
          </w:tcPr>
          <w:p w14:paraId="704739F1"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4.47, .61</w:t>
            </w:r>
          </w:p>
        </w:tc>
      </w:tr>
      <w:tr w:rsidR="001C4921" w:rsidRPr="001C4921" w14:paraId="29FACF2C" w14:textId="77777777" w:rsidTr="00D00233">
        <w:trPr>
          <w:trHeight w:val="750"/>
        </w:trPr>
        <w:tc>
          <w:tcPr>
            <w:tcW w:w="1215" w:type="dxa"/>
            <w:tcBorders>
              <w:top w:val="nil"/>
              <w:left w:val="nil"/>
              <w:bottom w:val="nil"/>
              <w:right w:val="nil"/>
            </w:tcBorders>
            <w:tcMar>
              <w:top w:w="40" w:type="dxa"/>
              <w:left w:w="40" w:type="dxa"/>
              <w:bottom w:w="40" w:type="dxa"/>
              <w:right w:w="40" w:type="dxa"/>
            </w:tcMar>
            <w:vAlign w:val="center"/>
          </w:tcPr>
          <w:p w14:paraId="0ABA6301"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Psicología</w:t>
            </w:r>
          </w:p>
          <w:p w14:paraId="2B74D171"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n =90</w:t>
            </w:r>
          </w:p>
        </w:tc>
        <w:tc>
          <w:tcPr>
            <w:tcW w:w="1335" w:type="dxa"/>
            <w:tcBorders>
              <w:top w:val="nil"/>
              <w:left w:val="nil"/>
              <w:bottom w:val="nil"/>
              <w:right w:val="nil"/>
            </w:tcBorders>
            <w:tcMar>
              <w:top w:w="40" w:type="dxa"/>
              <w:left w:w="40" w:type="dxa"/>
              <w:bottom w:w="40" w:type="dxa"/>
              <w:right w:w="40" w:type="dxa"/>
            </w:tcMar>
            <w:vAlign w:val="center"/>
          </w:tcPr>
          <w:p w14:paraId="3B9398BE"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4.31, .63</w:t>
            </w:r>
          </w:p>
          <w:p w14:paraId="28578FCF"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1335" w:type="dxa"/>
            <w:tcBorders>
              <w:top w:val="nil"/>
              <w:left w:val="nil"/>
              <w:bottom w:val="nil"/>
              <w:right w:val="nil"/>
            </w:tcBorders>
            <w:tcMar>
              <w:top w:w="40" w:type="dxa"/>
              <w:left w:w="40" w:type="dxa"/>
              <w:bottom w:w="40" w:type="dxa"/>
              <w:right w:w="40" w:type="dxa"/>
            </w:tcMar>
            <w:vAlign w:val="center"/>
          </w:tcPr>
          <w:p w14:paraId="4234C96C"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4.26, .67</w:t>
            </w:r>
          </w:p>
        </w:tc>
        <w:tc>
          <w:tcPr>
            <w:tcW w:w="1215" w:type="dxa"/>
            <w:tcBorders>
              <w:top w:val="nil"/>
              <w:left w:val="nil"/>
              <w:bottom w:val="nil"/>
              <w:right w:val="nil"/>
            </w:tcBorders>
            <w:tcMar>
              <w:top w:w="40" w:type="dxa"/>
              <w:left w:w="40" w:type="dxa"/>
              <w:bottom w:w="40" w:type="dxa"/>
              <w:right w:w="40" w:type="dxa"/>
            </w:tcMar>
            <w:vAlign w:val="center"/>
          </w:tcPr>
          <w:p w14:paraId="7E200A2C"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4.61, .71</w:t>
            </w:r>
          </w:p>
        </w:tc>
        <w:tc>
          <w:tcPr>
            <w:tcW w:w="1275" w:type="dxa"/>
            <w:tcBorders>
              <w:top w:val="nil"/>
              <w:left w:val="nil"/>
              <w:bottom w:val="nil"/>
              <w:right w:val="nil"/>
            </w:tcBorders>
            <w:tcMar>
              <w:top w:w="40" w:type="dxa"/>
              <w:left w:w="40" w:type="dxa"/>
              <w:bottom w:w="40" w:type="dxa"/>
              <w:right w:w="40" w:type="dxa"/>
            </w:tcMar>
            <w:vAlign w:val="center"/>
          </w:tcPr>
          <w:p w14:paraId="2E33474D"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4.10, .81</w:t>
            </w:r>
          </w:p>
        </w:tc>
        <w:tc>
          <w:tcPr>
            <w:tcW w:w="1335" w:type="dxa"/>
            <w:tcBorders>
              <w:top w:val="nil"/>
              <w:left w:val="nil"/>
              <w:bottom w:val="nil"/>
              <w:right w:val="nil"/>
            </w:tcBorders>
            <w:tcMar>
              <w:top w:w="40" w:type="dxa"/>
              <w:left w:w="40" w:type="dxa"/>
              <w:bottom w:w="40" w:type="dxa"/>
              <w:right w:w="40" w:type="dxa"/>
            </w:tcMar>
            <w:vAlign w:val="center"/>
          </w:tcPr>
          <w:p w14:paraId="00431EA2"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4.41, 70</w:t>
            </w:r>
          </w:p>
        </w:tc>
      </w:tr>
      <w:tr w:rsidR="001C4921" w:rsidRPr="001C4921" w14:paraId="71926600" w14:textId="77777777" w:rsidTr="00D00233">
        <w:trPr>
          <w:trHeight w:val="750"/>
        </w:trPr>
        <w:tc>
          <w:tcPr>
            <w:tcW w:w="1215" w:type="dxa"/>
            <w:tcBorders>
              <w:top w:val="nil"/>
              <w:left w:val="nil"/>
              <w:bottom w:val="nil"/>
              <w:right w:val="nil"/>
            </w:tcBorders>
            <w:tcMar>
              <w:top w:w="40" w:type="dxa"/>
              <w:left w:w="40" w:type="dxa"/>
              <w:bottom w:w="40" w:type="dxa"/>
              <w:right w:w="40" w:type="dxa"/>
            </w:tcMar>
            <w:vAlign w:val="center"/>
          </w:tcPr>
          <w:p w14:paraId="15EA85CF"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Medicina</w:t>
            </w:r>
          </w:p>
          <w:p w14:paraId="611C0840"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i/>
                <w:iCs/>
                <w:sz w:val="20"/>
                <w:szCs w:val="20"/>
                <w:lang w:eastAsia="en-US"/>
              </w:rPr>
              <w:t xml:space="preserve">n </w:t>
            </w:r>
            <w:r w:rsidRPr="001C4921">
              <w:rPr>
                <w:rFonts w:ascii="Arial" w:hAnsi="Arial" w:cs="Arial"/>
                <w:sz w:val="20"/>
                <w:szCs w:val="20"/>
                <w:lang w:eastAsia="en-US"/>
              </w:rPr>
              <w:t>= 94</w:t>
            </w:r>
          </w:p>
        </w:tc>
        <w:tc>
          <w:tcPr>
            <w:tcW w:w="1335" w:type="dxa"/>
            <w:tcBorders>
              <w:top w:val="nil"/>
              <w:left w:val="nil"/>
              <w:bottom w:val="nil"/>
              <w:right w:val="nil"/>
            </w:tcBorders>
            <w:tcMar>
              <w:top w:w="40" w:type="dxa"/>
              <w:left w:w="40" w:type="dxa"/>
              <w:bottom w:w="40" w:type="dxa"/>
              <w:right w:w="40" w:type="dxa"/>
            </w:tcMar>
            <w:vAlign w:val="center"/>
          </w:tcPr>
          <w:p w14:paraId="0B7565FB"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4.13, .75</w:t>
            </w:r>
          </w:p>
          <w:p w14:paraId="31D602C9"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1335" w:type="dxa"/>
            <w:tcBorders>
              <w:top w:val="nil"/>
              <w:left w:val="nil"/>
              <w:bottom w:val="nil"/>
              <w:right w:val="nil"/>
            </w:tcBorders>
            <w:tcMar>
              <w:top w:w="40" w:type="dxa"/>
              <w:left w:w="40" w:type="dxa"/>
              <w:bottom w:w="40" w:type="dxa"/>
              <w:right w:w="40" w:type="dxa"/>
            </w:tcMar>
            <w:vAlign w:val="center"/>
          </w:tcPr>
          <w:p w14:paraId="7A35A020"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4.05, .81</w:t>
            </w:r>
          </w:p>
        </w:tc>
        <w:tc>
          <w:tcPr>
            <w:tcW w:w="1215" w:type="dxa"/>
            <w:tcBorders>
              <w:top w:val="nil"/>
              <w:left w:val="nil"/>
              <w:bottom w:val="nil"/>
              <w:right w:val="nil"/>
            </w:tcBorders>
            <w:tcMar>
              <w:top w:w="40" w:type="dxa"/>
              <w:left w:w="40" w:type="dxa"/>
              <w:bottom w:w="40" w:type="dxa"/>
              <w:right w:w="40" w:type="dxa"/>
            </w:tcMar>
            <w:vAlign w:val="center"/>
          </w:tcPr>
          <w:p w14:paraId="764CD3EC"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4.37, .88</w:t>
            </w:r>
          </w:p>
        </w:tc>
        <w:tc>
          <w:tcPr>
            <w:tcW w:w="1275" w:type="dxa"/>
            <w:tcBorders>
              <w:top w:val="nil"/>
              <w:left w:val="nil"/>
              <w:bottom w:val="nil"/>
              <w:right w:val="nil"/>
            </w:tcBorders>
            <w:tcMar>
              <w:top w:w="40" w:type="dxa"/>
              <w:left w:w="40" w:type="dxa"/>
              <w:bottom w:w="40" w:type="dxa"/>
              <w:right w:w="40" w:type="dxa"/>
            </w:tcMar>
            <w:vAlign w:val="center"/>
          </w:tcPr>
          <w:p w14:paraId="7C6AFEF0"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3.94, .96</w:t>
            </w:r>
          </w:p>
        </w:tc>
        <w:tc>
          <w:tcPr>
            <w:tcW w:w="1335" w:type="dxa"/>
            <w:tcBorders>
              <w:top w:val="nil"/>
              <w:left w:val="nil"/>
              <w:bottom w:val="nil"/>
              <w:right w:val="nil"/>
            </w:tcBorders>
            <w:tcMar>
              <w:top w:w="40" w:type="dxa"/>
              <w:left w:w="40" w:type="dxa"/>
              <w:bottom w:w="40" w:type="dxa"/>
              <w:right w:w="40" w:type="dxa"/>
            </w:tcMar>
            <w:vAlign w:val="center"/>
          </w:tcPr>
          <w:p w14:paraId="2FC34748"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4.29, .80</w:t>
            </w:r>
          </w:p>
        </w:tc>
      </w:tr>
      <w:tr w:rsidR="001C4921" w:rsidRPr="001C4921" w14:paraId="26D82FBA" w14:textId="77777777" w:rsidTr="00D00233">
        <w:trPr>
          <w:trHeight w:val="750"/>
        </w:trPr>
        <w:tc>
          <w:tcPr>
            <w:tcW w:w="1215" w:type="dxa"/>
            <w:tcMar>
              <w:top w:w="40" w:type="dxa"/>
              <w:left w:w="40" w:type="dxa"/>
              <w:bottom w:w="40" w:type="dxa"/>
              <w:right w:w="40" w:type="dxa"/>
            </w:tcMar>
            <w:vAlign w:val="center"/>
          </w:tcPr>
          <w:p w14:paraId="18600DD5"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Enfermería</w:t>
            </w:r>
          </w:p>
          <w:p w14:paraId="37FF535C"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i/>
                <w:iCs/>
                <w:sz w:val="20"/>
                <w:szCs w:val="20"/>
                <w:lang w:eastAsia="en-US"/>
              </w:rPr>
              <w:t xml:space="preserve">n </w:t>
            </w:r>
            <w:r w:rsidRPr="001C4921">
              <w:rPr>
                <w:rFonts w:ascii="Arial" w:hAnsi="Arial" w:cs="Arial"/>
                <w:sz w:val="20"/>
                <w:szCs w:val="20"/>
                <w:lang w:eastAsia="en-US"/>
              </w:rPr>
              <w:t>= 38</w:t>
            </w:r>
          </w:p>
        </w:tc>
        <w:tc>
          <w:tcPr>
            <w:tcW w:w="1335" w:type="dxa"/>
            <w:tcMar>
              <w:top w:w="40" w:type="dxa"/>
              <w:left w:w="40" w:type="dxa"/>
              <w:bottom w:w="40" w:type="dxa"/>
              <w:right w:w="40" w:type="dxa"/>
            </w:tcMar>
            <w:vAlign w:val="center"/>
          </w:tcPr>
          <w:p w14:paraId="592DC5FD"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4.09, .67</w:t>
            </w:r>
          </w:p>
          <w:p w14:paraId="4C116562"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1335" w:type="dxa"/>
            <w:tcMar>
              <w:top w:w="40" w:type="dxa"/>
              <w:left w:w="40" w:type="dxa"/>
              <w:bottom w:w="40" w:type="dxa"/>
              <w:right w:w="40" w:type="dxa"/>
            </w:tcMar>
            <w:vAlign w:val="center"/>
          </w:tcPr>
          <w:p w14:paraId="526B3EB6"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3.97, .81</w:t>
            </w:r>
          </w:p>
        </w:tc>
        <w:tc>
          <w:tcPr>
            <w:tcW w:w="1215" w:type="dxa"/>
            <w:tcMar>
              <w:top w:w="40" w:type="dxa"/>
              <w:left w:w="40" w:type="dxa"/>
              <w:bottom w:w="40" w:type="dxa"/>
              <w:right w:w="40" w:type="dxa"/>
            </w:tcMar>
            <w:vAlign w:val="center"/>
          </w:tcPr>
          <w:p w14:paraId="7751AB59"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4.59, .69</w:t>
            </w:r>
          </w:p>
        </w:tc>
        <w:tc>
          <w:tcPr>
            <w:tcW w:w="1275" w:type="dxa"/>
            <w:tcMar>
              <w:top w:w="40" w:type="dxa"/>
              <w:left w:w="40" w:type="dxa"/>
              <w:bottom w:w="40" w:type="dxa"/>
              <w:right w:w="40" w:type="dxa"/>
            </w:tcMar>
            <w:vAlign w:val="center"/>
          </w:tcPr>
          <w:p w14:paraId="1327705E"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3.65, .93</w:t>
            </w:r>
          </w:p>
        </w:tc>
        <w:tc>
          <w:tcPr>
            <w:tcW w:w="1335" w:type="dxa"/>
            <w:tcMar>
              <w:top w:w="40" w:type="dxa"/>
              <w:left w:w="40" w:type="dxa"/>
              <w:bottom w:w="40" w:type="dxa"/>
              <w:right w:w="40" w:type="dxa"/>
            </w:tcMar>
            <w:vAlign w:val="center"/>
          </w:tcPr>
          <w:p w14:paraId="6B0E8383"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4.43, .64</w:t>
            </w:r>
          </w:p>
        </w:tc>
      </w:tr>
      <w:tr w:rsidR="001C4921" w:rsidRPr="001C4921" w14:paraId="0139BDDF" w14:textId="77777777" w:rsidTr="00D00233">
        <w:trPr>
          <w:trHeight w:val="750"/>
        </w:trPr>
        <w:tc>
          <w:tcPr>
            <w:tcW w:w="1215" w:type="dxa"/>
            <w:tcBorders>
              <w:left w:val="nil"/>
              <w:bottom w:val="single" w:sz="8" w:space="0" w:color="auto"/>
              <w:right w:val="nil"/>
            </w:tcBorders>
            <w:tcMar>
              <w:top w:w="40" w:type="dxa"/>
              <w:left w:w="40" w:type="dxa"/>
              <w:bottom w:w="40" w:type="dxa"/>
              <w:right w:w="40" w:type="dxa"/>
            </w:tcMar>
            <w:vAlign w:val="center"/>
          </w:tcPr>
          <w:p w14:paraId="4EABC537"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Farmacia</w:t>
            </w:r>
          </w:p>
          <w:p w14:paraId="2EB9B63C"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i/>
                <w:iCs/>
                <w:sz w:val="20"/>
                <w:szCs w:val="20"/>
                <w:lang w:eastAsia="en-US"/>
              </w:rPr>
              <w:t xml:space="preserve">n </w:t>
            </w:r>
            <w:r w:rsidRPr="001C4921">
              <w:rPr>
                <w:rFonts w:ascii="Arial" w:hAnsi="Arial" w:cs="Arial"/>
                <w:sz w:val="20"/>
                <w:szCs w:val="20"/>
                <w:lang w:eastAsia="en-US"/>
              </w:rPr>
              <w:t>= 65</w:t>
            </w:r>
          </w:p>
        </w:tc>
        <w:tc>
          <w:tcPr>
            <w:tcW w:w="1335" w:type="dxa"/>
            <w:tcBorders>
              <w:left w:val="nil"/>
              <w:bottom w:val="single" w:sz="8" w:space="0" w:color="auto"/>
              <w:right w:val="nil"/>
            </w:tcBorders>
            <w:tcMar>
              <w:top w:w="40" w:type="dxa"/>
              <w:left w:w="40" w:type="dxa"/>
              <w:bottom w:w="40" w:type="dxa"/>
              <w:right w:w="40" w:type="dxa"/>
            </w:tcMar>
            <w:vAlign w:val="center"/>
          </w:tcPr>
          <w:p w14:paraId="2590DAD0" w14:textId="77777777" w:rsidR="001C4921" w:rsidRPr="001C4921" w:rsidRDefault="001C4921" w:rsidP="001C4921">
            <w:pPr>
              <w:spacing w:line="257" w:lineRule="auto"/>
              <w:rPr>
                <w:rFonts w:ascii="Arial" w:hAnsi="Arial" w:cs="Arial"/>
                <w:sz w:val="20"/>
                <w:szCs w:val="20"/>
                <w:lang w:eastAsia="en-US"/>
              </w:rPr>
            </w:pPr>
            <w:r w:rsidRPr="001C4921">
              <w:rPr>
                <w:rFonts w:ascii="Arial" w:hAnsi="Arial" w:cs="Arial"/>
                <w:sz w:val="20"/>
                <w:szCs w:val="20"/>
                <w:lang w:eastAsia="en-US"/>
              </w:rPr>
              <w:t>4.03, .76</w:t>
            </w:r>
          </w:p>
          <w:p w14:paraId="41272E30"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 xml:space="preserve"> </w:t>
            </w:r>
          </w:p>
        </w:tc>
        <w:tc>
          <w:tcPr>
            <w:tcW w:w="1335" w:type="dxa"/>
            <w:tcBorders>
              <w:left w:val="nil"/>
              <w:bottom w:val="single" w:sz="8" w:space="0" w:color="auto"/>
              <w:right w:val="nil"/>
            </w:tcBorders>
            <w:tcMar>
              <w:top w:w="40" w:type="dxa"/>
              <w:left w:w="40" w:type="dxa"/>
              <w:bottom w:w="40" w:type="dxa"/>
              <w:right w:w="40" w:type="dxa"/>
            </w:tcMar>
            <w:vAlign w:val="center"/>
          </w:tcPr>
          <w:p w14:paraId="1723AC00"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3.93, .79</w:t>
            </w:r>
          </w:p>
        </w:tc>
        <w:tc>
          <w:tcPr>
            <w:tcW w:w="1215" w:type="dxa"/>
            <w:tcBorders>
              <w:left w:val="nil"/>
              <w:bottom w:val="single" w:sz="8" w:space="0" w:color="auto"/>
              <w:right w:val="nil"/>
            </w:tcBorders>
            <w:tcMar>
              <w:top w:w="40" w:type="dxa"/>
              <w:left w:w="40" w:type="dxa"/>
              <w:bottom w:w="40" w:type="dxa"/>
              <w:right w:w="40" w:type="dxa"/>
            </w:tcMar>
            <w:vAlign w:val="center"/>
          </w:tcPr>
          <w:p w14:paraId="4E8A3731"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4.41, .79</w:t>
            </w:r>
          </w:p>
        </w:tc>
        <w:tc>
          <w:tcPr>
            <w:tcW w:w="1275" w:type="dxa"/>
            <w:tcBorders>
              <w:left w:val="nil"/>
              <w:bottom w:val="single" w:sz="8" w:space="0" w:color="auto"/>
              <w:right w:val="nil"/>
            </w:tcBorders>
            <w:tcMar>
              <w:top w:w="40" w:type="dxa"/>
              <w:left w:w="40" w:type="dxa"/>
              <w:bottom w:w="40" w:type="dxa"/>
              <w:right w:w="40" w:type="dxa"/>
            </w:tcMar>
            <w:vAlign w:val="center"/>
          </w:tcPr>
          <w:p w14:paraId="27743FAC"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3.81, 1.02</w:t>
            </w:r>
          </w:p>
        </w:tc>
        <w:tc>
          <w:tcPr>
            <w:tcW w:w="1335" w:type="dxa"/>
            <w:tcBorders>
              <w:left w:val="nil"/>
              <w:bottom w:val="single" w:sz="8" w:space="0" w:color="auto"/>
              <w:right w:val="nil"/>
            </w:tcBorders>
            <w:tcMar>
              <w:top w:w="40" w:type="dxa"/>
              <w:left w:w="40" w:type="dxa"/>
              <w:bottom w:w="40" w:type="dxa"/>
              <w:right w:w="40" w:type="dxa"/>
            </w:tcMar>
            <w:vAlign w:val="center"/>
          </w:tcPr>
          <w:p w14:paraId="31BB8067" w14:textId="77777777" w:rsidR="001C4921" w:rsidRPr="001C4921" w:rsidRDefault="001C4921" w:rsidP="001C4921">
            <w:pPr>
              <w:spacing w:after="160" w:line="257" w:lineRule="auto"/>
              <w:rPr>
                <w:rFonts w:ascii="Arial" w:hAnsi="Arial" w:cs="Arial"/>
                <w:sz w:val="20"/>
                <w:szCs w:val="20"/>
                <w:lang w:eastAsia="en-US"/>
              </w:rPr>
            </w:pPr>
            <w:r w:rsidRPr="001C4921">
              <w:rPr>
                <w:rFonts w:ascii="Arial" w:hAnsi="Arial" w:cs="Arial"/>
                <w:sz w:val="20"/>
                <w:szCs w:val="20"/>
                <w:lang w:eastAsia="en-US"/>
              </w:rPr>
              <w:t>4.15, .85</w:t>
            </w:r>
          </w:p>
        </w:tc>
      </w:tr>
    </w:tbl>
    <w:p w14:paraId="1F35CE4F" w14:textId="77777777" w:rsidR="001C4921" w:rsidRPr="001C4921" w:rsidRDefault="001C4921" w:rsidP="001C4921">
      <w:pPr>
        <w:spacing w:after="160" w:line="360" w:lineRule="auto"/>
        <w:ind w:firstLine="720"/>
        <w:jc w:val="both"/>
        <w:rPr>
          <w:rFonts w:ascii="Arial" w:eastAsia="Arial" w:hAnsi="Arial" w:cs="Arial"/>
          <w:color w:val="C45911"/>
          <w:lang w:eastAsia="en-US"/>
        </w:rPr>
      </w:pPr>
    </w:p>
    <w:p w14:paraId="6E386C50"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lastRenderedPageBreak/>
        <w:t xml:space="preserve">En la tabla 4, se pueden apreciar las correlaciones entre las diferentes variables de estudio. </w:t>
      </w:r>
    </w:p>
    <w:p w14:paraId="6BF487AD" w14:textId="77777777" w:rsidR="001C4921" w:rsidRPr="001C4921" w:rsidRDefault="001C4921" w:rsidP="001C4921">
      <w:pPr>
        <w:spacing w:after="160" w:line="360" w:lineRule="auto"/>
        <w:jc w:val="both"/>
        <w:rPr>
          <w:rFonts w:ascii="Arial" w:eastAsia="Calibri" w:hAnsi="Arial" w:cs="Arial"/>
          <w:sz w:val="22"/>
          <w:szCs w:val="22"/>
          <w:lang w:eastAsia="en-US"/>
        </w:rPr>
      </w:pPr>
      <w:r w:rsidRPr="001C4921">
        <w:rPr>
          <w:rFonts w:ascii="Arial" w:eastAsia="Arial" w:hAnsi="Arial" w:cs="Arial"/>
          <w:b/>
          <w:bCs/>
          <w:lang w:eastAsia="en-US"/>
        </w:rPr>
        <w:t>Tabla 4</w:t>
      </w:r>
    </w:p>
    <w:p w14:paraId="1F05F37B" w14:textId="77777777" w:rsidR="001C4921" w:rsidRPr="001C4921" w:rsidRDefault="001C4921" w:rsidP="001C4921">
      <w:pPr>
        <w:spacing w:after="160" w:line="360" w:lineRule="auto"/>
        <w:jc w:val="both"/>
        <w:rPr>
          <w:rFonts w:ascii="Arial" w:eastAsia="Calibri" w:hAnsi="Arial" w:cs="Arial"/>
          <w:sz w:val="22"/>
          <w:szCs w:val="22"/>
          <w:lang w:eastAsia="en-US"/>
        </w:rPr>
      </w:pPr>
      <w:r w:rsidRPr="001C4921">
        <w:rPr>
          <w:rFonts w:ascii="Arial" w:eastAsia="Arial" w:hAnsi="Arial" w:cs="Arial"/>
          <w:i/>
          <w:iCs/>
          <w:lang w:eastAsia="en-US"/>
        </w:rPr>
        <w:t>Matriz de correlaciones entre las distintas variables de estudio</w:t>
      </w:r>
    </w:p>
    <w:tbl>
      <w:tblPr>
        <w:tblStyle w:val="Tablaconcuadrcula1"/>
        <w:tblW w:w="0" w:type="auto"/>
        <w:tblLayout w:type="fixed"/>
        <w:tblLook w:val="04A0" w:firstRow="1" w:lastRow="0" w:firstColumn="1" w:lastColumn="0" w:noHBand="0" w:noVBand="1"/>
      </w:tblPr>
      <w:tblGrid>
        <w:gridCol w:w="2048"/>
        <w:gridCol w:w="669"/>
        <w:gridCol w:w="654"/>
        <w:gridCol w:w="615"/>
        <w:gridCol w:w="495"/>
        <w:gridCol w:w="725"/>
        <w:gridCol w:w="683"/>
        <w:gridCol w:w="683"/>
        <w:gridCol w:w="683"/>
        <w:gridCol w:w="683"/>
        <w:gridCol w:w="750"/>
        <w:gridCol w:w="765"/>
      </w:tblGrid>
      <w:tr w:rsidR="001C4921" w:rsidRPr="001C4921" w14:paraId="2779B6E0" w14:textId="77777777" w:rsidTr="00D00233">
        <w:trPr>
          <w:trHeight w:val="450"/>
        </w:trPr>
        <w:tc>
          <w:tcPr>
            <w:tcW w:w="2048" w:type="dxa"/>
            <w:tcBorders>
              <w:top w:val="single" w:sz="8" w:space="0" w:color="auto"/>
              <w:left w:val="nil"/>
              <w:bottom w:val="single" w:sz="8" w:space="0" w:color="auto"/>
              <w:right w:val="nil"/>
            </w:tcBorders>
            <w:tcMar>
              <w:left w:w="108" w:type="dxa"/>
              <w:right w:w="108" w:type="dxa"/>
            </w:tcMar>
          </w:tcPr>
          <w:p w14:paraId="425A846F" w14:textId="77777777" w:rsidR="001C4921" w:rsidRPr="001C4921" w:rsidRDefault="001C4921" w:rsidP="001C4921">
            <w:pPr>
              <w:rPr>
                <w:rFonts w:ascii="Arial" w:eastAsia="Calibri" w:hAnsi="Arial" w:cs="Arial"/>
                <w:lang w:eastAsia="en-US"/>
              </w:rPr>
            </w:pPr>
            <w:r w:rsidRPr="001C4921">
              <w:rPr>
                <w:rFonts w:ascii="Arial" w:eastAsia="Arial" w:hAnsi="Arial" w:cs="Arial"/>
                <w:lang w:eastAsia="en-US"/>
              </w:rPr>
              <w:t>Variable</w:t>
            </w:r>
          </w:p>
        </w:tc>
        <w:tc>
          <w:tcPr>
            <w:tcW w:w="669" w:type="dxa"/>
            <w:tcBorders>
              <w:top w:val="single" w:sz="8" w:space="0" w:color="auto"/>
              <w:left w:val="nil"/>
              <w:bottom w:val="single" w:sz="8" w:space="0" w:color="auto"/>
              <w:right w:val="nil"/>
            </w:tcBorders>
            <w:tcMar>
              <w:left w:w="108" w:type="dxa"/>
              <w:right w:w="108" w:type="dxa"/>
            </w:tcMar>
          </w:tcPr>
          <w:p w14:paraId="25976C7E"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n</w:t>
            </w:r>
          </w:p>
        </w:tc>
        <w:tc>
          <w:tcPr>
            <w:tcW w:w="654" w:type="dxa"/>
            <w:tcBorders>
              <w:top w:val="single" w:sz="8" w:space="0" w:color="auto"/>
              <w:left w:val="nil"/>
              <w:bottom w:val="single" w:sz="8" w:space="0" w:color="auto"/>
              <w:right w:val="nil"/>
            </w:tcBorders>
            <w:tcMar>
              <w:left w:w="108" w:type="dxa"/>
              <w:right w:w="108" w:type="dxa"/>
            </w:tcMar>
          </w:tcPr>
          <w:p w14:paraId="3D29F344"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M</w:t>
            </w:r>
          </w:p>
        </w:tc>
        <w:tc>
          <w:tcPr>
            <w:tcW w:w="615" w:type="dxa"/>
            <w:tcBorders>
              <w:top w:val="single" w:sz="8" w:space="0" w:color="auto"/>
              <w:left w:val="nil"/>
              <w:bottom w:val="single" w:sz="8" w:space="0" w:color="auto"/>
              <w:right w:val="nil"/>
            </w:tcBorders>
            <w:tcMar>
              <w:left w:w="108" w:type="dxa"/>
              <w:right w:w="108" w:type="dxa"/>
            </w:tcMar>
          </w:tcPr>
          <w:p w14:paraId="0D665B36"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SD</w:t>
            </w:r>
          </w:p>
        </w:tc>
        <w:tc>
          <w:tcPr>
            <w:tcW w:w="495" w:type="dxa"/>
            <w:tcBorders>
              <w:top w:val="single" w:sz="8" w:space="0" w:color="auto"/>
              <w:left w:val="nil"/>
              <w:bottom w:val="single" w:sz="8" w:space="0" w:color="auto"/>
              <w:right w:val="nil"/>
            </w:tcBorders>
            <w:tcMar>
              <w:left w:w="108" w:type="dxa"/>
              <w:right w:w="108" w:type="dxa"/>
            </w:tcMar>
          </w:tcPr>
          <w:p w14:paraId="2AC5E27D"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1</w:t>
            </w:r>
          </w:p>
        </w:tc>
        <w:tc>
          <w:tcPr>
            <w:tcW w:w="725" w:type="dxa"/>
            <w:tcBorders>
              <w:top w:val="single" w:sz="8" w:space="0" w:color="auto"/>
              <w:left w:val="nil"/>
              <w:bottom w:val="single" w:sz="8" w:space="0" w:color="auto"/>
              <w:right w:val="nil"/>
            </w:tcBorders>
            <w:tcMar>
              <w:left w:w="108" w:type="dxa"/>
              <w:right w:w="108" w:type="dxa"/>
            </w:tcMar>
          </w:tcPr>
          <w:p w14:paraId="048E8DE9"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2</w:t>
            </w:r>
          </w:p>
        </w:tc>
        <w:tc>
          <w:tcPr>
            <w:tcW w:w="683" w:type="dxa"/>
            <w:tcBorders>
              <w:top w:val="single" w:sz="8" w:space="0" w:color="auto"/>
              <w:left w:val="nil"/>
              <w:bottom w:val="single" w:sz="8" w:space="0" w:color="auto"/>
              <w:right w:val="nil"/>
            </w:tcBorders>
            <w:tcMar>
              <w:left w:w="108" w:type="dxa"/>
              <w:right w:w="108" w:type="dxa"/>
            </w:tcMar>
          </w:tcPr>
          <w:p w14:paraId="6BE6D578"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3</w:t>
            </w:r>
          </w:p>
        </w:tc>
        <w:tc>
          <w:tcPr>
            <w:tcW w:w="683" w:type="dxa"/>
            <w:tcBorders>
              <w:top w:val="single" w:sz="8" w:space="0" w:color="auto"/>
              <w:left w:val="nil"/>
              <w:bottom w:val="single" w:sz="8" w:space="0" w:color="auto"/>
              <w:right w:val="nil"/>
            </w:tcBorders>
            <w:tcMar>
              <w:left w:w="108" w:type="dxa"/>
              <w:right w:w="108" w:type="dxa"/>
            </w:tcMar>
          </w:tcPr>
          <w:p w14:paraId="119854C8"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4</w:t>
            </w:r>
          </w:p>
        </w:tc>
        <w:tc>
          <w:tcPr>
            <w:tcW w:w="683" w:type="dxa"/>
            <w:tcBorders>
              <w:top w:val="single" w:sz="8" w:space="0" w:color="auto"/>
              <w:left w:val="nil"/>
              <w:bottom w:val="single" w:sz="8" w:space="0" w:color="auto"/>
              <w:right w:val="nil"/>
            </w:tcBorders>
            <w:tcMar>
              <w:left w:w="108" w:type="dxa"/>
              <w:right w:w="108" w:type="dxa"/>
            </w:tcMar>
          </w:tcPr>
          <w:p w14:paraId="1BF93D9F"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5</w:t>
            </w:r>
          </w:p>
        </w:tc>
        <w:tc>
          <w:tcPr>
            <w:tcW w:w="683" w:type="dxa"/>
            <w:tcBorders>
              <w:top w:val="single" w:sz="8" w:space="0" w:color="auto"/>
              <w:left w:val="nil"/>
              <w:bottom w:val="single" w:sz="8" w:space="0" w:color="auto"/>
              <w:right w:val="nil"/>
            </w:tcBorders>
            <w:tcMar>
              <w:left w:w="108" w:type="dxa"/>
              <w:right w:w="108" w:type="dxa"/>
            </w:tcMar>
          </w:tcPr>
          <w:p w14:paraId="43BDC2BF"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6</w:t>
            </w:r>
          </w:p>
        </w:tc>
        <w:tc>
          <w:tcPr>
            <w:tcW w:w="750" w:type="dxa"/>
            <w:tcBorders>
              <w:top w:val="single" w:sz="8" w:space="0" w:color="auto"/>
              <w:left w:val="nil"/>
              <w:bottom w:val="single" w:sz="8" w:space="0" w:color="auto"/>
              <w:right w:val="nil"/>
            </w:tcBorders>
            <w:tcMar>
              <w:left w:w="108" w:type="dxa"/>
              <w:right w:w="108" w:type="dxa"/>
            </w:tcMar>
          </w:tcPr>
          <w:p w14:paraId="61E4E5E3"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7</w:t>
            </w:r>
          </w:p>
        </w:tc>
        <w:tc>
          <w:tcPr>
            <w:tcW w:w="765" w:type="dxa"/>
            <w:tcBorders>
              <w:top w:val="single" w:sz="8" w:space="0" w:color="auto"/>
              <w:left w:val="nil"/>
              <w:bottom w:val="single" w:sz="8" w:space="0" w:color="auto"/>
              <w:right w:val="nil"/>
            </w:tcBorders>
            <w:tcMar>
              <w:left w:w="108" w:type="dxa"/>
              <w:right w:w="108" w:type="dxa"/>
            </w:tcMar>
          </w:tcPr>
          <w:p w14:paraId="255420C4" w14:textId="77777777" w:rsidR="001C4921" w:rsidRPr="001C4921" w:rsidRDefault="001C4921" w:rsidP="001C4921">
            <w:pPr>
              <w:jc w:val="both"/>
              <w:rPr>
                <w:rFonts w:ascii="Arial" w:eastAsia="Calibri" w:hAnsi="Arial" w:cs="Arial"/>
                <w:lang w:eastAsia="en-US"/>
              </w:rPr>
            </w:pPr>
            <w:r w:rsidRPr="001C4921">
              <w:rPr>
                <w:rFonts w:ascii="Arial" w:eastAsia="Arial" w:hAnsi="Arial" w:cs="Arial"/>
                <w:lang w:eastAsia="en-US"/>
              </w:rPr>
              <w:t>8</w:t>
            </w:r>
          </w:p>
        </w:tc>
      </w:tr>
      <w:tr w:rsidR="001C4921" w:rsidRPr="001C4921" w14:paraId="6CE0FD2D" w14:textId="77777777" w:rsidTr="00D00233">
        <w:trPr>
          <w:trHeight w:val="420"/>
        </w:trPr>
        <w:tc>
          <w:tcPr>
            <w:tcW w:w="2048" w:type="dxa"/>
            <w:tcBorders>
              <w:top w:val="single" w:sz="8" w:space="0" w:color="auto"/>
              <w:left w:val="nil"/>
              <w:bottom w:val="nil"/>
              <w:right w:val="nil"/>
            </w:tcBorders>
            <w:tcMar>
              <w:left w:w="108" w:type="dxa"/>
              <w:right w:w="108" w:type="dxa"/>
            </w:tcMar>
            <w:vAlign w:val="center"/>
          </w:tcPr>
          <w:p w14:paraId="036987A5"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 DESIT-17</w:t>
            </w:r>
          </w:p>
        </w:tc>
        <w:tc>
          <w:tcPr>
            <w:tcW w:w="669" w:type="dxa"/>
            <w:tcBorders>
              <w:top w:val="single" w:sz="8" w:space="0" w:color="auto"/>
              <w:left w:val="nil"/>
              <w:bottom w:val="nil"/>
              <w:right w:val="nil"/>
            </w:tcBorders>
            <w:tcMar>
              <w:left w:w="108" w:type="dxa"/>
              <w:right w:w="108" w:type="dxa"/>
            </w:tcMar>
            <w:vAlign w:val="center"/>
          </w:tcPr>
          <w:p w14:paraId="0285775F"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287</w:t>
            </w:r>
          </w:p>
        </w:tc>
        <w:tc>
          <w:tcPr>
            <w:tcW w:w="654" w:type="dxa"/>
            <w:tcBorders>
              <w:top w:val="single" w:sz="8" w:space="0" w:color="auto"/>
              <w:left w:val="nil"/>
              <w:bottom w:val="nil"/>
              <w:right w:val="nil"/>
            </w:tcBorders>
            <w:tcMar>
              <w:left w:w="108" w:type="dxa"/>
              <w:right w:w="108" w:type="dxa"/>
            </w:tcMar>
            <w:vAlign w:val="center"/>
          </w:tcPr>
          <w:p w14:paraId="5541345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4.16</w:t>
            </w:r>
          </w:p>
        </w:tc>
        <w:tc>
          <w:tcPr>
            <w:tcW w:w="615" w:type="dxa"/>
            <w:tcBorders>
              <w:top w:val="single" w:sz="8" w:space="0" w:color="auto"/>
              <w:left w:val="nil"/>
              <w:bottom w:val="nil"/>
              <w:right w:val="nil"/>
            </w:tcBorders>
            <w:tcMar>
              <w:left w:w="108" w:type="dxa"/>
              <w:right w:w="108" w:type="dxa"/>
            </w:tcMar>
            <w:vAlign w:val="center"/>
          </w:tcPr>
          <w:p w14:paraId="41824D6B"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.71</w:t>
            </w:r>
          </w:p>
        </w:tc>
        <w:tc>
          <w:tcPr>
            <w:tcW w:w="495" w:type="dxa"/>
            <w:tcBorders>
              <w:top w:val="single" w:sz="8" w:space="0" w:color="auto"/>
              <w:left w:val="nil"/>
              <w:bottom w:val="nil"/>
              <w:right w:val="nil"/>
            </w:tcBorders>
            <w:tcMar>
              <w:left w:w="108" w:type="dxa"/>
              <w:right w:w="108" w:type="dxa"/>
            </w:tcMar>
            <w:vAlign w:val="center"/>
          </w:tcPr>
          <w:p w14:paraId="3EE0E1DB"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w:t>
            </w:r>
          </w:p>
        </w:tc>
        <w:tc>
          <w:tcPr>
            <w:tcW w:w="725" w:type="dxa"/>
            <w:tcBorders>
              <w:top w:val="single" w:sz="8" w:space="0" w:color="auto"/>
              <w:left w:val="nil"/>
              <w:bottom w:val="nil"/>
              <w:right w:val="nil"/>
            </w:tcBorders>
            <w:tcMar>
              <w:left w:w="108" w:type="dxa"/>
              <w:right w:w="108" w:type="dxa"/>
            </w:tcMar>
            <w:vAlign w:val="center"/>
          </w:tcPr>
          <w:p w14:paraId="54455C2F"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.85**</w:t>
            </w:r>
          </w:p>
        </w:tc>
        <w:tc>
          <w:tcPr>
            <w:tcW w:w="683" w:type="dxa"/>
            <w:tcBorders>
              <w:top w:val="single" w:sz="8" w:space="0" w:color="auto"/>
              <w:left w:val="nil"/>
              <w:bottom w:val="nil"/>
              <w:right w:val="nil"/>
            </w:tcBorders>
            <w:tcMar>
              <w:left w:w="108" w:type="dxa"/>
              <w:right w:w="108" w:type="dxa"/>
            </w:tcMar>
            <w:vAlign w:val="center"/>
          </w:tcPr>
          <w:p w14:paraId="03EE57D0"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.91**</w:t>
            </w:r>
          </w:p>
        </w:tc>
        <w:tc>
          <w:tcPr>
            <w:tcW w:w="683" w:type="dxa"/>
            <w:tcBorders>
              <w:top w:val="single" w:sz="8" w:space="0" w:color="auto"/>
              <w:left w:val="nil"/>
              <w:bottom w:val="nil"/>
              <w:right w:val="nil"/>
            </w:tcBorders>
            <w:tcMar>
              <w:left w:w="108" w:type="dxa"/>
              <w:right w:w="108" w:type="dxa"/>
            </w:tcMar>
            <w:vAlign w:val="center"/>
          </w:tcPr>
          <w:p w14:paraId="69AB66C8"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.88**</w:t>
            </w:r>
          </w:p>
        </w:tc>
        <w:tc>
          <w:tcPr>
            <w:tcW w:w="683" w:type="dxa"/>
            <w:tcBorders>
              <w:top w:val="single" w:sz="8" w:space="0" w:color="auto"/>
              <w:left w:val="nil"/>
              <w:bottom w:val="nil"/>
              <w:right w:val="nil"/>
            </w:tcBorders>
            <w:tcMar>
              <w:left w:w="108" w:type="dxa"/>
              <w:right w:w="108" w:type="dxa"/>
            </w:tcMar>
            <w:vAlign w:val="center"/>
          </w:tcPr>
          <w:p w14:paraId="6F92E48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.79**</w:t>
            </w:r>
          </w:p>
        </w:tc>
        <w:tc>
          <w:tcPr>
            <w:tcW w:w="683" w:type="dxa"/>
            <w:tcBorders>
              <w:top w:val="single" w:sz="8" w:space="0" w:color="auto"/>
              <w:left w:val="nil"/>
              <w:bottom w:val="nil"/>
              <w:right w:val="nil"/>
            </w:tcBorders>
            <w:tcMar>
              <w:left w:w="108" w:type="dxa"/>
              <w:right w:w="108" w:type="dxa"/>
            </w:tcMar>
            <w:vAlign w:val="center"/>
          </w:tcPr>
          <w:p w14:paraId="715672D3"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.64**</w:t>
            </w:r>
          </w:p>
        </w:tc>
        <w:tc>
          <w:tcPr>
            <w:tcW w:w="750" w:type="dxa"/>
            <w:tcBorders>
              <w:top w:val="single" w:sz="8" w:space="0" w:color="auto"/>
              <w:left w:val="nil"/>
              <w:bottom w:val="nil"/>
              <w:right w:val="nil"/>
            </w:tcBorders>
            <w:tcMar>
              <w:left w:w="108" w:type="dxa"/>
              <w:right w:w="108" w:type="dxa"/>
            </w:tcMar>
            <w:vAlign w:val="center"/>
          </w:tcPr>
          <w:p w14:paraId="1C7FE9B0"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-.16**</w:t>
            </w:r>
          </w:p>
        </w:tc>
        <w:tc>
          <w:tcPr>
            <w:tcW w:w="765" w:type="dxa"/>
            <w:tcBorders>
              <w:top w:val="single" w:sz="8" w:space="0" w:color="auto"/>
              <w:left w:val="nil"/>
              <w:bottom w:val="nil"/>
              <w:right w:val="nil"/>
            </w:tcBorders>
            <w:tcMar>
              <w:left w:w="108" w:type="dxa"/>
              <w:right w:w="108" w:type="dxa"/>
            </w:tcMar>
            <w:vAlign w:val="center"/>
          </w:tcPr>
          <w:p w14:paraId="7234C11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-.25**</w:t>
            </w:r>
          </w:p>
        </w:tc>
      </w:tr>
      <w:tr w:rsidR="001C4921" w:rsidRPr="001C4921" w14:paraId="55C63686" w14:textId="77777777" w:rsidTr="00D00233">
        <w:trPr>
          <w:trHeight w:val="465"/>
        </w:trPr>
        <w:tc>
          <w:tcPr>
            <w:tcW w:w="2048" w:type="dxa"/>
            <w:tcBorders>
              <w:top w:val="nil"/>
              <w:left w:val="nil"/>
              <w:bottom w:val="nil"/>
              <w:right w:val="nil"/>
            </w:tcBorders>
            <w:tcMar>
              <w:left w:w="108" w:type="dxa"/>
              <w:right w:w="108" w:type="dxa"/>
            </w:tcMar>
            <w:vAlign w:val="center"/>
          </w:tcPr>
          <w:p w14:paraId="0E5D9592" w14:textId="77777777" w:rsidR="001C4921" w:rsidRPr="001C4921" w:rsidRDefault="001C4921" w:rsidP="001C4921">
            <w:pPr>
              <w:rPr>
                <w:rFonts w:ascii="Arial" w:eastAsia="Calibri" w:hAnsi="Arial" w:cs="Arial"/>
                <w:lang w:val="es-CR" w:eastAsia="en-US"/>
              </w:rPr>
            </w:pPr>
            <w:r w:rsidRPr="001C4921">
              <w:rPr>
                <w:rFonts w:ascii="Arial" w:eastAsia="Arial" w:hAnsi="Arial" w:cs="Arial"/>
                <w:sz w:val="20"/>
                <w:szCs w:val="20"/>
                <w:lang w:val="es-CR" w:eastAsia="en-US"/>
              </w:rPr>
              <w:t>2. Satisfacción con la atención docente (SAD)</w:t>
            </w:r>
          </w:p>
        </w:tc>
        <w:tc>
          <w:tcPr>
            <w:tcW w:w="669" w:type="dxa"/>
            <w:tcBorders>
              <w:top w:val="nil"/>
              <w:left w:val="nil"/>
              <w:bottom w:val="nil"/>
              <w:right w:val="nil"/>
            </w:tcBorders>
            <w:tcMar>
              <w:left w:w="108" w:type="dxa"/>
              <w:right w:w="108" w:type="dxa"/>
            </w:tcMar>
            <w:vAlign w:val="center"/>
          </w:tcPr>
          <w:p w14:paraId="373FBD02"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287</w:t>
            </w:r>
          </w:p>
        </w:tc>
        <w:tc>
          <w:tcPr>
            <w:tcW w:w="654" w:type="dxa"/>
            <w:tcBorders>
              <w:top w:val="nil"/>
              <w:left w:val="nil"/>
              <w:bottom w:val="nil"/>
              <w:right w:val="nil"/>
            </w:tcBorders>
            <w:tcMar>
              <w:left w:w="108" w:type="dxa"/>
              <w:right w:w="108" w:type="dxa"/>
            </w:tcMar>
            <w:vAlign w:val="center"/>
          </w:tcPr>
          <w:p w14:paraId="2342CDB2"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4.08</w:t>
            </w:r>
          </w:p>
        </w:tc>
        <w:tc>
          <w:tcPr>
            <w:tcW w:w="615" w:type="dxa"/>
            <w:tcBorders>
              <w:top w:val="nil"/>
              <w:left w:val="nil"/>
              <w:bottom w:val="nil"/>
              <w:right w:val="nil"/>
            </w:tcBorders>
            <w:tcMar>
              <w:left w:w="108" w:type="dxa"/>
              <w:right w:w="108" w:type="dxa"/>
            </w:tcMar>
            <w:vAlign w:val="center"/>
          </w:tcPr>
          <w:p w14:paraId="54D9E294"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.77</w:t>
            </w:r>
          </w:p>
        </w:tc>
        <w:tc>
          <w:tcPr>
            <w:tcW w:w="495" w:type="dxa"/>
            <w:tcBorders>
              <w:top w:val="nil"/>
              <w:left w:val="nil"/>
              <w:bottom w:val="nil"/>
              <w:right w:val="nil"/>
            </w:tcBorders>
            <w:tcMar>
              <w:left w:w="108" w:type="dxa"/>
              <w:right w:w="108" w:type="dxa"/>
            </w:tcMar>
            <w:vAlign w:val="center"/>
          </w:tcPr>
          <w:p w14:paraId="45D63B74"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25" w:type="dxa"/>
            <w:tcBorders>
              <w:top w:val="nil"/>
              <w:left w:val="nil"/>
              <w:bottom w:val="nil"/>
              <w:right w:val="nil"/>
            </w:tcBorders>
            <w:tcMar>
              <w:left w:w="108" w:type="dxa"/>
              <w:right w:w="108" w:type="dxa"/>
            </w:tcMar>
            <w:vAlign w:val="center"/>
          </w:tcPr>
          <w:p w14:paraId="46B3BC5D"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w:t>
            </w:r>
          </w:p>
        </w:tc>
        <w:tc>
          <w:tcPr>
            <w:tcW w:w="683" w:type="dxa"/>
            <w:tcBorders>
              <w:top w:val="nil"/>
              <w:left w:val="nil"/>
              <w:bottom w:val="nil"/>
              <w:right w:val="nil"/>
            </w:tcBorders>
            <w:tcMar>
              <w:left w:w="108" w:type="dxa"/>
              <w:right w:w="108" w:type="dxa"/>
            </w:tcMar>
            <w:vAlign w:val="center"/>
          </w:tcPr>
          <w:p w14:paraId="784E12D9"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.68**</w:t>
            </w:r>
          </w:p>
        </w:tc>
        <w:tc>
          <w:tcPr>
            <w:tcW w:w="683" w:type="dxa"/>
            <w:tcBorders>
              <w:top w:val="nil"/>
              <w:left w:val="nil"/>
              <w:bottom w:val="nil"/>
              <w:right w:val="nil"/>
            </w:tcBorders>
            <w:tcMar>
              <w:left w:w="108" w:type="dxa"/>
              <w:right w:w="108" w:type="dxa"/>
            </w:tcMar>
            <w:vAlign w:val="center"/>
          </w:tcPr>
          <w:p w14:paraId="66361194"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.64**</w:t>
            </w:r>
          </w:p>
        </w:tc>
        <w:tc>
          <w:tcPr>
            <w:tcW w:w="683" w:type="dxa"/>
            <w:tcBorders>
              <w:top w:val="nil"/>
              <w:left w:val="nil"/>
              <w:bottom w:val="nil"/>
              <w:right w:val="nil"/>
            </w:tcBorders>
            <w:tcMar>
              <w:left w:w="108" w:type="dxa"/>
              <w:right w:w="108" w:type="dxa"/>
            </w:tcMar>
            <w:vAlign w:val="center"/>
          </w:tcPr>
          <w:p w14:paraId="434D599F"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.54**</w:t>
            </w:r>
          </w:p>
        </w:tc>
        <w:tc>
          <w:tcPr>
            <w:tcW w:w="683" w:type="dxa"/>
            <w:tcBorders>
              <w:top w:val="nil"/>
              <w:left w:val="nil"/>
              <w:bottom w:val="nil"/>
              <w:right w:val="nil"/>
            </w:tcBorders>
            <w:tcMar>
              <w:left w:w="108" w:type="dxa"/>
              <w:right w:w="108" w:type="dxa"/>
            </w:tcMar>
            <w:vAlign w:val="center"/>
          </w:tcPr>
          <w:p w14:paraId="0973F019"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.54**</w:t>
            </w:r>
          </w:p>
        </w:tc>
        <w:tc>
          <w:tcPr>
            <w:tcW w:w="750" w:type="dxa"/>
            <w:tcBorders>
              <w:top w:val="nil"/>
              <w:left w:val="nil"/>
              <w:bottom w:val="nil"/>
              <w:right w:val="nil"/>
            </w:tcBorders>
            <w:tcMar>
              <w:left w:w="108" w:type="dxa"/>
              <w:right w:w="108" w:type="dxa"/>
            </w:tcMar>
            <w:vAlign w:val="center"/>
          </w:tcPr>
          <w:p w14:paraId="3FCE9F90"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-.14*</w:t>
            </w:r>
          </w:p>
        </w:tc>
        <w:tc>
          <w:tcPr>
            <w:tcW w:w="765" w:type="dxa"/>
            <w:tcBorders>
              <w:top w:val="nil"/>
              <w:left w:val="nil"/>
              <w:bottom w:val="nil"/>
              <w:right w:val="nil"/>
            </w:tcBorders>
            <w:tcMar>
              <w:left w:w="108" w:type="dxa"/>
              <w:right w:w="108" w:type="dxa"/>
            </w:tcMar>
            <w:vAlign w:val="center"/>
          </w:tcPr>
          <w:p w14:paraId="74CC1ECB"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-.15**</w:t>
            </w:r>
          </w:p>
        </w:tc>
      </w:tr>
      <w:tr w:rsidR="001C4921" w:rsidRPr="001C4921" w14:paraId="17663672" w14:textId="77777777" w:rsidTr="00D00233">
        <w:trPr>
          <w:trHeight w:val="750"/>
        </w:trPr>
        <w:tc>
          <w:tcPr>
            <w:tcW w:w="2048" w:type="dxa"/>
            <w:tcBorders>
              <w:top w:val="nil"/>
              <w:left w:val="nil"/>
              <w:bottom w:val="nil"/>
              <w:right w:val="nil"/>
            </w:tcBorders>
            <w:tcMar>
              <w:left w:w="108" w:type="dxa"/>
              <w:right w:w="108" w:type="dxa"/>
            </w:tcMar>
            <w:vAlign w:val="center"/>
          </w:tcPr>
          <w:p w14:paraId="3026985C" w14:textId="77777777" w:rsidR="001C4921" w:rsidRPr="001C4921" w:rsidRDefault="001C4921" w:rsidP="001C4921">
            <w:pPr>
              <w:rPr>
                <w:rFonts w:ascii="Arial" w:eastAsia="Calibri" w:hAnsi="Arial" w:cs="Arial"/>
                <w:lang w:val="es-CR" w:eastAsia="en-US"/>
              </w:rPr>
            </w:pPr>
            <w:r w:rsidRPr="001C4921">
              <w:rPr>
                <w:rFonts w:ascii="Arial" w:eastAsia="Arial" w:hAnsi="Arial" w:cs="Arial"/>
                <w:sz w:val="20"/>
                <w:szCs w:val="20"/>
                <w:lang w:val="es-CR" w:eastAsia="en-US"/>
              </w:rPr>
              <w:t>3. Satisfacción con los servicios (SAS)</w:t>
            </w:r>
          </w:p>
        </w:tc>
        <w:tc>
          <w:tcPr>
            <w:tcW w:w="669" w:type="dxa"/>
            <w:tcBorders>
              <w:top w:val="nil"/>
              <w:left w:val="nil"/>
              <w:bottom w:val="nil"/>
              <w:right w:val="nil"/>
            </w:tcBorders>
            <w:tcMar>
              <w:left w:w="108" w:type="dxa"/>
              <w:right w:w="108" w:type="dxa"/>
            </w:tcMar>
            <w:vAlign w:val="center"/>
          </w:tcPr>
          <w:p w14:paraId="53AFC78E"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287</w:t>
            </w:r>
          </w:p>
        </w:tc>
        <w:tc>
          <w:tcPr>
            <w:tcW w:w="654" w:type="dxa"/>
            <w:tcBorders>
              <w:top w:val="nil"/>
              <w:left w:val="nil"/>
              <w:bottom w:val="nil"/>
              <w:right w:val="nil"/>
            </w:tcBorders>
            <w:tcMar>
              <w:left w:w="108" w:type="dxa"/>
              <w:right w:w="108" w:type="dxa"/>
            </w:tcMar>
            <w:vAlign w:val="center"/>
          </w:tcPr>
          <w:p w14:paraId="19876D07"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3.92</w:t>
            </w:r>
          </w:p>
        </w:tc>
        <w:tc>
          <w:tcPr>
            <w:tcW w:w="615" w:type="dxa"/>
            <w:tcBorders>
              <w:top w:val="nil"/>
              <w:left w:val="nil"/>
              <w:bottom w:val="nil"/>
              <w:right w:val="nil"/>
            </w:tcBorders>
            <w:tcMar>
              <w:left w:w="108" w:type="dxa"/>
              <w:right w:w="108" w:type="dxa"/>
            </w:tcMar>
            <w:vAlign w:val="center"/>
          </w:tcPr>
          <w:p w14:paraId="7B6E623B"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.93</w:t>
            </w:r>
          </w:p>
        </w:tc>
        <w:tc>
          <w:tcPr>
            <w:tcW w:w="495" w:type="dxa"/>
            <w:tcBorders>
              <w:top w:val="nil"/>
              <w:left w:val="nil"/>
              <w:bottom w:val="nil"/>
              <w:right w:val="nil"/>
            </w:tcBorders>
            <w:tcMar>
              <w:left w:w="108" w:type="dxa"/>
              <w:right w:w="108" w:type="dxa"/>
            </w:tcMar>
            <w:vAlign w:val="center"/>
          </w:tcPr>
          <w:p w14:paraId="54BB7695"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25" w:type="dxa"/>
            <w:tcBorders>
              <w:top w:val="nil"/>
              <w:left w:val="nil"/>
              <w:bottom w:val="nil"/>
              <w:right w:val="nil"/>
            </w:tcBorders>
            <w:tcMar>
              <w:left w:w="108" w:type="dxa"/>
              <w:right w:w="108" w:type="dxa"/>
            </w:tcMar>
            <w:vAlign w:val="center"/>
          </w:tcPr>
          <w:p w14:paraId="36C1036D"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25AD4983"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w:t>
            </w:r>
          </w:p>
          <w:p w14:paraId="03E9E310"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3EB88054"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.73**</w:t>
            </w:r>
          </w:p>
        </w:tc>
        <w:tc>
          <w:tcPr>
            <w:tcW w:w="683" w:type="dxa"/>
            <w:tcBorders>
              <w:top w:val="nil"/>
              <w:left w:val="nil"/>
              <w:bottom w:val="nil"/>
              <w:right w:val="nil"/>
            </w:tcBorders>
            <w:tcMar>
              <w:left w:w="108" w:type="dxa"/>
              <w:right w:w="108" w:type="dxa"/>
            </w:tcMar>
            <w:vAlign w:val="center"/>
          </w:tcPr>
          <w:p w14:paraId="471FF41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.64**</w:t>
            </w:r>
          </w:p>
        </w:tc>
        <w:tc>
          <w:tcPr>
            <w:tcW w:w="683" w:type="dxa"/>
            <w:tcBorders>
              <w:top w:val="nil"/>
              <w:left w:val="nil"/>
              <w:bottom w:val="nil"/>
              <w:right w:val="nil"/>
            </w:tcBorders>
            <w:tcMar>
              <w:left w:w="108" w:type="dxa"/>
              <w:right w:w="108" w:type="dxa"/>
            </w:tcMar>
            <w:vAlign w:val="center"/>
          </w:tcPr>
          <w:p w14:paraId="2FE45E44"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.64**</w:t>
            </w:r>
          </w:p>
        </w:tc>
        <w:tc>
          <w:tcPr>
            <w:tcW w:w="750" w:type="dxa"/>
            <w:tcBorders>
              <w:top w:val="nil"/>
              <w:left w:val="nil"/>
              <w:bottom w:val="nil"/>
              <w:right w:val="nil"/>
            </w:tcBorders>
            <w:tcMar>
              <w:left w:w="108" w:type="dxa"/>
              <w:right w:w="108" w:type="dxa"/>
            </w:tcMar>
            <w:vAlign w:val="center"/>
          </w:tcPr>
          <w:p w14:paraId="670121DB"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-.18**</w:t>
            </w:r>
          </w:p>
        </w:tc>
        <w:tc>
          <w:tcPr>
            <w:tcW w:w="765" w:type="dxa"/>
            <w:tcBorders>
              <w:top w:val="nil"/>
              <w:left w:val="nil"/>
              <w:bottom w:val="nil"/>
              <w:right w:val="nil"/>
            </w:tcBorders>
            <w:tcMar>
              <w:left w:w="108" w:type="dxa"/>
              <w:right w:w="108" w:type="dxa"/>
            </w:tcMar>
            <w:vAlign w:val="center"/>
          </w:tcPr>
          <w:p w14:paraId="317CAF84"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-.33**</w:t>
            </w:r>
          </w:p>
        </w:tc>
      </w:tr>
      <w:tr w:rsidR="001C4921" w:rsidRPr="001C4921" w14:paraId="672EFBF8" w14:textId="77777777" w:rsidTr="00D00233">
        <w:trPr>
          <w:trHeight w:val="1290"/>
        </w:trPr>
        <w:tc>
          <w:tcPr>
            <w:tcW w:w="2048" w:type="dxa"/>
            <w:tcBorders>
              <w:top w:val="nil"/>
              <w:left w:val="nil"/>
              <w:bottom w:val="nil"/>
              <w:right w:val="nil"/>
            </w:tcBorders>
            <w:tcMar>
              <w:left w:w="108" w:type="dxa"/>
              <w:right w:w="108" w:type="dxa"/>
            </w:tcMar>
            <w:vAlign w:val="center"/>
          </w:tcPr>
          <w:p w14:paraId="47435E93" w14:textId="77777777" w:rsidR="001C4921" w:rsidRPr="001C4921" w:rsidRDefault="001C4921" w:rsidP="001C4921">
            <w:pPr>
              <w:rPr>
                <w:rFonts w:ascii="Arial" w:eastAsia="Calibri" w:hAnsi="Arial" w:cs="Arial"/>
                <w:lang w:val="es-CR" w:eastAsia="en-US"/>
              </w:rPr>
            </w:pPr>
            <w:r w:rsidRPr="001C4921">
              <w:rPr>
                <w:rFonts w:ascii="Arial" w:eastAsia="Arial" w:hAnsi="Arial" w:cs="Arial"/>
                <w:sz w:val="20"/>
                <w:szCs w:val="20"/>
                <w:lang w:val="es-CR" w:eastAsia="en-US"/>
              </w:rPr>
              <w:t>4. Satisfacción con aspectos científicos y tecnológicos de la formación (SACT)</w:t>
            </w:r>
          </w:p>
        </w:tc>
        <w:tc>
          <w:tcPr>
            <w:tcW w:w="669" w:type="dxa"/>
            <w:tcBorders>
              <w:top w:val="nil"/>
              <w:left w:val="nil"/>
              <w:bottom w:val="nil"/>
              <w:right w:val="nil"/>
            </w:tcBorders>
            <w:tcMar>
              <w:left w:w="108" w:type="dxa"/>
              <w:right w:w="108" w:type="dxa"/>
            </w:tcMar>
            <w:vAlign w:val="center"/>
          </w:tcPr>
          <w:p w14:paraId="7E8FF8D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287</w:t>
            </w:r>
          </w:p>
        </w:tc>
        <w:tc>
          <w:tcPr>
            <w:tcW w:w="654" w:type="dxa"/>
            <w:tcBorders>
              <w:top w:val="nil"/>
              <w:left w:val="nil"/>
              <w:bottom w:val="nil"/>
              <w:right w:val="nil"/>
            </w:tcBorders>
            <w:tcMar>
              <w:left w:w="108" w:type="dxa"/>
              <w:right w:w="108" w:type="dxa"/>
            </w:tcMar>
            <w:vAlign w:val="center"/>
          </w:tcPr>
          <w:p w14:paraId="744AC006"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4.32</w:t>
            </w:r>
          </w:p>
        </w:tc>
        <w:tc>
          <w:tcPr>
            <w:tcW w:w="615" w:type="dxa"/>
            <w:tcBorders>
              <w:top w:val="nil"/>
              <w:left w:val="nil"/>
              <w:bottom w:val="nil"/>
              <w:right w:val="nil"/>
            </w:tcBorders>
            <w:tcMar>
              <w:left w:w="108" w:type="dxa"/>
              <w:right w:w="108" w:type="dxa"/>
            </w:tcMar>
            <w:vAlign w:val="center"/>
          </w:tcPr>
          <w:p w14:paraId="72B597B1"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.77</w:t>
            </w:r>
          </w:p>
        </w:tc>
        <w:tc>
          <w:tcPr>
            <w:tcW w:w="495" w:type="dxa"/>
            <w:tcBorders>
              <w:top w:val="nil"/>
              <w:left w:val="nil"/>
              <w:bottom w:val="nil"/>
              <w:right w:val="nil"/>
            </w:tcBorders>
            <w:tcMar>
              <w:left w:w="108" w:type="dxa"/>
              <w:right w:w="108" w:type="dxa"/>
            </w:tcMar>
            <w:vAlign w:val="center"/>
          </w:tcPr>
          <w:p w14:paraId="3B8968B2"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25" w:type="dxa"/>
            <w:tcBorders>
              <w:top w:val="nil"/>
              <w:left w:val="nil"/>
              <w:bottom w:val="nil"/>
              <w:right w:val="nil"/>
            </w:tcBorders>
            <w:tcMar>
              <w:left w:w="108" w:type="dxa"/>
              <w:right w:w="108" w:type="dxa"/>
            </w:tcMar>
            <w:vAlign w:val="center"/>
          </w:tcPr>
          <w:p w14:paraId="21825732"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2057ED89"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68406879"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w:t>
            </w:r>
          </w:p>
          <w:p w14:paraId="09F4E3A5"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12CDE3D2"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.71**</w:t>
            </w:r>
          </w:p>
        </w:tc>
        <w:tc>
          <w:tcPr>
            <w:tcW w:w="683" w:type="dxa"/>
            <w:tcBorders>
              <w:top w:val="nil"/>
              <w:left w:val="nil"/>
              <w:bottom w:val="nil"/>
              <w:right w:val="nil"/>
            </w:tcBorders>
            <w:tcMar>
              <w:left w:w="108" w:type="dxa"/>
              <w:right w:w="108" w:type="dxa"/>
            </w:tcMar>
            <w:vAlign w:val="center"/>
          </w:tcPr>
          <w:p w14:paraId="7FA9AF93"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.50**</w:t>
            </w:r>
          </w:p>
        </w:tc>
        <w:tc>
          <w:tcPr>
            <w:tcW w:w="750" w:type="dxa"/>
            <w:tcBorders>
              <w:top w:val="nil"/>
              <w:left w:val="nil"/>
              <w:bottom w:val="nil"/>
              <w:right w:val="nil"/>
            </w:tcBorders>
            <w:tcMar>
              <w:left w:w="108" w:type="dxa"/>
              <w:right w:w="108" w:type="dxa"/>
            </w:tcMar>
            <w:vAlign w:val="center"/>
          </w:tcPr>
          <w:p w14:paraId="2BC194C3"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-.10</w:t>
            </w:r>
          </w:p>
        </w:tc>
        <w:tc>
          <w:tcPr>
            <w:tcW w:w="765" w:type="dxa"/>
            <w:tcBorders>
              <w:top w:val="nil"/>
              <w:left w:val="nil"/>
              <w:bottom w:val="nil"/>
              <w:right w:val="nil"/>
            </w:tcBorders>
            <w:tcMar>
              <w:left w:w="108" w:type="dxa"/>
              <w:right w:w="108" w:type="dxa"/>
            </w:tcMar>
            <w:vAlign w:val="center"/>
          </w:tcPr>
          <w:p w14:paraId="3C74C825"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-.18**</w:t>
            </w:r>
          </w:p>
        </w:tc>
      </w:tr>
      <w:tr w:rsidR="001C4921" w:rsidRPr="001C4921" w14:paraId="232679A6" w14:textId="77777777" w:rsidTr="00D00233">
        <w:trPr>
          <w:trHeight w:val="690"/>
        </w:trPr>
        <w:tc>
          <w:tcPr>
            <w:tcW w:w="2048" w:type="dxa"/>
            <w:tcBorders>
              <w:top w:val="nil"/>
              <w:left w:val="nil"/>
              <w:bottom w:val="nil"/>
              <w:right w:val="nil"/>
            </w:tcBorders>
            <w:tcMar>
              <w:left w:w="108" w:type="dxa"/>
              <w:right w:w="108" w:type="dxa"/>
            </w:tcMar>
            <w:vAlign w:val="center"/>
          </w:tcPr>
          <w:p w14:paraId="108552B5" w14:textId="77777777" w:rsidR="001C4921" w:rsidRPr="001C4921" w:rsidRDefault="001C4921" w:rsidP="001C4921">
            <w:pPr>
              <w:rPr>
                <w:rFonts w:ascii="Arial" w:eastAsia="Calibri" w:hAnsi="Arial" w:cs="Arial"/>
                <w:lang w:val="es-CR" w:eastAsia="en-US"/>
              </w:rPr>
            </w:pPr>
            <w:r w:rsidRPr="001C4921">
              <w:rPr>
                <w:rFonts w:ascii="Arial" w:eastAsia="Arial" w:hAnsi="Arial" w:cs="Arial"/>
                <w:sz w:val="20"/>
                <w:szCs w:val="20"/>
                <w:lang w:val="es-CR" w:eastAsia="en-US"/>
              </w:rPr>
              <w:t>5. Satisfacción con el equipo (SAE)</w:t>
            </w:r>
          </w:p>
        </w:tc>
        <w:tc>
          <w:tcPr>
            <w:tcW w:w="669" w:type="dxa"/>
            <w:tcBorders>
              <w:top w:val="nil"/>
              <w:left w:val="nil"/>
              <w:bottom w:val="nil"/>
              <w:right w:val="nil"/>
            </w:tcBorders>
            <w:tcMar>
              <w:left w:w="108" w:type="dxa"/>
              <w:right w:w="108" w:type="dxa"/>
            </w:tcMar>
            <w:vAlign w:val="center"/>
          </w:tcPr>
          <w:p w14:paraId="65C295A9"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287</w:t>
            </w:r>
          </w:p>
        </w:tc>
        <w:tc>
          <w:tcPr>
            <w:tcW w:w="654" w:type="dxa"/>
            <w:tcBorders>
              <w:top w:val="nil"/>
              <w:left w:val="nil"/>
              <w:bottom w:val="nil"/>
              <w:right w:val="nil"/>
            </w:tcBorders>
            <w:tcMar>
              <w:left w:w="108" w:type="dxa"/>
              <w:right w:w="108" w:type="dxa"/>
            </w:tcMar>
            <w:vAlign w:val="center"/>
          </w:tcPr>
          <w:p w14:paraId="74F45F2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4.48</w:t>
            </w:r>
          </w:p>
        </w:tc>
        <w:tc>
          <w:tcPr>
            <w:tcW w:w="615" w:type="dxa"/>
            <w:tcBorders>
              <w:top w:val="nil"/>
              <w:left w:val="nil"/>
              <w:bottom w:val="nil"/>
              <w:right w:val="nil"/>
            </w:tcBorders>
            <w:tcMar>
              <w:left w:w="108" w:type="dxa"/>
              <w:right w:w="108" w:type="dxa"/>
            </w:tcMar>
            <w:vAlign w:val="center"/>
          </w:tcPr>
          <w:p w14:paraId="5DF3C83D"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.79</w:t>
            </w:r>
          </w:p>
        </w:tc>
        <w:tc>
          <w:tcPr>
            <w:tcW w:w="495" w:type="dxa"/>
            <w:tcBorders>
              <w:top w:val="nil"/>
              <w:left w:val="nil"/>
              <w:bottom w:val="nil"/>
              <w:right w:val="nil"/>
            </w:tcBorders>
            <w:tcMar>
              <w:left w:w="108" w:type="dxa"/>
              <w:right w:w="108" w:type="dxa"/>
            </w:tcMar>
            <w:vAlign w:val="center"/>
          </w:tcPr>
          <w:p w14:paraId="6C55C145"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25" w:type="dxa"/>
            <w:tcBorders>
              <w:top w:val="nil"/>
              <w:left w:val="nil"/>
              <w:bottom w:val="nil"/>
              <w:right w:val="nil"/>
            </w:tcBorders>
            <w:tcMar>
              <w:left w:w="108" w:type="dxa"/>
              <w:right w:w="108" w:type="dxa"/>
            </w:tcMar>
            <w:vAlign w:val="center"/>
          </w:tcPr>
          <w:p w14:paraId="30E47099"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46C0733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60114326"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1149E2CC"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w:t>
            </w:r>
          </w:p>
          <w:p w14:paraId="5A8E655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23D32535"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.45**</w:t>
            </w:r>
          </w:p>
        </w:tc>
        <w:tc>
          <w:tcPr>
            <w:tcW w:w="750" w:type="dxa"/>
            <w:tcBorders>
              <w:top w:val="nil"/>
              <w:left w:val="nil"/>
              <w:bottom w:val="nil"/>
              <w:right w:val="nil"/>
            </w:tcBorders>
            <w:tcMar>
              <w:left w:w="108" w:type="dxa"/>
              <w:right w:w="108" w:type="dxa"/>
            </w:tcMar>
            <w:vAlign w:val="center"/>
          </w:tcPr>
          <w:p w14:paraId="7647313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-.11</w:t>
            </w:r>
          </w:p>
        </w:tc>
        <w:tc>
          <w:tcPr>
            <w:tcW w:w="765" w:type="dxa"/>
            <w:tcBorders>
              <w:top w:val="nil"/>
              <w:left w:val="nil"/>
              <w:bottom w:val="nil"/>
              <w:right w:val="nil"/>
            </w:tcBorders>
            <w:tcMar>
              <w:left w:w="108" w:type="dxa"/>
              <w:right w:w="108" w:type="dxa"/>
            </w:tcMar>
            <w:vAlign w:val="center"/>
          </w:tcPr>
          <w:p w14:paraId="24386925"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-.16**</w:t>
            </w:r>
          </w:p>
        </w:tc>
      </w:tr>
      <w:tr w:rsidR="001C4921" w:rsidRPr="001C4921" w14:paraId="55D219ED" w14:textId="77777777" w:rsidTr="00D00233">
        <w:trPr>
          <w:trHeight w:val="840"/>
        </w:trPr>
        <w:tc>
          <w:tcPr>
            <w:tcW w:w="2048" w:type="dxa"/>
            <w:tcBorders>
              <w:top w:val="nil"/>
              <w:left w:val="nil"/>
              <w:bottom w:val="nil"/>
              <w:right w:val="nil"/>
            </w:tcBorders>
            <w:tcMar>
              <w:left w:w="108" w:type="dxa"/>
              <w:right w:w="108" w:type="dxa"/>
            </w:tcMar>
            <w:vAlign w:val="center"/>
          </w:tcPr>
          <w:p w14:paraId="16159A8B" w14:textId="77777777" w:rsidR="001C4921" w:rsidRPr="001C4921" w:rsidRDefault="001C4921" w:rsidP="001C4921">
            <w:pPr>
              <w:rPr>
                <w:rFonts w:ascii="Arial" w:eastAsia="Calibri" w:hAnsi="Arial" w:cs="Arial"/>
                <w:lang w:val="es-CR" w:eastAsia="en-US"/>
              </w:rPr>
            </w:pPr>
            <w:r w:rsidRPr="001C4921">
              <w:rPr>
                <w:rFonts w:ascii="Arial" w:eastAsia="Arial" w:hAnsi="Arial" w:cs="Arial"/>
                <w:sz w:val="20"/>
                <w:szCs w:val="20"/>
                <w:lang w:val="es-CR" w:eastAsia="en-US"/>
              </w:rPr>
              <w:t>6. Escala de Satisfacción Académica (ESA)</w:t>
            </w:r>
          </w:p>
        </w:tc>
        <w:tc>
          <w:tcPr>
            <w:tcW w:w="669" w:type="dxa"/>
            <w:tcBorders>
              <w:top w:val="nil"/>
              <w:left w:val="nil"/>
              <w:bottom w:val="nil"/>
              <w:right w:val="nil"/>
            </w:tcBorders>
            <w:tcMar>
              <w:left w:w="108" w:type="dxa"/>
              <w:right w:w="108" w:type="dxa"/>
            </w:tcMar>
            <w:vAlign w:val="center"/>
          </w:tcPr>
          <w:p w14:paraId="55D673AD"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287</w:t>
            </w:r>
          </w:p>
        </w:tc>
        <w:tc>
          <w:tcPr>
            <w:tcW w:w="654" w:type="dxa"/>
            <w:tcBorders>
              <w:top w:val="nil"/>
              <w:left w:val="nil"/>
              <w:bottom w:val="nil"/>
              <w:right w:val="nil"/>
            </w:tcBorders>
            <w:tcMar>
              <w:left w:w="108" w:type="dxa"/>
              <w:right w:w="108" w:type="dxa"/>
            </w:tcMar>
            <w:vAlign w:val="center"/>
          </w:tcPr>
          <w:p w14:paraId="1F20A1FF"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4.31</w:t>
            </w:r>
          </w:p>
        </w:tc>
        <w:tc>
          <w:tcPr>
            <w:tcW w:w="615" w:type="dxa"/>
            <w:tcBorders>
              <w:top w:val="nil"/>
              <w:left w:val="nil"/>
              <w:bottom w:val="nil"/>
              <w:right w:val="nil"/>
            </w:tcBorders>
            <w:tcMar>
              <w:left w:w="108" w:type="dxa"/>
              <w:right w:w="108" w:type="dxa"/>
            </w:tcMar>
            <w:vAlign w:val="center"/>
          </w:tcPr>
          <w:p w14:paraId="41F36790"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.63</w:t>
            </w:r>
          </w:p>
        </w:tc>
        <w:tc>
          <w:tcPr>
            <w:tcW w:w="495" w:type="dxa"/>
            <w:tcBorders>
              <w:top w:val="nil"/>
              <w:left w:val="nil"/>
              <w:bottom w:val="nil"/>
              <w:right w:val="nil"/>
            </w:tcBorders>
            <w:tcMar>
              <w:left w:w="108" w:type="dxa"/>
              <w:right w:w="108" w:type="dxa"/>
            </w:tcMar>
            <w:vAlign w:val="center"/>
          </w:tcPr>
          <w:p w14:paraId="31D8D46F"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25" w:type="dxa"/>
            <w:tcBorders>
              <w:top w:val="nil"/>
              <w:left w:val="nil"/>
              <w:bottom w:val="nil"/>
              <w:right w:val="nil"/>
            </w:tcBorders>
            <w:tcMar>
              <w:left w:w="108" w:type="dxa"/>
              <w:right w:w="108" w:type="dxa"/>
            </w:tcMar>
            <w:vAlign w:val="center"/>
          </w:tcPr>
          <w:p w14:paraId="665A66FC"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352DC862"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386D3497"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5087484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70ED2B00"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w:t>
            </w:r>
          </w:p>
          <w:p w14:paraId="5597A353"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50" w:type="dxa"/>
            <w:tcBorders>
              <w:top w:val="nil"/>
              <w:left w:val="nil"/>
              <w:bottom w:val="nil"/>
              <w:right w:val="nil"/>
            </w:tcBorders>
            <w:tcMar>
              <w:left w:w="108" w:type="dxa"/>
              <w:right w:w="108" w:type="dxa"/>
            </w:tcMar>
            <w:vAlign w:val="center"/>
          </w:tcPr>
          <w:p w14:paraId="3561789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-.16**</w:t>
            </w:r>
          </w:p>
          <w:p w14:paraId="775C706D"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65" w:type="dxa"/>
            <w:tcBorders>
              <w:top w:val="nil"/>
              <w:left w:val="nil"/>
              <w:bottom w:val="nil"/>
              <w:right w:val="nil"/>
            </w:tcBorders>
            <w:tcMar>
              <w:left w:w="108" w:type="dxa"/>
              <w:right w:w="108" w:type="dxa"/>
            </w:tcMar>
            <w:vAlign w:val="center"/>
          </w:tcPr>
          <w:p w14:paraId="3052068D"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-.22**</w:t>
            </w:r>
          </w:p>
        </w:tc>
      </w:tr>
      <w:tr w:rsidR="001C4921" w:rsidRPr="001C4921" w14:paraId="3244694C" w14:textId="77777777" w:rsidTr="00D00233">
        <w:trPr>
          <w:trHeight w:val="510"/>
        </w:trPr>
        <w:tc>
          <w:tcPr>
            <w:tcW w:w="2048" w:type="dxa"/>
            <w:tcBorders>
              <w:top w:val="nil"/>
              <w:left w:val="nil"/>
              <w:bottom w:val="nil"/>
              <w:right w:val="nil"/>
            </w:tcBorders>
            <w:tcMar>
              <w:left w:w="108" w:type="dxa"/>
              <w:right w:w="108" w:type="dxa"/>
            </w:tcMar>
            <w:vAlign w:val="center"/>
          </w:tcPr>
          <w:p w14:paraId="7839769B"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7. </w:t>
            </w:r>
            <w:proofErr w:type="spellStart"/>
            <w:r w:rsidRPr="001C4921">
              <w:rPr>
                <w:rFonts w:ascii="Arial" w:eastAsia="Arial" w:hAnsi="Arial" w:cs="Arial"/>
                <w:sz w:val="20"/>
                <w:szCs w:val="20"/>
                <w:lang w:eastAsia="en-US"/>
              </w:rPr>
              <w:t>Edad</w:t>
            </w:r>
            <w:proofErr w:type="spellEnd"/>
          </w:p>
        </w:tc>
        <w:tc>
          <w:tcPr>
            <w:tcW w:w="669" w:type="dxa"/>
            <w:tcBorders>
              <w:top w:val="nil"/>
              <w:left w:val="nil"/>
              <w:bottom w:val="nil"/>
              <w:right w:val="nil"/>
            </w:tcBorders>
            <w:tcMar>
              <w:left w:w="108" w:type="dxa"/>
              <w:right w:w="108" w:type="dxa"/>
            </w:tcMar>
            <w:vAlign w:val="center"/>
          </w:tcPr>
          <w:p w14:paraId="4F880C86"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287</w:t>
            </w:r>
          </w:p>
        </w:tc>
        <w:tc>
          <w:tcPr>
            <w:tcW w:w="654" w:type="dxa"/>
            <w:tcBorders>
              <w:top w:val="nil"/>
              <w:left w:val="nil"/>
              <w:bottom w:val="nil"/>
              <w:right w:val="nil"/>
            </w:tcBorders>
            <w:tcMar>
              <w:left w:w="108" w:type="dxa"/>
              <w:right w:w="108" w:type="dxa"/>
            </w:tcMar>
            <w:vAlign w:val="center"/>
          </w:tcPr>
          <w:p w14:paraId="31554008"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21.9</w:t>
            </w:r>
          </w:p>
        </w:tc>
        <w:tc>
          <w:tcPr>
            <w:tcW w:w="615" w:type="dxa"/>
            <w:tcBorders>
              <w:top w:val="nil"/>
              <w:left w:val="nil"/>
              <w:bottom w:val="nil"/>
              <w:right w:val="nil"/>
            </w:tcBorders>
            <w:tcMar>
              <w:left w:w="108" w:type="dxa"/>
              <w:right w:w="108" w:type="dxa"/>
            </w:tcMar>
            <w:vAlign w:val="center"/>
          </w:tcPr>
          <w:p w14:paraId="2E863418"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4.2</w:t>
            </w:r>
          </w:p>
        </w:tc>
        <w:tc>
          <w:tcPr>
            <w:tcW w:w="495" w:type="dxa"/>
            <w:tcBorders>
              <w:top w:val="nil"/>
              <w:left w:val="nil"/>
              <w:bottom w:val="nil"/>
              <w:right w:val="nil"/>
            </w:tcBorders>
            <w:tcMar>
              <w:left w:w="108" w:type="dxa"/>
              <w:right w:w="108" w:type="dxa"/>
            </w:tcMar>
            <w:vAlign w:val="center"/>
          </w:tcPr>
          <w:p w14:paraId="6D89579B"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25" w:type="dxa"/>
            <w:tcBorders>
              <w:top w:val="nil"/>
              <w:left w:val="nil"/>
              <w:bottom w:val="nil"/>
              <w:right w:val="nil"/>
            </w:tcBorders>
            <w:tcMar>
              <w:left w:w="108" w:type="dxa"/>
              <w:right w:w="108" w:type="dxa"/>
            </w:tcMar>
            <w:vAlign w:val="center"/>
          </w:tcPr>
          <w:p w14:paraId="48F2BBCF"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231BE09F"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7F85073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2D73499C"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nil"/>
              <w:right w:val="nil"/>
            </w:tcBorders>
            <w:tcMar>
              <w:left w:w="108" w:type="dxa"/>
              <w:right w:w="108" w:type="dxa"/>
            </w:tcMar>
            <w:vAlign w:val="center"/>
          </w:tcPr>
          <w:p w14:paraId="3ADBC428"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50" w:type="dxa"/>
            <w:tcBorders>
              <w:top w:val="nil"/>
              <w:left w:val="nil"/>
              <w:bottom w:val="nil"/>
              <w:right w:val="nil"/>
            </w:tcBorders>
            <w:tcMar>
              <w:left w:w="108" w:type="dxa"/>
              <w:right w:w="108" w:type="dxa"/>
            </w:tcMar>
            <w:vAlign w:val="center"/>
          </w:tcPr>
          <w:p w14:paraId="1C010E3F"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w:t>
            </w:r>
          </w:p>
          <w:p w14:paraId="6F8C46F3"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65" w:type="dxa"/>
            <w:tcBorders>
              <w:top w:val="nil"/>
              <w:left w:val="nil"/>
              <w:bottom w:val="nil"/>
              <w:right w:val="nil"/>
            </w:tcBorders>
            <w:tcMar>
              <w:left w:w="108" w:type="dxa"/>
              <w:right w:w="108" w:type="dxa"/>
            </w:tcMar>
            <w:vAlign w:val="center"/>
          </w:tcPr>
          <w:p w14:paraId="738ABDB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.35**</w:t>
            </w:r>
          </w:p>
          <w:p w14:paraId="2C9D86AD"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r>
      <w:tr w:rsidR="001C4921" w:rsidRPr="001C4921" w14:paraId="64BE27CF" w14:textId="77777777" w:rsidTr="00D00233">
        <w:trPr>
          <w:trHeight w:val="840"/>
        </w:trPr>
        <w:tc>
          <w:tcPr>
            <w:tcW w:w="2048" w:type="dxa"/>
            <w:tcBorders>
              <w:top w:val="nil"/>
              <w:left w:val="nil"/>
              <w:bottom w:val="single" w:sz="8" w:space="0" w:color="auto"/>
              <w:right w:val="nil"/>
            </w:tcBorders>
            <w:tcMar>
              <w:left w:w="108" w:type="dxa"/>
              <w:right w:w="108" w:type="dxa"/>
            </w:tcMar>
            <w:vAlign w:val="center"/>
          </w:tcPr>
          <w:p w14:paraId="05886945"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8. </w:t>
            </w:r>
            <w:proofErr w:type="spellStart"/>
            <w:r w:rsidRPr="001C4921">
              <w:rPr>
                <w:rFonts w:ascii="Arial" w:eastAsia="Arial" w:hAnsi="Arial" w:cs="Arial"/>
                <w:sz w:val="20"/>
                <w:szCs w:val="20"/>
                <w:lang w:eastAsia="en-US"/>
              </w:rPr>
              <w:t>Último</w:t>
            </w:r>
            <w:proofErr w:type="spellEnd"/>
            <w:r w:rsidRPr="001C4921">
              <w:rPr>
                <w:rFonts w:ascii="Arial" w:eastAsia="Arial" w:hAnsi="Arial" w:cs="Arial"/>
                <w:sz w:val="20"/>
                <w:szCs w:val="20"/>
                <w:lang w:eastAsia="en-US"/>
              </w:rPr>
              <w:t xml:space="preserve"> </w:t>
            </w:r>
            <w:proofErr w:type="spellStart"/>
            <w:r w:rsidRPr="001C4921">
              <w:rPr>
                <w:rFonts w:ascii="Arial" w:eastAsia="Arial" w:hAnsi="Arial" w:cs="Arial"/>
                <w:sz w:val="20"/>
                <w:szCs w:val="20"/>
                <w:lang w:eastAsia="en-US"/>
              </w:rPr>
              <w:t>cuatrimestre</w:t>
            </w:r>
            <w:proofErr w:type="spellEnd"/>
            <w:r w:rsidRPr="001C4921">
              <w:rPr>
                <w:rFonts w:ascii="Arial" w:eastAsia="Arial" w:hAnsi="Arial" w:cs="Arial"/>
                <w:sz w:val="20"/>
                <w:szCs w:val="20"/>
                <w:lang w:eastAsia="en-US"/>
              </w:rPr>
              <w:t xml:space="preserve"> </w:t>
            </w:r>
            <w:proofErr w:type="spellStart"/>
            <w:r w:rsidRPr="001C4921">
              <w:rPr>
                <w:rFonts w:ascii="Arial" w:eastAsia="Arial" w:hAnsi="Arial" w:cs="Arial"/>
                <w:sz w:val="20"/>
                <w:szCs w:val="20"/>
                <w:lang w:eastAsia="en-US"/>
              </w:rPr>
              <w:t>completado</w:t>
            </w:r>
            <w:proofErr w:type="spellEnd"/>
          </w:p>
        </w:tc>
        <w:tc>
          <w:tcPr>
            <w:tcW w:w="669" w:type="dxa"/>
            <w:tcBorders>
              <w:top w:val="nil"/>
              <w:left w:val="nil"/>
              <w:bottom w:val="single" w:sz="8" w:space="0" w:color="auto"/>
              <w:right w:val="nil"/>
            </w:tcBorders>
            <w:tcMar>
              <w:left w:w="108" w:type="dxa"/>
              <w:right w:w="108" w:type="dxa"/>
            </w:tcMar>
            <w:vAlign w:val="center"/>
          </w:tcPr>
          <w:p w14:paraId="5D3B3BAE"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285</w:t>
            </w:r>
          </w:p>
        </w:tc>
        <w:tc>
          <w:tcPr>
            <w:tcW w:w="654" w:type="dxa"/>
            <w:tcBorders>
              <w:top w:val="nil"/>
              <w:left w:val="nil"/>
              <w:bottom w:val="single" w:sz="8" w:space="0" w:color="auto"/>
              <w:right w:val="nil"/>
            </w:tcBorders>
            <w:tcMar>
              <w:left w:w="108" w:type="dxa"/>
              <w:right w:w="108" w:type="dxa"/>
            </w:tcMar>
            <w:vAlign w:val="center"/>
          </w:tcPr>
          <w:p w14:paraId="446D6438"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4.37</w:t>
            </w:r>
          </w:p>
        </w:tc>
        <w:tc>
          <w:tcPr>
            <w:tcW w:w="615" w:type="dxa"/>
            <w:tcBorders>
              <w:top w:val="nil"/>
              <w:left w:val="nil"/>
              <w:bottom w:val="single" w:sz="8" w:space="0" w:color="auto"/>
              <w:right w:val="nil"/>
            </w:tcBorders>
            <w:tcMar>
              <w:left w:w="108" w:type="dxa"/>
              <w:right w:w="108" w:type="dxa"/>
            </w:tcMar>
            <w:vAlign w:val="center"/>
          </w:tcPr>
          <w:p w14:paraId="33AA824D"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2.9</w:t>
            </w:r>
          </w:p>
        </w:tc>
        <w:tc>
          <w:tcPr>
            <w:tcW w:w="495" w:type="dxa"/>
            <w:tcBorders>
              <w:top w:val="nil"/>
              <w:left w:val="nil"/>
              <w:bottom w:val="single" w:sz="8" w:space="0" w:color="auto"/>
              <w:right w:val="nil"/>
            </w:tcBorders>
            <w:tcMar>
              <w:left w:w="108" w:type="dxa"/>
              <w:right w:w="108" w:type="dxa"/>
            </w:tcMar>
            <w:vAlign w:val="center"/>
          </w:tcPr>
          <w:p w14:paraId="2F55822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25" w:type="dxa"/>
            <w:tcBorders>
              <w:top w:val="nil"/>
              <w:left w:val="nil"/>
              <w:bottom w:val="single" w:sz="8" w:space="0" w:color="auto"/>
              <w:right w:val="nil"/>
            </w:tcBorders>
            <w:tcMar>
              <w:left w:w="108" w:type="dxa"/>
              <w:right w:w="108" w:type="dxa"/>
            </w:tcMar>
            <w:vAlign w:val="center"/>
          </w:tcPr>
          <w:p w14:paraId="7E6F55F4"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single" w:sz="8" w:space="0" w:color="auto"/>
              <w:right w:val="nil"/>
            </w:tcBorders>
            <w:tcMar>
              <w:left w:w="108" w:type="dxa"/>
              <w:right w:w="108" w:type="dxa"/>
            </w:tcMar>
            <w:vAlign w:val="center"/>
          </w:tcPr>
          <w:p w14:paraId="10416389"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single" w:sz="8" w:space="0" w:color="auto"/>
              <w:right w:val="nil"/>
            </w:tcBorders>
            <w:tcMar>
              <w:left w:w="108" w:type="dxa"/>
              <w:right w:w="108" w:type="dxa"/>
            </w:tcMar>
            <w:vAlign w:val="center"/>
          </w:tcPr>
          <w:p w14:paraId="379435D8"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single" w:sz="8" w:space="0" w:color="auto"/>
              <w:right w:val="nil"/>
            </w:tcBorders>
            <w:tcMar>
              <w:left w:w="108" w:type="dxa"/>
              <w:right w:w="108" w:type="dxa"/>
            </w:tcMar>
            <w:vAlign w:val="center"/>
          </w:tcPr>
          <w:p w14:paraId="4BE2665A"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683" w:type="dxa"/>
            <w:tcBorders>
              <w:top w:val="nil"/>
              <w:left w:val="nil"/>
              <w:bottom w:val="single" w:sz="8" w:space="0" w:color="auto"/>
              <w:right w:val="nil"/>
            </w:tcBorders>
            <w:tcMar>
              <w:left w:w="108" w:type="dxa"/>
              <w:right w:w="108" w:type="dxa"/>
            </w:tcMar>
            <w:vAlign w:val="center"/>
          </w:tcPr>
          <w:p w14:paraId="477D5E17"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50" w:type="dxa"/>
            <w:tcBorders>
              <w:top w:val="nil"/>
              <w:left w:val="nil"/>
              <w:bottom w:val="single" w:sz="8" w:space="0" w:color="auto"/>
              <w:right w:val="nil"/>
            </w:tcBorders>
            <w:tcMar>
              <w:left w:w="108" w:type="dxa"/>
              <w:right w:w="108" w:type="dxa"/>
            </w:tcMar>
            <w:vAlign w:val="center"/>
          </w:tcPr>
          <w:p w14:paraId="2F8F7891"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c>
          <w:tcPr>
            <w:tcW w:w="765" w:type="dxa"/>
            <w:tcBorders>
              <w:top w:val="nil"/>
              <w:left w:val="nil"/>
              <w:bottom w:val="single" w:sz="8" w:space="0" w:color="auto"/>
              <w:right w:val="nil"/>
            </w:tcBorders>
            <w:tcMar>
              <w:left w:w="108" w:type="dxa"/>
              <w:right w:w="108" w:type="dxa"/>
            </w:tcMar>
            <w:vAlign w:val="center"/>
          </w:tcPr>
          <w:p w14:paraId="2E110ED8"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w:t>
            </w:r>
          </w:p>
          <w:p w14:paraId="5F7348D6" w14:textId="77777777" w:rsidR="001C4921" w:rsidRPr="001C4921" w:rsidRDefault="001C4921" w:rsidP="001C4921">
            <w:pPr>
              <w:rPr>
                <w:rFonts w:ascii="Arial" w:eastAsia="Calibri" w:hAnsi="Arial" w:cs="Arial"/>
                <w:lang w:eastAsia="en-US"/>
              </w:rPr>
            </w:pPr>
            <w:r w:rsidRPr="001C4921">
              <w:rPr>
                <w:rFonts w:ascii="Arial" w:eastAsia="Arial" w:hAnsi="Arial" w:cs="Arial"/>
                <w:sz w:val="20"/>
                <w:szCs w:val="20"/>
                <w:lang w:eastAsia="en-US"/>
              </w:rPr>
              <w:t xml:space="preserve"> </w:t>
            </w:r>
          </w:p>
        </w:tc>
      </w:tr>
    </w:tbl>
    <w:p w14:paraId="6E0A29E1" w14:textId="77777777" w:rsidR="001C4921" w:rsidRPr="001C4921" w:rsidRDefault="001C4921" w:rsidP="001C4921">
      <w:pPr>
        <w:spacing w:after="160" w:line="360" w:lineRule="auto"/>
        <w:jc w:val="both"/>
        <w:rPr>
          <w:rFonts w:ascii="Arial" w:eastAsia="Calibri" w:hAnsi="Arial" w:cs="Arial"/>
          <w:sz w:val="22"/>
          <w:szCs w:val="22"/>
          <w:lang w:eastAsia="en-US"/>
        </w:rPr>
      </w:pPr>
      <w:r w:rsidRPr="001C4921">
        <w:rPr>
          <w:rFonts w:ascii="Arial" w:eastAsia="Arial" w:hAnsi="Arial" w:cs="Arial"/>
          <w:i/>
          <w:sz w:val="20"/>
          <w:szCs w:val="20"/>
          <w:lang w:eastAsia="en-US"/>
        </w:rPr>
        <w:t>Nota.</w:t>
      </w:r>
      <w:r w:rsidRPr="001C4921">
        <w:rPr>
          <w:rFonts w:ascii="Arial" w:eastAsia="Arial" w:hAnsi="Arial" w:cs="Arial"/>
          <w:i/>
          <w:sz w:val="20"/>
          <w:szCs w:val="20"/>
          <w:vertAlign w:val="superscript"/>
          <w:lang w:eastAsia="en-US"/>
        </w:rPr>
        <w:t xml:space="preserve"> *</w:t>
      </w:r>
      <w:r w:rsidRPr="001C4921">
        <w:rPr>
          <w:rFonts w:ascii="Arial" w:eastAsia="Arial" w:hAnsi="Arial" w:cs="Arial"/>
          <w:i/>
          <w:iCs/>
          <w:sz w:val="20"/>
          <w:szCs w:val="20"/>
          <w:lang w:eastAsia="en-US"/>
        </w:rPr>
        <w:t>p</w:t>
      </w:r>
      <w:r w:rsidRPr="001C4921">
        <w:rPr>
          <w:rFonts w:ascii="Arial" w:eastAsia="Arial" w:hAnsi="Arial" w:cs="Arial"/>
          <w:sz w:val="20"/>
          <w:szCs w:val="20"/>
          <w:lang w:eastAsia="en-US"/>
        </w:rPr>
        <w:t xml:space="preserve"> &lt; .05, </w:t>
      </w:r>
      <w:r w:rsidRPr="001C4921">
        <w:rPr>
          <w:rFonts w:ascii="Arial" w:eastAsia="Arial" w:hAnsi="Arial" w:cs="Arial"/>
          <w:sz w:val="20"/>
          <w:szCs w:val="20"/>
          <w:vertAlign w:val="superscript"/>
          <w:lang w:eastAsia="en-US"/>
        </w:rPr>
        <w:t>**</w:t>
      </w:r>
      <w:r w:rsidRPr="001C4921">
        <w:rPr>
          <w:rFonts w:ascii="Arial" w:eastAsia="Arial" w:hAnsi="Arial" w:cs="Arial"/>
          <w:i/>
          <w:iCs/>
          <w:sz w:val="20"/>
          <w:szCs w:val="20"/>
          <w:lang w:eastAsia="en-US"/>
        </w:rPr>
        <w:t>p</w:t>
      </w:r>
      <w:r w:rsidRPr="001C4921">
        <w:rPr>
          <w:rFonts w:ascii="Arial" w:eastAsia="Arial" w:hAnsi="Arial" w:cs="Arial"/>
          <w:sz w:val="20"/>
          <w:szCs w:val="20"/>
          <w:lang w:eastAsia="en-US"/>
        </w:rPr>
        <w:t xml:space="preserve"> &lt; .01</w:t>
      </w:r>
    </w:p>
    <w:p w14:paraId="677B9C54"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lastRenderedPageBreak/>
        <w:t>La edad correlaciona negativamente con el DESIT-17 (</w:t>
      </w:r>
      <w:r w:rsidRPr="001C4921">
        <w:rPr>
          <w:rFonts w:ascii="Arial" w:hAnsi="Arial" w:cs="Arial"/>
          <w:i/>
          <w:iCs/>
          <w:lang w:eastAsia="en-US"/>
        </w:rPr>
        <w:t xml:space="preserve">r </w:t>
      </w:r>
      <w:r w:rsidRPr="001C4921">
        <w:rPr>
          <w:rFonts w:ascii="Arial" w:hAnsi="Arial" w:cs="Arial"/>
          <w:lang w:eastAsia="en-US"/>
        </w:rPr>
        <w:t xml:space="preserve">=-.16, </w:t>
      </w:r>
      <w:r w:rsidRPr="001C4921">
        <w:rPr>
          <w:rFonts w:ascii="Arial" w:hAnsi="Arial" w:cs="Arial"/>
          <w:i/>
          <w:iCs/>
          <w:lang w:eastAsia="en-US"/>
        </w:rPr>
        <w:t>p</w:t>
      </w:r>
      <w:r w:rsidRPr="001C4921">
        <w:rPr>
          <w:rFonts w:ascii="Arial" w:hAnsi="Arial" w:cs="Arial"/>
          <w:lang w:eastAsia="en-US"/>
        </w:rPr>
        <w:t xml:space="preserve"> = .01), lo que significa que existe una relación entre menores niveles de SA y una mayor edad. De igual forma, el SAD y el SAS reportan relaciones significativas negativas con la edad de (</w:t>
      </w:r>
      <w:r w:rsidRPr="001C4921">
        <w:rPr>
          <w:rFonts w:ascii="Arial" w:hAnsi="Arial" w:cs="Arial"/>
          <w:i/>
          <w:iCs/>
          <w:lang w:eastAsia="en-US"/>
        </w:rPr>
        <w:t xml:space="preserve">r </w:t>
      </w:r>
      <w:r w:rsidRPr="001C4921">
        <w:rPr>
          <w:rFonts w:ascii="Arial" w:hAnsi="Arial" w:cs="Arial"/>
          <w:lang w:eastAsia="en-US"/>
        </w:rPr>
        <w:t xml:space="preserve">= -14, </w:t>
      </w:r>
      <w:r w:rsidRPr="001C4921">
        <w:rPr>
          <w:rFonts w:ascii="Arial" w:hAnsi="Arial" w:cs="Arial"/>
          <w:i/>
          <w:iCs/>
          <w:lang w:eastAsia="en-US"/>
        </w:rPr>
        <w:t>p</w:t>
      </w:r>
      <w:r w:rsidRPr="001C4921">
        <w:rPr>
          <w:rFonts w:ascii="Arial" w:hAnsi="Arial" w:cs="Arial"/>
          <w:lang w:eastAsia="en-US"/>
        </w:rPr>
        <w:t xml:space="preserve"> = .02) y (</w:t>
      </w:r>
      <w:r w:rsidRPr="001C4921">
        <w:rPr>
          <w:rFonts w:ascii="Arial" w:hAnsi="Arial" w:cs="Arial"/>
          <w:i/>
          <w:iCs/>
          <w:lang w:eastAsia="en-US"/>
        </w:rPr>
        <w:t xml:space="preserve">r </w:t>
      </w:r>
      <w:r w:rsidRPr="001C4921">
        <w:rPr>
          <w:rFonts w:ascii="Arial" w:hAnsi="Arial" w:cs="Arial"/>
          <w:lang w:eastAsia="en-US"/>
        </w:rPr>
        <w:t xml:space="preserve">=-.18, </w:t>
      </w:r>
      <w:r w:rsidRPr="001C4921">
        <w:rPr>
          <w:rFonts w:ascii="Arial" w:hAnsi="Arial" w:cs="Arial"/>
          <w:i/>
          <w:iCs/>
          <w:lang w:eastAsia="en-US"/>
        </w:rPr>
        <w:t>p</w:t>
      </w:r>
      <w:r w:rsidRPr="001C4921">
        <w:rPr>
          <w:rFonts w:ascii="Arial" w:hAnsi="Arial" w:cs="Arial"/>
          <w:lang w:eastAsia="en-US"/>
        </w:rPr>
        <w:t xml:space="preserve"> = “01”) respectivamente. Los únicos dos factores que no se correlacionan, de manera significativa, con la edad son el SACT y el SAE. Asimismo, existe una relación significativa entre un mayor avance dentro de la carrera respectiva y una menor SA (</w:t>
      </w:r>
      <w:r w:rsidRPr="001C4921">
        <w:rPr>
          <w:rFonts w:ascii="Arial" w:hAnsi="Arial" w:cs="Arial"/>
          <w:i/>
          <w:iCs/>
          <w:lang w:eastAsia="en-US"/>
        </w:rPr>
        <w:t xml:space="preserve">r </w:t>
      </w:r>
      <w:r w:rsidRPr="001C4921">
        <w:rPr>
          <w:rFonts w:ascii="Arial" w:hAnsi="Arial" w:cs="Arial"/>
          <w:lang w:eastAsia="en-US"/>
        </w:rPr>
        <w:t>= -.25,</w:t>
      </w:r>
      <w:r w:rsidRPr="001C4921">
        <w:rPr>
          <w:rFonts w:ascii="Arial" w:hAnsi="Arial" w:cs="Arial"/>
          <w:i/>
          <w:iCs/>
          <w:lang w:eastAsia="en-US"/>
        </w:rPr>
        <w:t xml:space="preserve"> p </w:t>
      </w:r>
      <w:r w:rsidRPr="001C4921">
        <w:rPr>
          <w:rFonts w:ascii="Arial" w:hAnsi="Arial" w:cs="Arial"/>
          <w:lang w:eastAsia="en-US"/>
        </w:rPr>
        <w:t>= “.01”), lo cual sucede también con la SAD (</w:t>
      </w:r>
      <w:r w:rsidRPr="001C4921">
        <w:rPr>
          <w:rFonts w:ascii="Arial" w:hAnsi="Arial" w:cs="Arial"/>
          <w:i/>
          <w:iCs/>
          <w:lang w:eastAsia="en-US"/>
        </w:rPr>
        <w:t xml:space="preserve">r </w:t>
      </w:r>
      <w:r w:rsidRPr="001C4921">
        <w:rPr>
          <w:rFonts w:ascii="Arial" w:hAnsi="Arial" w:cs="Arial"/>
          <w:lang w:eastAsia="en-US"/>
        </w:rPr>
        <w:t xml:space="preserve">= -15, </w:t>
      </w:r>
      <w:r w:rsidRPr="001C4921">
        <w:rPr>
          <w:rFonts w:ascii="Arial" w:hAnsi="Arial" w:cs="Arial"/>
          <w:i/>
          <w:iCs/>
          <w:lang w:eastAsia="en-US"/>
        </w:rPr>
        <w:t xml:space="preserve">p </w:t>
      </w:r>
      <w:r w:rsidRPr="001C4921">
        <w:rPr>
          <w:rFonts w:ascii="Arial" w:hAnsi="Arial" w:cs="Arial"/>
          <w:lang w:eastAsia="en-US"/>
        </w:rPr>
        <w:t>= .01), SAS (</w:t>
      </w:r>
      <w:r w:rsidRPr="001C4921">
        <w:rPr>
          <w:rFonts w:ascii="Arial" w:hAnsi="Arial" w:cs="Arial"/>
          <w:i/>
          <w:iCs/>
          <w:lang w:eastAsia="en-US"/>
        </w:rPr>
        <w:t xml:space="preserve">r </w:t>
      </w:r>
      <w:r w:rsidRPr="001C4921">
        <w:rPr>
          <w:rFonts w:ascii="Arial" w:hAnsi="Arial" w:cs="Arial"/>
          <w:lang w:eastAsia="en-US"/>
        </w:rPr>
        <w:t>=-.33, p = “01”), SACT (</w:t>
      </w:r>
      <w:r w:rsidRPr="001C4921">
        <w:rPr>
          <w:rFonts w:ascii="Arial" w:hAnsi="Arial" w:cs="Arial"/>
          <w:i/>
          <w:iCs/>
          <w:lang w:eastAsia="en-US"/>
        </w:rPr>
        <w:t xml:space="preserve">r </w:t>
      </w:r>
      <w:r w:rsidRPr="001C4921">
        <w:rPr>
          <w:rFonts w:ascii="Arial" w:hAnsi="Arial" w:cs="Arial"/>
          <w:lang w:eastAsia="en-US"/>
        </w:rPr>
        <w:t>= -.18</w:t>
      </w:r>
      <w:r w:rsidRPr="001C4921">
        <w:rPr>
          <w:rFonts w:ascii="Arial" w:hAnsi="Arial" w:cs="Arial"/>
          <w:i/>
          <w:iCs/>
          <w:lang w:eastAsia="en-US"/>
        </w:rPr>
        <w:t xml:space="preserve">, p </w:t>
      </w:r>
      <w:r w:rsidRPr="001C4921">
        <w:rPr>
          <w:rFonts w:ascii="Arial" w:hAnsi="Arial" w:cs="Arial"/>
          <w:lang w:eastAsia="en-US"/>
        </w:rPr>
        <w:t>= “.01”) y SAE (</w:t>
      </w:r>
      <w:r w:rsidRPr="001C4921">
        <w:rPr>
          <w:rFonts w:ascii="Arial" w:hAnsi="Arial" w:cs="Arial"/>
          <w:i/>
          <w:iCs/>
          <w:lang w:eastAsia="en-US"/>
        </w:rPr>
        <w:t>r = -</w:t>
      </w:r>
      <w:r w:rsidRPr="001C4921">
        <w:rPr>
          <w:rFonts w:ascii="Arial" w:hAnsi="Arial" w:cs="Arial"/>
          <w:lang w:eastAsia="en-US"/>
        </w:rPr>
        <w:t>.16</w:t>
      </w:r>
      <w:r w:rsidRPr="001C4921">
        <w:rPr>
          <w:rFonts w:ascii="Arial" w:hAnsi="Arial" w:cs="Arial"/>
          <w:i/>
          <w:iCs/>
          <w:lang w:eastAsia="en-US"/>
        </w:rPr>
        <w:t xml:space="preserve">, p = </w:t>
      </w:r>
      <w:r w:rsidRPr="001C4921">
        <w:rPr>
          <w:rFonts w:ascii="Arial" w:hAnsi="Arial" w:cs="Arial"/>
          <w:lang w:eastAsia="en-US"/>
        </w:rPr>
        <w:t>“01”).</w:t>
      </w:r>
    </w:p>
    <w:p w14:paraId="0C2943D8"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El 62% de del estudiantado habita con su familia nuclear; el 9,4%, con familiares; el 10,8%, con amigos o compañeros de cuarto o casa; el 3,1% con una pareja, y el 14,3% viven solos. A pesar de que quienes viven sin compañía obtienen la media más baja de SA (</w:t>
      </w:r>
      <w:r w:rsidRPr="001C4921">
        <w:rPr>
          <w:rFonts w:ascii="Arial" w:hAnsi="Arial" w:cs="Arial"/>
          <w:i/>
          <w:iCs/>
          <w:lang w:eastAsia="en-US"/>
        </w:rPr>
        <w:t xml:space="preserve">M </w:t>
      </w:r>
      <w:r w:rsidRPr="001C4921">
        <w:rPr>
          <w:rFonts w:ascii="Arial" w:hAnsi="Arial" w:cs="Arial"/>
          <w:lang w:eastAsia="en-US"/>
        </w:rPr>
        <w:t xml:space="preserve">= 4, </w:t>
      </w:r>
      <w:r w:rsidRPr="001C4921">
        <w:rPr>
          <w:rFonts w:ascii="Arial" w:hAnsi="Arial" w:cs="Arial"/>
          <w:i/>
          <w:iCs/>
          <w:lang w:eastAsia="en-US"/>
        </w:rPr>
        <w:t xml:space="preserve">DE </w:t>
      </w:r>
      <w:r w:rsidRPr="001C4921">
        <w:rPr>
          <w:rFonts w:ascii="Arial" w:hAnsi="Arial" w:cs="Arial"/>
          <w:lang w:eastAsia="en-US"/>
        </w:rPr>
        <w:t>= .74), las diferencias encontradas entre estudiantes que viven con otros y aquellos que viven solos no resultan significativas. El 79,1% de estudiantes reporta dedicarse, exclusivamente, a estudiar. El 17,8% manifiesta también trabajar de forma remunerada. Estos últimos obtienen una media mayor (</w:t>
      </w:r>
      <w:r w:rsidRPr="001C4921">
        <w:rPr>
          <w:rFonts w:ascii="Arial" w:hAnsi="Arial" w:cs="Arial"/>
          <w:i/>
          <w:iCs/>
          <w:lang w:eastAsia="en-US"/>
        </w:rPr>
        <w:t xml:space="preserve">M </w:t>
      </w:r>
      <w:r w:rsidRPr="001C4921">
        <w:rPr>
          <w:rFonts w:ascii="Arial" w:hAnsi="Arial" w:cs="Arial"/>
          <w:lang w:eastAsia="en-US"/>
        </w:rPr>
        <w:t xml:space="preserve">= 4.28, </w:t>
      </w:r>
      <w:r w:rsidRPr="001C4921">
        <w:rPr>
          <w:rFonts w:ascii="Arial" w:hAnsi="Arial" w:cs="Arial"/>
          <w:i/>
          <w:iCs/>
          <w:lang w:eastAsia="en-US"/>
        </w:rPr>
        <w:t xml:space="preserve">DE </w:t>
      </w:r>
      <w:r w:rsidRPr="001C4921">
        <w:rPr>
          <w:rFonts w:ascii="Arial" w:hAnsi="Arial" w:cs="Arial"/>
          <w:lang w:eastAsia="en-US"/>
        </w:rPr>
        <w:t>= .63) respecto a los estudiantes que se dedican a estudiar de manera exclusiva (</w:t>
      </w:r>
      <w:r w:rsidRPr="001C4921">
        <w:rPr>
          <w:rFonts w:ascii="Arial" w:hAnsi="Arial" w:cs="Arial"/>
          <w:i/>
          <w:iCs/>
          <w:lang w:eastAsia="en-US"/>
        </w:rPr>
        <w:t xml:space="preserve">M </w:t>
      </w:r>
      <w:r w:rsidRPr="001C4921">
        <w:rPr>
          <w:rFonts w:ascii="Arial" w:hAnsi="Arial" w:cs="Arial"/>
          <w:lang w:eastAsia="en-US"/>
        </w:rPr>
        <w:t xml:space="preserve">= 4.14, </w:t>
      </w:r>
      <w:r w:rsidRPr="001C4921">
        <w:rPr>
          <w:rFonts w:ascii="Arial" w:hAnsi="Arial" w:cs="Arial"/>
          <w:i/>
          <w:iCs/>
          <w:lang w:eastAsia="en-US"/>
        </w:rPr>
        <w:t xml:space="preserve">DE </w:t>
      </w:r>
      <w:r w:rsidRPr="001C4921">
        <w:rPr>
          <w:rFonts w:ascii="Arial" w:hAnsi="Arial" w:cs="Arial"/>
          <w:lang w:eastAsia="en-US"/>
        </w:rPr>
        <w:t xml:space="preserve">= .73); sin embargo, estas diferencias en el nivel de SA tampoco resultan significativas. </w:t>
      </w:r>
    </w:p>
    <w:p w14:paraId="261C7C94"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Finalmente, 3,1% (9 estudiantes) manifiesta sobrellevar una carga de trabajo importante que no es remunerada, y </w:t>
      </w:r>
      <w:proofErr w:type="gramStart"/>
      <w:r w:rsidRPr="001C4921">
        <w:rPr>
          <w:rFonts w:ascii="Arial" w:hAnsi="Arial" w:cs="Arial"/>
          <w:lang w:eastAsia="en-US"/>
        </w:rPr>
        <w:t>muestra  una</w:t>
      </w:r>
      <w:proofErr w:type="gramEnd"/>
      <w:r w:rsidRPr="001C4921">
        <w:rPr>
          <w:rFonts w:ascii="Arial" w:hAnsi="Arial" w:cs="Arial"/>
          <w:lang w:eastAsia="en-US"/>
        </w:rPr>
        <w:t xml:space="preserve"> media inferior (</w:t>
      </w:r>
      <w:r w:rsidRPr="001C4921">
        <w:rPr>
          <w:rFonts w:ascii="Arial" w:hAnsi="Arial" w:cs="Arial"/>
          <w:i/>
          <w:iCs/>
          <w:lang w:eastAsia="en-US"/>
        </w:rPr>
        <w:t>M</w:t>
      </w:r>
      <w:r w:rsidRPr="001C4921">
        <w:rPr>
          <w:rFonts w:ascii="Arial" w:hAnsi="Arial" w:cs="Arial"/>
          <w:lang w:eastAsia="en-US"/>
        </w:rPr>
        <w:t xml:space="preserve"> = 3.99, </w:t>
      </w:r>
      <w:r w:rsidRPr="001C4921">
        <w:rPr>
          <w:rFonts w:ascii="Arial" w:hAnsi="Arial" w:cs="Arial"/>
          <w:i/>
          <w:iCs/>
          <w:lang w:eastAsia="en-US"/>
        </w:rPr>
        <w:t>DE</w:t>
      </w:r>
      <w:r w:rsidRPr="001C4921">
        <w:rPr>
          <w:rFonts w:ascii="Arial" w:hAnsi="Arial" w:cs="Arial"/>
          <w:lang w:eastAsia="en-US"/>
        </w:rPr>
        <w:t xml:space="preserve"> = </w:t>
      </w:r>
      <w:r w:rsidRPr="001C4921">
        <w:rPr>
          <w:rFonts w:ascii="Arial" w:hAnsi="Arial" w:cs="Arial"/>
          <w:lang w:eastAsia="en-US"/>
        </w:rPr>
        <w:lastRenderedPageBreak/>
        <w:t xml:space="preserve">.62), en comparación con los dos grupos de estudiantes recién mencionados; sin embargo, la cantidad de estudiantado que reporta esta pesada carga sin remuneración resulta insuficiente para realizar análisis inferenciales de medias. </w:t>
      </w:r>
    </w:p>
    <w:p w14:paraId="2DE3FBB4" w14:textId="36E6AF2C" w:rsidR="001C4921" w:rsidRPr="001C4921" w:rsidRDefault="001C4913" w:rsidP="001C4913">
      <w:pPr>
        <w:spacing w:after="160" w:line="259" w:lineRule="auto"/>
        <w:rPr>
          <w:rFonts w:ascii="Arial" w:hAnsi="Arial" w:cs="Arial"/>
          <w:b/>
          <w:bCs/>
          <w:color w:val="000000"/>
          <w:lang w:eastAsia="en-US"/>
        </w:rPr>
      </w:pPr>
      <w:r w:rsidRPr="001C4921">
        <w:rPr>
          <w:rFonts w:ascii="Arial" w:hAnsi="Arial" w:cs="Arial"/>
          <w:b/>
          <w:bCs/>
          <w:color w:val="000000"/>
          <w:lang w:eastAsia="en-US"/>
        </w:rPr>
        <w:t>DISCUSIÓN</w:t>
      </w:r>
    </w:p>
    <w:p w14:paraId="7E486D73"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Se ha logrado proveer al DESIT-17 de evidencias de validez nomológica y de constructo, además de que la confiabilidad de sus factores ha resultado satisfactoria. Santini et al. (2017) establecen, a partir de la revisión de diferentes instrumentos para evaluar la SA, un promedio de confiabilidad de .87, según el alfa de Cronbach para dichas escalas. Adicionalmente, encuentran que cada aspecto dentro del componente de calidad del servicio de la SA muestra estar relacionado con la SA. Román-Quirós (2023), en la única investigación en décadas sobre el tema en Costa Rica, reporta una confiabilidad para el DESIT-17 entre .84 y .93. La presente investigación obtiene valores entre .85 y .91. De igual manera, el factor de SAS demuestra correlacionarse, en mayor medida, con el DESIT-17. En tal sentido, este instrumento logra el principal objetivo de la presente investigación. </w:t>
      </w:r>
    </w:p>
    <w:p w14:paraId="1B04DE63" w14:textId="77777777" w:rsidR="00B3468B"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Como se ha indicado, aún más importante que aportar una nueva herramienta con adecuadas propiedades psicométricas, es haber validado un instrumento que </w:t>
      </w:r>
      <w:proofErr w:type="gramStart"/>
      <w:r w:rsidRPr="001C4921">
        <w:rPr>
          <w:rFonts w:ascii="Arial" w:hAnsi="Arial" w:cs="Arial"/>
          <w:lang w:eastAsia="en-US"/>
        </w:rPr>
        <w:t>ya  se</w:t>
      </w:r>
      <w:proofErr w:type="gramEnd"/>
      <w:r w:rsidRPr="001C4921">
        <w:rPr>
          <w:rFonts w:ascii="Arial" w:hAnsi="Arial" w:cs="Arial"/>
          <w:lang w:eastAsia="en-US"/>
        </w:rPr>
        <w:t xml:space="preserve"> aplica sobre una base regular en diferentes universidades de Costa Rica, y para el cual, los distintos centros de enseñanza cuentan, inclusive, con datos disponibles para publicación en distintas áreas disciplinares y carreras. </w:t>
      </w:r>
    </w:p>
    <w:p w14:paraId="3B9BC4F2" w14:textId="278456DB"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lastRenderedPageBreak/>
        <w:t>Se considera que, en esta facilidad de aplicación, radica la principal utilidad de este artículo, ya que fomenta la publicación de investigación educativa en el país, la disponibilidad de información sobre la SA de universidades públicas o privadas (últimas de donde egresa la mayoría de los profesionales del país)</w:t>
      </w:r>
      <w:r w:rsidRPr="001C4921">
        <w:rPr>
          <w:rFonts w:ascii="Arial" w:hAnsi="Arial" w:cs="Arial"/>
          <w:lang w:val="es" w:eastAsia="en-US"/>
        </w:rPr>
        <w:t>,</w:t>
      </w:r>
      <w:r w:rsidRPr="001C4921">
        <w:rPr>
          <w:rFonts w:ascii="Arial" w:hAnsi="Arial" w:cs="Arial"/>
          <w:lang w:eastAsia="en-US"/>
        </w:rPr>
        <w:t xml:space="preserve"> a la vez que permite su análisis y exploración tanto en un sentido descriptivo como desde un alcance y comprensión mayor.</w:t>
      </w:r>
    </w:p>
    <w:p w14:paraId="61DF4E9B"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Ahora bien, Mireles Vázquez y García-García (2022) enfatizan en la importancia de disponer de instrumentos con adecuadas propiedades psicométricas para evaluar la SA. En dicha revisión sistemática de literatura, se evidencia que son tan solo dos los instrumentos consolidados en idioma español a la hora de estudiar la SA: adaptaciones de la Escala de Satisfacción Académica (ESA) de </w:t>
      </w:r>
      <w:proofErr w:type="spellStart"/>
      <w:r w:rsidRPr="001C4921">
        <w:rPr>
          <w:rFonts w:ascii="Arial" w:hAnsi="Arial" w:cs="Arial"/>
          <w:lang w:eastAsia="en-US"/>
        </w:rPr>
        <w:t>Lent</w:t>
      </w:r>
      <w:proofErr w:type="spellEnd"/>
      <w:r w:rsidRPr="001C4921">
        <w:rPr>
          <w:rFonts w:ascii="Arial" w:hAnsi="Arial" w:cs="Arial"/>
          <w:lang w:eastAsia="en-US"/>
        </w:rPr>
        <w:t xml:space="preserve"> et al. (2012) y adaptaciones del Dundee </w:t>
      </w:r>
      <w:proofErr w:type="spellStart"/>
      <w:r w:rsidRPr="001C4921">
        <w:rPr>
          <w:rFonts w:ascii="Arial" w:hAnsi="Arial" w:cs="Arial"/>
          <w:lang w:eastAsia="en-US"/>
        </w:rPr>
        <w:t>Ready</w:t>
      </w:r>
      <w:proofErr w:type="spellEnd"/>
      <w:r w:rsidRPr="001C4921">
        <w:rPr>
          <w:rFonts w:ascii="Arial" w:hAnsi="Arial" w:cs="Arial"/>
          <w:lang w:eastAsia="en-US"/>
        </w:rPr>
        <w:t xml:space="preserve"> </w:t>
      </w:r>
      <w:proofErr w:type="spellStart"/>
      <w:r w:rsidRPr="001C4921">
        <w:rPr>
          <w:rFonts w:ascii="Arial" w:hAnsi="Arial" w:cs="Arial"/>
          <w:lang w:eastAsia="en-US"/>
        </w:rPr>
        <w:t>Educational</w:t>
      </w:r>
      <w:proofErr w:type="spellEnd"/>
      <w:r w:rsidRPr="001C4921">
        <w:rPr>
          <w:rFonts w:ascii="Arial" w:hAnsi="Arial" w:cs="Arial"/>
          <w:lang w:eastAsia="en-US"/>
        </w:rPr>
        <w:t xml:space="preserve"> </w:t>
      </w:r>
      <w:proofErr w:type="spellStart"/>
      <w:r w:rsidRPr="001C4921">
        <w:rPr>
          <w:rFonts w:ascii="Arial" w:hAnsi="Arial" w:cs="Arial"/>
          <w:lang w:eastAsia="en-US"/>
        </w:rPr>
        <w:t>Environment</w:t>
      </w:r>
      <w:proofErr w:type="spellEnd"/>
      <w:r w:rsidRPr="001C4921">
        <w:rPr>
          <w:rFonts w:ascii="Arial" w:hAnsi="Arial" w:cs="Arial"/>
          <w:lang w:eastAsia="en-US"/>
        </w:rPr>
        <w:t xml:space="preserve"> </w:t>
      </w:r>
      <w:proofErr w:type="spellStart"/>
      <w:r w:rsidRPr="001C4921">
        <w:rPr>
          <w:rFonts w:ascii="Arial" w:hAnsi="Arial" w:cs="Arial"/>
          <w:lang w:eastAsia="en-US"/>
        </w:rPr>
        <w:t>Measure</w:t>
      </w:r>
      <w:proofErr w:type="spellEnd"/>
      <w:r w:rsidRPr="001C4921">
        <w:rPr>
          <w:rFonts w:ascii="Arial" w:hAnsi="Arial" w:cs="Arial"/>
          <w:lang w:eastAsia="en-US"/>
        </w:rPr>
        <w:t xml:space="preserve"> (DREEM) de </w:t>
      </w:r>
      <w:proofErr w:type="spellStart"/>
      <w:r w:rsidRPr="001C4921">
        <w:rPr>
          <w:rFonts w:ascii="Arial" w:hAnsi="Arial" w:cs="Arial"/>
          <w:lang w:eastAsia="en-US"/>
        </w:rPr>
        <w:t>Roff</w:t>
      </w:r>
      <w:proofErr w:type="spellEnd"/>
      <w:r w:rsidRPr="001C4921">
        <w:rPr>
          <w:rFonts w:ascii="Arial" w:hAnsi="Arial" w:cs="Arial"/>
          <w:lang w:eastAsia="en-US"/>
        </w:rPr>
        <w:t xml:space="preserve"> et al. (1997); por lo </w:t>
      </w:r>
      <w:proofErr w:type="spellStart"/>
      <w:proofErr w:type="gramStart"/>
      <w:r w:rsidRPr="001C4921">
        <w:rPr>
          <w:rFonts w:ascii="Arial" w:hAnsi="Arial" w:cs="Arial"/>
          <w:lang w:eastAsia="en-US"/>
        </w:rPr>
        <w:t>tanto,existe</w:t>
      </w:r>
      <w:proofErr w:type="spellEnd"/>
      <w:proofErr w:type="gramEnd"/>
      <w:r w:rsidRPr="001C4921">
        <w:rPr>
          <w:rFonts w:ascii="Arial" w:hAnsi="Arial" w:cs="Arial"/>
          <w:lang w:eastAsia="en-US"/>
        </w:rPr>
        <w:t xml:space="preserve"> una necesidad de más opciones, aspecto al cual aporta también esta investigación. </w:t>
      </w:r>
    </w:p>
    <w:p w14:paraId="4ED77037" w14:textId="77777777" w:rsidR="001C4921" w:rsidRPr="001C4921" w:rsidRDefault="001C4921" w:rsidP="001C4913">
      <w:pPr>
        <w:spacing w:after="160" w:line="360" w:lineRule="auto"/>
        <w:jc w:val="both"/>
        <w:rPr>
          <w:rFonts w:ascii="Arial" w:hAnsi="Arial" w:cs="Arial"/>
          <w:color w:val="C45911"/>
          <w:lang w:eastAsia="en-US"/>
        </w:rPr>
      </w:pPr>
      <w:r w:rsidRPr="001C4921">
        <w:rPr>
          <w:rFonts w:ascii="Arial" w:hAnsi="Arial" w:cs="Arial"/>
          <w:lang w:eastAsia="en-US"/>
        </w:rPr>
        <w:t>En cuanto a hallazgos en el presente artículo, una mayor edad se asocia con menores niveles tanto de SA general, como de SAD y SAS; y todos consisten en bajos tamaños de efecto.</w:t>
      </w:r>
      <w:r w:rsidRPr="001C4921">
        <w:rPr>
          <w:rFonts w:ascii="Arial" w:hAnsi="Arial" w:cs="Arial"/>
          <w:color w:val="FFC000"/>
          <w:lang w:eastAsia="en-US"/>
        </w:rPr>
        <w:t xml:space="preserve"> </w:t>
      </w:r>
      <w:r w:rsidRPr="001C4921">
        <w:rPr>
          <w:rFonts w:ascii="Arial" w:hAnsi="Arial" w:cs="Arial"/>
          <w:lang w:eastAsia="en-US"/>
        </w:rPr>
        <w:t xml:space="preserve">Por el contrario, el estudio anterior de Román-Quirós (2023) encuentra que la edad de los estudiantes de Medicina, de esta misma institución, no muestra estar relacionada significativamente con la SA excepto el factor SAS. </w:t>
      </w:r>
    </w:p>
    <w:p w14:paraId="39F8DB00" w14:textId="77777777" w:rsidR="001C4921" w:rsidRPr="001C4921" w:rsidRDefault="001C4921" w:rsidP="001C4913">
      <w:pPr>
        <w:spacing w:after="160" w:line="360" w:lineRule="auto"/>
        <w:jc w:val="both"/>
        <w:rPr>
          <w:rFonts w:ascii="Arial" w:hAnsi="Arial" w:cs="Arial"/>
          <w:color w:val="538135"/>
          <w:lang w:eastAsia="en-US"/>
        </w:rPr>
      </w:pPr>
      <w:r w:rsidRPr="001C4921">
        <w:rPr>
          <w:rFonts w:ascii="Arial" w:hAnsi="Arial" w:cs="Arial"/>
          <w:lang w:eastAsia="en-US"/>
        </w:rPr>
        <w:lastRenderedPageBreak/>
        <w:t xml:space="preserve">Tomando en cuenta que, si bien existen discrepancias en ambos estudios respecto a la SA y la edad, este no es el caso en cuanto al avance del estudiantado dentro de las carreras de estudio. Ambos instrumentos utilizados para medir la SA (ESA y DESIT-17), junto con los cuatro factores de este último, muestran estar correlacionados negativamente con el avance del estudiante en la carrera en esta investigación; misma situación que se presenta en el estudio de Román-Quirós (2023) acerca del DESIT-17 y sus factores. </w:t>
      </w:r>
    </w:p>
    <w:p w14:paraId="0991555C" w14:textId="77777777" w:rsidR="00B3468B"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Propiamente sobre la edad, el único aspecto de la SA que reitera en ambas investigaciones su relación con la edad es el factor de SAS; esto es: los servicios que brinda la carrera en general (VE17): su calidad (VE18): la formación vista como servicio (VE15); el servicio docente (VE16), y las actividades efectuadas como servicio (VE19). Es decir, tomando en cuenta ambas investigaciones, pareciera ser que el estudiantado con más avance se muestra más insatisfecho académicamente hablando, mientras que los de mayor edad parecen, cuando menos, ser más exigentes con los servicios. </w:t>
      </w:r>
    </w:p>
    <w:p w14:paraId="1AF673DB" w14:textId="0DE44756"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Debido a que no se encuentran datos correlacionales en cuanto a la relación entre la SA y la edad en la literatura, conviene señalar que la relación de esta última con una medida similar a la SA, como lo es la satisfacción con la vida, no es clara, y se considera que la relación entre ambas variables se modifica considerablemente entre países</w:t>
      </w:r>
      <w:r w:rsidRPr="001C4921">
        <w:rPr>
          <w:rFonts w:ascii="Arial" w:hAnsi="Arial" w:cs="Arial"/>
          <w:color w:val="538135"/>
          <w:lang w:eastAsia="en-US"/>
        </w:rPr>
        <w:t xml:space="preserve"> </w:t>
      </w:r>
      <w:r w:rsidRPr="001C4921">
        <w:rPr>
          <w:rFonts w:ascii="Arial" w:hAnsi="Arial" w:cs="Arial"/>
          <w:lang w:eastAsia="en-US"/>
        </w:rPr>
        <w:t>(</w:t>
      </w:r>
      <w:proofErr w:type="spellStart"/>
      <w:r w:rsidRPr="001C4921">
        <w:rPr>
          <w:rFonts w:ascii="Arial" w:hAnsi="Arial" w:cs="Arial"/>
          <w:lang w:eastAsia="en-US"/>
        </w:rPr>
        <w:t>Fortin</w:t>
      </w:r>
      <w:proofErr w:type="spellEnd"/>
      <w:r w:rsidRPr="001C4921">
        <w:rPr>
          <w:rFonts w:ascii="Arial" w:hAnsi="Arial" w:cs="Arial"/>
          <w:lang w:eastAsia="en-US"/>
        </w:rPr>
        <w:t xml:space="preserve"> et al., 2015). Este podría ser también el caso con la SA. </w:t>
      </w:r>
    </w:p>
    <w:p w14:paraId="7BC75EC3" w14:textId="22D162BA"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lastRenderedPageBreak/>
        <w:t xml:space="preserve">Acerca de la progresividad en los niveles de insatisfacción conforme se avanza en la carrera, en esta ocasión, por un </w:t>
      </w:r>
      <w:proofErr w:type="spellStart"/>
      <w:proofErr w:type="gramStart"/>
      <w:r w:rsidRPr="001C4921">
        <w:rPr>
          <w:rFonts w:ascii="Arial" w:hAnsi="Arial" w:cs="Arial"/>
          <w:lang w:eastAsia="en-US"/>
        </w:rPr>
        <w:t>lado,se</w:t>
      </w:r>
      <w:proofErr w:type="spellEnd"/>
      <w:proofErr w:type="gramEnd"/>
      <w:r w:rsidRPr="001C4921">
        <w:rPr>
          <w:rFonts w:ascii="Arial" w:hAnsi="Arial" w:cs="Arial"/>
          <w:lang w:eastAsia="en-US"/>
        </w:rPr>
        <w:t xml:space="preserve"> pueden excluir los efectos de la pandemia por COVID 19 y la mediación virtual, ya que esta recolección es llevada a cabo en un momento en la que las lecciones se impartían de forma predominantemente presencial. Por otro lado, se debe considerar que los resultados, en términos de evaluación de la </w:t>
      </w:r>
      <w:proofErr w:type="gramStart"/>
      <w:r w:rsidRPr="001C4921">
        <w:rPr>
          <w:rFonts w:ascii="Arial" w:hAnsi="Arial" w:cs="Arial"/>
          <w:lang w:eastAsia="en-US"/>
        </w:rPr>
        <w:t>SA ,son</w:t>
      </w:r>
      <w:proofErr w:type="gramEnd"/>
      <w:r w:rsidRPr="001C4921">
        <w:rPr>
          <w:rFonts w:ascii="Arial" w:hAnsi="Arial" w:cs="Arial"/>
          <w:lang w:eastAsia="en-US"/>
        </w:rPr>
        <w:t xml:space="preserve"> positivos, en el tanto la media es de 4.16 (</w:t>
      </w:r>
      <w:r w:rsidRPr="001C4921">
        <w:rPr>
          <w:rFonts w:ascii="Arial" w:hAnsi="Arial" w:cs="Arial"/>
          <w:i/>
          <w:iCs/>
          <w:lang w:eastAsia="en-US"/>
        </w:rPr>
        <w:t xml:space="preserve">DE </w:t>
      </w:r>
      <w:r w:rsidRPr="001C4921">
        <w:rPr>
          <w:rFonts w:ascii="Arial" w:hAnsi="Arial" w:cs="Arial"/>
          <w:lang w:eastAsia="en-US"/>
        </w:rPr>
        <w:t xml:space="preserve">= .71), mientras que el 67,2% del estudiantado evalúa su SA con una nota superior a 4 (de 5 posibles). A pesar de lo anterior, persiste la situación de progresividad de la insatisfacción a medida que el estudiantado avanza. </w:t>
      </w:r>
    </w:p>
    <w:p w14:paraId="2A8B669D"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Al respecto, y como se evidencia en la introducción, se halla una fuerte relación entre la SA y la salud mental (</w:t>
      </w:r>
      <w:proofErr w:type="spellStart"/>
      <w:r w:rsidRPr="001C4921">
        <w:rPr>
          <w:rFonts w:ascii="Arial" w:hAnsi="Arial" w:cs="Arial"/>
          <w:lang w:eastAsia="en-US"/>
        </w:rPr>
        <w:t>Bayram</w:t>
      </w:r>
      <w:proofErr w:type="spellEnd"/>
      <w:r w:rsidRPr="001C4921">
        <w:rPr>
          <w:rFonts w:ascii="Arial" w:hAnsi="Arial" w:cs="Arial"/>
          <w:lang w:eastAsia="en-US"/>
        </w:rPr>
        <w:t xml:space="preserve"> &amp; </w:t>
      </w:r>
      <w:proofErr w:type="spellStart"/>
      <w:r w:rsidRPr="001C4921">
        <w:rPr>
          <w:rFonts w:ascii="Arial" w:hAnsi="Arial" w:cs="Arial"/>
          <w:lang w:eastAsia="en-US"/>
        </w:rPr>
        <w:t>Bilgel</w:t>
      </w:r>
      <w:proofErr w:type="spellEnd"/>
      <w:r w:rsidRPr="001C4921">
        <w:rPr>
          <w:rFonts w:ascii="Arial" w:hAnsi="Arial" w:cs="Arial"/>
          <w:lang w:eastAsia="en-US"/>
        </w:rPr>
        <w:t xml:space="preserve">, 2008; </w:t>
      </w:r>
      <w:proofErr w:type="spellStart"/>
      <w:r w:rsidRPr="001C4921">
        <w:rPr>
          <w:rFonts w:ascii="Arial" w:hAnsi="Arial" w:cs="Arial"/>
          <w:lang w:eastAsia="en-US"/>
        </w:rPr>
        <w:t>Franzen</w:t>
      </w:r>
      <w:proofErr w:type="spellEnd"/>
      <w:r w:rsidRPr="001C4921">
        <w:rPr>
          <w:rFonts w:ascii="Arial" w:hAnsi="Arial" w:cs="Arial"/>
          <w:lang w:eastAsia="en-US"/>
        </w:rPr>
        <w:t xml:space="preserve"> et al., 2021; Lee &amp; </w:t>
      </w:r>
      <w:proofErr w:type="spellStart"/>
      <w:r w:rsidRPr="001C4921">
        <w:rPr>
          <w:rFonts w:ascii="Arial" w:hAnsi="Arial" w:cs="Arial"/>
          <w:lang w:eastAsia="en-US"/>
        </w:rPr>
        <w:t>Jang</w:t>
      </w:r>
      <w:proofErr w:type="spellEnd"/>
      <w:r w:rsidRPr="001C4921">
        <w:rPr>
          <w:rFonts w:ascii="Arial" w:hAnsi="Arial" w:cs="Arial"/>
          <w:lang w:eastAsia="en-US"/>
        </w:rPr>
        <w:t>, 2015; Tran et al., 2022), con lo cual cobra relevancia el tema de la salud mental de la comunidad estudiantil universitaria, en general (</w:t>
      </w:r>
      <w:proofErr w:type="spellStart"/>
      <w:r w:rsidRPr="001C4921">
        <w:rPr>
          <w:rFonts w:ascii="Arial" w:hAnsi="Arial" w:cs="Arial"/>
          <w:lang w:eastAsia="en-US"/>
        </w:rPr>
        <w:t>Bayram</w:t>
      </w:r>
      <w:proofErr w:type="spellEnd"/>
      <w:r w:rsidRPr="001C4921">
        <w:rPr>
          <w:rFonts w:ascii="Arial" w:hAnsi="Arial" w:cs="Arial"/>
          <w:lang w:eastAsia="en-US"/>
        </w:rPr>
        <w:t xml:space="preserve"> &amp; </w:t>
      </w:r>
      <w:proofErr w:type="spellStart"/>
      <w:r w:rsidRPr="001C4921">
        <w:rPr>
          <w:rFonts w:ascii="Arial" w:hAnsi="Arial" w:cs="Arial"/>
          <w:lang w:eastAsia="en-US"/>
        </w:rPr>
        <w:t>Bilgel</w:t>
      </w:r>
      <w:proofErr w:type="spellEnd"/>
      <w:r w:rsidRPr="001C4921">
        <w:rPr>
          <w:rFonts w:ascii="Arial" w:hAnsi="Arial" w:cs="Arial"/>
          <w:lang w:eastAsia="en-US"/>
        </w:rPr>
        <w:t xml:space="preserve">, 2008; Dobles-Villegas, 2019; Evans et al., 2018, citados por Parks et al., 2021), y el cual resulta aún más crítico, en estudiantado de Ciencias de la Salud (Avecillas </w:t>
      </w:r>
      <w:proofErr w:type="spellStart"/>
      <w:r w:rsidRPr="001C4921">
        <w:rPr>
          <w:rFonts w:ascii="Arial" w:hAnsi="Arial" w:cs="Arial"/>
          <w:lang w:eastAsia="en-US"/>
        </w:rPr>
        <w:t>Cazho</w:t>
      </w:r>
      <w:proofErr w:type="spellEnd"/>
      <w:r w:rsidRPr="001C4921">
        <w:rPr>
          <w:rFonts w:ascii="Arial" w:hAnsi="Arial" w:cs="Arial"/>
          <w:lang w:eastAsia="en-US"/>
        </w:rPr>
        <w:t xml:space="preserve"> et al., 2021; Consuelos-Sánchez et al., 2023; </w:t>
      </w:r>
      <w:proofErr w:type="spellStart"/>
      <w:r w:rsidRPr="001C4921">
        <w:rPr>
          <w:rFonts w:ascii="Arial" w:hAnsi="Arial" w:cs="Arial"/>
          <w:lang w:eastAsia="en-US"/>
        </w:rPr>
        <w:t>Dyrbye</w:t>
      </w:r>
      <w:proofErr w:type="spellEnd"/>
      <w:r w:rsidRPr="001C4921">
        <w:rPr>
          <w:rFonts w:ascii="Arial" w:hAnsi="Arial" w:cs="Arial"/>
          <w:lang w:eastAsia="en-US"/>
        </w:rPr>
        <w:t xml:space="preserve">, 2010; </w:t>
      </w:r>
      <w:proofErr w:type="spellStart"/>
      <w:r w:rsidRPr="001C4921">
        <w:rPr>
          <w:rFonts w:ascii="Arial" w:hAnsi="Arial" w:cs="Arial"/>
          <w:lang w:eastAsia="en-US"/>
        </w:rPr>
        <w:t>Fischbein</w:t>
      </w:r>
      <w:proofErr w:type="spellEnd"/>
      <w:r w:rsidRPr="001C4921">
        <w:rPr>
          <w:rFonts w:ascii="Arial" w:hAnsi="Arial" w:cs="Arial"/>
          <w:lang w:eastAsia="en-US"/>
        </w:rPr>
        <w:t xml:space="preserve"> &amp; </w:t>
      </w:r>
      <w:proofErr w:type="spellStart"/>
      <w:r w:rsidRPr="001C4921">
        <w:rPr>
          <w:rFonts w:ascii="Arial" w:hAnsi="Arial" w:cs="Arial"/>
          <w:lang w:eastAsia="en-US"/>
        </w:rPr>
        <w:t>Bonfine</w:t>
      </w:r>
      <w:proofErr w:type="spellEnd"/>
      <w:r w:rsidRPr="001C4921">
        <w:rPr>
          <w:rFonts w:ascii="Arial" w:hAnsi="Arial" w:cs="Arial"/>
          <w:lang w:eastAsia="en-US"/>
        </w:rPr>
        <w:t xml:space="preserve">, 2019; </w:t>
      </w:r>
      <w:proofErr w:type="spellStart"/>
      <w:r w:rsidRPr="001C4921">
        <w:rPr>
          <w:rFonts w:ascii="Arial" w:hAnsi="Arial" w:cs="Arial"/>
          <w:lang w:eastAsia="en-US"/>
        </w:rPr>
        <w:t>Franzen</w:t>
      </w:r>
      <w:proofErr w:type="spellEnd"/>
      <w:r w:rsidRPr="001C4921">
        <w:rPr>
          <w:rFonts w:ascii="Arial" w:hAnsi="Arial" w:cs="Arial"/>
          <w:lang w:eastAsia="en-US"/>
        </w:rPr>
        <w:t xml:space="preserve"> et al., 2021; Park et al., 2021; Pérez-Contreras, 2021; </w:t>
      </w:r>
      <w:proofErr w:type="spellStart"/>
      <w:r w:rsidRPr="001C4921">
        <w:rPr>
          <w:rFonts w:ascii="Arial" w:hAnsi="Arial" w:cs="Arial"/>
          <w:lang w:eastAsia="en-US"/>
        </w:rPr>
        <w:t>Rehmani</w:t>
      </w:r>
      <w:proofErr w:type="spellEnd"/>
      <w:r w:rsidRPr="001C4921">
        <w:rPr>
          <w:rFonts w:ascii="Arial" w:hAnsi="Arial" w:cs="Arial"/>
          <w:lang w:eastAsia="en-US"/>
        </w:rPr>
        <w:t xml:space="preserve"> et al., 2018; </w:t>
      </w:r>
      <w:proofErr w:type="spellStart"/>
      <w:r w:rsidRPr="001C4921">
        <w:rPr>
          <w:rFonts w:ascii="Arial" w:hAnsi="Arial" w:cs="Arial"/>
          <w:lang w:eastAsia="en-US"/>
        </w:rPr>
        <w:t>Tavolacci</w:t>
      </w:r>
      <w:proofErr w:type="spellEnd"/>
      <w:r w:rsidRPr="001C4921">
        <w:rPr>
          <w:rFonts w:ascii="Arial" w:hAnsi="Arial" w:cs="Arial"/>
          <w:lang w:eastAsia="en-US"/>
        </w:rPr>
        <w:t xml:space="preserve"> et al., 2018). </w:t>
      </w:r>
    </w:p>
    <w:p w14:paraId="40EC4D9B"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Así pues, se podría, incluso, tomar en cuenta estudios en Costa Rica que, sin localizar información directamente sobre salud mental, bordean el tema en estudiantes de Ciencias de la Salud (Alfaro-Mora et al., 2019; Arguedas et al., </w:t>
      </w:r>
      <w:r w:rsidRPr="001C4921">
        <w:rPr>
          <w:rFonts w:ascii="Arial" w:hAnsi="Arial" w:cs="Arial"/>
          <w:lang w:eastAsia="en-US"/>
        </w:rPr>
        <w:lastRenderedPageBreak/>
        <w:t xml:space="preserve">2012). De esta manera, ante la ausencia de información en específico sobre la evolución de la SA y su curso a través del plan de estudios, y al estar por otro lado la salud mental y la SA estrechamente relacionadas, la literatura existente induce a tener la expectativa de que la insatisfacción progresiva, al menos, en estudiantado universitario de las carreras más ilustrativas de las Ciencias de la Salud, sea lo esperable. </w:t>
      </w:r>
    </w:p>
    <w:p w14:paraId="4642DB4F" w14:textId="77777777" w:rsidR="00B3468B"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Cabe, entonces, hacerse dos preguntas; en primer lugar, el por qué los estudiantes de Ciencias de la Salud registran peores indicadores de salud mental con respecto a otras carreras; y, en segundo lugar, si se debe normalizar la situación debido a que se trata de una norma estadística. </w:t>
      </w:r>
    </w:p>
    <w:p w14:paraId="446A1278" w14:textId="4FCEA954"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Sin embargo, como lo que nos atañe es la SA, basta señalar que es necesario disponer de investigación que dé cuenta de la relación entre el progreso dentro de una carrera universitaria y el grado de satisfacción dentro de las Ciencias de la Salud (u otras). </w:t>
      </w:r>
    </w:p>
    <w:p w14:paraId="3453534C" w14:textId="7F92B93E"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Otro aspecto destacable en la progresividad de la insatisfacción es que, en la definición misma de SA, se encuentra presente el tema de la expectativa (</w:t>
      </w:r>
      <w:proofErr w:type="spellStart"/>
      <w:r w:rsidRPr="001C4921">
        <w:rPr>
          <w:rFonts w:ascii="Arial" w:hAnsi="Arial" w:cs="Arial"/>
          <w:lang w:eastAsia="en-US"/>
        </w:rPr>
        <w:t>Athiyaman</w:t>
      </w:r>
      <w:proofErr w:type="spellEnd"/>
      <w:r w:rsidRPr="001C4921">
        <w:rPr>
          <w:rFonts w:ascii="Arial" w:hAnsi="Arial" w:cs="Arial"/>
          <w:lang w:eastAsia="en-US"/>
        </w:rPr>
        <w:t>, 1997), aspecto esencial y difícil de evaluar, de entender y de satisfacer dentro del tema de la SA (</w:t>
      </w:r>
      <w:proofErr w:type="spellStart"/>
      <w:r w:rsidRPr="001C4921">
        <w:rPr>
          <w:rFonts w:ascii="Arial" w:hAnsi="Arial" w:cs="Arial"/>
          <w:lang w:eastAsia="en-US"/>
        </w:rPr>
        <w:t>Szymanski</w:t>
      </w:r>
      <w:proofErr w:type="spellEnd"/>
      <w:r w:rsidRPr="001C4921">
        <w:rPr>
          <w:rFonts w:ascii="Arial" w:hAnsi="Arial" w:cs="Arial"/>
          <w:lang w:eastAsia="en-US"/>
        </w:rPr>
        <w:t xml:space="preserve"> &amp; </w:t>
      </w:r>
      <w:proofErr w:type="spellStart"/>
      <w:r w:rsidRPr="001C4921">
        <w:rPr>
          <w:rFonts w:ascii="Arial" w:hAnsi="Arial" w:cs="Arial"/>
          <w:lang w:eastAsia="en-US"/>
        </w:rPr>
        <w:t>Henard</w:t>
      </w:r>
      <w:proofErr w:type="spellEnd"/>
      <w:r w:rsidRPr="001C4921">
        <w:rPr>
          <w:rFonts w:ascii="Arial" w:hAnsi="Arial" w:cs="Arial"/>
          <w:lang w:eastAsia="en-US"/>
        </w:rPr>
        <w:t xml:space="preserve">, 2001, citado por Lee &amp; </w:t>
      </w:r>
      <w:proofErr w:type="spellStart"/>
      <w:r w:rsidRPr="001C4921">
        <w:rPr>
          <w:rFonts w:ascii="Arial" w:hAnsi="Arial" w:cs="Arial"/>
          <w:lang w:eastAsia="en-US"/>
        </w:rPr>
        <w:t>Jang</w:t>
      </w:r>
      <w:proofErr w:type="spellEnd"/>
      <w:r w:rsidRPr="001C4921">
        <w:rPr>
          <w:rFonts w:ascii="Arial" w:hAnsi="Arial" w:cs="Arial"/>
          <w:lang w:eastAsia="en-US"/>
        </w:rPr>
        <w:t xml:space="preserve">, 2015). Este aspecto debe, probablemente, explorarse desde lo cualitativo, no dentro de áreas disciplinares, sino, incluso, a lo interno de cada carrera en específico. </w:t>
      </w:r>
    </w:p>
    <w:p w14:paraId="7BAF4BF2" w14:textId="4592ADE8"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lastRenderedPageBreak/>
        <w:t xml:space="preserve">Esto último podría evidenciar un elemento primordial y, de forma escasa, estudiado de nuestro sistema educativo y que podría incidir en la SA, a saber: la influencia de la orientación vocacional y el mercadeo; en particular, el caso de las universidades privadas. En otras palabras, la transición entre la educación secundaria y la universitaria, en cuanto a lo que imagina, anticipa y espera el estudiantado que ingresará a una carrera determinada, en contraposición, a lo que acaba de ser su experiencia académica. </w:t>
      </w:r>
    </w:p>
    <w:p w14:paraId="0F016BBE"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Probablemente, esas expectativas toman, en gran medida, forma dentro de esa transición que es objeto de una de las principales preocupaciones del Informe del Estado de la Educación (Programa Estado de la Nación, 2023). Desde una perspectiva de adaptación de estudiantes que provienen del apagón educativo, en términos de rendimiento académico, o el tiempo de duración (real) de las carreras, trabajar el tema de la expectativa, de la mano de los datos, podría ser una valiosa medida para orientadores vocacionales, por ejemplo. </w:t>
      </w:r>
    </w:p>
    <w:p w14:paraId="448F0FFF" w14:textId="77777777" w:rsidR="001C4921" w:rsidRPr="001C4921" w:rsidRDefault="001C4921" w:rsidP="001C4913">
      <w:pPr>
        <w:spacing w:after="160" w:line="360" w:lineRule="auto"/>
        <w:jc w:val="both"/>
        <w:rPr>
          <w:rFonts w:ascii="Arial" w:hAnsi="Arial" w:cs="Arial"/>
          <w:color w:val="538135"/>
          <w:lang w:eastAsia="en-US"/>
        </w:rPr>
      </w:pPr>
      <w:r w:rsidRPr="001C4921">
        <w:rPr>
          <w:rFonts w:ascii="Arial" w:hAnsi="Arial" w:cs="Arial"/>
          <w:lang w:eastAsia="en-US"/>
        </w:rPr>
        <w:t xml:space="preserve">Por su parte, a pesar de que se considera en la introducción que esta fase  de transición entre el colegio y la universidad ocurre en una etapa del desarrollo que ya de por sí implica una serie de estresores y vivencias complicadas (Wyatt &amp; </w:t>
      </w:r>
      <w:proofErr w:type="spellStart"/>
      <w:r w:rsidRPr="001C4921">
        <w:rPr>
          <w:rFonts w:ascii="Arial" w:hAnsi="Arial" w:cs="Arial"/>
          <w:lang w:eastAsia="en-US"/>
        </w:rPr>
        <w:t>Oswalt</w:t>
      </w:r>
      <w:proofErr w:type="spellEnd"/>
      <w:r w:rsidRPr="001C4921">
        <w:rPr>
          <w:rFonts w:ascii="Arial" w:hAnsi="Arial" w:cs="Arial"/>
          <w:lang w:eastAsia="en-US"/>
        </w:rPr>
        <w:t>, 2013; Schramm-</w:t>
      </w:r>
      <w:proofErr w:type="spellStart"/>
      <w:r w:rsidRPr="001C4921">
        <w:rPr>
          <w:rFonts w:ascii="Arial" w:hAnsi="Arial" w:cs="Arial"/>
          <w:lang w:eastAsia="en-US"/>
        </w:rPr>
        <w:t>Possinger</w:t>
      </w:r>
      <w:proofErr w:type="spellEnd"/>
      <w:r w:rsidRPr="001C4921">
        <w:rPr>
          <w:rFonts w:ascii="Arial" w:hAnsi="Arial" w:cs="Arial"/>
          <w:lang w:eastAsia="en-US"/>
        </w:rPr>
        <w:t xml:space="preserve"> y Powers, 2015), lo cierto es que el estudiantado trabajara o no, el que viviera solo o acompañado, o aspectos relacionados con el financiamiento de sus estudios no muestran estar relacionados en esta investigación. </w:t>
      </w:r>
    </w:p>
    <w:p w14:paraId="7BAB4E07" w14:textId="77777777" w:rsidR="00B3468B" w:rsidRDefault="001C4921" w:rsidP="001C4913">
      <w:pPr>
        <w:spacing w:after="160" w:line="360" w:lineRule="auto"/>
        <w:jc w:val="both"/>
        <w:rPr>
          <w:rFonts w:ascii="Arial" w:hAnsi="Arial" w:cs="Arial"/>
          <w:lang w:eastAsia="en-US"/>
        </w:rPr>
      </w:pPr>
      <w:r w:rsidRPr="001C4921">
        <w:rPr>
          <w:rFonts w:ascii="Arial" w:hAnsi="Arial" w:cs="Arial"/>
          <w:lang w:eastAsia="en-US"/>
        </w:rPr>
        <w:lastRenderedPageBreak/>
        <w:t xml:space="preserve">Se encuentran diferencias significativas por género, tanto en el DESIT-17 como con la ESA, a pesar de que este no es el caso en el estudio de Román-Quirós (2023). La carencia de información sobre relaciones estadísticas entre la SA y variables sociodemográficas en general es sorpresivamente necesaria en este tema, no porque no se haga investigación con dichas variables, sino porque dichos datos no suelen ser reportados. </w:t>
      </w:r>
    </w:p>
    <w:p w14:paraId="3F65776A" w14:textId="24D432BD"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En consecuencia, resulta útil agregar que el 67,7% del estudiantado de Medicina son mujeres, quienes representan el 80%, en Farmacia; el 83,3%, en Psicología, y el 92,1%, en Enfermería. Sin embargo existe un incremento en un periodo corto respecto al porcentaje reportado por Román-Quirós (2023) sobre el porcentaje de mujeres estudiantes de Medicina, en cuyo caso es reportado un 49,3%. De todas formas, es claro que el perfil de las Ciencias de la Salud, en Costa Rica y en el mundo, suele ser femenino (U-</w:t>
      </w:r>
      <w:proofErr w:type="spellStart"/>
      <w:r w:rsidRPr="001C4921">
        <w:rPr>
          <w:rFonts w:ascii="Arial" w:hAnsi="Arial" w:cs="Arial"/>
          <w:lang w:eastAsia="en-US"/>
        </w:rPr>
        <w:t>Multirank</w:t>
      </w:r>
      <w:proofErr w:type="spellEnd"/>
      <w:r w:rsidRPr="001C4921">
        <w:rPr>
          <w:rFonts w:ascii="Arial" w:hAnsi="Arial" w:cs="Arial"/>
          <w:lang w:eastAsia="en-US"/>
        </w:rPr>
        <w:t xml:space="preserve"> Project, 2022).</w:t>
      </w:r>
    </w:p>
    <w:p w14:paraId="00336C4E" w14:textId="77777777" w:rsidR="00B3468B"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Al haberse hallado diferencias significativas en razón de haber o no considerado, en ocasiones, dejar la carrera, respecto a todos los diversos indicadores de SA de este estudio (SA general, los cuatro factores y la ESA), se considera que dicho ítem constituye un aliado importante en la tarea de explorar la SA en una muestra determinada. </w:t>
      </w:r>
    </w:p>
    <w:p w14:paraId="32A2E5D1" w14:textId="00BA253E"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En la presente investigación, un 44,9% responde afirmativamente a la pregunta. De paso, para investigaciones interesadas en estudiar el abandono de carrera, el preguntar si los estudiantes tienen o no hijos ha sido identificado como un predictor </w:t>
      </w:r>
      <w:r w:rsidRPr="001C4921">
        <w:rPr>
          <w:rFonts w:ascii="Arial" w:hAnsi="Arial" w:cs="Arial"/>
          <w:lang w:eastAsia="en-US"/>
        </w:rPr>
        <w:lastRenderedPageBreak/>
        <w:t>de serias intenciones de abandonar (</w:t>
      </w:r>
      <w:proofErr w:type="spellStart"/>
      <w:r w:rsidRPr="001C4921">
        <w:rPr>
          <w:rFonts w:ascii="Arial" w:hAnsi="Arial" w:cs="Arial"/>
          <w:lang w:eastAsia="en-US"/>
        </w:rPr>
        <w:t>Dyrbye</w:t>
      </w:r>
      <w:proofErr w:type="spellEnd"/>
      <w:r w:rsidRPr="001C4921">
        <w:rPr>
          <w:rFonts w:ascii="Arial" w:hAnsi="Arial" w:cs="Arial"/>
          <w:lang w:eastAsia="en-US"/>
        </w:rPr>
        <w:t xml:space="preserve"> et al., 2010). Se considera, en este sentido relevante, incluirla también en investigaciones sobre SA en general. </w:t>
      </w:r>
    </w:p>
    <w:p w14:paraId="2E574144"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Por último, el porcentaje de estudiantado que reporta dedicarse, únicamente, a estudiar en la investigación de Román-Quirós, (2023) es de un 83,1%. En esta ocasión, el porcentaje es bastante similar, un 79,1%. Se espera contribuir con los datos descriptivos y sociodemográficos proporcionados, los cuales resultan útiles en nuestro contexto como antecedentes del perfil de estudiantes universitarios de centros de enseñanza privada en Costa Rica, así como de estudiantes de Ciencias de la Salud. </w:t>
      </w:r>
    </w:p>
    <w:p w14:paraId="69803103" w14:textId="5132270B" w:rsidR="001C4921" w:rsidRPr="001C4921" w:rsidRDefault="001C4913" w:rsidP="001C4913">
      <w:pPr>
        <w:spacing w:after="160" w:line="259" w:lineRule="auto"/>
        <w:rPr>
          <w:rFonts w:ascii="Arial" w:hAnsi="Arial" w:cs="Arial"/>
          <w:b/>
          <w:bCs/>
          <w:color w:val="000000"/>
          <w:lang w:eastAsia="en-US"/>
        </w:rPr>
      </w:pPr>
      <w:r w:rsidRPr="001C4921">
        <w:rPr>
          <w:rFonts w:ascii="Arial" w:hAnsi="Arial" w:cs="Arial"/>
          <w:b/>
          <w:bCs/>
          <w:color w:val="000000"/>
          <w:lang w:eastAsia="en-US"/>
        </w:rPr>
        <w:t>LIMITACIONES Y RECOMENDACIONES</w:t>
      </w:r>
    </w:p>
    <w:p w14:paraId="72FADBCB" w14:textId="77777777" w:rsidR="001C4921" w:rsidRPr="001C4921" w:rsidRDefault="001C4921" w:rsidP="001C4913">
      <w:pPr>
        <w:spacing w:after="160" w:line="360" w:lineRule="auto"/>
        <w:jc w:val="both"/>
        <w:rPr>
          <w:rFonts w:ascii="Arial" w:hAnsi="Arial" w:cs="Arial"/>
          <w:lang w:eastAsia="en-US"/>
        </w:rPr>
      </w:pPr>
      <w:r w:rsidRPr="001C4921">
        <w:rPr>
          <w:rFonts w:ascii="Arial" w:hAnsi="Arial" w:cs="Arial"/>
          <w:lang w:eastAsia="en-US"/>
        </w:rPr>
        <w:t xml:space="preserve">El hecho de que el instrumento esté contenido en el cuestionario original del SINAES consiste en una gran ventaja del DESIT-17. Sin embargo, también, esto constituye una limitación, en el tanto existen otros antecedentes encontrados en la literatura que resultan relevantes y que no pueden ser incluidos en este instrumento, ya que, para efectos de valorar las propiedades psicométricas y de proveer evidencias de validez de ese mismo instrumento que dispone de dichas facilidades de aplicación, era necesario utilizar los mismos reactivos contenidos en el cuestionario original. De esta manera, es recomendable incluir y probar algunos de estos elementos, ya sea en otras versiones de este instrumento o a efectos de elaborar otros nuevos. </w:t>
      </w:r>
    </w:p>
    <w:p w14:paraId="1CCEDEC7" w14:textId="77777777" w:rsidR="001C4921" w:rsidRPr="001C4921" w:rsidRDefault="001C4921" w:rsidP="001C4913">
      <w:pPr>
        <w:spacing w:after="160" w:line="360" w:lineRule="auto"/>
        <w:jc w:val="both"/>
        <w:rPr>
          <w:rFonts w:ascii="Arial" w:hAnsi="Arial" w:cs="Arial"/>
          <w:color w:val="C45911"/>
          <w:lang w:eastAsia="en-US"/>
        </w:rPr>
      </w:pPr>
      <w:r w:rsidRPr="001C4921">
        <w:rPr>
          <w:rFonts w:ascii="Arial" w:hAnsi="Arial" w:cs="Arial"/>
          <w:lang w:eastAsia="en-US"/>
        </w:rPr>
        <w:lastRenderedPageBreak/>
        <w:t>Tal es el caso, por ejemplo, de la imagen y reputación que ostenta el centro de enseñanza superior, en opinión del estudiante (Acuña-Benites et al., 2021; Mireles Vásquez &amp; García-García, 2022); la satisfacción con las plataformas digitales utilizadas; la satisfacción con los recursos bibliográficos, así como respecto a la actualización del material empleado en los cursos (que no es lo mismo que el material con el que cuenta la biblioteca) (Mireles Vásquez &amp; García-García, 2022); los reactivos acerca de satisfacción con aspectos pedagógicos empleados, como técnicas de enseñanza y aprendizaje (</w:t>
      </w:r>
      <w:proofErr w:type="spellStart"/>
      <w:r w:rsidRPr="001C4921">
        <w:rPr>
          <w:rFonts w:ascii="Arial" w:hAnsi="Arial" w:cs="Arial"/>
          <w:lang w:eastAsia="en-US"/>
        </w:rPr>
        <w:t>Chuyma</w:t>
      </w:r>
      <w:proofErr w:type="spellEnd"/>
      <w:r w:rsidRPr="001C4921">
        <w:rPr>
          <w:rFonts w:ascii="Arial" w:hAnsi="Arial" w:cs="Arial"/>
          <w:lang w:eastAsia="en-US"/>
        </w:rPr>
        <w:t xml:space="preserve">-Huillca et al; </w:t>
      </w:r>
      <w:proofErr w:type="spellStart"/>
      <w:r w:rsidRPr="001C4921">
        <w:rPr>
          <w:rFonts w:ascii="Arial" w:hAnsi="Arial" w:cs="Arial"/>
          <w:lang w:eastAsia="en-US"/>
        </w:rPr>
        <w:t>Stukalina</w:t>
      </w:r>
      <w:proofErr w:type="spellEnd"/>
      <w:r w:rsidRPr="001C4921">
        <w:rPr>
          <w:rFonts w:ascii="Arial" w:hAnsi="Arial" w:cs="Arial"/>
          <w:lang w:eastAsia="en-US"/>
        </w:rPr>
        <w:t xml:space="preserve">; </w:t>
      </w:r>
      <w:proofErr w:type="spellStart"/>
      <w:r w:rsidRPr="001C4921">
        <w:rPr>
          <w:rFonts w:ascii="Arial" w:hAnsi="Arial" w:cs="Arial"/>
          <w:lang w:eastAsia="en-US"/>
        </w:rPr>
        <w:t>Surdez</w:t>
      </w:r>
      <w:proofErr w:type="spellEnd"/>
      <w:r w:rsidRPr="001C4921">
        <w:rPr>
          <w:rFonts w:ascii="Arial" w:hAnsi="Arial" w:cs="Arial"/>
          <w:lang w:eastAsia="en-US"/>
        </w:rPr>
        <w:t xml:space="preserve">-Pérez et al., citados por </w:t>
      </w:r>
      <w:r w:rsidRPr="001C4921">
        <w:rPr>
          <w:rFonts w:ascii="Arial" w:hAnsi="Arial" w:cs="Arial"/>
          <w:lang w:eastAsia="en-US"/>
        </w:rPr>
        <w:fldChar w:fldCharType="begin"/>
      </w:r>
      <w:r w:rsidRPr="001C4921">
        <w:rPr>
          <w:rFonts w:ascii="Arial" w:hAnsi="Arial" w:cs="Arial"/>
          <w:lang w:eastAsia="en-US"/>
        </w:rPr>
        <w:instrText xml:space="preserve"> ADDIN ZOTERO_ITEM CSL_CITATION {"citationID":"a5s45smc1h","properties":{"formattedCitation":"\\uldash{(Mireles V\\uc0\\u225{}zquez &amp; Garc\\uc0\\u237{}a Garc\\uc0\\u237{}a, 2022)}","plainCitation":"(Mireles Vázquez &amp; García García, 2022)","noteIndex":0},"citationItems":[{"id":1038,"uris":["http://zotero.org/users/10211823/items/EPZ9JF2Q"],"itemData":{"id":1038,"type":"article-journal","abstract":"ResumenLa satisfacción es el estado placentero que tiene la o el individuo al sentir cubiertas sus expectativas; en ámbito estudiantil refiere al nivel de bienestar que las y los estudiantes perciben al cubrir sus expectativas y necesidades académicas. El objetivo de este estudio es revisar sistemáticamente la literatura reportada acerca de la satisfacción estudiantil. Método: se realizó describiendo año de publicación y realización, país de origen, grado académico, instrumento, diseño, número de participantes, rangos de edad, sexo, y factores sobresalientes de satisfacción estudiantil, con la finalidad de generar interés en el tema para futuras investigaciones. Se realizó una revisión sistemática para identificar estudios relacionados con la satisfacción estudiantil. Se analizaron las bases de datos de RedALyC, Scielo y Scopus. Se buscaron artículos de 2015 a 2021 durante una semana al azar en abril 2021, utilizando como término de búsqueda satisfacción estudiantil. Resultados: la revisión realizada arrojó que durante el 2019 hubo mayor publicación del tema, países latinoamericanos cuentan con el mayor número de publicaciones, con análisis de carácter mixto, siendo el alumnado de licenciatura los más estudiados mediante cuestionarios. Conclusiones: los componentes de la satisfacción estudiantil más importantes fueron: la buena imagen y calidad de la institución, docencia, tutorías y motivación. El presente estudio tiene implicaciones prácticas porque permite identificar los componentes que de manera global impactan la satisfacción estudiantil, por ende, aporta información que se puede utilizar para tomar decisiones escolares más eficientes y resolver problemas educativos asociados con el estrés escolar, deserción y bajo rendimiento académico. Se recomienda continuar con la realización de más investigaciones del tema que permitan conformar un corpus de conocimiento más amplio que integre las nuevas realidades educativas provocadas por la pandemia de COVID-19.Palabras clave Actitud estudiantil; Satisfacción estudiantil; Estudiantes; Revisión sistemática; Educación superior","container-title":"Revista Educación","DOI":"10.15517/revedu.v46i2.47621","ISSN":"2215-2644","issue":"2","language":"es","note":"publisher: http://creativecommons.org/licenses/by-nc-nd/3.0/","page":"610-626","source":"SciELO","title":"Satisfacción estudiantil en universitarios: una revisión sistemática de la literatura","title-short":"Satisfacción estudiantil en universitarios","volume":"46","author":[{"family":"Mireles Vázquez","given":"Mariel Guadalupe"},{"family":"García García","given":"Jesús Alberto"}],"issued":{"date-parts":[["2022",12]]}}}],"schema":"https://github.com/citation-style-language/schema/raw/master/csl-citation.json"} </w:instrText>
      </w:r>
      <w:r w:rsidRPr="001C4921">
        <w:rPr>
          <w:rFonts w:ascii="Arial" w:hAnsi="Arial" w:cs="Arial"/>
          <w:lang w:eastAsia="en-US"/>
        </w:rPr>
        <w:fldChar w:fldCharType="separate"/>
      </w:r>
      <w:r w:rsidRPr="001C4921">
        <w:rPr>
          <w:rFonts w:ascii="Arial" w:eastAsia="Calibri" w:hAnsi="Arial" w:cs="Arial"/>
          <w:szCs w:val="22"/>
          <w:lang w:val="es-ES" w:eastAsia="en-US"/>
        </w:rPr>
        <w:t>Mireles Vázquez &amp; García García</w:t>
      </w:r>
      <w:r w:rsidRPr="001C4921">
        <w:rPr>
          <w:rFonts w:ascii="Arial" w:eastAsia="Calibri" w:hAnsi="Arial" w:cs="Arial"/>
          <w:szCs w:val="22"/>
          <w:u w:val="dash"/>
          <w:lang w:val="es-ES" w:eastAsia="en-US"/>
        </w:rPr>
        <w:t>, 2022)</w:t>
      </w:r>
      <w:r w:rsidRPr="001C4921">
        <w:rPr>
          <w:rFonts w:ascii="Arial" w:hAnsi="Arial" w:cs="Arial"/>
          <w:lang w:eastAsia="en-US"/>
        </w:rPr>
        <w:fldChar w:fldCharType="end"/>
      </w:r>
      <w:r w:rsidRPr="001C4921">
        <w:rPr>
          <w:rFonts w:ascii="Arial" w:hAnsi="Arial" w:cs="Arial"/>
          <w:lang w:eastAsia="en-US"/>
        </w:rPr>
        <w:t>;</w:t>
      </w:r>
      <w:r w:rsidRPr="001C4921">
        <w:rPr>
          <w:rFonts w:ascii="Arial" w:hAnsi="Arial" w:cs="Arial"/>
          <w:color w:val="538135"/>
          <w:lang w:eastAsia="en-US"/>
        </w:rPr>
        <w:t xml:space="preserve"> la </w:t>
      </w:r>
      <w:r w:rsidRPr="001C4921">
        <w:rPr>
          <w:rFonts w:ascii="Arial" w:hAnsi="Arial" w:cs="Arial"/>
          <w:lang w:eastAsia="en-US"/>
        </w:rPr>
        <w:t>satisfacción con la retroalimentación de los profesores al evaluar a los alumnos (</w:t>
      </w:r>
      <w:proofErr w:type="spellStart"/>
      <w:r w:rsidRPr="001C4921">
        <w:rPr>
          <w:rFonts w:ascii="Arial" w:hAnsi="Arial" w:cs="Arial"/>
          <w:lang w:eastAsia="en-US"/>
        </w:rPr>
        <w:t>Lai</w:t>
      </w:r>
      <w:proofErr w:type="spellEnd"/>
      <w:r w:rsidRPr="001C4921">
        <w:rPr>
          <w:rFonts w:ascii="Arial" w:hAnsi="Arial" w:cs="Arial"/>
          <w:lang w:eastAsia="en-US"/>
        </w:rPr>
        <w:t xml:space="preserve"> et al., 2015); o sobre recursos adicionales que se dan dentro de la institución, como el de las tutorías de apoyo (Zamora-Araya et al., 2019); o satisfacción respecto a la proporción de estudiantes por profesor (Elliot &amp; Martínez, citados por Lee </w:t>
      </w:r>
      <w:proofErr w:type="spellStart"/>
      <w:r w:rsidRPr="001C4921">
        <w:rPr>
          <w:rFonts w:ascii="Arial" w:hAnsi="Arial" w:cs="Arial"/>
          <w:lang w:eastAsia="en-US"/>
        </w:rPr>
        <w:t>Jang</w:t>
      </w:r>
      <w:proofErr w:type="spellEnd"/>
      <w:r w:rsidRPr="001C4921">
        <w:rPr>
          <w:rFonts w:ascii="Arial" w:hAnsi="Arial" w:cs="Arial"/>
          <w:lang w:eastAsia="en-US"/>
        </w:rPr>
        <w:t>, 2015).</w:t>
      </w:r>
    </w:p>
    <w:p w14:paraId="47453EA7" w14:textId="77777777" w:rsidR="001C4921" w:rsidRPr="001C4921" w:rsidRDefault="001C4921" w:rsidP="00B3089A">
      <w:pPr>
        <w:spacing w:after="160" w:line="360" w:lineRule="auto"/>
        <w:jc w:val="both"/>
        <w:rPr>
          <w:rFonts w:ascii="Arial" w:hAnsi="Arial" w:cs="Arial"/>
          <w:lang w:eastAsia="en-US"/>
        </w:rPr>
      </w:pPr>
      <w:r w:rsidRPr="001C4921">
        <w:rPr>
          <w:rFonts w:ascii="Arial" w:hAnsi="Arial" w:cs="Arial"/>
          <w:lang w:eastAsia="en-US"/>
        </w:rPr>
        <w:t xml:space="preserve">Más allá del instrumento propiamente, los hallazgos resultan poco generalizables a los estudiantes universitarios como tal, ya que los estudios se hacen en estudiantado universitario de Ciencias de la Salud de una única institución de enseñanza superior y bajo las particularidades de esta. Incluso, en la discusión, al comparar hallazgos de antecedentes nacionales sobre el tema, se comparan estudios que han sido realizados con estudiantes de esta misma institución, debido a que constituyen los dos únicos estudios efectuados en el país sobre el tema en </w:t>
      </w:r>
      <w:r w:rsidRPr="001C4921">
        <w:rPr>
          <w:rFonts w:ascii="Arial" w:hAnsi="Arial" w:cs="Arial"/>
          <w:lang w:eastAsia="en-US"/>
        </w:rPr>
        <w:lastRenderedPageBreak/>
        <w:t xml:space="preserve">décadas. Se recomienda aplicar el instrumento en estudiantado de otras universidades de Costa Rica, así como en comunidad estudiantil de universidades de otros países de la región. </w:t>
      </w:r>
    </w:p>
    <w:p w14:paraId="468155A6" w14:textId="2DEB97F2" w:rsidR="001C4921" w:rsidRPr="001C4921" w:rsidRDefault="001C4921" w:rsidP="00B3089A">
      <w:pPr>
        <w:spacing w:after="160" w:line="360" w:lineRule="auto"/>
        <w:jc w:val="both"/>
        <w:rPr>
          <w:rFonts w:ascii="Arial" w:hAnsi="Arial" w:cs="Arial"/>
          <w:lang w:eastAsia="en-US"/>
        </w:rPr>
      </w:pPr>
      <w:r w:rsidRPr="001C4921">
        <w:rPr>
          <w:rFonts w:ascii="Arial" w:hAnsi="Arial" w:cs="Arial"/>
          <w:lang w:eastAsia="en-US"/>
        </w:rPr>
        <w:t xml:space="preserve">En el estudio de la SA, se suelen reportar datos descriptivos sociodemográficos. Sin embargo, es importante elaborar, también, análisis inferenciales para poder contar con datos sobre diferencias o relaciones significativas en razón de variables como el género o la edad. Esto podría ayudar a desarrollar investigaciones que contemplen mejor la distribución de los participantes, para lo cual se podría pensar en trabajar, quizás, con muestreos por cuotas. En ese sentido, un aporte de la presente investigación es subrayar que el avance del estudiantado, dentro del plan de estudio, debe ser tomado en cuenta. </w:t>
      </w:r>
    </w:p>
    <w:p w14:paraId="6ABF97FF" w14:textId="77777777" w:rsidR="001C4921" w:rsidRPr="001C4921" w:rsidRDefault="001C4921" w:rsidP="00B3089A">
      <w:pPr>
        <w:spacing w:after="160" w:line="360" w:lineRule="auto"/>
        <w:jc w:val="both"/>
        <w:rPr>
          <w:rFonts w:ascii="Arial" w:hAnsi="Arial" w:cs="Arial"/>
          <w:lang w:eastAsia="en-US"/>
        </w:rPr>
      </w:pPr>
      <w:r w:rsidRPr="001C4921">
        <w:rPr>
          <w:rFonts w:ascii="Arial" w:hAnsi="Arial" w:cs="Arial"/>
          <w:lang w:eastAsia="en-US"/>
        </w:rPr>
        <w:t>Debido a los preocupantes indicadores de salud mental en universitarios de áreas rurales de Costa Rica (Dobles-Villegas, 2019) y a la relación entre estos indicadores con la SA (</w:t>
      </w:r>
      <w:proofErr w:type="spellStart"/>
      <w:r w:rsidRPr="001C4921">
        <w:rPr>
          <w:rFonts w:ascii="Arial" w:hAnsi="Arial" w:cs="Arial"/>
          <w:lang w:eastAsia="en-US"/>
        </w:rPr>
        <w:t>Bayram</w:t>
      </w:r>
      <w:proofErr w:type="spellEnd"/>
      <w:r w:rsidRPr="001C4921">
        <w:rPr>
          <w:rFonts w:ascii="Arial" w:hAnsi="Arial" w:cs="Arial"/>
          <w:lang w:eastAsia="en-US"/>
        </w:rPr>
        <w:t xml:space="preserve"> &amp; </w:t>
      </w:r>
      <w:proofErr w:type="spellStart"/>
      <w:r w:rsidRPr="001C4921">
        <w:rPr>
          <w:rFonts w:ascii="Arial" w:hAnsi="Arial" w:cs="Arial"/>
          <w:lang w:eastAsia="en-US"/>
        </w:rPr>
        <w:t>Bilgel</w:t>
      </w:r>
      <w:proofErr w:type="spellEnd"/>
      <w:r w:rsidRPr="001C4921">
        <w:rPr>
          <w:rFonts w:ascii="Arial" w:hAnsi="Arial" w:cs="Arial"/>
          <w:lang w:eastAsia="en-US"/>
        </w:rPr>
        <w:t xml:space="preserve">, 2008; </w:t>
      </w:r>
      <w:proofErr w:type="spellStart"/>
      <w:r w:rsidRPr="001C4921">
        <w:rPr>
          <w:rFonts w:ascii="Arial" w:hAnsi="Arial" w:cs="Arial"/>
          <w:lang w:eastAsia="en-US"/>
        </w:rPr>
        <w:t>Franzen</w:t>
      </w:r>
      <w:proofErr w:type="spellEnd"/>
      <w:r w:rsidRPr="001C4921">
        <w:rPr>
          <w:rFonts w:ascii="Arial" w:hAnsi="Arial" w:cs="Arial"/>
          <w:lang w:eastAsia="en-US"/>
        </w:rPr>
        <w:t xml:space="preserve"> et al., 2021; Lee &amp; </w:t>
      </w:r>
      <w:proofErr w:type="spellStart"/>
      <w:r w:rsidRPr="001C4921">
        <w:rPr>
          <w:rFonts w:ascii="Arial" w:hAnsi="Arial" w:cs="Arial"/>
          <w:lang w:eastAsia="en-US"/>
        </w:rPr>
        <w:t>Jang</w:t>
      </w:r>
      <w:proofErr w:type="spellEnd"/>
      <w:r w:rsidRPr="001C4921">
        <w:rPr>
          <w:rFonts w:ascii="Arial" w:hAnsi="Arial" w:cs="Arial"/>
          <w:lang w:eastAsia="en-US"/>
        </w:rPr>
        <w:t xml:space="preserve"> 2015; Tran et al., 2022), resulta necesario llevar a cabo investigaciones sobre el tema en dichas zonas, quizás, a través de las sedes universitarias. Por último, la SA es un aspecto dentro la calidad académica, de manera que, si se pretende evaluar esta última, el presente instrumento debería estar acompañado de otros indicadores que no partan, únicamente, de la perspectiva del estudiantado.</w:t>
      </w:r>
    </w:p>
    <w:p w14:paraId="0FF9635D" w14:textId="77777777" w:rsidR="00294F9D" w:rsidRDefault="00294F9D" w:rsidP="00B3089A">
      <w:pPr>
        <w:spacing w:after="160" w:line="360" w:lineRule="auto"/>
        <w:rPr>
          <w:rFonts w:ascii="Arial" w:hAnsi="Arial" w:cs="Arial"/>
          <w:b/>
          <w:bCs/>
          <w:color w:val="000000"/>
          <w:lang w:eastAsia="en-US"/>
        </w:rPr>
      </w:pPr>
    </w:p>
    <w:p w14:paraId="7DDD4E83" w14:textId="05DBEC44" w:rsidR="001C4921" w:rsidRPr="001C4921" w:rsidRDefault="00B3089A" w:rsidP="00B3089A">
      <w:pPr>
        <w:spacing w:after="160" w:line="360" w:lineRule="auto"/>
        <w:rPr>
          <w:rFonts w:ascii="Arial" w:hAnsi="Arial" w:cs="Arial"/>
          <w:b/>
          <w:bCs/>
          <w:color w:val="000000"/>
          <w:lang w:eastAsia="en-US"/>
        </w:rPr>
      </w:pPr>
      <w:r w:rsidRPr="001C4921">
        <w:rPr>
          <w:rFonts w:ascii="Arial" w:hAnsi="Arial" w:cs="Arial"/>
          <w:b/>
          <w:bCs/>
          <w:color w:val="000000"/>
          <w:lang w:eastAsia="en-US"/>
        </w:rPr>
        <w:lastRenderedPageBreak/>
        <w:t>REFERENCIAS</w:t>
      </w:r>
    </w:p>
    <w:p w14:paraId="2E1A02CF" w14:textId="77777777" w:rsidR="001C4921" w:rsidRPr="00B3089A" w:rsidRDefault="001C4921" w:rsidP="001C4921">
      <w:pPr>
        <w:widowControl w:val="0"/>
        <w:spacing w:after="160" w:line="360" w:lineRule="auto"/>
        <w:ind w:left="720" w:hanging="720"/>
        <w:jc w:val="both"/>
        <w:rPr>
          <w:rFonts w:ascii="Arial" w:hAnsi="Arial" w:cs="Arial"/>
          <w:lang w:eastAsia="en-US"/>
        </w:rPr>
      </w:pPr>
      <w:r w:rsidRPr="00B3089A">
        <w:rPr>
          <w:rFonts w:ascii="Arial" w:hAnsi="Arial" w:cs="Arial"/>
          <w:lang w:eastAsia="en-US"/>
        </w:rPr>
        <w:t xml:space="preserve">Abarca, S., Cáceres, S., Jiménez, E., Moraleda, V., &amp; Romero, B. (2013). Satisfacción de los alumnos con la institución universitaria y el rendimiento académico. </w:t>
      </w:r>
      <w:hyperlink>
        <w:r w:rsidRPr="00B3089A">
          <w:rPr>
            <w:rFonts w:ascii="Arial" w:hAnsi="Arial" w:cs="Arial"/>
            <w:i/>
            <w:iCs/>
            <w:lang w:eastAsia="en-US"/>
          </w:rPr>
          <w:t>ReiDoCrea</w:t>
        </w:r>
        <w:r w:rsidRPr="00B3089A">
          <w:rPr>
            <w:rFonts w:ascii="Arial" w:hAnsi="Arial" w:cs="Arial"/>
            <w:lang w:eastAsia="en-US"/>
          </w:rPr>
          <w:t xml:space="preserve">, </w:t>
        </w:r>
        <w:r w:rsidRPr="00B3089A">
          <w:rPr>
            <w:rFonts w:ascii="Arial" w:hAnsi="Arial" w:cs="Arial"/>
            <w:i/>
            <w:iCs/>
            <w:lang w:eastAsia="en-US"/>
          </w:rPr>
          <w:t>2</w:t>
        </w:r>
        <w:r w:rsidRPr="00B3089A">
          <w:rPr>
            <w:rFonts w:ascii="Arial" w:hAnsi="Arial" w:cs="Arial"/>
            <w:lang w:eastAsia="en-US"/>
          </w:rPr>
          <w:t>, 48-53. https://doi.org/10.30827/Digibug.27613</w:t>
        </w:r>
      </w:hyperlink>
      <w:r w:rsidRPr="00B3089A">
        <w:rPr>
          <w:rFonts w:ascii="Arial" w:hAnsi="Arial" w:cs="Arial"/>
          <w:lang w:eastAsia="en-US"/>
        </w:rPr>
        <w:t xml:space="preserve"> </w:t>
      </w:r>
      <w:hyperlink>
        <w:r w:rsidRPr="00B3089A">
          <w:rPr>
            <w:rFonts w:ascii="Arial" w:hAnsi="Arial" w:cs="Arial"/>
            <w:lang w:eastAsia="en-US"/>
          </w:rPr>
          <w:t>https://doi.org/10.30827/Digibug.27613</w:t>
        </w:r>
      </w:hyperlink>
    </w:p>
    <w:p w14:paraId="36EA858F" w14:textId="77777777" w:rsidR="001C4921" w:rsidRPr="00B3089A" w:rsidRDefault="001C4921" w:rsidP="001C4921">
      <w:pPr>
        <w:widowControl w:val="0"/>
        <w:spacing w:line="360" w:lineRule="auto"/>
        <w:ind w:left="720" w:hanging="720"/>
        <w:jc w:val="both"/>
        <w:rPr>
          <w:rFonts w:ascii="Arial" w:hAnsi="Arial" w:cs="Arial"/>
          <w:lang w:eastAsia="en-US"/>
        </w:rPr>
      </w:pPr>
      <w:r w:rsidRPr="00B3089A">
        <w:rPr>
          <w:rFonts w:ascii="Arial" w:hAnsi="Arial" w:cs="Arial"/>
          <w:lang w:val="es" w:eastAsia="en-US"/>
        </w:rPr>
        <w:t xml:space="preserve">Alfaro-, R., Monge, A., Jerez, M. F., Campos, P., &amp; Pérez, F. (2019). Características de la población universitaria que recurre a la automedicación en Costa Rica. </w:t>
      </w:r>
      <w:r w:rsidRPr="00B3089A">
        <w:rPr>
          <w:rFonts w:ascii="Arial" w:hAnsi="Arial" w:cs="Arial"/>
          <w:i/>
          <w:iCs/>
          <w:lang w:val="es-ES" w:eastAsia="en-US"/>
        </w:rPr>
        <w:t>Revista Cubana de Salud Pública</w:t>
      </w:r>
      <w:r w:rsidRPr="00B3089A">
        <w:rPr>
          <w:rFonts w:ascii="Arial" w:hAnsi="Arial" w:cs="Arial"/>
          <w:lang w:val="es-ES" w:eastAsia="en-US"/>
        </w:rPr>
        <w:t xml:space="preserve">, </w:t>
      </w:r>
      <w:r w:rsidRPr="00B3089A">
        <w:rPr>
          <w:rFonts w:ascii="Arial" w:hAnsi="Arial" w:cs="Arial"/>
          <w:i/>
          <w:iCs/>
          <w:lang w:val="es-ES" w:eastAsia="en-US"/>
        </w:rPr>
        <w:t>45</w:t>
      </w:r>
      <w:r w:rsidRPr="00B3089A">
        <w:rPr>
          <w:rFonts w:ascii="Arial" w:hAnsi="Arial" w:cs="Arial"/>
          <w:lang w:val="es-ES" w:eastAsia="en-US"/>
        </w:rPr>
        <w:t xml:space="preserve">(3), </w:t>
      </w:r>
      <w:hyperlink>
        <w:r w:rsidRPr="00B3089A">
          <w:rPr>
            <w:rFonts w:ascii="Arial" w:hAnsi="Arial" w:cs="Arial"/>
            <w:lang w:val="es-ES" w:eastAsia="en-US"/>
          </w:rPr>
          <w:t>https://revsaludpublica.sld.cu/index.php/spu/article/view/1302</w:t>
        </w:r>
      </w:hyperlink>
    </w:p>
    <w:p w14:paraId="5E1287EE" w14:textId="77777777" w:rsidR="001C4921" w:rsidRPr="00B3089A" w:rsidRDefault="001C4921" w:rsidP="001C4921">
      <w:pPr>
        <w:spacing w:after="160" w:line="360" w:lineRule="auto"/>
        <w:ind w:left="720" w:hanging="720"/>
        <w:jc w:val="both"/>
        <w:rPr>
          <w:rFonts w:ascii="Arial" w:eastAsia="Calibri" w:hAnsi="Arial" w:cs="Arial"/>
          <w:sz w:val="22"/>
          <w:szCs w:val="22"/>
          <w:lang w:val="en-US" w:eastAsia="en-US"/>
        </w:rPr>
      </w:pPr>
      <w:r w:rsidRPr="00B3089A">
        <w:rPr>
          <w:rFonts w:ascii="Arial" w:hAnsi="Arial" w:cs="Arial"/>
          <w:lang w:eastAsia="en-US"/>
        </w:rPr>
        <w:t xml:space="preserve">Arguedas, G., Garnier, M., Hong, W. W., </w:t>
      </w:r>
      <w:proofErr w:type="spellStart"/>
      <w:r w:rsidRPr="00B3089A">
        <w:rPr>
          <w:rFonts w:ascii="Arial" w:hAnsi="Arial" w:cs="Arial"/>
          <w:lang w:eastAsia="en-US"/>
        </w:rPr>
        <w:t>Zaray</w:t>
      </w:r>
      <w:proofErr w:type="spellEnd"/>
      <w:r w:rsidRPr="00B3089A">
        <w:rPr>
          <w:rFonts w:ascii="Arial" w:hAnsi="Arial" w:cs="Arial"/>
          <w:lang w:eastAsia="en-US"/>
        </w:rPr>
        <w:t xml:space="preserve">, M. C., &amp; Rodríguez, G. (2012). Aspectos médico-legales de los patrones de consumo de bebidas energéticas por parte de los estudiantes de medicina de segundo año de la Universidad de Costa Rica. </w:t>
      </w:r>
      <w:proofErr w:type="spellStart"/>
      <w:r w:rsidRPr="00B3089A">
        <w:rPr>
          <w:rFonts w:ascii="Arial" w:hAnsi="Arial" w:cs="Arial"/>
          <w:i/>
          <w:lang w:val="en-US" w:eastAsia="en-US"/>
        </w:rPr>
        <w:t>Medicina</w:t>
      </w:r>
      <w:proofErr w:type="spellEnd"/>
      <w:r w:rsidRPr="00B3089A">
        <w:rPr>
          <w:rFonts w:ascii="Arial" w:hAnsi="Arial" w:cs="Arial"/>
          <w:i/>
          <w:lang w:val="en-US" w:eastAsia="en-US"/>
        </w:rPr>
        <w:t xml:space="preserve"> Legal de Costa Rica</w:t>
      </w:r>
      <w:r w:rsidRPr="00B3089A">
        <w:rPr>
          <w:rFonts w:ascii="Arial" w:hAnsi="Arial" w:cs="Arial"/>
          <w:lang w:val="en-US" w:eastAsia="en-US"/>
        </w:rPr>
        <w:t xml:space="preserve">, </w:t>
      </w:r>
      <w:r w:rsidRPr="00B3089A">
        <w:rPr>
          <w:rFonts w:ascii="Arial" w:hAnsi="Arial" w:cs="Arial"/>
          <w:i/>
          <w:lang w:val="en-US" w:eastAsia="en-US"/>
        </w:rPr>
        <w:t>29</w:t>
      </w:r>
      <w:r w:rsidRPr="00B3089A">
        <w:rPr>
          <w:rFonts w:ascii="Arial" w:hAnsi="Arial" w:cs="Arial"/>
          <w:lang w:val="en-US" w:eastAsia="en-US"/>
        </w:rPr>
        <w:t>(1), 23-33.</w:t>
      </w:r>
    </w:p>
    <w:p w14:paraId="07F58C28" w14:textId="77777777" w:rsidR="001C4921" w:rsidRPr="00B3089A" w:rsidRDefault="001C4921" w:rsidP="001C4921">
      <w:pPr>
        <w:widowControl w:val="0"/>
        <w:spacing w:after="160" w:line="360" w:lineRule="auto"/>
        <w:ind w:left="720" w:hanging="720"/>
        <w:jc w:val="both"/>
        <w:rPr>
          <w:rFonts w:ascii="Arial" w:hAnsi="Arial" w:cs="Arial"/>
          <w:lang w:val="en-US" w:eastAsia="en-US"/>
        </w:rPr>
      </w:pPr>
      <w:proofErr w:type="spellStart"/>
      <w:r w:rsidRPr="00B3089A">
        <w:rPr>
          <w:rFonts w:ascii="Arial" w:hAnsi="Arial" w:cs="Arial"/>
          <w:lang w:val="en-US" w:eastAsia="en-US"/>
        </w:rPr>
        <w:t>Athiyaman</w:t>
      </w:r>
      <w:proofErr w:type="spellEnd"/>
      <w:r w:rsidRPr="00B3089A">
        <w:rPr>
          <w:rFonts w:ascii="Arial" w:hAnsi="Arial" w:cs="Arial"/>
          <w:lang w:val="en-US" w:eastAsia="en-US"/>
        </w:rPr>
        <w:t xml:space="preserve">, A. (1997). Linking student satisfaction and service quality perceptions: The case of university education. </w:t>
      </w:r>
      <w:r w:rsidRPr="00B3089A">
        <w:rPr>
          <w:rFonts w:ascii="Arial" w:hAnsi="Arial" w:cs="Arial"/>
          <w:i/>
          <w:iCs/>
          <w:lang w:val="en-US" w:eastAsia="en-US"/>
        </w:rPr>
        <w:t>European Journal of Marketing</w:t>
      </w:r>
      <w:r w:rsidRPr="00B3089A">
        <w:rPr>
          <w:rFonts w:ascii="Arial" w:hAnsi="Arial" w:cs="Arial"/>
          <w:lang w:val="en-US" w:eastAsia="en-US"/>
        </w:rPr>
        <w:t xml:space="preserve">, </w:t>
      </w:r>
      <w:r w:rsidRPr="00B3089A">
        <w:rPr>
          <w:rFonts w:ascii="Arial" w:hAnsi="Arial" w:cs="Arial"/>
          <w:i/>
          <w:iCs/>
          <w:lang w:val="en-US" w:eastAsia="en-US"/>
        </w:rPr>
        <w:t>31</w:t>
      </w:r>
      <w:r w:rsidRPr="00B3089A">
        <w:rPr>
          <w:rFonts w:ascii="Arial" w:hAnsi="Arial" w:cs="Arial"/>
          <w:lang w:val="en-US" w:eastAsia="en-US"/>
        </w:rPr>
        <w:t xml:space="preserve">(7), 528-540. </w:t>
      </w:r>
      <w:hyperlink>
        <w:r w:rsidRPr="00B3089A">
          <w:rPr>
            <w:rFonts w:ascii="Arial" w:hAnsi="Arial" w:cs="Arial"/>
            <w:lang w:val="en-US" w:eastAsia="en-US"/>
          </w:rPr>
          <w:t>https://doi.org/10.1108/03090569710176655</w:t>
        </w:r>
      </w:hyperlink>
    </w:p>
    <w:p w14:paraId="720E9413" w14:textId="77777777" w:rsidR="001C4921" w:rsidRPr="00B3089A" w:rsidRDefault="001C4921" w:rsidP="001C4921">
      <w:pPr>
        <w:spacing w:after="160" w:line="360" w:lineRule="auto"/>
        <w:ind w:left="720" w:hanging="720"/>
        <w:jc w:val="both"/>
        <w:rPr>
          <w:rFonts w:ascii="Arial" w:hAnsi="Arial" w:cs="Arial"/>
          <w:lang w:val="en-US" w:eastAsia="en-US"/>
        </w:rPr>
      </w:pPr>
      <w:proofErr w:type="spellStart"/>
      <w:r w:rsidRPr="00B3089A">
        <w:rPr>
          <w:rFonts w:ascii="Arial" w:hAnsi="Arial" w:cs="Arial"/>
          <w:lang w:val="en-US" w:eastAsia="en-US"/>
        </w:rPr>
        <w:t>Avecillas</w:t>
      </w:r>
      <w:proofErr w:type="spellEnd"/>
      <w:r w:rsidRPr="00B3089A">
        <w:rPr>
          <w:rFonts w:ascii="Arial" w:hAnsi="Arial" w:cs="Arial"/>
          <w:lang w:val="en-US" w:eastAsia="en-US"/>
        </w:rPr>
        <w:t xml:space="preserve">, J., </w:t>
      </w:r>
      <w:proofErr w:type="spellStart"/>
      <w:r w:rsidRPr="00B3089A">
        <w:rPr>
          <w:rFonts w:ascii="Arial" w:hAnsi="Arial" w:cs="Arial"/>
          <w:lang w:val="en-US" w:eastAsia="en-US"/>
        </w:rPr>
        <w:t>Mejía</w:t>
      </w:r>
      <w:proofErr w:type="spellEnd"/>
      <w:r w:rsidRPr="00B3089A">
        <w:rPr>
          <w:rFonts w:ascii="Arial" w:hAnsi="Arial" w:cs="Arial"/>
          <w:lang w:val="en-US" w:eastAsia="en-US"/>
        </w:rPr>
        <w:t xml:space="preserve">, I., Contreras, J. I., &amp; Quintero, A. M. (2021). </w:t>
      </w:r>
      <w:r w:rsidRPr="00B3089A">
        <w:rPr>
          <w:rFonts w:ascii="Arial" w:hAnsi="Arial" w:cs="Arial"/>
          <w:lang w:val="es-ES" w:eastAsia="en-US"/>
        </w:rPr>
        <w:t xml:space="preserve">Burnout académico. Factores influyentes en estudiantes de enfermería. </w:t>
      </w:r>
      <w:r w:rsidRPr="00B3089A">
        <w:rPr>
          <w:rFonts w:ascii="Arial" w:hAnsi="Arial" w:cs="Arial"/>
          <w:i/>
          <w:iCs/>
          <w:lang w:val="es-ES" w:eastAsia="en-US"/>
        </w:rPr>
        <w:t>Revista Eugenio Espejo</w:t>
      </w:r>
      <w:r w:rsidRPr="00B3089A">
        <w:rPr>
          <w:rFonts w:ascii="Arial" w:hAnsi="Arial" w:cs="Arial"/>
          <w:lang w:val="es-ES" w:eastAsia="en-US"/>
        </w:rPr>
        <w:t xml:space="preserve">, </w:t>
      </w:r>
      <w:r w:rsidRPr="00B3089A">
        <w:rPr>
          <w:rFonts w:ascii="Arial" w:hAnsi="Arial" w:cs="Arial"/>
          <w:i/>
          <w:iCs/>
          <w:lang w:val="es-ES" w:eastAsia="en-US"/>
        </w:rPr>
        <w:t>15</w:t>
      </w:r>
      <w:r w:rsidRPr="00B3089A">
        <w:rPr>
          <w:rFonts w:ascii="Arial" w:hAnsi="Arial" w:cs="Arial"/>
          <w:lang w:val="es-ES" w:eastAsia="en-US"/>
        </w:rPr>
        <w:t xml:space="preserve">(2), 57-67. </w:t>
      </w:r>
      <w:hyperlink>
        <w:r w:rsidRPr="00B3089A">
          <w:rPr>
            <w:rFonts w:ascii="Arial" w:hAnsi="Arial" w:cs="Arial"/>
            <w:lang w:val="en-US" w:eastAsia="en-US"/>
          </w:rPr>
          <w:t>https://doi.org/10.37135/ee.04.11.08</w:t>
        </w:r>
      </w:hyperlink>
    </w:p>
    <w:p w14:paraId="345389ED" w14:textId="77777777" w:rsidR="001C4921" w:rsidRPr="00B3089A" w:rsidRDefault="001C4921" w:rsidP="001C4921">
      <w:pPr>
        <w:spacing w:line="360" w:lineRule="auto"/>
        <w:ind w:left="720" w:hanging="720"/>
        <w:jc w:val="both"/>
        <w:rPr>
          <w:rFonts w:ascii="Arial" w:hAnsi="Arial" w:cs="Arial"/>
          <w:lang w:val="en-US" w:eastAsia="en-US"/>
        </w:rPr>
      </w:pPr>
      <w:proofErr w:type="spellStart"/>
      <w:r w:rsidRPr="00B3089A">
        <w:rPr>
          <w:rFonts w:ascii="Arial" w:hAnsi="Arial" w:cs="Arial"/>
          <w:lang w:val="en-US" w:eastAsia="en-US"/>
        </w:rPr>
        <w:lastRenderedPageBreak/>
        <w:t>Azami-Aghdash</w:t>
      </w:r>
      <w:proofErr w:type="spellEnd"/>
      <w:r w:rsidRPr="00B3089A">
        <w:rPr>
          <w:rFonts w:ascii="Arial" w:hAnsi="Arial" w:cs="Arial"/>
          <w:lang w:val="en-US" w:eastAsia="en-US"/>
        </w:rPr>
        <w:t xml:space="preserve">, S., </w:t>
      </w:r>
      <w:proofErr w:type="spellStart"/>
      <w:r w:rsidRPr="00B3089A">
        <w:rPr>
          <w:rFonts w:ascii="Arial" w:hAnsi="Arial" w:cs="Arial"/>
          <w:lang w:val="en-US" w:eastAsia="en-US"/>
        </w:rPr>
        <w:t>Mohseni</w:t>
      </w:r>
      <w:proofErr w:type="spellEnd"/>
      <w:r w:rsidRPr="00B3089A">
        <w:rPr>
          <w:rFonts w:ascii="Arial" w:hAnsi="Arial" w:cs="Arial"/>
          <w:lang w:val="en-US" w:eastAsia="en-US"/>
        </w:rPr>
        <w:t xml:space="preserve">, M., Etemadi, M., </w:t>
      </w:r>
      <w:proofErr w:type="spellStart"/>
      <w:r w:rsidRPr="00B3089A">
        <w:rPr>
          <w:rFonts w:ascii="Arial" w:hAnsi="Arial" w:cs="Arial"/>
          <w:lang w:val="en-US" w:eastAsia="en-US"/>
        </w:rPr>
        <w:t>Royani</w:t>
      </w:r>
      <w:proofErr w:type="spellEnd"/>
      <w:r w:rsidRPr="00B3089A">
        <w:rPr>
          <w:rFonts w:ascii="Arial" w:hAnsi="Arial" w:cs="Arial"/>
          <w:lang w:val="en-US" w:eastAsia="en-US"/>
        </w:rPr>
        <w:t xml:space="preserve">, S., </w:t>
      </w:r>
      <w:proofErr w:type="spellStart"/>
      <w:r w:rsidRPr="00B3089A">
        <w:rPr>
          <w:rFonts w:ascii="Arial" w:hAnsi="Arial" w:cs="Arial"/>
          <w:lang w:val="en-US" w:eastAsia="en-US"/>
        </w:rPr>
        <w:t>Moosavi</w:t>
      </w:r>
      <w:proofErr w:type="spellEnd"/>
      <w:r w:rsidRPr="00B3089A">
        <w:rPr>
          <w:rFonts w:ascii="Arial" w:hAnsi="Arial" w:cs="Arial"/>
          <w:lang w:val="en-US" w:eastAsia="en-US"/>
        </w:rPr>
        <w:t xml:space="preserve">, A., &amp; </w:t>
      </w:r>
      <w:proofErr w:type="spellStart"/>
      <w:r w:rsidRPr="00B3089A">
        <w:rPr>
          <w:rFonts w:ascii="Arial" w:hAnsi="Arial" w:cs="Arial"/>
          <w:lang w:val="en-US" w:eastAsia="en-US"/>
        </w:rPr>
        <w:t>Nakhaee</w:t>
      </w:r>
      <w:proofErr w:type="spellEnd"/>
      <w:r w:rsidRPr="00B3089A">
        <w:rPr>
          <w:rFonts w:ascii="Arial" w:hAnsi="Arial" w:cs="Arial"/>
          <w:lang w:val="en-US" w:eastAsia="en-US"/>
        </w:rPr>
        <w:t xml:space="preserve">, M. (2015). Prevalence and Cause of Self-Medication in Iran: A Systematic Review and Meta-Analysis Article. </w:t>
      </w:r>
      <w:r w:rsidRPr="00B3089A">
        <w:rPr>
          <w:rFonts w:ascii="Arial" w:hAnsi="Arial" w:cs="Arial"/>
          <w:i/>
          <w:lang w:val="en-US" w:eastAsia="en-US"/>
        </w:rPr>
        <w:t>Iranian Journal of Public Health</w:t>
      </w:r>
      <w:r w:rsidRPr="00B3089A">
        <w:rPr>
          <w:rFonts w:ascii="Arial" w:hAnsi="Arial" w:cs="Arial"/>
          <w:lang w:val="en-US" w:eastAsia="en-US"/>
        </w:rPr>
        <w:t xml:space="preserve">, </w:t>
      </w:r>
      <w:r w:rsidRPr="00B3089A">
        <w:rPr>
          <w:rFonts w:ascii="Arial" w:hAnsi="Arial" w:cs="Arial"/>
          <w:i/>
          <w:lang w:val="en-US" w:eastAsia="en-US"/>
        </w:rPr>
        <w:t>44</w:t>
      </w:r>
      <w:r w:rsidRPr="00B3089A">
        <w:rPr>
          <w:rFonts w:ascii="Arial" w:hAnsi="Arial" w:cs="Arial"/>
          <w:lang w:val="en-US" w:eastAsia="en-US"/>
        </w:rPr>
        <w:t xml:space="preserve">(12), 1580-1593. </w:t>
      </w:r>
      <w:hyperlink>
        <w:r w:rsidRPr="00B3089A">
          <w:rPr>
            <w:rFonts w:ascii="Arial" w:hAnsi="Arial" w:cs="Arial"/>
            <w:lang w:val="en-US" w:eastAsia="en-US"/>
          </w:rPr>
          <w:t>https://ijph.tums.ac.ir/index.php/ijph/article/view/5554</w:t>
        </w:r>
      </w:hyperlink>
    </w:p>
    <w:p w14:paraId="03DF07AB" w14:textId="77777777" w:rsidR="001C4921" w:rsidRPr="00B3089A" w:rsidRDefault="001C4921" w:rsidP="001C4921">
      <w:pPr>
        <w:spacing w:after="160" w:line="360" w:lineRule="auto"/>
        <w:ind w:left="720" w:hanging="720"/>
        <w:jc w:val="both"/>
        <w:rPr>
          <w:rFonts w:ascii="Arial" w:eastAsia="Calibri" w:hAnsi="Arial" w:cs="Arial"/>
          <w:sz w:val="22"/>
          <w:szCs w:val="22"/>
          <w:lang w:val="en-US" w:eastAsia="en-US"/>
        </w:rPr>
      </w:pPr>
      <w:r w:rsidRPr="00B3089A">
        <w:rPr>
          <w:rFonts w:ascii="Arial" w:hAnsi="Arial" w:cs="Arial"/>
          <w:lang w:val="en-US" w:eastAsia="en-US"/>
        </w:rPr>
        <w:t xml:space="preserve">Bayram, N., &amp; </w:t>
      </w:r>
      <w:proofErr w:type="spellStart"/>
      <w:r w:rsidRPr="00B3089A">
        <w:rPr>
          <w:rFonts w:ascii="Arial" w:hAnsi="Arial" w:cs="Arial"/>
          <w:lang w:val="en-US" w:eastAsia="en-US"/>
        </w:rPr>
        <w:t>Bilgel</w:t>
      </w:r>
      <w:proofErr w:type="spellEnd"/>
      <w:r w:rsidRPr="00B3089A">
        <w:rPr>
          <w:rFonts w:ascii="Arial" w:hAnsi="Arial" w:cs="Arial"/>
          <w:lang w:val="en-US" w:eastAsia="en-US"/>
        </w:rPr>
        <w:t xml:space="preserve">, N. (2008). The prevalence and socio-demographic correlations of depression, anxiety and stress among a group of university students. </w:t>
      </w:r>
      <w:r w:rsidRPr="00B3089A">
        <w:rPr>
          <w:rFonts w:ascii="Arial" w:hAnsi="Arial" w:cs="Arial"/>
          <w:i/>
          <w:lang w:val="en-US" w:eastAsia="en-US"/>
        </w:rPr>
        <w:t>Social Psychiatry and Psychiatric Epidemiology</w:t>
      </w:r>
      <w:r w:rsidRPr="00B3089A">
        <w:rPr>
          <w:rFonts w:ascii="Arial" w:hAnsi="Arial" w:cs="Arial"/>
          <w:lang w:val="en-US" w:eastAsia="en-US"/>
        </w:rPr>
        <w:t xml:space="preserve">, </w:t>
      </w:r>
      <w:r w:rsidRPr="00B3089A">
        <w:rPr>
          <w:rFonts w:ascii="Arial" w:hAnsi="Arial" w:cs="Arial"/>
          <w:i/>
          <w:lang w:val="en-US" w:eastAsia="en-US"/>
        </w:rPr>
        <w:t>43</w:t>
      </w:r>
      <w:r w:rsidRPr="00B3089A">
        <w:rPr>
          <w:rFonts w:ascii="Arial" w:hAnsi="Arial" w:cs="Arial"/>
          <w:lang w:val="en-US" w:eastAsia="en-US"/>
        </w:rPr>
        <w:t xml:space="preserve">(8), 667-672. </w:t>
      </w:r>
      <w:hyperlink>
        <w:r w:rsidRPr="00B3089A">
          <w:rPr>
            <w:rFonts w:ascii="Arial" w:hAnsi="Arial" w:cs="Arial"/>
            <w:lang w:val="en-US" w:eastAsia="en-US"/>
          </w:rPr>
          <w:t>https://doi.org/10.1007/s00127-008-0345-x</w:t>
        </w:r>
      </w:hyperlink>
    </w:p>
    <w:p w14:paraId="1E35D1F0" w14:textId="77777777" w:rsidR="001C4921" w:rsidRPr="00B3089A" w:rsidRDefault="001C4921" w:rsidP="001C4921">
      <w:pPr>
        <w:spacing w:after="160" w:line="360" w:lineRule="auto"/>
        <w:ind w:left="720" w:hanging="720"/>
        <w:jc w:val="both"/>
        <w:rPr>
          <w:rFonts w:ascii="Arial" w:eastAsia="Calibri" w:hAnsi="Arial" w:cs="Arial"/>
          <w:sz w:val="22"/>
          <w:szCs w:val="22"/>
          <w:lang w:eastAsia="en-US"/>
        </w:rPr>
      </w:pPr>
      <w:proofErr w:type="spellStart"/>
      <w:r w:rsidRPr="00B3089A">
        <w:rPr>
          <w:rFonts w:ascii="Arial" w:hAnsi="Arial" w:cs="Arial"/>
          <w:lang w:val="en-US" w:eastAsia="en-US"/>
        </w:rPr>
        <w:t>Consuelos</w:t>
      </w:r>
      <w:proofErr w:type="spellEnd"/>
      <w:r w:rsidRPr="00B3089A">
        <w:rPr>
          <w:rFonts w:ascii="Arial" w:hAnsi="Arial" w:cs="Arial"/>
          <w:lang w:val="en-US" w:eastAsia="en-US"/>
        </w:rPr>
        <w:t xml:space="preserve">, K. S., Cano, A., Castañeda, A. C., &amp; Hernández, J. Á. (2023). Nursing training and its association with burnout syndrome among Mexican undergraduate students. </w:t>
      </w:r>
      <w:r w:rsidRPr="00B3089A">
        <w:rPr>
          <w:rFonts w:ascii="Arial" w:hAnsi="Arial" w:cs="Arial"/>
          <w:i/>
          <w:iCs/>
          <w:lang w:val="es-ES" w:eastAsia="en-US"/>
        </w:rPr>
        <w:t>Salud Mental</w:t>
      </w:r>
      <w:r w:rsidRPr="00B3089A">
        <w:rPr>
          <w:rFonts w:ascii="Arial" w:hAnsi="Arial" w:cs="Arial"/>
          <w:lang w:val="es-ES" w:eastAsia="en-US"/>
        </w:rPr>
        <w:t xml:space="preserve">, </w:t>
      </w:r>
      <w:r w:rsidRPr="00B3089A">
        <w:rPr>
          <w:rFonts w:ascii="Arial" w:hAnsi="Arial" w:cs="Arial"/>
          <w:i/>
          <w:iCs/>
          <w:lang w:val="es-ES" w:eastAsia="en-US"/>
        </w:rPr>
        <w:t>46</w:t>
      </w:r>
      <w:r w:rsidRPr="00B3089A">
        <w:rPr>
          <w:rFonts w:ascii="Arial" w:hAnsi="Arial" w:cs="Arial"/>
          <w:lang w:val="es-ES" w:eastAsia="en-US"/>
        </w:rPr>
        <w:t xml:space="preserve">(2), 97-104. </w:t>
      </w:r>
      <w:hyperlink>
        <w:r w:rsidRPr="00B3089A">
          <w:rPr>
            <w:rFonts w:ascii="Arial" w:hAnsi="Arial" w:cs="Arial"/>
            <w:lang w:val="es-ES" w:eastAsia="en-US"/>
          </w:rPr>
          <w:t>https://doi.org/10.17711/SM.0185-3325.2023.013</w:t>
        </w:r>
      </w:hyperlink>
    </w:p>
    <w:p w14:paraId="11C39B1D" w14:textId="77777777" w:rsidR="001C4921" w:rsidRPr="00B3089A" w:rsidRDefault="001C4921" w:rsidP="001C4921">
      <w:pPr>
        <w:spacing w:after="160" w:line="360" w:lineRule="auto"/>
        <w:ind w:left="720" w:hanging="720"/>
        <w:jc w:val="both"/>
        <w:rPr>
          <w:rFonts w:ascii="Arial" w:hAnsi="Arial" w:cs="Arial"/>
          <w:lang w:val="es-ES" w:eastAsia="en-US"/>
        </w:rPr>
      </w:pPr>
      <w:r w:rsidRPr="00B3089A">
        <w:rPr>
          <w:rFonts w:ascii="Arial" w:hAnsi="Arial" w:cs="Arial"/>
          <w:lang w:val="es-ES" w:eastAsia="en-US"/>
        </w:rPr>
        <w:t xml:space="preserve">Dobles, M. T. (2019). </w:t>
      </w:r>
      <w:r w:rsidRPr="00B3089A">
        <w:rPr>
          <w:rFonts w:ascii="Arial" w:hAnsi="Arial" w:cs="Arial"/>
          <w:i/>
          <w:iCs/>
          <w:lang w:val="es-ES" w:eastAsia="en-US"/>
        </w:rPr>
        <w:t>Ansiedad, depresión y estrategias de autocuidado y afrontamiento ante el malestar psicológico en estudiantes universitarios</w:t>
      </w:r>
      <w:r w:rsidRPr="00B3089A">
        <w:rPr>
          <w:rFonts w:ascii="Arial" w:hAnsi="Arial" w:cs="Arial"/>
          <w:lang w:val="es-ES" w:eastAsia="en-US"/>
        </w:rPr>
        <w:t>. [Ponencia presentada en el XXXVII congreso interamericano de Psicología, La Habana, Cuba]. https://repositorio.una.ac.cr/handle/11056/15128</w:t>
      </w:r>
    </w:p>
    <w:p w14:paraId="1822607C" w14:textId="77777777" w:rsidR="001C4921" w:rsidRPr="00B3089A" w:rsidRDefault="001C4921" w:rsidP="001C4921">
      <w:pPr>
        <w:spacing w:after="160" w:line="360" w:lineRule="auto"/>
        <w:ind w:left="720" w:hanging="720"/>
        <w:jc w:val="both"/>
        <w:rPr>
          <w:rFonts w:ascii="Arial" w:eastAsia="Calibri" w:hAnsi="Arial" w:cs="Arial"/>
          <w:sz w:val="22"/>
          <w:szCs w:val="22"/>
          <w:lang w:val="en-US" w:eastAsia="en-US"/>
        </w:rPr>
      </w:pPr>
      <w:proofErr w:type="spellStart"/>
      <w:r w:rsidRPr="00B3089A">
        <w:rPr>
          <w:rFonts w:ascii="Arial" w:hAnsi="Arial" w:cs="Arial"/>
          <w:lang w:val="en-US" w:eastAsia="en-US"/>
        </w:rPr>
        <w:t>Dyrbye</w:t>
      </w:r>
      <w:proofErr w:type="spellEnd"/>
      <w:r w:rsidRPr="00B3089A">
        <w:rPr>
          <w:rFonts w:ascii="Arial" w:hAnsi="Arial" w:cs="Arial"/>
          <w:lang w:val="en-US" w:eastAsia="en-US"/>
        </w:rPr>
        <w:t xml:space="preserve">, L. N., Thomas, M. R., Power, D. V., </w:t>
      </w:r>
      <w:proofErr w:type="spellStart"/>
      <w:r w:rsidRPr="00B3089A">
        <w:rPr>
          <w:rFonts w:ascii="Arial" w:hAnsi="Arial" w:cs="Arial"/>
          <w:lang w:val="en-US" w:eastAsia="en-US"/>
        </w:rPr>
        <w:t>Durning</w:t>
      </w:r>
      <w:proofErr w:type="spellEnd"/>
      <w:r w:rsidRPr="00B3089A">
        <w:rPr>
          <w:rFonts w:ascii="Arial" w:hAnsi="Arial" w:cs="Arial"/>
          <w:lang w:val="en-US" w:eastAsia="en-US"/>
        </w:rPr>
        <w:t xml:space="preserve">, S., </w:t>
      </w:r>
      <w:proofErr w:type="spellStart"/>
      <w:r w:rsidRPr="00B3089A">
        <w:rPr>
          <w:rFonts w:ascii="Arial" w:hAnsi="Arial" w:cs="Arial"/>
          <w:lang w:val="en-US" w:eastAsia="en-US"/>
        </w:rPr>
        <w:t>Moutier</w:t>
      </w:r>
      <w:proofErr w:type="spellEnd"/>
      <w:r w:rsidRPr="00B3089A">
        <w:rPr>
          <w:rFonts w:ascii="Arial" w:hAnsi="Arial" w:cs="Arial"/>
          <w:lang w:val="en-US" w:eastAsia="en-US"/>
        </w:rPr>
        <w:t xml:space="preserve">, C., Massie, F. S., Harper, W., </w:t>
      </w:r>
      <w:proofErr w:type="spellStart"/>
      <w:r w:rsidRPr="00B3089A">
        <w:rPr>
          <w:rFonts w:ascii="Arial" w:hAnsi="Arial" w:cs="Arial"/>
          <w:lang w:val="en-US" w:eastAsia="en-US"/>
        </w:rPr>
        <w:t>Eacker</w:t>
      </w:r>
      <w:proofErr w:type="spellEnd"/>
      <w:r w:rsidRPr="00B3089A">
        <w:rPr>
          <w:rFonts w:ascii="Arial" w:hAnsi="Arial" w:cs="Arial"/>
          <w:lang w:val="en-US" w:eastAsia="en-US"/>
        </w:rPr>
        <w:t xml:space="preserve">, A., </w:t>
      </w:r>
      <w:proofErr w:type="spellStart"/>
      <w:r w:rsidRPr="00B3089A">
        <w:rPr>
          <w:rFonts w:ascii="Arial" w:hAnsi="Arial" w:cs="Arial"/>
          <w:lang w:val="en-US" w:eastAsia="en-US"/>
        </w:rPr>
        <w:t>Szydlo</w:t>
      </w:r>
      <w:proofErr w:type="spellEnd"/>
      <w:r w:rsidRPr="00B3089A">
        <w:rPr>
          <w:rFonts w:ascii="Arial" w:hAnsi="Arial" w:cs="Arial"/>
          <w:lang w:val="en-US" w:eastAsia="en-US"/>
        </w:rPr>
        <w:t xml:space="preserve">, D. W., Sloan, J. A., &amp; </w:t>
      </w:r>
      <w:proofErr w:type="spellStart"/>
      <w:r w:rsidRPr="00B3089A">
        <w:rPr>
          <w:rFonts w:ascii="Arial" w:hAnsi="Arial" w:cs="Arial"/>
          <w:lang w:val="en-US" w:eastAsia="en-US"/>
        </w:rPr>
        <w:t>Shanafelt</w:t>
      </w:r>
      <w:proofErr w:type="spellEnd"/>
      <w:r w:rsidRPr="00B3089A">
        <w:rPr>
          <w:rFonts w:ascii="Arial" w:hAnsi="Arial" w:cs="Arial"/>
          <w:lang w:val="en-US" w:eastAsia="en-US"/>
        </w:rPr>
        <w:t xml:space="preserve">, T. D. (2010). Burnout and serious thoughts of dropping out of medical school: A multi-institutional study. </w:t>
      </w:r>
      <w:r w:rsidRPr="00B3089A">
        <w:rPr>
          <w:rFonts w:ascii="Arial" w:hAnsi="Arial" w:cs="Arial"/>
          <w:i/>
          <w:lang w:val="en-US" w:eastAsia="en-US"/>
        </w:rPr>
        <w:t xml:space="preserve">Academic Medicine: Journal of the Association of </w:t>
      </w:r>
      <w:r w:rsidRPr="00B3089A">
        <w:rPr>
          <w:rFonts w:ascii="Arial" w:hAnsi="Arial" w:cs="Arial"/>
          <w:i/>
          <w:lang w:val="en-US" w:eastAsia="en-US"/>
        </w:rPr>
        <w:lastRenderedPageBreak/>
        <w:t>American Medical Colleges</w:t>
      </w:r>
      <w:r w:rsidRPr="00B3089A">
        <w:rPr>
          <w:rFonts w:ascii="Arial" w:hAnsi="Arial" w:cs="Arial"/>
          <w:lang w:val="en-US" w:eastAsia="en-US"/>
        </w:rPr>
        <w:t xml:space="preserve">, </w:t>
      </w:r>
      <w:r w:rsidRPr="00B3089A">
        <w:rPr>
          <w:rFonts w:ascii="Arial" w:hAnsi="Arial" w:cs="Arial"/>
          <w:i/>
          <w:lang w:val="en-US" w:eastAsia="en-US"/>
        </w:rPr>
        <w:t>85</w:t>
      </w:r>
      <w:r w:rsidRPr="00B3089A">
        <w:rPr>
          <w:rFonts w:ascii="Arial" w:hAnsi="Arial" w:cs="Arial"/>
          <w:lang w:val="en-US" w:eastAsia="en-US"/>
        </w:rPr>
        <w:t xml:space="preserve">(1), 94-102. </w:t>
      </w:r>
      <w:hyperlink>
        <w:r w:rsidRPr="00B3089A">
          <w:rPr>
            <w:rFonts w:ascii="Arial" w:hAnsi="Arial" w:cs="Arial"/>
            <w:lang w:val="en-US" w:eastAsia="en-US"/>
          </w:rPr>
          <w:t>https://doi.org/10.1097/ACM.0b013e3181c46aad</w:t>
        </w:r>
      </w:hyperlink>
    </w:p>
    <w:p w14:paraId="79DC2A51" w14:textId="77777777" w:rsidR="001C4921" w:rsidRPr="00B3089A" w:rsidRDefault="001C4921" w:rsidP="001C4921">
      <w:pPr>
        <w:widowControl w:val="0"/>
        <w:spacing w:after="160" w:line="360" w:lineRule="auto"/>
        <w:ind w:left="720" w:hanging="720"/>
        <w:jc w:val="both"/>
        <w:rPr>
          <w:rFonts w:ascii="Arial" w:eastAsia="Calibri" w:hAnsi="Arial" w:cs="Arial"/>
          <w:sz w:val="22"/>
          <w:szCs w:val="22"/>
          <w:lang w:val="en-US" w:eastAsia="en-US"/>
        </w:rPr>
      </w:pPr>
      <w:proofErr w:type="spellStart"/>
      <w:r w:rsidRPr="00B3089A">
        <w:rPr>
          <w:rFonts w:ascii="Arial" w:hAnsi="Arial" w:cs="Arial"/>
          <w:lang w:val="en-US" w:eastAsia="en-US"/>
        </w:rPr>
        <w:t>Dyrbye</w:t>
      </w:r>
      <w:proofErr w:type="spellEnd"/>
      <w:r w:rsidRPr="00B3089A">
        <w:rPr>
          <w:rFonts w:ascii="Arial" w:hAnsi="Arial" w:cs="Arial"/>
          <w:lang w:val="en-US" w:eastAsia="en-US"/>
        </w:rPr>
        <w:t xml:space="preserve">, L. N., Thomas, M. R., &amp; </w:t>
      </w:r>
      <w:proofErr w:type="spellStart"/>
      <w:r w:rsidRPr="00B3089A">
        <w:rPr>
          <w:rFonts w:ascii="Arial" w:hAnsi="Arial" w:cs="Arial"/>
          <w:lang w:val="en-US" w:eastAsia="en-US"/>
        </w:rPr>
        <w:t>Shanafelt</w:t>
      </w:r>
      <w:proofErr w:type="spellEnd"/>
      <w:r w:rsidRPr="00B3089A">
        <w:rPr>
          <w:rFonts w:ascii="Arial" w:hAnsi="Arial" w:cs="Arial"/>
          <w:lang w:val="en-US" w:eastAsia="en-US"/>
        </w:rPr>
        <w:t xml:space="preserve">, T. D. (2006). Systematic Review of Depression, Anxiety, and Other Indicators of Psychological Distress Among U.S. and Canadian Medical Students. </w:t>
      </w:r>
      <w:r w:rsidRPr="00B3089A">
        <w:rPr>
          <w:rFonts w:ascii="Arial" w:hAnsi="Arial" w:cs="Arial"/>
          <w:i/>
          <w:lang w:val="en-US" w:eastAsia="en-US"/>
        </w:rPr>
        <w:t>Academic Medicine</w:t>
      </w:r>
      <w:r w:rsidRPr="00B3089A">
        <w:rPr>
          <w:rFonts w:ascii="Arial" w:hAnsi="Arial" w:cs="Arial"/>
          <w:lang w:val="en-US" w:eastAsia="en-US"/>
        </w:rPr>
        <w:t xml:space="preserve">, </w:t>
      </w:r>
      <w:r w:rsidRPr="00B3089A">
        <w:rPr>
          <w:rFonts w:ascii="Arial" w:hAnsi="Arial" w:cs="Arial"/>
          <w:i/>
          <w:lang w:val="en-US" w:eastAsia="en-US"/>
        </w:rPr>
        <w:t>81</w:t>
      </w:r>
      <w:r w:rsidRPr="00B3089A">
        <w:rPr>
          <w:rFonts w:ascii="Arial" w:hAnsi="Arial" w:cs="Arial"/>
          <w:lang w:val="en-US" w:eastAsia="en-US"/>
        </w:rPr>
        <w:t>(4), 354-373.</w:t>
      </w:r>
    </w:p>
    <w:p w14:paraId="0E506B40" w14:textId="77777777" w:rsidR="001C4921" w:rsidRPr="00B3089A" w:rsidRDefault="001C4921" w:rsidP="001C4921">
      <w:pPr>
        <w:spacing w:after="160" w:line="360" w:lineRule="auto"/>
        <w:ind w:left="720" w:hanging="720"/>
        <w:jc w:val="both"/>
        <w:rPr>
          <w:rFonts w:ascii="Arial" w:eastAsia="Calibri" w:hAnsi="Arial" w:cs="Arial"/>
          <w:sz w:val="22"/>
          <w:szCs w:val="22"/>
          <w:lang w:val="en-US" w:eastAsia="en-US"/>
        </w:rPr>
      </w:pPr>
      <w:r w:rsidRPr="00B3089A">
        <w:rPr>
          <w:rFonts w:ascii="Arial" w:hAnsi="Arial" w:cs="Arial"/>
          <w:lang w:val="en-US" w:eastAsia="en-US"/>
        </w:rPr>
        <w:t xml:space="preserve">Fischbein, R., &amp; </w:t>
      </w:r>
      <w:proofErr w:type="spellStart"/>
      <w:r w:rsidRPr="00B3089A">
        <w:rPr>
          <w:rFonts w:ascii="Arial" w:hAnsi="Arial" w:cs="Arial"/>
          <w:lang w:val="en-US" w:eastAsia="en-US"/>
        </w:rPr>
        <w:t>Bonfine</w:t>
      </w:r>
      <w:proofErr w:type="spellEnd"/>
      <w:r w:rsidRPr="00B3089A">
        <w:rPr>
          <w:rFonts w:ascii="Arial" w:hAnsi="Arial" w:cs="Arial"/>
          <w:lang w:val="en-US" w:eastAsia="en-US"/>
        </w:rPr>
        <w:t xml:space="preserve">, N. (2019). Pharmacy and Medical Students’ Mental Health Symptoms, Experiences, Attitudes and Help-Seeking Behaviors. </w:t>
      </w:r>
      <w:r w:rsidRPr="00B3089A">
        <w:rPr>
          <w:rFonts w:ascii="Arial" w:hAnsi="Arial" w:cs="Arial"/>
          <w:i/>
          <w:lang w:val="en-US" w:eastAsia="en-US"/>
        </w:rPr>
        <w:t>American Journal of Pharmaceutical Education</w:t>
      </w:r>
      <w:r w:rsidRPr="00B3089A">
        <w:rPr>
          <w:rFonts w:ascii="Arial" w:hAnsi="Arial" w:cs="Arial"/>
          <w:lang w:val="en-US" w:eastAsia="en-US"/>
        </w:rPr>
        <w:t xml:space="preserve">, </w:t>
      </w:r>
      <w:r w:rsidRPr="00B3089A">
        <w:rPr>
          <w:rFonts w:ascii="Arial" w:hAnsi="Arial" w:cs="Arial"/>
          <w:i/>
          <w:lang w:val="en-US" w:eastAsia="en-US"/>
        </w:rPr>
        <w:t>83</w:t>
      </w:r>
      <w:r w:rsidRPr="00B3089A">
        <w:rPr>
          <w:rFonts w:ascii="Arial" w:hAnsi="Arial" w:cs="Arial"/>
          <w:lang w:val="en-US" w:eastAsia="en-US"/>
        </w:rPr>
        <w:t xml:space="preserve">(10), 7558. </w:t>
      </w:r>
      <w:hyperlink>
        <w:r w:rsidRPr="00B3089A">
          <w:rPr>
            <w:rFonts w:ascii="Arial" w:hAnsi="Arial" w:cs="Arial"/>
            <w:lang w:val="en-US" w:eastAsia="en-US"/>
          </w:rPr>
          <w:t>https://doi.org/10.5688/ajpe7558</w:t>
        </w:r>
      </w:hyperlink>
    </w:p>
    <w:p w14:paraId="3E2F399C" w14:textId="77777777" w:rsidR="001C4921" w:rsidRPr="00B3089A" w:rsidRDefault="001C4921" w:rsidP="001C4921">
      <w:pPr>
        <w:spacing w:after="160" w:line="360" w:lineRule="auto"/>
        <w:ind w:left="720" w:hanging="720"/>
        <w:jc w:val="both"/>
        <w:rPr>
          <w:rFonts w:ascii="Arial" w:hAnsi="Arial" w:cs="Arial"/>
          <w:lang w:eastAsia="en-US"/>
        </w:rPr>
      </w:pPr>
      <w:r w:rsidRPr="00B3089A">
        <w:rPr>
          <w:rFonts w:ascii="Arial" w:hAnsi="Arial" w:cs="Arial"/>
          <w:lang w:val="en-US" w:eastAsia="en-US"/>
        </w:rPr>
        <w:t xml:space="preserve">Flores, E., &amp; Arce, N. V. (2019). </w:t>
      </w:r>
      <w:r w:rsidRPr="00B3089A">
        <w:rPr>
          <w:rFonts w:ascii="Arial" w:hAnsi="Arial" w:cs="Arial"/>
          <w:lang w:eastAsia="en-US"/>
        </w:rPr>
        <w:t xml:space="preserve">Tipología de estudiantes según el nivel de satisfacción en su formación profesional en las universidades privadas de Puno, Perú. </w:t>
      </w:r>
      <w:proofErr w:type="spellStart"/>
      <w:r w:rsidRPr="00B3089A">
        <w:rPr>
          <w:rFonts w:ascii="Arial" w:hAnsi="Arial" w:cs="Arial"/>
          <w:lang w:eastAsia="en-US"/>
        </w:rPr>
        <w:t>Aletheia</w:t>
      </w:r>
      <w:proofErr w:type="spellEnd"/>
      <w:r w:rsidRPr="00B3089A">
        <w:rPr>
          <w:rFonts w:ascii="Arial" w:hAnsi="Arial" w:cs="Arial"/>
          <w:lang w:eastAsia="en-US"/>
        </w:rPr>
        <w:t xml:space="preserve">. </w:t>
      </w:r>
      <w:r w:rsidRPr="00B3089A">
        <w:rPr>
          <w:rFonts w:ascii="Arial" w:hAnsi="Arial" w:cs="Arial"/>
          <w:i/>
          <w:iCs/>
          <w:lang w:eastAsia="en-US"/>
        </w:rPr>
        <w:t>Revista de Desarrollo Humano, Educativo y Social Contemporáneo, 11</w:t>
      </w:r>
      <w:r w:rsidRPr="00B3089A">
        <w:rPr>
          <w:rFonts w:ascii="Arial" w:hAnsi="Arial" w:cs="Arial"/>
          <w:lang w:eastAsia="en-US"/>
        </w:rPr>
        <w:t xml:space="preserve">(1), 15-36. </w:t>
      </w:r>
      <w:hyperlink>
        <w:r w:rsidRPr="00B3089A">
          <w:rPr>
            <w:rFonts w:ascii="Arial" w:hAnsi="Arial" w:cs="Arial"/>
            <w:lang w:eastAsia="en-US"/>
          </w:rPr>
          <w:t>http://www.scielo.org.co/scielo.php?script=sci_arttext&amp;pid=S2145-03662019000100015</w:t>
        </w:r>
      </w:hyperlink>
    </w:p>
    <w:p w14:paraId="34C1FAD3" w14:textId="77777777" w:rsidR="001C4921" w:rsidRPr="00B3089A" w:rsidRDefault="001C4921" w:rsidP="001C4921">
      <w:pPr>
        <w:spacing w:line="360" w:lineRule="auto"/>
        <w:ind w:left="426" w:hanging="426"/>
        <w:jc w:val="both"/>
        <w:rPr>
          <w:rFonts w:ascii="Arial" w:eastAsia="Calibri" w:hAnsi="Arial" w:cs="Arial"/>
          <w:sz w:val="22"/>
          <w:szCs w:val="22"/>
          <w:lang w:val="en-US" w:eastAsia="en-US"/>
        </w:rPr>
      </w:pPr>
      <w:r w:rsidRPr="00B3089A">
        <w:rPr>
          <w:rFonts w:ascii="Arial" w:hAnsi="Arial" w:cs="Arial"/>
          <w:lang w:val="en-US" w:eastAsia="en-US"/>
        </w:rPr>
        <w:t xml:space="preserve">Fortin, N., Helliwell, J. F., &amp; Wang, S. (2015). How does subjective well-being vary around the world by gender and age? En J.F. Helliwell, R. Layard, &amp; J. Sachs (Eds.), </w:t>
      </w:r>
      <w:r w:rsidRPr="00B3089A">
        <w:rPr>
          <w:rFonts w:ascii="Arial" w:hAnsi="Arial" w:cs="Arial"/>
          <w:i/>
          <w:lang w:val="en-US" w:eastAsia="en-US"/>
        </w:rPr>
        <w:t xml:space="preserve">World happiness report </w:t>
      </w:r>
      <w:r w:rsidRPr="00B3089A">
        <w:rPr>
          <w:rFonts w:ascii="Arial" w:hAnsi="Arial" w:cs="Arial"/>
          <w:lang w:val="en-US" w:eastAsia="en-US"/>
        </w:rPr>
        <w:t>(42–75). Sustainable Development Solutions Network.</w:t>
      </w:r>
    </w:p>
    <w:p w14:paraId="10C052BD" w14:textId="77777777" w:rsidR="001C4921" w:rsidRPr="00B3089A" w:rsidRDefault="001C4921" w:rsidP="001C4921">
      <w:pPr>
        <w:spacing w:after="160" w:line="360" w:lineRule="auto"/>
        <w:ind w:left="720" w:hanging="720"/>
        <w:jc w:val="both"/>
        <w:rPr>
          <w:rFonts w:ascii="Arial" w:eastAsia="Calibri" w:hAnsi="Arial" w:cs="Arial"/>
          <w:sz w:val="22"/>
          <w:szCs w:val="22"/>
          <w:lang w:val="en-US" w:eastAsia="en-US"/>
        </w:rPr>
      </w:pPr>
      <w:r w:rsidRPr="00B3089A">
        <w:rPr>
          <w:rFonts w:ascii="Arial" w:hAnsi="Arial" w:cs="Arial"/>
          <w:lang w:val="en-US" w:eastAsia="en-US"/>
        </w:rPr>
        <w:lastRenderedPageBreak/>
        <w:t xml:space="preserve">Franzen, J., </w:t>
      </w:r>
      <w:proofErr w:type="spellStart"/>
      <w:r w:rsidRPr="00B3089A">
        <w:rPr>
          <w:rFonts w:ascii="Arial" w:hAnsi="Arial" w:cs="Arial"/>
          <w:lang w:val="en-US" w:eastAsia="en-US"/>
        </w:rPr>
        <w:t>Jermann</w:t>
      </w:r>
      <w:proofErr w:type="spellEnd"/>
      <w:r w:rsidRPr="00B3089A">
        <w:rPr>
          <w:rFonts w:ascii="Arial" w:hAnsi="Arial" w:cs="Arial"/>
          <w:lang w:val="en-US" w:eastAsia="en-US"/>
        </w:rPr>
        <w:t xml:space="preserve">, F., </w:t>
      </w:r>
      <w:proofErr w:type="spellStart"/>
      <w:r w:rsidRPr="00B3089A">
        <w:rPr>
          <w:rFonts w:ascii="Arial" w:hAnsi="Arial" w:cs="Arial"/>
          <w:lang w:val="en-US" w:eastAsia="en-US"/>
        </w:rPr>
        <w:t>Ghisletta</w:t>
      </w:r>
      <w:proofErr w:type="spellEnd"/>
      <w:r w:rsidRPr="00B3089A">
        <w:rPr>
          <w:rFonts w:ascii="Arial" w:hAnsi="Arial" w:cs="Arial"/>
          <w:lang w:val="en-US" w:eastAsia="en-US"/>
        </w:rPr>
        <w:t xml:space="preserve">, P., </w:t>
      </w:r>
      <w:proofErr w:type="spellStart"/>
      <w:r w:rsidRPr="00B3089A">
        <w:rPr>
          <w:rFonts w:ascii="Arial" w:hAnsi="Arial" w:cs="Arial"/>
          <w:lang w:val="en-US" w:eastAsia="en-US"/>
        </w:rPr>
        <w:t>Rudaz</w:t>
      </w:r>
      <w:proofErr w:type="spellEnd"/>
      <w:r w:rsidRPr="00B3089A">
        <w:rPr>
          <w:rFonts w:ascii="Arial" w:hAnsi="Arial" w:cs="Arial"/>
          <w:lang w:val="en-US" w:eastAsia="en-US"/>
        </w:rPr>
        <w:t xml:space="preserve">, S., </w:t>
      </w:r>
      <w:proofErr w:type="spellStart"/>
      <w:r w:rsidRPr="00B3089A">
        <w:rPr>
          <w:rFonts w:ascii="Arial" w:hAnsi="Arial" w:cs="Arial"/>
          <w:lang w:val="en-US" w:eastAsia="en-US"/>
        </w:rPr>
        <w:t>Bondolfi</w:t>
      </w:r>
      <w:proofErr w:type="spellEnd"/>
      <w:r w:rsidRPr="00B3089A">
        <w:rPr>
          <w:rFonts w:ascii="Arial" w:hAnsi="Arial" w:cs="Arial"/>
          <w:lang w:val="en-US" w:eastAsia="en-US"/>
        </w:rPr>
        <w:t xml:space="preserve">, G., &amp; Tran, N. T. (2021). Psychological Distress and Well-Being among Students of Health Disciplines: The Importance of Academic Satisfaction. </w:t>
      </w:r>
      <w:r w:rsidRPr="00B3089A">
        <w:rPr>
          <w:rFonts w:ascii="Arial" w:hAnsi="Arial" w:cs="Arial"/>
          <w:i/>
          <w:lang w:val="en-US" w:eastAsia="en-US"/>
        </w:rPr>
        <w:t>International Journal of Environmental Research and Public Health</w:t>
      </w:r>
      <w:r w:rsidRPr="00B3089A">
        <w:rPr>
          <w:rFonts w:ascii="Arial" w:hAnsi="Arial" w:cs="Arial"/>
          <w:lang w:val="en-US" w:eastAsia="en-US"/>
        </w:rPr>
        <w:t xml:space="preserve">, </w:t>
      </w:r>
      <w:r w:rsidRPr="00B3089A">
        <w:rPr>
          <w:rFonts w:ascii="Arial" w:hAnsi="Arial" w:cs="Arial"/>
          <w:i/>
          <w:lang w:val="en-US" w:eastAsia="en-US"/>
        </w:rPr>
        <w:t>18</w:t>
      </w:r>
      <w:r w:rsidRPr="00B3089A">
        <w:rPr>
          <w:rFonts w:ascii="Arial" w:hAnsi="Arial" w:cs="Arial"/>
          <w:lang w:val="en-US" w:eastAsia="en-US"/>
        </w:rPr>
        <w:t xml:space="preserve">(4), 2151. </w:t>
      </w:r>
      <w:hyperlink>
        <w:r w:rsidRPr="00B3089A">
          <w:rPr>
            <w:rFonts w:ascii="Arial" w:hAnsi="Arial" w:cs="Arial"/>
            <w:lang w:val="en-US" w:eastAsia="en-US"/>
          </w:rPr>
          <w:t>https://doi.org/10.3390/ijerph18042151</w:t>
        </w:r>
      </w:hyperlink>
    </w:p>
    <w:p w14:paraId="3D32C738" w14:textId="77777777" w:rsidR="001C4921" w:rsidRPr="00B3089A" w:rsidRDefault="001C4921" w:rsidP="001C4921">
      <w:pPr>
        <w:spacing w:after="160" w:line="360" w:lineRule="auto"/>
        <w:ind w:left="720" w:hanging="720"/>
        <w:jc w:val="both"/>
        <w:rPr>
          <w:rFonts w:ascii="Arial" w:eastAsia="Calibri" w:hAnsi="Arial" w:cs="Arial"/>
          <w:sz w:val="22"/>
          <w:szCs w:val="22"/>
          <w:lang w:eastAsia="en-US"/>
        </w:rPr>
      </w:pPr>
      <w:r w:rsidRPr="00B3089A">
        <w:rPr>
          <w:rFonts w:ascii="Arial" w:hAnsi="Arial" w:cs="Arial"/>
          <w:lang w:eastAsia="en-US"/>
        </w:rPr>
        <w:t xml:space="preserve">García, E., Arévalo, J. F., Alcaraz, J. D., </w:t>
      </w:r>
      <w:proofErr w:type="gramStart"/>
      <w:r w:rsidRPr="00B3089A">
        <w:rPr>
          <w:rFonts w:ascii="Arial" w:hAnsi="Arial" w:cs="Arial"/>
          <w:lang w:eastAsia="en-US"/>
        </w:rPr>
        <w:t>Gallegos</w:t>
      </w:r>
      <w:proofErr w:type="gramEnd"/>
      <w:r w:rsidRPr="00B3089A">
        <w:rPr>
          <w:rFonts w:ascii="Arial" w:hAnsi="Arial" w:cs="Arial"/>
          <w:lang w:eastAsia="en-US"/>
        </w:rPr>
        <w:t xml:space="preserve">, M. F., Alonso, K. J., </w:t>
      </w:r>
      <w:proofErr w:type="spellStart"/>
      <w:r w:rsidRPr="00B3089A">
        <w:rPr>
          <w:rFonts w:ascii="Arial" w:hAnsi="Arial" w:cs="Arial"/>
          <w:lang w:eastAsia="en-US"/>
        </w:rPr>
        <w:t>Ricardez</w:t>
      </w:r>
      <w:proofErr w:type="spellEnd"/>
      <w:r w:rsidRPr="00B3089A">
        <w:rPr>
          <w:rFonts w:ascii="Arial" w:hAnsi="Arial" w:cs="Arial"/>
          <w:lang w:eastAsia="en-US"/>
        </w:rPr>
        <w:t xml:space="preserve">, C., Ocampo, F. de J. (2019). Satisfacción de estudiantes en medicina con desempeño docente y tutorías académicas. </w:t>
      </w:r>
      <w:r w:rsidRPr="00B3089A">
        <w:rPr>
          <w:rFonts w:ascii="Arial" w:hAnsi="Arial" w:cs="Arial"/>
          <w:i/>
          <w:iCs/>
          <w:lang w:eastAsia="en-US"/>
        </w:rPr>
        <w:t>Investigación en Educación Médica</w:t>
      </w:r>
      <w:r w:rsidRPr="00B3089A">
        <w:rPr>
          <w:rFonts w:ascii="Arial" w:hAnsi="Arial" w:cs="Arial"/>
          <w:lang w:eastAsia="en-US"/>
        </w:rPr>
        <w:t xml:space="preserve">, </w:t>
      </w:r>
      <w:r w:rsidRPr="00B3089A">
        <w:rPr>
          <w:rFonts w:ascii="Arial" w:hAnsi="Arial" w:cs="Arial"/>
          <w:i/>
          <w:iCs/>
          <w:lang w:eastAsia="en-US"/>
        </w:rPr>
        <w:t>8</w:t>
      </w:r>
      <w:r w:rsidRPr="00B3089A">
        <w:rPr>
          <w:rFonts w:ascii="Arial" w:hAnsi="Arial" w:cs="Arial"/>
          <w:lang w:eastAsia="en-US"/>
        </w:rPr>
        <w:t>(30), 60-67. https://doi.org/10.22201/facmed.20075057e.2019.30.1891</w:t>
      </w:r>
    </w:p>
    <w:p w14:paraId="60118FC6" w14:textId="77777777" w:rsidR="001C4921" w:rsidRPr="00B3089A" w:rsidRDefault="001C4921" w:rsidP="001C4921">
      <w:pPr>
        <w:spacing w:after="160" w:line="360" w:lineRule="auto"/>
        <w:ind w:left="720" w:hanging="720"/>
        <w:jc w:val="both"/>
        <w:rPr>
          <w:rFonts w:ascii="Arial" w:eastAsia="Calibri" w:hAnsi="Arial" w:cs="Arial"/>
          <w:lang w:val="en-US" w:eastAsia="en-US"/>
        </w:rPr>
      </w:pPr>
      <w:r w:rsidRPr="00B3089A">
        <w:rPr>
          <w:rFonts w:ascii="Arial" w:hAnsi="Arial" w:cs="Arial"/>
          <w:lang w:val="es-ES" w:eastAsia="en-US"/>
        </w:rPr>
        <w:t xml:space="preserve">Gibbons, C. (2010). </w:t>
      </w:r>
      <w:r w:rsidRPr="00B3089A">
        <w:rPr>
          <w:rFonts w:ascii="Arial" w:hAnsi="Arial" w:cs="Arial"/>
          <w:lang w:val="en-US" w:eastAsia="en-US"/>
        </w:rPr>
        <w:t xml:space="preserve">Stress, coping and burn-out in nursing students. </w:t>
      </w:r>
      <w:r w:rsidRPr="00B3089A">
        <w:rPr>
          <w:rFonts w:ascii="Arial" w:hAnsi="Arial" w:cs="Arial"/>
          <w:i/>
          <w:lang w:val="en-US" w:eastAsia="en-US"/>
        </w:rPr>
        <w:t>International Journal of Nursing Studies</w:t>
      </w:r>
      <w:r w:rsidRPr="00B3089A">
        <w:rPr>
          <w:rFonts w:ascii="Arial" w:hAnsi="Arial" w:cs="Arial"/>
          <w:lang w:val="en-US" w:eastAsia="en-US"/>
        </w:rPr>
        <w:t xml:space="preserve">, </w:t>
      </w:r>
      <w:r w:rsidRPr="00B3089A">
        <w:rPr>
          <w:rFonts w:ascii="Arial" w:hAnsi="Arial" w:cs="Arial"/>
          <w:i/>
          <w:lang w:val="en-US" w:eastAsia="en-US"/>
        </w:rPr>
        <w:t>47</w:t>
      </w:r>
      <w:r w:rsidRPr="00B3089A">
        <w:rPr>
          <w:rFonts w:ascii="Arial" w:hAnsi="Arial" w:cs="Arial"/>
          <w:lang w:val="en-US" w:eastAsia="en-US"/>
        </w:rPr>
        <w:t xml:space="preserve">(10), 1299-1309. </w:t>
      </w:r>
      <w:hyperlink>
        <w:r w:rsidRPr="00B3089A">
          <w:rPr>
            <w:rFonts w:ascii="Arial" w:hAnsi="Arial" w:cs="Arial"/>
            <w:lang w:val="en-US" w:eastAsia="en-US"/>
          </w:rPr>
          <w:t>https://doi.org/10.1016/j.ijnurstu.2010.02.015</w:t>
        </w:r>
      </w:hyperlink>
    </w:p>
    <w:p w14:paraId="1CC5965E" w14:textId="77777777" w:rsidR="001C4921" w:rsidRPr="00B3089A" w:rsidRDefault="001C4921" w:rsidP="001C4921">
      <w:pPr>
        <w:spacing w:after="160" w:line="360" w:lineRule="auto"/>
        <w:ind w:left="720" w:hanging="720"/>
        <w:jc w:val="both"/>
        <w:rPr>
          <w:rFonts w:ascii="Arial" w:eastAsia="Calibri" w:hAnsi="Arial" w:cs="Arial"/>
          <w:sz w:val="22"/>
          <w:szCs w:val="22"/>
          <w:lang w:val="en-US" w:eastAsia="en-US"/>
        </w:rPr>
      </w:pPr>
      <w:proofErr w:type="spellStart"/>
      <w:r w:rsidRPr="00B3089A">
        <w:rPr>
          <w:rFonts w:ascii="Arial" w:hAnsi="Arial" w:cs="Arial"/>
          <w:lang w:eastAsia="en-US"/>
        </w:rPr>
        <w:t>Guadagnoli</w:t>
      </w:r>
      <w:proofErr w:type="spellEnd"/>
      <w:r w:rsidRPr="00B3089A">
        <w:rPr>
          <w:rFonts w:ascii="Arial" w:hAnsi="Arial" w:cs="Arial"/>
          <w:lang w:eastAsia="en-US"/>
        </w:rPr>
        <w:t xml:space="preserve">, E., &amp; </w:t>
      </w:r>
      <w:proofErr w:type="spellStart"/>
      <w:r w:rsidRPr="00B3089A">
        <w:rPr>
          <w:rFonts w:ascii="Arial" w:hAnsi="Arial" w:cs="Arial"/>
          <w:lang w:eastAsia="en-US"/>
        </w:rPr>
        <w:t>Velicer</w:t>
      </w:r>
      <w:proofErr w:type="spellEnd"/>
      <w:r w:rsidRPr="00B3089A">
        <w:rPr>
          <w:rFonts w:ascii="Arial" w:hAnsi="Arial" w:cs="Arial"/>
          <w:lang w:eastAsia="en-US"/>
        </w:rPr>
        <w:t xml:space="preserve">, W. F. (1988). </w:t>
      </w:r>
      <w:r w:rsidRPr="00B3089A">
        <w:rPr>
          <w:rFonts w:ascii="Arial" w:hAnsi="Arial" w:cs="Arial"/>
          <w:lang w:val="en-US" w:eastAsia="en-US"/>
        </w:rPr>
        <w:t xml:space="preserve">Relation of sample size to the stability of component patterns. </w:t>
      </w:r>
      <w:r w:rsidRPr="00B3089A">
        <w:rPr>
          <w:rFonts w:ascii="Arial" w:hAnsi="Arial" w:cs="Arial"/>
          <w:i/>
          <w:iCs/>
          <w:lang w:val="en-US" w:eastAsia="en-US"/>
        </w:rPr>
        <w:t>Psychological Bulletin, 103</w:t>
      </w:r>
      <w:r w:rsidRPr="00B3089A">
        <w:rPr>
          <w:rFonts w:ascii="Arial" w:hAnsi="Arial" w:cs="Arial"/>
          <w:lang w:val="en-US" w:eastAsia="en-US"/>
        </w:rPr>
        <w:t xml:space="preserve">(2), 265–275. </w:t>
      </w:r>
      <w:hyperlink>
        <w:r w:rsidRPr="00B3089A">
          <w:rPr>
            <w:rFonts w:ascii="Arial" w:hAnsi="Arial" w:cs="Arial"/>
            <w:lang w:val="en-US" w:eastAsia="en-US"/>
          </w:rPr>
          <w:t>https://doi.org/10.1037/0033-2909.103.2.265</w:t>
        </w:r>
      </w:hyperlink>
    </w:p>
    <w:p w14:paraId="63265C27" w14:textId="77777777" w:rsidR="001C4921" w:rsidRPr="00B3089A" w:rsidRDefault="001C4921" w:rsidP="001C4921">
      <w:pPr>
        <w:spacing w:after="160" w:line="360" w:lineRule="auto"/>
        <w:ind w:left="720" w:hanging="720"/>
        <w:jc w:val="both"/>
        <w:rPr>
          <w:rFonts w:ascii="Arial" w:hAnsi="Arial" w:cs="Arial"/>
          <w:lang w:val="en-US" w:eastAsia="en-US"/>
        </w:rPr>
      </w:pPr>
      <w:r w:rsidRPr="00B3089A">
        <w:rPr>
          <w:rFonts w:ascii="Arial" w:hAnsi="Arial" w:cs="Arial"/>
          <w:lang w:val="en-US" w:eastAsia="en-US"/>
        </w:rPr>
        <w:t xml:space="preserve">Hoe, S. L. (2008). Issues and procedures in adopting structural equation modeling technique. </w:t>
      </w:r>
      <w:r w:rsidRPr="00B3089A">
        <w:rPr>
          <w:rFonts w:ascii="Arial" w:hAnsi="Arial" w:cs="Arial"/>
          <w:i/>
          <w:lang w:val="en-US" w:eastAsia="en-US"/>
        </w:rPr>
        <w:t>Journal of Applied Quantitative Methods, 3</w:t>
      </w:r>
      <w:r w:rsidRPr="00B3089A">
        <w:rPr>
          <w:rFonts w:ascii="Arial" w:hAnsi="Arial" w:cs="Arial"/>
          <w:lang w:val="en-US" w:eastAsia="en-US"/>
        </w:rPr>
        <w:t xml:space="preserve">(1), 76-83. </w:t>
      </w:r>
      <w:hyperlink>
        <w:r w:rsidRPr="00B3089A">
          <w:rPr>
            <w:rFonts w:ascii="Arial" w:hAnsi="Arial" w:cs="Arial"/>
            <w:lang w:val="en-US" w:eastAsia="en-US"/>
          </w:rPr>
          <w:t>https://www.scirp.org/(S(351jmbntvnsjt1aadkposzje))/reference/ReferencesPapers.aspx?ReferenceID=2336019</w:t>
        </w:r>
      </w:hyperlink>
    </w:p>
    <w:p w14:paraId="51AA335C" w14:textId="77777777" w:rsidR="001C4921" w:rsidRPr="00B3089A" w:rsidRDefault="001C4921" w:rsidP="001C4921">
      <w:pPr>
        <w:spacing w:line="360" w:lineRule="auto"/>
        <w:ind w:left="720" w:hanging="720"/>
        <w:jc w:val="both"/>
        <w:rPr>
          <w:rFonts w:ascii="Arial" w:eastAsia="Calibri" w:hAnsi="Arial" w:cs="Arial"/>
          <w:sz w:val="22"/>
          <w:szCs w:val="22"/>
          <w:lang w:val="en-US" w:eastAsia="en-US"/>
        </w:rPr>
      </w:pPr>
      <w:r w:rsidRPr="00B3089A">
        <w:rPr>
          <w:rFonts w:ascii="Arial" w:hAnsi="Arial" w:cs="Arial"/>
          <w:lang w:val="en-US" w:eastAsia="en-US"/>
        </w:rPr>
        <w:lastRenderedPageBreak/>
        <w:t xml:space="preserve">Lai, M. M., Lau, S. H., Mohamad Yusof, N. A., &amp; Chew, K. W. (2015). Assessing antecedents and consequences of student satisfaction in higher education: Evidence from Malaysia. </w:t>
      </w:r>
      <w:r w:rsidRPr="00B3089A">
        <w:rPr>
          <w:rFonts w:ascii="Arial" w:hAnsi="Arial" w:cs="Arial"/>
          <w:i/>
          <w:lang w:val="en-US" w:eastAsia="en-US"/>
        </w:rPr>
        <w:t>Journal of Marketing for Higher Education</w:t>
      </w:r>
      <w:r w:rsidRPr="00B3089A">
        <w:rPr>
          <w:rFonts w:ascii="Arial" w:hAnsi="Arial" w:cs="Arial"/>
          <w:lang w:val="en-US" w:eastAsia="en-US"/>
        </w:rPr>
        <w:t xml:space="preserve">, </w:t>
      </w:r>
      <w:r w:rsidRPr="00B3089A">
        <w:rPr>
          <w:rFonts w:ascii="Arial" w:hAnsi="Arial" w:cs="Arial"/>
          <w:i/>
          <w:lang w:val="en-US" w:eastAsia="en-US"/>
        </w:rPr>
        <w:t>25</w:t>
      </w:r>
      <w:r w:rsidRPr="00B3089A">
        <w:rPr>
          <w:rFonts w:ascii="Arial" w:hAnsi="Arial" w:cs="Arial"/>
          <w:lang w:val="en-US" w:eastAsia="en-US"/>
        </w:rPr>
        <w:t xml:space="preserve">(1), 45-69. </w:t>
      </w:r>
      <w:hyperlink>
        <w:r w:rsidRPr="00B3089A">
          <w:rPr>
            <w:rFonts w:ascii="Arial" w:hAnsi="Arial" w:cs="Arial"/>
            <w:lang w:val="en-US" w:eastAsia="en-US"/>
          </w:rPr>
          <w:t>https://doi.org/10.1080/08841241.2015.1042097</w:t>
        </w:r>
      </w:hyperlink>
    </w:p>
    <w:p w14:paraId="09813F8B" w14:textId="77777777" w:rsidR="001C4921" w:rsidRPr="00B3089A" w:rsidRDefault="001C4921" w:rsidP="001C4921">
      <w:pPr>
        <w:spacing w:line="360" w:lineRule="auto"/>
        <w:ind w:left="720" w:hanging="720"/>
        <w:jc w:val="both"/>
        <w:rPr>
          <w:rFonts w:ascii="Arial" w:eastAsia="Calibri" w:hAnsi="Arial" w:cs="Arial"/>
          <w:sz w:val="22"/>
          <w:szCs w:val="22"/>
          <w:lang w:val="en-US" w:eastAsia="en-US"/>
        </w:rPr>
      </w:pPr>
      <w:r w:rsidRPr="00B3089A">
        <w:rPr>
          <w:rFonts w:ascii="Arial" w:hAnsi="Arial" w:cs="Arial"/>
          <w:lang w:val="en-US" w:eastAsia="en-US"/>
        </w:rPr>
        <w:t xml:space="preserve">Lee, J., &amp; Jang, S. (2015). An Exploration of Stress and Satisfaction in College Students. </w:t>
      </w:r>
      <w:r w:rsidRPr="00B3089A">
        <w:rPr>
          <w:rFonts w:ascii="Arial" w:hAnsi="Arial" w:cs="Arial"/>
          <w:i/>
          <w:lang w:val="en-US" w:eastAsia="en-US"/>
        </w:rPr>
        <w:t>Services Marketing Quarterly</w:t>
      </w:r>
      <w:r w:rsidRPr="00B3089A">
        <w:rPr>
          <w:rFonts w:ascii="Arial" w:hAnsi="Arial" w:cs="Arial"/>
          <w:lang w:val="en-US" w:eastAsia="en-US"/>
        </w:rPr>
        <w:t xml:space="preserve">, </w:t>
      </w:r>
      <w:r w:rsidRPr="00B3089A">
        <w:rPr>
          <w:rFonts w:ascii="Arial" w:hAnsi="Arial" w:cs="Arial"/>
          <w:i/>
          <w:lang w:val="en-US" w:eastAsia="en-US"/>
        </w:rPr>
        <w:t>36</w:t>
      </w:r>
      <w:r w:rsidRPr="00B3089A">
        <w:rPr>
          <w:rFonts w:ascii="Arial" w:hAnsi="Arial" w:cs="Arial"/>
          <w:lang w:val="en-US" w:eastAsia="en-US"/>
        </w:rPr>
        <w:t xml:space="preserve">(3), 245-260. </w:t>
      </w:r>
      <w:hyperlink>
        <w:r w:rsidRPr="00B3089A">
          <w:rPr>
            <w:rFonts w:ascii="Arial" w:hAnsi="Arial" w:cs="Arial"/>
            <w:lang w:val="en-US" w:eastAsia="en-US"/>
          </w:rPr>
          <w:t>https://doi.org/10.1080/15332969.2015.1046774</w:t>
        </w:r>
      </w:hyperlink>
    </w:p>
    <w:p w14:paraId="3E6F7949" w14:textId="77777777" w:rsidR="001C4921" w:rsidRPr="00B3089A" w:rsidRDefault="001C4921" w:rsidP="001C4921">
      <w:pPr>
        <w:spacing w:line="360" w:lineRule="auto"/>
        <w:ind w:left="720" w:hanging="720"/>
        <w:jc w:val="both"/>
        <w:rPr>
          <w:rFonts w:ascii="Arial" w:hAnsi="Arial" w:cs="Arial"/>
          <w:lang w:val="en-US" w:eastAsia="en-US"/>
        </w:rPr>
      </w:pPr>
      <w:r w:rsidRPr="00B3089A">
        <w:rPr>
          <w:rFonts w:ascii="Arial" w:hAnsi="Arial" w:cs="Arial"/>
          <w:lang w:val="en-US" w:eastAsia="en-US"/>
        </w:rPr>
        <w:t xml:space="preserve">Lent, R., </w:t>
      </w:r>
      <w:proofErr w:type="spellStart"/>
      <w:r w:rsidRPr="00B3089A">
        <w:rPr>
          <w:rFonts w:ascii="Arial" w:hAnsi="Arial" w:cs="Arial"/>
          <w:lang w:val="en-US" w:eastAsia="en-US"/>
        </w:rPr>
        <w:t>Singley</w:t>
      </w:r>
      <w:proofErr w:type="spellEnd"/>
      <w:r w:rsidRPr="00B3089A">
        <w:rPr>
          <w:rFonts w:ascii="Arial" w:hAnsi="Arial" w:cs="Arial"/>
          <w:lang w:val="en-US" w:eastAsia="en-US"/>
        </w:rPr>
        <w:t xml:space="preserve">, D., </w:t>
      </w:r>
      <w:proofErr w:type="spellStart"/>
      <w:r w:rsidRPr="00B3089A">
        <w:rPr>
          <w:rFonts w:ascii="Arial" w:hAnsi="Arial" w:cs="Arial"/>
          <w:lang w:val="en-US" w:eastAsia="en-US"/>
        </w:rPr>
        <w:t>Sheu</w:t>
      </w:r>
      <w:proofErr w:type="spellEnd"/>
      <w:r w:rsidRPr="00B3089A">
        <w:rPr>
          <w:rFonts w:ascii="Arial" w:hAnsi="Arial" w:cs="Arial"/>
          <w:lang w:val="en-US" w:eastAsia="en-US"/>
        </w:rPr>
        <w:t xml:space="preserve">, H., Schmidt, J., &amp; Schmidt, L. (2007). Relation of social-cognitive factors to academic satisfaction in engineering students. </w:t>
      </w:r>
      <w:r w:rsidRPr="00B3089A">
        <w:rPr>
          <w:rFonts w:ascii="Arial" w:hAnsi="Arial" w:cs="Arial"/>
          <w:i/>
          <w:lang w:val="en-US" w:eastAsia="en-US"/>
        </w:rPr>
        <w:t>Journal of Career Assessment, 15</w:t>
      </w:r>
      <w:r w:rsidRPr="00B3089A">
        <w:rPr>
          <w:rFonts w:ascii="Arial" w:hAnsi="Arial" w:cs="Arial"/>
          <w:lang w:val="en-US" w:eastAsia="en-US"/>
        </w:rPr>
        <w:t>, 87-97. https://doi. org/10.1177/1069072706294518</w:t>
      </w:r>
    </w:p>
    <w:p w14:paraId="558CAB6D" w14:textId="77777777" w:rsidR="001C4921" w:rsidRPr="00B3089A" w:rsidRDefault="001C4921" w:rsidP="001C4921">
      <w:pPr>
        <w:spacing w:line="360" w:lineRule="auto"/>
        <w:ind w:left="720" w:hanging="720"/>
        <w:jc w:val="both"/>
        <w:rPr>
          <w:rFonts w:ascii="Arial" w:hAnsi="Arial" w:cs="Arial"/>
          <w:lang w:val="en-US" w:eastAsia="en-US"/>
        </w:rPr>
      </w:pPr>
      <w:r w:rsidRPr="00B3089A">
        <w:rPr>
          <w:rFonts w:ascii="Arial" w:hAnsi="Arial" w:cs="Arial"/>
          <w:lang w:val="en-US" w:eastAsia="en-US"/>
        </w:rPr>
        <w:t xml:space="preserve">Marsh, H. W., </w:t>
      </w:r>
      <w:proofErr w:type="spellStart"/>
      <w:r w:rsidRPr="00B3089A">
        <w:rPr>
          <w:rFonts w:ascii="Arial" w:hAnsi="Arial" w:cs="Arial"/>
          <w:lang w:val="en-US" w:eastAsia="en-US"/>
        </w:rPr>
        <w:t>Hau</w:t>
      </w:r>
      <w:proofErr w:type="spellEnd"/>
      <w:r w:rsidRPr="00B3089A">
        <w:rPr>
          <w:rFonts w:ascii="Arial" w:hAnsi="Arial" w:cs="Arial"/>
          <w:lang w:val="en-US" w:eastAsia="en-US"/>
        </w:rPr>
        <w:t xml:space="preserve">, K. T., &amp; Wen, Z. (2004). In search of golden rules: Comment on hypothesis-testing approaches to setting cutoff values for fit indexes and dangers in overgeneralizing Hu and </w:t>
      </w:r>
      <w:proofErr w:type="spellStart"/>
      <w:r w:rsidRPr="00B3089A">
        <w:rPr>
          <w:rFonts w:ascii="Arial" w:hAnsi="Arial" w:cs="Arial"/>
          <w:lang w:val="en-US" w:eastAsia="en-US"/>
        </w:rPr>
        <w:t>Bentler's</w:t>
      </w:r>
      <w:proofErr w:type="spellEnd"/>
      <w:r w:rsidRPr="00B3089A">
        <w:rPr>
          <w:rFonts w:ascii="Arial" w:hAnsi="Arial" w:cs="Arial"/>
          <w:lang w:val="en-US" w:eastAsia="en-US"/>
        </w:rPr>
        <w:t xml:space="preserve"> (1999) findings. </w:t>
      </w:r>
      <w:r w:rsidRPr="00B3089A">
        <w:rPr>
          <w:rFonts w:ascii="Arial" w:hAnsi="Arial" w:cs="Arial"/>
          <w:i/>
          <w:lang w:val="en-US" w:eastAsia="en-US"/>
        </w:rPr>
        <w:t>Structural Equation Modeling</w:t>
      </w:r>
      <w:r w:rsidRPr="00B3089A">
        <w:rPr>
          <w:rFonts w:ascii="Arial" w:hAnsi="Arial" w:cs="Arial"/>
          <w:lang w:val="en-US" w:eastAsia="en-US"/>
        </w:rPr>
        <w:t xml:space="preserve">, </w:t>
      </w:r>
      <w:r w:rsidRPr="00B3089A">
        <w:rPr>
          <w:rFonts w:ascii="Arial" w:hAnsi="Arial" w:cs="Arial"/>
          <w:i/>
          <w:lang w:val="en-US" w:eastAsia="en-US"/>
        </w:rPr>
        <w:t>11</w:t>
      </w:r>
      <w:r w:rsidRPr="00B3089A">
        <w:rPr>
          <w:rFonts w:ascii="Arial" w:hAnsi="Arial" w:cs="Arial"/>
          <w:lang w:val="en-US" w:eastAsia="en-US"/>
        </w:rPr>
        <w:t>(3), 320-341.</w:t>
      </w:r>
      <w:hyperlink>
        <w:r w:rsidRPr="00B3089A">
          <w:rPr>
            <w:rFonts w:ascii="Arial" w:hAnsi="Arial" w:cs="Arial"/>
            <w:lang w:val="en-US" w:eastAsia="en-US"/>
          </w:rPr>
          <w:t xml:space="preserve"> https://doi.org/10.1207/s15328007sem1103_2</w:t>
        </w:r>
      </w:hyperlink>
    </w:p>
    <w:p w14:paraId="1099607F" w14:textId="77777777" w:rsidR="001C4921" w:rsidRPr="00B3089A" w:rsidRDefault="001C4921" w:rsidP="001C4921">
      <w:pPr>
        <w:spacing w:line="360" w:lineRule="auto"/>
        <w:ind w:left="720" w:hanging="720"/>
        <w:jc w:val="both"/>
        <w:rPr>
          <w:rFonts w:ascii="Arial" w:eastAsia="Calibri" w:hAnsi="Arial" w:cs="Arial"/>
          <w:sz w:val="22"/>
          <w:szCs w:val="22"/>
          <w:lang w:val="en-US" w:eastAsia="en-US"/>
        </w:rPr>
      </w:pPr>
      <w:r w:rsidRPr="00B3089A">
        <w:rPr>
          <w:rFonts w:ascii="Arial" w:hAnsi="Arial" w:cs="Arial"/>
          <w:lang w:val="en-US" w:eastAsia="en-US"/>
        </w:rPr>
        <w:t xml:space="preserve">Medrano, L. A., </w:t>
      </w:r>
      <w:proofErr w:type="spellStart"/>
      <w:r w:rsidRPr="00B3089A">
        <w:rPr>
          <w:rFonts w:ascii="Arial" w:hAnsi="Arial" w:cs="Arial"/>
          <w:lang w:val="en-US" w:eastAsia="en-US"/>
        </w:rPr>
        <w:t>Liporace</w:t>
      </w:r>
      <w:proofErr w:type="spellEnd"/>
      <w:r w:rsidRPr="00B3089A">
        <w:rPr>
          <w:rFonts w:ascii="Arial" w:hAnsi="Arial" w:cs="Arial"/>
          <w:lang w:val="en-US" w:eastAsia="en-US"/>
        </w:rPr>
        <w:t xml:space="preserve">, M. F., &amp; Pérez, E. (2014). Computerized Assessment System for Academic Satisfaction (ASAS) for first-year University Student. </w:t>
      </w:r>
      <w:r w:rsidRPr="00B3089A">
        <w:rPr>
          <w:rFonts w:ascii="Arial" w:hAnsi="Arial" w:cs="Arial"/>
          <w:i/>
          <w:lang w:val="en-US" w:eastAsia="en-US"/>
        </w:rPr>
        <w:t>Electronic Journal of Research in Educational Psychology</w:t>
      </w:r>
      <w:r w:rsidRPr="00B3089A">
        <w:rPr>
          <w:rFonts w:ascii="Arial" w:hAnsi="Arial" w:cs="Arial"/>
          <w:lang w:val="en-US" w:eastAsia="en-US"/>
        </w:rPr>
        <w:t xml:space="preserve">, </w:t>
      </w:r>
      <w:r w:rsidRPr="00B3089A">
        <w:rPr>
          <w:rFonts w:ascii="Arial" w:hAnsi="Arial" w:cs="Arial"/>
          <w:i/>
          <w:lang w:val="en-US" w:eastAsia="en-US"/>
        </w:rPr>
        <w:t>33</w:t>
      </w:r>
      <w:r w:rsidRPr="00B3089A">
        <w:rPr>
          <w:rFonts w:ascii="Arial" w:hAnsi="Arial" w:cs="Arial"/>
          <w:lang w:val="en-US" w:eastAsia="en-US"/>
        </w:rPr>
        <w:t>. https://repositorio.ual.es/handle/10835/3912</w:t>
      </w:r>
    </w:p>
    <w:p w14:paraId="6717B131" w14:textId="77777777" w:rsidR="001C4921" w:rsidRPr="00B3089A" w:rsidRDefault="001C4921" w:rsidP="001C4921">
      <w:pPr>
        <w:spacing w:line="360" w:lineRule="auto"/>
        <w:ind w:left="720" w:hanging="720"/>
        <w:jc w:val="both"/>
        <w:rPr>
          <w:rFonts w:ascii="Arial" w:eastAsia="Calibri" w:hAnsi="Arial" w:cs="Arial"/>
          <w:sz w:val="22"/>
          <w:szCs w:val="22"/>
          <w:lang w:eastAsia="en-US"/>
        </w:rPr>
      </w:pPr>
      <w:r w:rsidRPr="00B3089A">
        <w:rPr>
          <w:rFonts w:ascii="Arial" w:hAnsi="Arial" w:cs="Arial"/>
          <w:lang w:eastAsia="en-US"/>
        </w:rPr>
        <w:t xml:space="preserve">Medrano, L. A., &amp; Pérez, E. (2010). Adaptación de la Escala de Satisfacción Académica a la Población Universitaria de Córdoba. </w:t>
      </w:r>
      <w:proofErr w:type="spellStart"/>
      <w:r w:rsidRPr="00B3089A">
        <w:rPr>
          <w:rFonts w:ascii="Arial" w:hAnsi="Arial" w:cs="Arial"/>
          <w:i/>
          <w:iCs/>
          <w:lang w:eastAsia="en-US"/>
        </w:rPr>
        <w:t>Summa</w:t>
      </w:r>
      <w:proofErr w:type="spellEnd"/>
      <w:r w:rsidRPr="00B3089A">
        <w:rPr>
          <w:rFonts w:ascii="Arial" w:hAnsi="Arial" w:cs="Arial"/>
          <w:i/>
          <w:iCs/>
          <w:lang w:eastAsia="en-US"/>
        </w:rPr>
        <w:t xml:space="preserve"> Psicológica </w:t>
      </w:r>
      <w:r w:rsidRPr="00B3089A">
        <w:rPr>
          <w:rFonts w:ascii="Arial" w:hAnsi="Arial" w:cs="Arial"/>
          <w:i/>
          <w:iCs/>
          <w:lang w:eastAsia="en-US"/>
        </w:rPr>
        <w:lastRenderedPageBreak/>
        <w:t>UST</w:t>
      </w:r>
      <w:r w:rsidRPr="00B3089A">
        <w:rPr>
          <w:rFonts w:ascii="Arial" w:hAnsi="Arial" w:cs="Arial"/>
          <w:lang w:eastAsia="en-US"/>
        </w:rPr>
        <w:t xml:space="preserve">, </w:t>
      </w:r>
      <w:r w:rsidRPr="00B3089A">
        <w:rPr>
          <w:rFonts w:ascii="Arial" w:hAnsi="Arial" w:cs="Arial"/>
          <w:i/>
          <w:iCs/>
          <w:lang w:eastAsia="en-US"/>
        </w:rPr>
        <w:t>7</w:t>
      </w:r>
      <w:r w:rsidRPr="00B3089A">
        <w:rPr>
          <w:rFonts w:ascii="Arial" w:hAnsi="Arial" w:cs="Arial"/>
          <w:lang w:eastAsia="en-US"/>
        </w:rPr>
        <w:t>(2), 5-14. 4. https://dialnet.unirioja.es/servlet/articulo?codigo=3423953</w:t>
      </w:r>
    </w:p>
    <w:p w14:paraId="12F58277" w14:textId="77777777" w:rsidR="001C4921" w:rsidRPr="00B3089A" w:rsidRDefault="007B0E73" w:rsidP="001C4921">
      <w:pPr>
        <w:spacing w:after="160" w:line="360" w:lineRule="auto"/>
        <w:ind w:left="720" w:hanging="720"/>
        <w:jc w:val="both"/>
        <w:rPr>
          <w:rFonts w:ascii="Arial" w:hAnsi="Arial" w:cs="Arial"/>
          <w:lang w:eastAsia="en-US"/>
        </w:rPr>
      </w:pPr>
      <w:hyperlink>
        <w:r w:rsidR="001C4921" w:rsidRPr="00B3089A">
          <w:rPr>
            <w:rFonts w:ascii="Arial" w:hAnsi="Arial" w:cs="Arial"/>
            <w:lang w:eastAsia="en-US"/>
          </w:rPr>
          <w:t xml:space="preserve">Melo, B. I., Moreira, L. O., Villalobos, C. P., Araneda, G. T., Calvo, P. M., Kother, A. M., Betancourt, O. M., Vega, N. B., &amp; Durán, C. B. (2015). Estructura Factorial y Confiabilidad del Cuestionario de Satisfacción Académica en Estudiantes de Medicina Chilenos: Factorial Structure and Reliability of the Academic Satisfaction Questionnaire on Chilean Medical Students. </w:t>
        </w:r>
      </w:hyperlink>
      <w:hyperlink>
        <w:r w:rsidR="001C4921" w:rsidRPr="00B3089A">
          <w:rPr>
            <w:rFonts w:ascii="Arial" w:hAnsi="Arial" w:cs="Arial"/>
            <w:i/>
            <w:iCs/>
            <w:lang w:eastAsia="en-US"/>
          </w:rPr>
          <w:t>Revista Iberoamericana de Diagnóstico y Evaluación Psicológica</w:t>
        </w:r>
      </w:hyperlink>
      <w:hyperlink>
        <w:r w:rsidR="001C4921" w:rsidRPr="00B3089A">
          <w:rPr>
            <w:rFonts w:ascii="Arial" w:hAnsi="Arial" w:cs="Arial"/>
            <w:lang w:eastAsia="en-US"/>
          </w:rPr>
          <w:t xml:space="preserve">, </w:t>
        </w:r>
      </w:hyperlink>
      <w:hyperlink>
        <w:r w:rsidR="001C4921" w:rsidRPr="00B3089A">
          <w:rPr>
            <w:rFonts w:ascii="Arial" w:hAnsi="Arial" w:cs="Arial"/>
            <w:i/>
            <w:iCs/>
            <w:lang w:eastAsia="en-US"/>
          </w:rPr>
          <w:t>2</w:t>
        </w:r>
      </w:hyperlink>
      <w:hyperlink>
        <w:r w:rsidR="001C4921" w:rsidRPr="00B3089A">
          <w:rPr>
            <w:rFonts w:ascii="Arial" w:hAnsi="Arial" w:cs="Arial"/>
            <w:lang w:eastAsia="en-US"/>
          </w:rPr>
          <w:t>(40), 73-82.</w:t>
        </w:r>
      </w:hyperlink>
      <w:r w:rsidR="001C4921" w:rsidRPr="00B3089A">
        <w:rPr>
          <w:rFonts w:ascii="Arial" w:hAnsi="Arial" w:cs="Arial"/>
          <w:lang w:eastAsia="en-US"/>
        </w:rPr>
        <w:t xml:space="preserve"> </w:t>
      </w:r>
      <w:hyperlink>
        <w:r w:rsidR="001C4921" w:rsidRPr="00B3089A">
          <w:rPr>
            <w:rFonts w:ascii="Arial" w:hAnsi="Arial" w:cs="Arial"/>
            <w:lang w:eastAsia="en-US"/>
          </w:rPr>
          <w:t>https://www.redalyc.org/articulo.oa?id=459645432008</w:t>
        </w:r>
      </w:hyperlink>
    </w:p>
    <w:p w14:paraId="6F9AC4A7" w14:textId="77777777" w:rsidR="001C4921" w:rsidRPr="00B3089A" w:rsidRDefault="001C4921" w:rsidP="001C4921">
      <w:pPr>
        <w:spacing w:after="160" w:line="360" w:lineRule="auto"/>
        <w:ind w:left="720" w:hanging="720"/>
        <w:jc w:val="both"/>
        <w:rPr>
          <w:rFonts w:ascii="Arial" w:hAnsi="Arial" w:cs="Arial"/>
          <w:lang w:eastAsia="en-US"/>
        </w:rPr>
      </w:pPr>
      <w:r w:rsidRPr="00B3089A">
        <w:rPr>
          <w:rFonts w:ascii="Arial" w:hAnsi="Arial" w:cs="Arial"/>
          <w:lang w:eastAsia="en-US"/>
        </w:rPr>
        <w:t xml:space="preserve">Méndez, I. (1993). Percepción estudiantil del entorno académico en la Universidad de Costa Rica. </w:t>
      </w:r>
      <w:r w:rsidRPr="00B3089A">
        <w:rPr>
          <w:rFonts w:ascii="Arial" w:hAnsi="Arial" w:cs="Arial"/>
          <w:i/>
          <w:iCs/>
          <w:lang w:eastAsia="en-US"/>
        </w:rPr>
        <w:t>Revista Educación, 17</w:t>
      </w:r>
      <w:r w:rsidRPr="00B3089A">
        <w:rPr>
          <w:rFonts w:ascii="Arial" w:hAnsi="Arial" w:cs="Arial"/>
          <w:lang w:eastAsia="en-US"/>
        </w:rPr>
        <w:t>(1), 75-86. https://doi.org/10.15517/revedu.v17i1.12826</w:t>
      </w:r>
    </w:p>
    <w:p w14:paraId="1F772811" w14:textId="77777777" w:rsidR="001C4921" w:rsidRPr="00B3089A" w:rsidRDefault="001C4921" w:rsidP="001C4921">
      <w:pPr>
        <w:widowControl w:val="0"/>
        <w:spacing w:after="160" w:line="360" w:lineRule="auto"/>
        <w:ind w:left="720" w:hanging="720"/>
        <w:jc w:val="both"/>
        <w:rPr>
          <w:rFonts w:ascii="Arial" w:eastAsia="Calibri" w:hAnsi="Arial" w:cs="Arial"/>
          <w:sz w:val="22"/>
          <w:szCs w:val="22"/>
          <w:lang w:eastAsia="en-US"/>
        </w:rPr>
      </w:pPr>
      <w:r w:rsidRPr="00B3089A">
        <w:rPr>
          <w:rFonts w:ascii="Arial" w:hAnsi="Arial" w:cs="Arial"/>
          <w:lang w:eastAsia="en-US"/>
        </w:rPr>
        <w:t xml:space="preserve">Mireles, M. G., &amp; García, J. A. (2022). Satisfacción estudiantil en universitarios: Una revisión sistemática de la literatura. </w:t>
      </w:r>
      <w:r w:rsidRPr="00B3089A">
        <w:rPr>
          <w:rFonts w:ascii="Arial" w:hAnsi="Arial" w:cs="Arial"/>
          <w:i/>
          <w:iCs/>
          <w:lang w:eastAsia="en-US"/>
        </w:rPr>
        <w:t>Revista Educación</w:t>
      </w:r>
      <w:r w:rsidRPr="00B3089A">
        <w:rPr>
          <w:rFonts w:ascii="Arial" w:hAnsi="Arial" w:cs="Arial"/>
          <w:lang w:eastAsia="en-US"/>
        </w:rPr>
        <w:t xml:space="preserve">, </w:t>
      </w:r>
      <w:r w:rsidRPr="00B3089A">
        <w:rPr>
          <w:rFonts w:ascii="Arial" w:hAnsi="Arial" w:cs="Arial"/>
          <w:i/>
          <w:iCs/>
          <w:lang w:eastAsia="en-US"/>
        </w:rPr>
        <w:t>46</w:t>
      </w:r>
      <w:r w:rsidRPr="00B3089A">
        <w:rPr>
          <w:rFonts w:ascii="Arial" w:hAnsi="Arial" w:cs="Arial"/>
          <w:lang w:eastAsia="en-US"/>
        </w:rPr>
        <w:t xml:space="preserve">(2), 610-626. </w:t>
      </w:r>
      <w:hyperlink>
        <w:r w:rsidRPr="00B3089A">
          <w:rPr>
            <w:rFonts w:ascii="Arial" w:hAnsi="Arial" w:cs="Arial"/>
            <w:lang w:eastAsia="en-US"/>
          </w:rPr>
          <w:t>https://doi.org/10.15517/revedu.v46i2.47621</w:t>
        </w:r>
      </w:hyperlink>
    </w:p>
    <w:p w14:paraId="3948CF25" w14:textId="77777777" w:rsidR="001C4921" w:rsidRPr="00B3089A" w:rsidRDefault="001C4921" w:rsidP="001C4921">
      <w:pPr>
        <w:widowControl w:val="0"/>
        <w:spacing w:after="160" w:line="360" w:lineRule="auto"/>
        <w:ind w:left="720" w:hanging="720"/>
        <w:jc w:val="both"/>
        <w:rPr>
          <w:rFonts w:ascii="Arial" w:hAnsi="Arial" w:cs="Arial"/>
          <w:lang w:val="en-US" w:eastAsia="en-US"/>
        </w:rPr>
      </w:pPr>
      <w:r w:rsidRPr="00B3089A">
        <w:rPr>
          <w:rFonts w:ascii="Arial" w:hAnsi="Arial" w:cs="Arial"/>
          <w:lang w:eastAsia="en-US"/>
        </w:rPr>
        <w:t xml:space="preserve">Montero, I., &amp; León, O. G. (2002). Clasificación y descripción de las metodologías de investigación en Psicología. </w:t>
      </w:r>
      <w:r w:rsidRPr="00B3089A">
        <w:rPr>
          <w:rFonts w:ascii="Arial" w:hAnsi="Arial" w:cs="Arial"/>
          <w:i/>
          <w:lang w:val="en-US" w:eastAsia="en-US"/>
        </w:rPr>
        <w:t>International Journal of Clinical and Health Psychology, 2</w:t>
      </w:r>
      <w:r w:rsidRPr="00B3089A">
        <w:rPr>
          <w:rFonts w:ascii="Arial" w:hAnsi="Arial" w:cs="Arial"/>
          <w:lang w:val="en-US" w:eastAsia="en-US"/>
        </w:rPr>
        <w:t>(3), 503-508. https://www.redalyc.org/articulo.oa?id=33720308</w:t>
      </w:r>
    </w:p>
    <w:p w14:paraId="393F9668" w14:textId="77777777" w:rsidR="001C4921" w:rsidRPr="00B3089A" w:rsidRDefault="001C4921" w:rsidP="001C4921">
      <w:pPr>
        <w:widowControl w:val="0"/>
        <w:spacing w:after="160" w:line="360" w:lineRule="auto"/>
        <w:ind w:left="720" w:hanging="720"/>
        <w:jc w:val="both"/>
        <w:rPr>
          <w:rFonts w:ascii="Arial" w:hAnsi="Arial" w:cs="Arial"/>
          <w:lang w:eastAsia="en-US"/>
        </w:rPr>
      </w:pPr>
      <w:r w:rsidRPr="00B3089A">
        <w:rPr>
          <w:rFonts w:ascii="Arial" w:hAnsi="Arial" w:cs="Arial"/>
          <w:lang w:eastAsia="en-US"/>
        </w:rPr>
        <w:t xml:space="preserve">Otero, L. (1973). Satisfacción académica en estudiantes de rendimiento alto, medio </w:t>
      </w:r>
      <w:r w:rsidRPr="00B3089A">
        <w:rPr>
          <w:rFonts w:ascii="Arial" w:hAnsi="Arial" w:cs="Arial"/>
          <w:lang w:eastAsia="en-US"/>
        </w:rPr>
        <w:lastRenderedPageBreak/>
        <w:t>y bajo. Serie Monográfica Actualidades en Psicología. Universidad de Costa Rica, Instituto de Investigaciones Psicológicas.</w:t>
      </w:r>
    </w:p>
    <w:p w14:paraId="5779F70F" w14:textId="77777777" w:rsidR="001C4921" w:rsidRPr="00B3089A" w:rsidRDefault="003313E0" w:rsidP="001C4921">
      <w:pPr>
        <w:widowControl w:val="0"/>
        <w:spacing w:after="160" w:line="360" w:lineRule="auto"/>
        <w:ind w:left="720" w:hanging="720"/>
        <w:jc w:val="both"/>
        <w:rPr>
          <w:rFonts w:ascii="Arial" w:hAnsi="Arial" w:cs="Arial"/>
          <w:lang w:eastAsia="en-US"/>
        </w:rPr>
      </w:pPr>
      <w:hyperlink>
        <w:r w:rsidR="001C4921" w:rsidRPr="00B3089A">
          <w:rPr>
            <w:rFonts w:ascii="Arial" w:hAnsi="Arial" w:cs="Arial"/>
            <w:lang w:val="en-US" w:eastAsia="en-US"/>
          </w:rPr>
          <w:t xml:space="preserve">Pate, W. S. (1993). Consumer Satisfaction, Determinants, and Post-Purchase Actions in Higher Education: A Model to Guide Academic Managers. </w:t>
        </w:r>
      </w:hyperlink>
      <w:hyperlink>
        <w:r w:rsidR="001C4921" w:rsidRPr="00B3089A">
          <w:rPr>
            <w:rFonts w:ascii="Arial" w:hAnsi="Arial" w:cs="Arial"/>
            <w:i/>
            <w:iCs/>
            <w:lang w:val="es" w:eastAsia="en-US"/>
          </w:rPr>
          <w:t>College and University</w:t>
        </w:r>
      </w:hyperlink>
      <w:hyperlink>
        <w:r w:rsidR="001C4921" w:rsidRPr="00B3089A">
          <w:rPr>
            <w:rFonts w:ascii="Arial" w:hAnsi="Arial" w:cs="Arial"/>
            <w:lang w:val="es" w:eastAsia="en-US"/>
          </w:rPr>
          <w:t xml:space="preserve">, </w:t>
        </w:r>
      </w:hyperlink>
      <w:hyperlink>
        <w:r w:rsidR="001C4921" w:rsidRPr="00B3089A">
          <w:rPr>
            <w:rFonts w:ascii="Arial" w:hAnsi="Arial" w:cs="Arial"/>
            <w:i/>
            <w:iCs/>
            <w:lang w:val="es" w:eastAsia="en-US"/>
          </w:rPr>
          <w:t>68</w:t>
        </w:r>
      </w:hyperlink>
      <w:hyperlink>
        <w:r w:rsidR="001C4921" w:rsidRPr="00B3089A">
          <w:rPr>
            <w:rFonts w:ascii="Arial" w:hAnsi="Arial" w:cs="Arial"/>
            <w:lang w:val="es" w:eastAsia="en-US"/>
          </w:rPr>
          <w:t>(2), 100-107.</w:t>
        </w:r>
      </w:hyperlink>
      <w:r w:rsidR="001C4921" w:rsidRPr="00B3089A">
        <w:rPr>
          <w:rFonts w:ascii="Arial" w:hAnsi="Arial" w:cs="Arial"/>
          <w:lang w:eastAsia="en-US"/>
        </w:rPr>
        <w:t xml:space="preserve"> </w:t>
      </w:r>
      <w:hyperlink>
        <w:r w:rsidR="001C4921" w:rsidRPr="00B3089A">
          <w:rPr>
            <w:rFonts w:ascii="Arial" w:hAnsi="Arial" w:cs="Arial"/>
            <w:lang w:eastAsia="en-US"/>
          </w:rPr>
          <w:t>https://eric.ed.gov/?id=EJ467223</w:t>
        </w:r>
      </w:hyperlink>
    </w:p>
    <w:p w14:paraId="7D07EE23" w14:textId="77777777" w:rsidR="001C4921" w:rsidRPr="00B3089A" w:rsidRDefault="001C4921" w:rsidP="001C4921">
      <w:pPr>
        <w:spacing w:after="160" w:line="360" w:lineRule="auto"/>
        <w:ind w:left="720" w:hanging="720"/>
        <w:jc w:val="both"/>
        <w:rPr>
          <w:rFonts w:ascii="Arial" w:eastAsia="Calibri" w:hAnsi="Arial" w:cs="Arial"/>
          <w:sz w:val="22"/>
          <w:szCs w:val="22"/>
          <w:lang w:eastAsia="en-US"/>
        </w:rPr>
      </w:pPr>
      <w:r w:rsidRPr="00B3089A">
        <w:rPr>
          <w:rFonts w:ascii="Arial" w:hAnsi="Arial" w:cs="Arial"/>
          <w:lang w:eastAsia="en-US"/>
        </w:rPr>
        <w:t xml:space="preserve">Pérez, R. M., Barquero, A., Pascual, L. M., &amp; González, J. D. (2021). </w:t>
      </w:r>
      <w:r w:rsidRPr="00B3089A">
        <w:rPr>
          <w:rFonts w:ascii="Arial" w:hAnsi="Arial" w:cs="Arial"/>
          <w:lang w:val="en-US" w:eastAsia="en-US"/>
        </w:rPr>
        <w:t xml:space="preserve">Perceived stress factors among newcomers to the nursing career. </w:t>
      </w:r>
      <w:proofErr w:type="spellStart"/>
      <w:r w:rsidRPr="00B3089A">
        <w:rPr>
          <w:rFonts w:ascii="Arial" w:hAnsi="Arial" w:cs="Arial"/>
          <w:i/>
          <w:lang w:val="en-US" w:eastAsia="en-US"/>
        </w:rPr>
        <w:t>Enfermería</w:t>
      </w:r>
      <w:proofErr w:type="spellEnd"/>
      <w:r w:rsidRPr="00B3089A">
        <w:rPr>
          <w:rFonts w:ascii="Arial" w:hAnsi="Arial" w:cs="Arial"/>
          <w:i/>
          <w:lang w:val="en-US" w:eastAsia="en-US"/>
        </w:rPr>
        <w:t xml:space="preserve">: </w:t>
      </w:r>
      <w:proofErr w:type="spellStart"/>
      <w:r w:rsidRPr="00B3089A">
        <w:rPr>
          <w:rFonts w:ascii="Arial" w:hAnsi="Arial" w:cs="Arial"/>
          <w:i/>
          <w:lang w:val="en-US" w:eastAsia="en-US"/>
        </w:rPr>
        <w:t>Cuidados</w:t>
      </w:r>
      <w:proofErr w:type="spellEnd"/>
      <w:r w:rsidRPr="00B3089A">
        <w:rPr>
          <w:rFonts w:ascii="Arial" w:hAnsi="Arial" w:cs="Arial"/>
          <w:i/>
          <w:lang w:val="en-US" w:eastAsia="en-US"/>
        </w:rPr>
        <w:t xml:space="preserve"> </w:t>
      </w:r>
      <w:proofErr w:type="spellStart"/>
      <w:r w:rsidRPr="00B3089A">
        <w:rPr>
          <w:rFonts w:ascii="Arial" w:hAnsi="Arial" w:cs="Arial"/>
          <w:i/>
          <w:lang w:val="en-US" w:eastAsia="en-US"/>
        </w:rPr>
        <w:t>Humanizados</w:t>
      </w:r>
      <w:proofErr w:type="spellEnd"/>
      <w:r w:rsidRPr="00B3089A">
        <w:rPr>
          <w:rFonts w:ascii="Arial" w:hAnsi="Arial" w:cs="Arial"/>
          <w:lang w:val="en-US" w:eastAsia="en-US"/>
        </w:rPr>
        <w:t xml:space="preserve">, </w:t>
      </w:r>
      <w:r w:rsidRPr="00B3089A">
        <w:rPr>
          <w:rFonts w:ascii="Arial" w:hAnsi="Arial" w:cs="Arial"/>
          <w:i/>
          <w:lang w:val="en-US" w:eastAsia="en-US"/>
        </w:rPr>
        <w:t>10</w:t>
      </w:r>
      <w:r w:rsidRPr="00B3089A">
        <w:rPr>
          <w:rFonts w:ascii="Arial" w:hAnsi="Arial" w:cs="Arial"/>
          <w:lang w:val="en-US" w:eastAsia="en-US"/>
        </w:rPr>
        <w:t xml:space="preserve">(1), 60-74. </w:t>
      </w:r>
      <w:hyperlink>
        <w:r w:rsidRPr="00B3089A">
          <w:rPr>
            <w:rFonts w:ascii="Arial" w:hAnsi="Arial" w:cs="Arial"/>
            <w:lang w:eastAsia="en-US"/>
          </w:rPr>
          <w:t>https://doi.org/10.22235/ech.v10i1.2300</w:t>
        </w:r>
      </w:hyperlink>
    </w:p>
    <w:p w14:paraId="34479FF0" w14:textId="77777777" w:rsidR="001C4921" w:rsidRPr="00B3089A" w:rsidRDefault="001C4921" w:rsidP="001C4921">
      <w:pPr>
        <w:spacing w:after="160" w:line="360" w:lineRule="auto"/>
        <w:ind w:left="720" w:hanging="720"/>
        <w:jc w:val="both"/>
        <w:rPr>
          <w:rFonts w:ascii="Arial" w:eastAsia="Calibri" w:hAnsi="Arial" w:cs="Arial"/>
          <w:lang w:eastAsia="en-US"/>
        </w:rPr>
      </w:pPr>
      <w:r w:rsidRPr="00B3089A">
        <w:rPr>
          <w:rFonts w:ascii="Arial" w:hAnsi="Arial" w:cs="Arial"/>
          <w:lang w:eastAsia="en-US"/>
        </w:rPr>
        <w:t xml:space="preserve">Programa Estado de la Nación (2021). </w:t>
      </w:r>
      <w:r w:rsidRPr="00B3089A">
        <w:rPr>
          <w:rFonts w:ascii="Arial" w:hAnsi="Arial" w:cs="Arial"/>
          <w:i/>
          <w:iCs/>
          <w:lang w:eastAsia="en-US"/>
        </w:rPr>
        <w:t>Informe del Estado de la Educación</w:t>
      </w:r>
      <w:r w:rsidRPr="00B3089A">
        <w:rPr>
          <w:rFonts w:ascii="Arial" w:hAnsi="Arial" w:cs="Arial"/>
          <w:lang w:eastAsia="en-US"/>
        </w:rPr>
        <w:t xml:space="preserve">. (Octavo Informe Estado de la Educación). </w:t>
      </w:r>
      <w:hyperlink>
        <w:r w:rsidRPr="00B3089A">
          <w:rPr>
            <w:rFonts w:ascii="Arial" w:hAnsi="Arial" w:cs="Arial"/>
            <w:lang w:eastAsia="en-US"/>
          </w:rPr>
          <w:t>https://estadonacion.or.cr/wp-content/uploads/2021/09/Educacion_WEB.pdf</w:t>
        </w:r>
      </w:hyperlink>
    </w:p>
    <w:p w14:paraId="3ACF9154" w14:textId="77777777" w:rsidR="001C4921" w:rsidRPr="00B3089A" w:rsidRDefault="001C4921" w:rsidP="001C4921">
      <w:pPr>
        <w:spacing w:after="160" w:line="360" w:lineRule="auto"/>
        <w:ind w:left="720" w:hanging="720"/>
        <w:jc w:val="both"/>
        <w:rPr>
          <w:rFonts w:ascii="Arial" w:hAnsi="Arial" w:cs="Arial"/>
          <w:lang w:eastAsia="en-US"/>
        </w:rPr>
      </w:pPr>
      <w:r w:rsidRPr="00B3089A">
        <w:rPr>
          <w:rFonts w:ascii="Arial" w:hAnsi="Arial" w:cs="Arial"/>
          <w:lang w:eastAsia="en-US"/>
        </w:rPr>
        <w:t xml:space="preserve">Programa Estado de la Nación (2023). </w:t>
      </w:r>
      <w:r w:rsidRPr="00B3089A">
        <w:rPr>
          <w:rFonts w:ascii="Arial" w:hAnsi="Arial" w:cs="Arial"/>
          <w:i/>
          <w:iCs/>
          <w:lang w:eastAsia="en-US"/>
        </w:rPr>
        <w:t>Informe Estado de la Educación</w:t>
      </w:r>
      <w:r w:rsidRPr="00B3089A">
        <w:rPr>
          <w:rFonts w:ascii="Arial" w:hAnsi="Arial" w:cs="Arial"/>
          <w:lang w:eastAsia="en-US"/>
        </w:rPr>
        <w:t>. (Noveno Informe Estado de la Educación). https://estadonacion.or.cr/?informes=informe-estado-de-la-educacion-2023</w:t>
      </w:r>
    </w:p>
    <w:p w14:paraId="480726DF" w14:textId="77777777" w:rsidR="001C4921" w:rsidRPr="00B3089A" w:rsidRDefault="001C4921" w:rsidP="001C4921">
      <w:pPr>
        <w:spacing w:line="360" w:lineRule="auto"/>
        <w:ind w:left="720" w:hanging="720"/>
        <w:jc w:val="both"/>
        <w:rPr>
          <w:rFonts w:ascii="Arial" w:eastAsia="Calibri" w:hAnsi="Arial" w:cs="Arial"/>
          <w:sz w:val="22"/>
          <w:szCs w:val="22"/>
          <w:lang w:val="en-US" w:eastAsia="en-US"/>
        </w:rPr>
      </w:pPr>
      <w:proofErr w:type="spellStart"/>
      <w:r w:rsidRPr="00B3089A">
        <w:rPr>
          <w:rFonts w:ascii="Arial" w:hAnsi="Arial" w:cs="Arial"/>
          <w:lang w:val="en-US" w:eastAsia="en-US"/>
        </w:rPr>
        <w:t>Rehmani</w:t>
      </w:r>
      <w:proofErr w:type="spellEnd"/>
      <w:r w:rsidRPr="00B3089A">
        <w:rPr>
          <w:rFonts w:ascii="Arial" w:hAnsi="Arial" w:cs="Arial"/>
          <w:lang w:val="en-US" w:eastAsia="en-US"/>
        </w:rPr>
        <w:t xml:space="preserve">, N., Khan, Q. A., &amp; Fatima, S. S. (2018). Stress, Anxiety and Depression in students of a private medical school in Karachi, Pakistan. </w:t>
      </w:r>
      <w:r w:rsidRPr="00B3089A">
        <w:rPr>
          <w:rFonts w:ascii="Arial" w:hAnsi="Arial" w:cs="Arial"/>
          <w:i/>
          <w:lang w:val="en-US" w:eastAsia="en-US"/>
        </w:rPr>
        <w:t>Pakistan journal of medical sciences</w:t>
      </w:r>
      <w:r w:rsidRPr="00B3089A">
        <w:rPr>
          <w:rFonts w:ascii="Arial" w:hAnsi="Arial" w:cs="Arial"/>
          <w:lang w:val="en-US" w:eastAsia="en-US"/>
        </w:rPr>
        <w:t xml:space="preserve">, </w:t>
      </w:r>
      <w:r w:rsidRPr="00B3089A">
        <w:rPr>
          <w:rFonts w:ascii="Arial" w:hAnsi="Arial" w:cs="Arial"/>
          <w:i/>
          <w:lang w:val="en-US" w:eastAsia="en-US"/>
        </w:rPr>
        <w:t>34</w:t>
      </w:r>
      <w:r w:rsidRPr="00B3089A">
        <w:rPr>
          <w:rFonts w:ascii="Arial" w:hAnsi="Arial" w:cs="Arial"/>
          <w:lang w:val="en-US" w:eastAsia="en-US"/>
        </w:rPr>
        <w:t xml:space="preserve">(3), 696–701. </w:t>
      </w:r>
      <w:hyperlink>
        <w:r w:rsidRPr="00B3089A">
          <w:rPr>
            <w:rFonts w:ascii="Arial" w:hAnsi="Arial" w:cs="Arial"/>
            <w:lang w:val="en-US" w:eastAsia="en-US"/>
          </w:rPr>
          <w:t>https://doi.org/10.12669/pjms.343.14664</w:t>
        </w:r>
      </w:hyperlink>
    </w:p>
    <w:p w14:paraId="556B0D4E" w14:textId="77777777" w:rsidR="001C4921" w:rsidRPr="00B3089A" w:rsidRDefault="001C4921" w:rsidP="001C4921">
      <w:pPr>
        <w:spacing w:after="160" w:line="360" w:lineRule="auto"/>
        <w:ind w:left="720" w:hanging="720"/>
        <w:jc w:val="both"/>
        <w:rPr>
          <w:rFonts w:ascii="Arial" w:eastAsia="Calibri" w:hAnsi="Arial" w:cs="Arial"/>
          <w:lang w:val="en-US" w:eastAsia="en-US"/>
        </w:rPr>
      </w:pPr>
      <w:r w:rsidRPr="00B3089A">
        <w:rPr>
          <w:rFonts w:ascii="Arial" w:hAnsi="Arial" w:cs="Arial"/>
          <w:lang w:val="en-US" w:eastAsia="en-US"/>
        </w:rPr>
        <w:lastRenderedPageBreak/>
        <w:t>Rivera, R. (</w:t>
      </w:r>
      <w:proofErr w:type="spellStart"/>
      <w:r w:rsidRPr="00B3089A">
        <w:rPr>
          <w:rFonts w:ascii="Arial" w:hAnsi="Arial" w:cs="Arial"/>
          <w:lang w:val="en-US" w:eastAsia="en-US"/>
        </w:rPr>
        <w:t>Anfitrión</w:t>
      </w:r>
      <w:proofErr w:type="spellEnd"/>
      <w:r w:rsidRPr="00B3089A">
        <w:rPr>
          <w:rFonts w:ascii="Arial" w:hAnsi="Arial" w:cs="Arial"/>
          <w:lang w:val="en-US" w:eastAsia="en-US"/>
        </w:rPr>
        <w:t xml:space="preserve">). </w:t>
      </w:r>
      <w:r w:rsidRPr="00B3089A">
        <w:rPr>
          <w:rFonts w:ascii="Arial" w:hAnsi="Arial" w:cs="Arial"/>
          <w:lang w:eastAsia="en-US"/>
        </w:rPr>
        <w:t xml:space="preserve">(2021). </w:t>
      </w:r>
      <w:r w:rsidRPr="00B3089A">
        <w:rPr>
          <w:rFonts w:ascii="Arial" w:hAnsi="Arial" w:cs="Arial"/>
          <w:i/>
          <w:iCs/>
          <w:lang w:eastAsia="en-US"/>
        </w:rPr>
        <w:t>Isabel Román, Estado de la Educación</w:t>
      </w:r>
      <w:r w:rsidRPr="00B3089A">
        <w:rPr>
          <w:rFonts w:ascii="Arial" w:hAnsi="Arial" w:cs="Arial"/>
          <w:lang w:eastAsia="en-US"/>
        </w:rPr>
        <w:t xml:space="preserve">. </w:t>
      </w:r>
      <w:r w:rsidRPr="00B3089A">
        <w:rPr>
          <w:rFonts w:ascii="Arial" w:hAnsi="Arial" w:cs="Arial"/>
          <w:lang w:val="en-US" w:eastAsia="en-US"/>
        </w:rPr>
        <w:t xml:space="preserve">[Podcast]. Radio Monumental [Programa </w:t>
      </w:r>
      <w:proofErr w:type="spellStart"/>
      <w:r w:rsidRPr="00B3089A">
        <w:rPr>
          <w:rFonts w:ascii="Arial" w:hAnsi="Arial" w:cs="Arial"/>
          <w:lang w:val="en-US" w:eastAsia="en-US"/>
        </w:rPr>
        <w:t>Matices</w:t>
      </w:r>
      <w:proofErr w:type="spellEnd"/>
      <w:r w:rsidRPr="00B3089A">
        <w:rPr>
          <w:rFonts w:ascii="Arial" w:hAnsi="Arial" w:cs="Arial"/>
          <w:lang w:val="en-US" w:eastAsia="en-US"/>
        </w:rPr>
        <w:t xml:space="preserve">]. </w:t>
      </w:r>
      <w:hyperlink>
        <w:r w:rsidRPr="00B3089A">
          <w:rPr>
            <w:rFonts w:ascii="Arial" w:hAnsi="Arial" w:cs="Arial"/>
            <w:lang w:val="en-US" w:eastAsia="en-US"/>
          </w:rPr>
          <w:t>https://podcasts.apple.com/cr/podcast/isabel-rom%C3%A1n-coordinadora-del-estado-de-la-educaci%C3%B3n/id1468579267?i=1000552507689</w:t>
        </w:r>
      </w:hyperlink>
    </w:p>
    <w:p w14:paraId="06EA5071" w14:textId="77777777" w:rsidR="001C4921" w:rsidRPr="00B3089A" w:rsidRDefault="001C4921" w:rsidP="001C4921">
      <w:pPr>
        <w:spacing w:after="160" w:line="360" w:lineRule="auto"/>
        <w:ind w:left="720" w:hanging="720"/>
        <w:jc w:val="both"/>
        <w:rPr>
          <w:rFonts w:ascii="Arial" w:eastAsia="Calibri" w:hAnsi="Arial" w:cs="Arial"/>
          <w:sz w:val="22"/>
          <w:szCs w:val="22"/>
          <w:lang w:eastAsia="en-US"/>
        </w:rPr>
      </w:pPr>
      <w:r w:rsidRPr="00B3089A">
        <w:rPr>
          <w:rFonts w:ascii="Arial" w:hAnsi="Arial" w:cs="Arial"/>
          <w:lang w:val="es-ES" w:eastAsia="en-US"/>
        </w:rPr>
        <w:t xml:space="preserve">Román-Quirós, R. (2023). Propiedades psicométricas del DESIT-17 para la medición de la satisfacción académica en estudiantes de Ciencias Médicas de la Universidad de Iberoamérica (UNIBE). </w:t>
      </w:r>
      <w:r w:rsidRPr="00B3089A">
        <w:rPr>
          <w:rFonts w:ascii="Arial" w:hAnsi="Arial" w:cs="Arial"/>
          <w:i/>
          <w:lang w:val="es-ES" w:eastAsia="en-US"/>
        </w:rPr>
        <w:t>Innovaciones Educativas</w:t>
      </w:r>
      <w:r w:rsidRPr="00B3089A">
        <w:rPr>
          <w:rFonts w:ascii="Arial" w:hAnsi="Arial" w:cs="Arial"/>
          <w:lang w:val="es-ES" w:eastAsia="en-US"/>
        </w:rPr>
        <w:t xml:space="preserve">, </w:t>
      </w:r>
      <w:r w:rsidRPr="00B3089A">
        <w:rPr>
          <w:rFonts w:ascii="Arial" w:hAnsi="Arial" w:cs="Arial"/>
          <w:i/>
          <w:lang w:val="es-ES" w:eastAsia="en-US"/>
        </w:rPr>
        <w:t>25</w:t>
      </w:r>
      <w:r w:rsidRPr="00B3089A">
        <w:rPr>
          <w:rFonts w:ascii="Arial" w:hAnsi="Arial" w:cs="Arial"/>
          <w:lang w:val="es-ES" w:eastAsia="en-US"/>
        </w:rPr>
        <w:t xml:space="preserve">(39), </w:t>
      </w:r>
      <w:hyperlink>
        <w:r w:rsidRPr="00B3089A">
          <w:rPr>
            <w:rFonts w:ascii="Arial" w:hAnsi="Arial" w:cs="Arial"/>
            <w:lang w:val="es-ES" w:eastAsia="en-US"/>
          </w:rPr>
          <w:t>https://doi.org/10.22458/ie.v25i39.4682</w:t>
        </w:r>
      </w:hyperlink>
    </w:p>
    <w:p w14:paraId="661CB020" w14:textId="77777777" w:rsidR="001C4921" w:rsidRPr="00B3089A" w:rsidRDefault="001C4921" w:rsidP="001C4921">
      <w:pPr>
        <w:widowControl w:val="0"/>
        <w:spacing w:after="160" w:line="360" w:lineRule="auto"/>
        <w:ind w:left="720" w:hanging="720"/>
        <w:jc w:val="both"/>
        <w:rPr>
          <w:rFonts w:ascii="Arial" w:eastAsia="Calibri" w:hAnsi="Arial" w:cs="Arial"/>
          <w:sz w:val="22"/>
          <w:szCs w:val="22"/>
          <w:lang w:val="en-US" w:eastAsia="en-US"/>
        </w:rPr>
      </w:pPr>
      <w:r w:rsidRPr="00B3089A">
        <w:rPr>
          <w:rFonts w:ascii="Arial" w:hAnsi="Arial" w:cs="Arial"/>
          <w:lang w:eastAsia="en-US"/>
        </w:rPr>
        <w:t xml:space="preserve">Santini, F., </w:t>
      </w:r>
      <w:proofErr w:type="spellStart"/>
      <w:r w:rsidRPr="00B3089A">
        <w:rPr>
          <w:rFonts w:ascii="Arial" w:hAnsi="Arial" w:cs="Arial"/>
          <w:lang w:eastAsia="en-US"/>
        </w:rPr>
        <w:t>Ladeira</w:t>
      </w:r>
      <w:proofErr w:type="spellEnd"/>
      <w:r w:rsidRPr="00B3089A">
        <w:rPr>
          <w:rFonts w:ascii="Arial" w:hAnsi="Arial" w:cs="Arial"/>
          <w:lang w:eastAsia="en-US"/>
        </w:rPr>
        <w:t xml:space="preserve">, W. J., Sampaio, C. H., &amp; da Silva Costa, G. (2017). </w:t>
      </w:r>
      <w:r w:rsidRPr="00B3089A">
        <w:rPr>
          <w:rFonts w:ascii="Arial" w:hAnsi="Arial" w:cs="Arial"/>
          <w:lang w:val="en-US" w:eastAsia="en-US"/>
        </w:rPr>
        <w:t xml:space="preserve">Student satisfaction in higher education: A meta-analytic study. </w:t>
      </w:r>
      <w:r w:rsidRPr="00B3089A">
        <w:rPr>
          <w:rFonts w:ascii="Arial" w:hAnsi="Arial" w:cs="Arial"/>
          <w:i/>
          <w:lang w:val="en-US" w:eastAsia="en-US"/>
        </w:rPr>
        <w:t>Journal of Marketing for Higher Education</w:t>
      </w:r>
      <w:r w:rsidRPr="00B3089A">
        <w:rPr>
          <w:rFonts w:ascii="Arial" w:hAnsi="Arial" w:cs="Arial"/>
          <w:lang w:val="en-US" w:eastAsia="en-US"/>
        </w:rPr>
        <w:t xml:space="preserve">, </w:t>
      </w:r>
      <w:r w:rsidRPr="00B3089A">
        <w:rPr>
          <w:rFonts w:ascii="Arial" w:hAnsi="Arial" w:cs="Arial"/>
          <w:i/>
          <w:lang w:val="en-US" w:eastAsia="en-US"/>
        </w:rPr>
        <w:t>27</w:t>
      </w:r>
      <w:r w:rsidRPr="00B3089A">
        <w:rPr>
          <w:rFonts w:ascii="Arial" w:hAnsi="Arial" w:cs="Arial"/>
          <w:lang w:val="en-US" w:eastAsia="en-US"/>
        </w:rPr>
        <w:t xml:space="preserve">(1), 1-18. </w:t>
      </w:r>
      <w:hyperlink>
        <w:r w:rsidRPr="00B3089A">
          <w:rPr>
            <w:rFonts w:ascii="Arial" w:hAnsi="Arial" w:cs="Arial"/>
            <w:lang w:val="en-US" w:eastAsia="en-US"/>
          </w:rPr>
          <w:t>https://doi.org/10.1080/08841241.2017.1311980</w:t>
        </w:r>
      </w:hyperlink>
    </w:p>
    <w:p w14:paraId="759DBADA" w14:textId="77777777" w:rsidR="001C4921" w:rsidRPr="00B3089A" w:rsidRDefault="001C4921" w:rsidP="001C4921">
      <w:pPr>
        <w:widowControl w:val="0"/>
        <w:spacing w:after="160" w:line="360" w:lineRule="auto"/>
        <w:ind w:left="720" w:hanging="720"/>
        <w:jc w:val="both"/>
        <w:rPr>
          <w:rFonts w:ascii="Arial" w:hAnsi="Arial" w:cs="Arial"/>
          <w:lang w:val="en-US" w:eastAsia="en-US"/>
        </w:rPr>
      </w:pPr>
      <w:r w:rsidRPr="00B3089A">
        <w:rPr>
          <w:rFonts w:ascii="Arial" w:hAnsi="Arial" w:cs="Arial"/>
          <w:lang w:val="en-US" w:eastAsia="en-US"/>
        </w:rPr>
        <w:t>Schramm-</w:t>
      </w:r>
      <w:proofErr w:type="spellStart"/>
      <w:r w:rsidRPr="00B3089A">
        <w:rPr>
          <w:rFonts w:ascii="Arial" w:hAnsi="Arial" w:cs="Arial"/>
          <w:lang w:val="en-US" w:eastAsia="en-US"/>
        </w:rPr>
        <w:t>Possinger</w:t>
      </w:r>
      <w:proofErr w:type="spellEnd"/>
      <w:r w:rsidRPr="00B3089A">
        <w:rPr>
          <w:rFonts w:ascii="Arial" w:hAnsi="Arial" w:cs="Arial"/>
          <w:lang w:val="en-US" w:eastAsia="en-US"/>
        </w:rPr>
        <w:t xml:space="preserve">, M., &amp; Powers, D. (2015). The first year of graduate study: Documenting challenges and informing ways to reduce attrition. Educational Testing Service. </w:t>
      </w:r>
      <w:hyperlink>
        <w:r w:rsidRPr="00B3089A">
          <w:rPr>
            <w:rFonts w:ascii="Arial" w:hAnsi="Arial" w:cs="Arial"/>
            <w:lang w:val="en-US" w:eastAsia="en-US"/>
          </w:rPr>
          <w:t>https://www.ets.org/Media/Research/pdf/RM-1502.pdf</w:t>
        </w:r>
      </w:hyperlink>
    </w:p>
    <w:p w14:paraId="3F16275E" w14:textId="77777777" w:rsidR="001C4921" w:rsidRPr="00B3089A" w:rsidRDefault="001C4921" w:rsidP="001C4921">
      <w:pPr>
        <w:spacing w:line="360" w:lineRule="auto"/>
        <w:ind w:left="720" w:hanging="720"/>
        <w:jc w:val="both"/>
        <w:rPr>
          <w:rFonts w:ascii="Arial" w:eastAsia="Calibri" w:hAnsi="Arial" w:cs="Arial"/>
          <w:sz w:val="22"/>
          <w:szCs w:val="22"/>
          <w:lang w:eastAsia="en-US"/>
        </w:rPr>
      </w:pPr>
      <w:r w:rsidRPr="00B3089A">
        <w:rPr>
          <w:rFonts w:ascii="Arial" w:hAnsi="Arial" w:cs="Arial"/>
          <w:lang w:val="en-US" w:eastAsia="en-US"/>
        </w:rPr>
        <w:t xml:space="preserve">Sheng, Y., &amp; Sheng, Z. (2012). Is Coefficient Alpha Robust to Non-Normal Data? </w:t>
      </w:r>
      <w:proofErr w:type="spellStart"/>
      <w:r w:rsidRPr="00B3089A">
        <w:rPr>
          <w:rFonts w:ascii="Arial" w:hAnsi="Arial" w:cs="Arial"/>
          <w:i/>
          <w:iCs/>
          <w:lang w:eastAsia="en-US"/>
        </w:rPr>
        <w:t>Frontiers</w:t>
      </w:r>
      <w:proofErr w:type="spellEnd"/>
      <w:r w:rsidRPr="00B3089A">
        <w:rPr>
          <w:rFonts w:ascii="Arial" w:hAnsi="Arial" w:cs="Arial"/>
          <w:i/>
          <w:iCs/>
          <w:lang w:eastAsia="en-US"/>
        </w:rPr>
        <w:t xml:space="preserve"> in </w:t>
      </w:r>
      <w:proofErr w:type="spellStart"/>
      <w:r w:rsidRPr="00B3089A">
        <w:rPr>
          <w:rFonts w:ascii="Arial" w:hAnsi="Arial" w:cs="Arial"/>
          <w:i/>
          <w:iCs/>
          <w:lang w:eastAsia="en-US"/>
        </w:rPr>
        <w:t>Psychology</w:t>
      </w:r>
      <w:proofErr w:type="spellEnd"/>
      <w:r w:rsidRPr="00B3089A">
        <w:rPr>
          <w:rFonts w:ascii="Arial" w:hAnsi="Arial" w:cs="Arial"/>
          <w:lang w:eastAsia="en-US"/>
        </w:rPr>
        <w:t xml:space="preserve">, </w:t>
      </w:r>
      <w:r w:rsidRPr="00B3089A">
        <w:rPr>
          <w:rFonts w:ascii="Arial" w:hAnsi="Arial" w:cs="Arial"/>
          <w:i/>
          <w:iCs/>
          <w:lang w:eastAsia="en-US"/>
        </w:rPr>
        <w:t>3</w:t>
      </w:r>
      <w:r w:rsidRPr="00B3089A">
        <w:rPr>
          <w:rFonts w:ascii="Arial" w:hAnsi="Arial" w:cs="Arial"/>
          <w:lang w:eastAsia="en-US"/>
        </w:rPr>
        <w:t xml:space="preserve">. </w:t>
      </w:r>
      <w:hyperlink>
        <w:r w:rsidRPr="00B3089A">
          <w:rPr>
            <w:rFonts w:ascii="Arial" w:hAnsi="Arial" w:cs="Arial"/>
            <w:lang w:eastAsia="en-US"/>
          </w:rPr>
          <w:t>https://www.frontiersin.org/articles/10.3389/fpsyg.2012.00034</w:t>
        </w:r>
      </w:hyperlink>
    </w:p>
    <w:p w14:paraId="4FF129D3" w14:textId="77777777" w:rsidR="001C4921" w:rsidRPr="00B3089A" w:rsidRDefault="001C4921" w:rsidP="001C4921">
      <w:pPr>
        <w:widowControl w:val="0"/>
        <w:spacing w:after="160" w:line="360" w:lineRule="auto"/>
        <w:ind w:left="720" w:hanging="720"/>
        <w:jc w:val="both"/>
        <w:rPr>
          <w:rFonts w:ascii="Arial" w:hAnsi="Arial" w:cs="Arial"/>
          <w:lang w:eastAsia="en-US"/>
        </w:rPr>
      </w:pPr>
      <w:r w:rsidRPr="00B3089A">
        <w:rPr>
          <w:rFonts w:ascii="Arial" w:hAnsi="Arial" w:cs="Arial"/>
          <w:lang w:eastAsia="en-US"/>
        </w:rPr>
        <w:t xml:space="preserve">Sistema Nacional de Acreditación de la Educación Superior. (2011). Guía para la autoevaluación de carreras. </w:t>
      </w:r>
      <w:hyperlink>
        <w:r w:rsidRPr="00B3089A">
          <w:rPr>
            <w:rFonts w:ascii="Arial" w:hAnsi="Arial" w:cs="Arial"/>
            <w:lang w:eastAsia="en-US"/>
          </w:rPr>
          <w:t>https://www.sinaes.ac.cr/wp-</w:t>
        </w:r>
        <w:r w:rsidRPr="00B3089A">
          <w:rPr>
            <w:rFonts w:ascii="Arial" w:hAnsi="Arial" w:cs="Arial"/>
            <w:lang w:eastAsia="en-US"/>
          </w:rPr>
          <w:lastRenderedPageBreak/>
          <w:t>ontent/uploads/2021/08/Guia_para_la_Autoevaluacion_para_carreras_de_grado.pdf</w:t>
        </w:r>
      </w:hyperlink>
    </w:p>
    <w:p w14:paraId="71DE53F9" w14:textId="77777777" w:rsidR="001C4921" w:rsidRPr="00B3089A" w:rsidRDefault="001C4921" w:rsidP="001C4921">
      <w:pPr>
        <w:spacing w:after="160" w:line="360" w:lineRule="auto"/>
        <w:ind w:left="720" w:hanging="720"/>
        <w:jc w:val="both"/>
        <w:rPr>
          <w:rFonts w:ascii="Arial" w:eastAsia="Calibri" w:hAnsi="Arial" w:cs="Arial"/>
          <w:sz w:val="22"/>
          <w:szCs w:val="22"/>
          <w:lang w:val="en-US" w:eastAsia="en-US"/>
        </w:rPr>
      </w:pPr>
      <w:proofErr w:type="spellStart"/>
      <w:r w:rsidRPr="00B3089A">
        <w:rPr>
          <w:rFonts w:ascii="Arial" w:hAnsi="Arial" w:cs="Arial"/>
          <w:lang w:eastAsia="en-US"/>
        </w:rPr>
        <w:t>Tavolacci</w:t>
      </w:r>
      <w:proofErr w:type="spellEnd"/>
      <w:r w:rsidRPr="00B3089A">
        <w:rPr>
          <w:rFonts w:ascii="Arial" w:hAnsi="Arial" w:cs="Arial"/>
          <w:lang w:eastAsia="en-US"/>
        </w:rPr>
        <w:t xml:space="preserve">, M. P., </w:t>
      </w:r>
      <w:proofErr w:type="spellStart"/>
      <w:r w:rsidRPr="00B3089A">
        <w:rPr>
          <w:rFonts w:ascii="Arial" w:hAnsi="Arial" w:cs="Arial"/>
          <w:lang w:eastAsia="en-US"/>
        </w:rPr>
        <w:t>Delay</w:t>
      </w:r>
      <w:proofErr w:type="spellEnd"/>
      <w:r w:rsidRPr="00B3089A">
        <w:rPr>
          <w:rFonts w:ascii="Arial" w:hAnsi="Arial" w:cs="Arial"/>
          <w:lang w:eastAsia="en-US"/>
        </w:rPr>
        <w:t xml:space="preserve">, J., </w:t>
      </w:r>
      <w:proofErr w:type="spellStart"/>
      <w:r w:rsidRPr="00B3089A">
        <w:rPr>
          <w:rFonts w:ascii="Arial" w:hAnsi="Arial" w:cs="Arial"/>
          <w:lang w:eastAsia="en-US"/>
        </w:rPr>
        <w:t>Grigioni</w:t>
      </w:r>
      <w:proofErr w:type="spellEnd"/>
      <w:r w:rsidRPr="00B3089A">
        <w:rPr>
          <w:rFonts w:ascii="Arial" w:hAnsi="Arial" w:cs="Arial"/>
          <w:lang w:eastAsia="en-US"/>
        </w:rPr>
        <w:t xml:space="preserve">, S., </w:t>
      </w:r>
      <w:proofErr w:type="spellStart"/>
      <w:r w:rsidRPr="00B3089A">
        <w:rPr>
          <w:rFonts w:ascii="Arial" w:hAnsi="Arial" w:cs="Arial"/>
          <w:lang w:eastAsia="en-US"/>
        </w:rPr>
        <w:t>Déchelotte</w:t>
      </w:r>
      <w:proofErr w:type="spellEnd"/>
      <w:r w:rsidRPr="00B3089A">
        <w:rPr>
          <w:rFonts w:ascii="Arial" w:hAnsi="Arial" w:cs="Arial"/>
          <w:lang w:eastAsia="en-US"/>
        </w:rPr>
        <w:t xml:space="preserve">, P., &amp; </w:t>
      </w:r>
      <w:proofErr w:type="spellStart"/>
      <w:r w:rsidRPr="00B3089A">
        <w:rPr>
          <w:rFonts w:ascii="Arial" w:hAnsi="Arial" w:cs="Arial"/>
          <w:lang w:eastAsia="en-US"/>
        </w:rPr>
        <w:t>Ladner</w:t>
      </w:r>
      <w:proofErr w:type="spellEnd"/>
      <w:r w:rsidRPr="00B3089A">
        <w:rPr>
          <w:rFonts w:ascii="Arial" w:hAnsi="Arial" w:cs="Arial"/>
          <w:lang w:eastAsia="en-US"/>
        </w:rPr>
        <w:t xml:space="preserve">, J. (2018). </w:t>
      </w:r>
      <w:r w:rsidRPr="00B3089A">
        <w:rPr>
          <w:rFonts w:ascii="Arial" w:hAnsi="Arial" w:cs="Arial"/>
          <w:lang w:val="en-US" w:eastAsia="en-US"/>
        </w:rPr>
        <w:t xml:space="preserve">Changes and specificities in health behaviors among healthcare students over an 8-year period. </w:t>
      </w:r>
      <w:proofErr w:type="spellStart"/>
      <w:r w:rsidRPr="00B3089A">
        <w:rPr>
          <w:rFonts w:ascii="Arial" w:hAnsi="Arial" w:cs="Arial"/>
          <w:i/>
          <w:lang w:val="en-US" w:eastAsia="en-US"/>
        </w:rPr>
        <w:t>PloS</w:t>
      </w:r>
      <w:proofErr w:type="spellEnd"/>
      <w:r w:rsidRPr="00B3089A">
        <w:rPr>
          <w:rFonts w:ascii="Arial" w:hAnsi="Arial" w:cs="Arial"/>
          <w:i/>
          <w:lang w:val="en-US" w:eastAsia="en-US"/>
        </w:rPr>
        <w:t xml:space="preserve"> One</w:t>
      </w:r>
      <w:r w:rsidRPr="00B3089A">
        <w:rPr>
          <w:rFonts w:ascii="Arial" w:hAnsi="Arial" w:cs="Arial"/>
          <w:lang w:val="en-US" w:eastAsia="en-US"/>
        </w:rPr>
        <w:t xml:space="preserve">, </w:t>
      </w:r>
      <w:r w:rsidRPr="00B3089A">
        <w:rPr>
          <w:rFonts w:ascii="Arial" w:hAnsi="Arial" w:cs="Arial"/>
          <w:i/>
          <w:lang w:val="en-US" w:eastAsia="en-US"/>
        </w:rPr>
        <w:t>13</w:t>
      </w:r>
      <w:r w:rsidRPr="00B3089A">
        <w:rPr>
          <w:rFonts w:ascii="Arial" w:hAnsi="Arial" w:cs="Arial"/>
          <w:lang w:val="en-US" w:eastAsia="en-US"/>
        </w:rPr>
        <w:t xml:space="preserve">(3), e0194188. </w:t>
      </w:r>
      <w:hyperlink>
        <w:r w:rsidRPr="00B3089A">
          <w:rPr>
            <w:rFonts w:ascii="Arial" w:hAnsi="Arial" w:cs="Arial"/>
            <w:lang w:val="en-US" w:eastAsia="en-US"/>
          </w:rPr>
          <w:t>https://doi.org/10.1371/journal.pone.0194188</w:t>
        </w:r>
      </w:hyperlink>
    </w:p>
    <w:p w14:paraId="79486CDE" w14:textId="77777777" w:rsidR="001C4921" w:rsidRPr="00B3089A" w:rsidRDefault="001C4921" w:rsidP="001C4921">
      <w:pPr>
        <w:widowControl w:val="0"/>
        <w:spacing w:after="160" w:line="360" w:lineRule="auto"/>
        <w:ind w:left="720" w:hanging="720"/>
        <w:jc w:val="both"/>
        <w:rPr>
          <w:rFonts w:ascii="Arial" w:eastAsia="Calibri" w:hAnsi="Arial" w:cs="Arial"/>
          <w:sz w:val="22"/>
          <w:szCs w:val="22"/>
          <w:lang w:val="en-US" w:eastAsia="en-US"/>
        </w:rPr>
      </w:pPr>
      <w:r w:rsidRPr="00B3089A">
        <w:rPr>
          <w:rFonts w:ascii="Arial" w:hAnsi="Arial" w:cs="Arial"/>
          <w:lang w:val="en-US" w:eastAsia="en-US"/>
        </w:rPr>
        <w:t xml:space="preserve">Tran, N. T., Franzen, J., </w:t>
      </w:r>
      <w:proofErr w:type="spellStart"/>
      <w:r w:rsidRPr="00B3089A">
        <w:rPr>
          <w:rFonts w:ascii="Arial" w:hAnsi="Arial" w:cs="Arial"/>
          <w:lang w:val="en-US" w:eastAsia="en-US"/>
        </w:rPr>
        <w:t>Jermann</w:t>
      </w:r>
      <w:proofErr w:type="spellEnd"/>
      <w:r w:rsidRPr="00B3089A">
        <w:rPr>
          <w:rFonts w:ascii="Arial" w:hAnsi="Arial" w:cs="Arial"/>
          <w:lang w:val="en-US" w:eastAsia="en-US"/>
        </w:rPr>
        <w:t xml:space="preserve">, F., </w:t>
      </w:r>
      <w:proofErr w:type="spellStart"/>
      <w:r w:rsidRPr="00B3089A">
        <w:rPr>
          <w:rFonts w:ascii="Arial" w:hAnsi="Arial" w:cs="Arial"/>
          <w:lang w:val="en-US" w:eastAsia="en-US"/>
        </w:rPr>
        <w:t>Rudaz</w:t>
      </w:r>
      <w:proofErr w:type="spellEnd"/>
      <w:r w:rsidRPr="00B3089A">
        <w:rPr>
          <w:rFonts w:ascii="Arial" w:hAnsi="Arial" w:cs="Arial"/>
          <w:lang w:val="en-US" w:eastAsia="en-US"/>
        </w:rPr>
        <w:t xml:space="preserve">, S., </w:t>
      </w:r>
      <w:proofErr w:type="spellStart"/>
      <w:r w:rsidRPr="00B3089A">
        <w:rPr>
          <w:rFonts w:ascii="Arial" w:hAnsi="Arial" w:cs="Arial"/>
          <w:lang w:val="en-US" w:eastAsia="en-US"/>
        </w:rPr>
        <w:t>Bondolfi</w:t>
      </w:r>
      <w:proofErr w:type="spellEnd"/>
      <w:r w:rsidRPr="00B3089A">
        <w:rPr>
          <w:rFonts w:ascii="Arial" w:hAnsi="Arial" w:cs="Arial"/>
          <w:lang w:val="en-US" w:eastAsia="en-US"/>
        </w:rPr>
        <w:t xml:space="preserve">, G., &amp; </w:t>
      </w:r>
      <w:proofErr w:type="spellStart"/>
      <w:r w:rsidRPr="00B3089A">
        <w:rPr>
          <w:rFonts w:ascii="Arial" w:hAnsi="Arial" w:cs="Arial"/>
          <w:lang w:val="en-US" w:eastAsia="en-US"/>
        </w:rPr>
        <w:t>Ghisletta</w:t>
      </w:r>
      <w:proofErr w:type="spellEnd"/>
      <w:r w:rsidRPr="00B3089A">
        <w:rPr>
          <w:rFonts w:ascii="Arial" w:hAnsi="Arial" w:cs="Arial"/>
          <w:lang w:val="en-US" w:eastAsia="en-US"/>
        </w:rPr>
        <w:t xml:space="preserve">, P. (2022). Psychological distress and well-being among students of health disciplines in Geneva, Switzerland: The importance of academic satisfaction in the context of academic year-end and COVID-19 stress on their learning experience. </w:t>
      </w:r>
      <w:proofErr w:type="spellStart"/>
      <w:r w:rsidRPr="00B3089A">
        <w:rPr>
          <w:rFonts w:ascii="Arial" w:hAnsi="Arial" w:cs="Arial"/>
          <w:i/>
          <w:lang w:val="en-US" w:eastAsia="en-US"/>
        </w:rPr>
        <w:t>PLoS</w:t>
      </w:r>
      <w:proofErr w:type="spellEnd"/>
      <w:r w:rsidRPr="00B3089A">
        <w:rPr>
          <w:rFonts w:ascii="Arial" w:hAnsi="Arial" w:cs="Arial"/>
          <w:i/>
          <w:lang w:val="en-US" w:eastAsia="en-US"/>
        </w:rPr>
        <w:t xml:space="preserve"> ONE</w:t>
      </w:r>
      <w:r w:rsidRPr="00B3089A">
        <w:rPr>
          <w:rFonts w:ascii="Arial" w:hAnsi="Arial" w:cs="Arial"/>
          <w:lang w:val="en-US" w:eastAsia="en-US"/>
        </w:rPr>
        <w:t xml:space="preserve">, </w:t>
      </w:r>
      <w:r w:rsidRPr="00B3089A">
        <w:rPr>
          <w:rFonts w:ascii="Arial" w:hAnsi="Arial" w:cs="Arial"/>
          <w:i/>
          <w:lang w:val="en-US" w:eastAsia="en-US"/>
        </w:rPr>
        <w:t>17</w:t>
      </w:r>
      <w:r w:rsidRPr="00B3089A">
        <w:rPr>
          <w:rFonts w:ascii="Arial" w:hAnsi="Arial" w:cs="Arial"/>
          <w:lang w:val="en-US" w:eastAsia="en-US"/>
        </w:rPr>
        <w:t xml:space="preserve">(4), 1-13. </w:t>
      </w:r>
      <w:hyperlink>
        <w:r w:rsidRPr="00B3089A">
          <w:rPr>
            <w:rFonts w:ascii="Arial" w:hAnsi="Arial" w:cs="Arial"/>
            <w:lang w:val="en-US" w:eastAsia="en-US"/>
          </w:rPr>
          <w:t>https://doi.org/10.1371/journal.pone.0266612</w:t>
        </w:r>
      </w:hyperlink>
    </w:p>
    <w:p w14:paraId="6A8572C3" w14:textId="77777777" w:rsidR="001C4921" w:rsidRPr="00B3089A" w:rsidRDefault="001C4921" w:rsidP="001C4921">
      <w:pPr>
        <w:widowControl w:val="0"/>
        <w:spacing w:after="160" w:line="360" w:lineRule="auto"/>
        <w:ind w:left="720" w:hanging="720"/>
        <w:jc w:val="both"/>
        <w:rPr>
          <w:rFonts w:ascii="Arial" w:hAnsi="Arial" w:cs="Arial"/>
          <w:lang w:val="en-US" w:eastAsia="en-US"/>
        </w:rPr>
      </w:pPr>
      <w:r w:rsidRPr="00B3089A">
        <w:rPr>
          <w:rFonts w:ascii="Arial" w:hAnsi="Arial" w:cs="Arial"/>
          <w:lang w:val="en-US" w:eastAsia="en-US"/>
        </w:rPr>
        <w:t>U-</w:t>
      </w:r>
      <w:proofErr w:type="spellStart"/>
      <w:r w:rsidRPr="00B3089A">
        <w:rPr>
          <w:rFonts w:ascii="Arial" w:hAnsi="Arial" w:cs="Arial"/>
          <w:lang w:val="en-US" w:eastAsia="en-US"/>
        </w:rPr>
        <w:t>Multirank</w:t>
      </w:r>
      <w:proofErr w:type="spellEnd"/>
      <w:r w:rsidRPr="00B3089A">
        <w:rPr>
          <w:rFonts w:ascii="Arial" w:hAnsi="Arial" w:cs="Arial"/>
          <w:lang w:val="en-US" w:eastAsia="en-US"/>
        </w:rPr>
        <w:t xml:space="preserve"> Project. (2022). U-</w:t>
      </w:r>
      <w:proofErr w:type="spellStart"/>
      <w:r w:rsidRPr="00B3089A">
        <w:rPr>
          <w:rFonts w:ascii="Arial" w:hAnsi="Arial" w:cs="Arial"/>
          <w:lang w:val="en-US" w:eastAsia="en-US"/>
        </w:rPr>
        <w:t>Multirank</w:t>
      </w:r>
      <w:proofErr w:type="spellEnd"/>
      <w:r w:rsidRPr="00B3089A">
        <w:rPr>
          <w:rFonts w:ascii="Arial" w:hAnsi="Arial" w:cs="Arial"/>
          <w:lang w:val="en-US" w:eastAsia="en-US"/>
        </w:rPr>
        <w:t xml:space="preserve"> Gender Monitor 2022. Second Edition. https://www.umultirank.org/export/sites/default/.galleries/generic-images/Gender-Monitor-2022/u-multirank-gender-monitor-2022.pdf</w:t>
      </w:r>
    </w:p>
    <w:p w14:paraId="1C909542" w14:textId="77777777" w:rsidR="001C4921" w:rsidRPr="00B3089A" w:rsidRDefault="007B0E73" w:rsidP="001C4921">
      <w:pPr>
        <w:widowControl w:val="0"/>
        <w:spacing w:after="160" w:line="360" w:lineRule="auto"/>
        <w:ind w:left="720" w:hanging="720"/>
        <w:jc w:val="both"/>
        <w:rPr>
          <w:rFonts w:ascii="Arial" w:hAnsi="Arial" w:cs="Arial"/>
          <w:lang w:eastAsia="en-US"/>
        </w:rPr>
      </w:pPr>
      <w:hyperlink>
        <w:r w:rsidR="001C4921" w:rsidRPr="00B3089A">
          <w:rPr>
            <w:rFonts w:ascii="Arial" w:hAnsi="Arial" w:cs="Arial"/>
            <w:lang w:eastAsia="en-US"/>
          </w:rPr>
          <w:t xml:space="preserve">Vergara, J., Valle, M. D., Díaz, A., &amp; Pérez, M. V. (2018). Adaptación de la Escala de Satisfacción Académica en Estudiantes Universitarios Chilenos. </w:t>
        </w:r>
      </w:hyperlink>
      <w:hyperlink>
        <w:r w:rsidR="001C4921" w:rsidRPr="00B3089A">
          <w:rPr>
            <w:rFonts w:ascii="Arial" w:hAnsi="Arial" w:cs="Arial"/>
            <w:i/>
            <w:iCs/>
            <w:lang w:eastAsia="en-US"/>
          </w:rPr>
          <w:t>Psicologia Educativa</w:t>
        </w:r>
      </w:hyperlink>
      <w:hyperlink>
        <w:r w:rsidR="001C4921" w:rsidRPr="00B3089A">
          <w:rPr>
            <w:rFonts w:ascii="Arial" w:hAnsi="Arial" w:cs="Arial"/>
            <w:lang w:eastAsia="en-US"/>
          </w:rPr>
          <w:t xml:space="preserve">, </w:t>
        </w:r>
      </w:hyperlink>
      <w:hyperlink>
        <w:r w:rsidR="001C4921" w:rsidRPr="00B3089A">
          <w:rPr>
            <w:rFonts w:ascii="Arial" w:hAnsi="Arial" w:cs="Arial"/>
            <w:i/>
            <w:iCs/>
            <w:lang w:eastAsia="en-US"/>
          </w:rPr>
          <w:t>24</w:t>
        </w:r>
      </w:hyperlink>
      <w:hyperlink>
        <w:r w:rsidR="001C4921" w:rsidRPr="00B3089A">
          <w:rPr>
            <w:rFonts w:ascii="Arial" w:hAnsi="Arial" w:cs="Arial"/>
            <w:lang w:eastAsia="en-US"/>
          </w:rPr>
          <w:t>(2), 99-106. https://doi.org/10.5093/psed2018a15</w:t>
        </w:r>
      </w:hyperlink>
    </w:p>
    <w:p w14:paraId="71BAC676" w14:textId="77777777" w:rsidR="001C4921" w:rsidRPr="00B3089A" w:rsidRDefault="001C4921" w:rsidP="001C4921">
      <w:pPr>
        <w:spacing w:after="160" w:line="360" w:lineRule="auto"/>
        <w:ind w:left="720" w:hanging="720"/>
        <w:jc w:val="both"/>
        <w:rPr>
          <w:rFonts w:ascii="Arial" w:eastAsia="Calibri" w:hAnsi="Arial" w:cs="Arial"/>
          <w:sz w:val="22"/>
          <w:szCs w:val="22"/>
          <w:lang w:val="en-US" w:eastAsia="en-US"/>
        </w:rPr>
      </w:pPr>
      <w:r w:rsidRPr="00B3089A">
        <w:rPr>
          <w:rFonts w:ascii="Arial" w:hAnsi="Arial" w:cs="Arial"/>
          <w:lang w:eastAsia="en-US"/>
        </w:rPr>
        <w:lastRenderedPageBreak/>
        <w:t xml:space="preserve">Wyatt, T., &amp; </w:t>
      </w:r>
      <w:proofErr w:type="spellStart"/>
      <w:r w:rsidRPr="00B3089A">
        <w:rPr>
          <w:rFonts w:ascii="Arial" w:hAnsi="Arial" w:cs="Arial"/>
          <w:lang w:eastAsia="en-US"/>
        </w:rPr>
        <w:t>Oswalt</w:t>
      </w:r>
      <w:proofErr w:type="spellEnd"/>
      <w:r w:rsidRPr="00B3089A">
        <w:rPr>
          <w:rFonts w:ascii="Arial" w:hAnsi="Arial" w:cs="Arial"/>
          <w:lang w:eastAsia="en-US"/>
        </w:rPr>
        <w:t xml:space="preserve">, S. B. (2013). </w:t>
      </w:r>
      <w:r w:rsidRPr="00B3089A">
        <w:rPr>
          <w:rFonts w:ascii="Arial" w:hAnsi="Arial" w:cs="Arial"/>
          <w:lang w:val="en-US" w:eastAsia="en-US"/>
        </w:rPr>
        <w:t xml:space="preserve">Comparing Mental Health Issues Among Undergraduate and Graduate Students. </w:t>
      </w:r>
      <w:r w:rsidRPr="00B3089A">
        <w:rPr>
          <w:rFonts w:ascii="Arial" w:hAnsi="Arial" w:cs="Arial"/>
          <w:i/>
          <w:lang w:val="en-US" w:eastAsia="en-US"/>
        </w:rPr>
        <w:t>American Journal of Health Education</w:t>
      </w:r>
      <w:r w:rsidRPr="00B3089A">
        <w:rPr>
          <w:rFonts w:ascii="Arial" w:hAnsi="Arial" w:cs="Arial"/>
          <w:lang w:val="en-US" w:eastAsia="en-US"/>
        </w:rPr>
        <w:t xml:space="preserve">, </w:t>
      </w:r>
      <w:r w:rsidRPr="00B3089A">
        <w:rPr>
          <w:rFonts w:ascii="Arial" w:hAnsi="Arial" w:cs="Arial"/>
          <w:i/>
          <w:lang w:val="en-US" w:eastAsia="en-US"/>
        </w:rPr>
        <w:t>44</w:t>
      </w:r>
      <w:r w:rsidRPr="00B3089A">
        <w:rPr>
          <w:rFonts w:ascii="Arial" w:hAnsi="Arial" w:cs="Arial"/>
          <w:lang w:val="en-US" w:eastAsia="en-US"/>
        </w:rPr>
        <w:t xml:space="preserve">(2), 96-107. </w:t>
      </w:r>
      <w:hyperlink>
        <w:r w:rsidRPr="00B3089A">
          <w:rPr>
            <w:rFonts w:ascii="Arial" w:hAnsi="Arial" w:cs="Arial"/>
            <w:lang w:val="en-US" w:eastAsia="en-US"/>
          </w:rPr>
          <w:t>https://doi.org/10.1080/19325037.2013.764248</w:t>
        </w:r>
      </w:hyperlink>
    </w:p>
    <w:p w14:paraId="255C93A1" w14:textId="77777777" w:rsidR="001C4921" w:rsidRPr="00B3089A" w:rsidRDefault="001C4921" w:rsidP="001C4921">
      <w:pPr>
        <w:spacing w:after="160" w:line="360" w:lineRule="auto"/>
        <w:ind w:left="720" w:hanging="720"/>
        <w:jc w:val="both"/>
        <w:rPr>
          <w:rFonts w:ascii="Arial" w:hAnsi="Arial" w:cs="Arial"/>
          <w:lang w:eastAsia="en-US"/>
        </w:rPr>
      </w:pPr>
      <w:r w:rsidRPr="00B3089A">
        <w:rPr>
          <w:rFonts w:ascii="Arial" w:hAnsi="Arial" w:cs="Arial"/>
          <w:lang w:val="en-US" w:eastAsia="en-US"/>
        </w:rPr>
        <w:t xml:space="preserve">Zamora, J. A., Quesada, N., Benavides, G., &amp; Chavarría, R. (2019). </w:t>
      </w:r>
      <w:r w:rsidRPr="00B3089A">
        <w:rPr>
          <w:rFonts w:ascii="Arial" w:hAnsi="Arial" w:cs="Arial"/>
          <w:lang w:eastAsia="en-US"/>
        </w:rPr>
        <w:t>Grado de satisfacción por parte de los estudiantes con respecto al servicio de tutorías que brinda la Universidad Nacional. https://repositorio.una.ac.cr/handle/11056/17259</w:t>
      </w:r>
    </w:p>
    <w:p w14:paraId="6B985D94" w14:textId="77777777" w:rsidR="001C4921" w:rsidRPr="00B3089A" w:rsidRDefault="001C4921" w:rsidP="001C4921">
      <w:pPr>
        <w:spacing w:after="160" w:line="360" w:lineRule="auto"/>
        <w:ind w:left="720" w:hanging="720"/>
        <w:jc w:val="both"/>
        <w:rPr>
          <w:rFonts w:ascii="Arial" w:hAnsi="Arial" w:cs="Arial"/>
          <w:lang w:val="en-US" w:eastAsia="en-US"/>
        </w:rPr>
      </w:pPr>
      <w:r w:rsidRPr="00B3089A">
        <w:rPr>
          <w:rFonts w:ascii="Arial" w:hAnsi="Arial" w:cs="Arial"/>
          <w:lang w:val="en-US" w:eastAsia="en-US"/>
        </w:rPr>
        <w:t xml:space="preserve">Zeithaml, A., Bitner, M., &amp; </w:t>
      </w:r>
      <w:proofErr w:type="spellStart"/>
      <w:r w:rsidRPr="00B3089A">
        <w:rPr>
          <w:rFonts w:ascii="Arial" w:hAnsi="Arial" w:cs="Arial"/>
          <w:lang w:val="en-US" w:eastAsia="en-US"/>
        </w:rPr>
        <w:t>Gremler</w:t>
      </w:r>
      <w:proofErr w:type="spellEnd"/>
      <w:r w:rsidRPr="00B3089A">
        <w:rPr>
          <w:rFonts w:ascii="Arial" w:hAnsi="Arial" w:cs="Arial"/>
          <w:lang w:val="en-US" w:eastAsia="en-US"/>
        </w:rPr>
        <w:t xml:space="preserve">, D. (2006). </w:t>
      </w:r>
      <w:r w:rsidRPr="00B3089A">
        <w:rPr>
          <w:rFonts w:ascii="Arial" w:hAnsi="Arial" w:cs="Arial"/>
          <w:i/>
          <w:lang w:val="en-US" w:eastAsia="en-US"/>
        </w:rPr>
        <w:t>Services marketing</w:t>
      </w:r>
      <w:r w:rsidRPr="00B3089A">
        <w:rPr>
          <w:rFonts w:ascii="Arial" w:hAnsi="Arial" w:cs="Arial"/>
          <w:lang w:val="en-US" w:eastAsia="en-US"/>
        </w:rPr>
        <w:t xml:space="preserve"> (4th ed.). New York, NY: McGraw-Hill Irwin.</w:t>
      </w:r>
    </w:p>
    <w:p w14:paraId="3BD5C038" w14:textId="1F0681C5" w:rsidR="00190DE8" w:rsidRPr="0099353C" w:rsidRDefault="00190DE8" w:rsidP="00B55452">
      <w:pPr>
        <w:shd w:val="clear" w:color="auto" w:fill="FFFFFF"/>
        <w:spacing w:line="360" w:lineRule="auto"/>
        <w:jc w:val="both"/>
        <w:rPr>
          <w:rFonts w:ascii="Arial" w:hAnsi="Arial" w:cs="Arial"/>
          <w:lang w:val="en-US"/>
        </w:rPr>
      </w:pPr>
    </w:p>
    <w:sectPr w:rsidR="00190DE8" w:rsidRPr="0099353C" w:rsidSect="00D00233">
      <w:headerReference w:type="default" r:id="rId11"/>
      <w:footerReference w:type="default" r:id="rId12"/>
      <w:pgSz w:w="12240" w:h="15840"/>
      <w:pgMar w:top="1417" w:right="1750" w:bottom="1411" w:left="1701" w:header="708" w:footer="708" w:gutter="0"/>
      <w:pgNumType w:start="1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294F9D" w:rsidRDefault="00294F9D" w:rsidP="003C3F58">
      <w:r>
        <w:separator/>
      </w:r>
    </w:p>
  </w:endnote>
  <w:endnote w:type="continuationSeparator" w:id="0">
    <w:p w14:paraId="244814DF" w14:textId="77777777" w:rsidR="00294F9D" w:rsidRDefault="00294F9D"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94F9D" w:rsidRPr="002E52DF" w:rsidRDefault="00294F9D"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363FC6C3" w14:textId="587D0E79" w:rsidR="00294F9D" w:rsidRPr="00A465A0" w:rsidRDefault="00294F9D" w:rsidP="003945AD">
        <w:pPr>
          <w:pStyle w:val="Sinespaciado"/>
          <w:jc w:val="center"/>
          <w:rPr>
            <w:rFonts w:ascii="Agency FB" w:hAnsi="Agency FB"/>
            <w:b/>
            <w:bCs/>
            <w:color w:val="E36C0A"/>
            <w:lang w:val="es-CR"/>
          </w:rPr>
        </w:pPr>
        <w:r w:rsidRPr="00A465A0">
          <w:rPr>
            <w:rFonts w:ascii="Agency FB" w:hAnsi="Agency FB"/>
            <w:b/>
            <w:bCs/>
            <w:color w:val="E36C0A"/>
            <w:lang w:val="es-CR"/>
          </w:rPr>
          <w:t>Propiedades psicométricas del DESIT-17 para medir la satisfacción académica</w:t>
        </w:r>
      </w:p>
      <w:p w14:paraId="2EF245E8" w14:textId="4D694198" w:rsidR="00294F9D" w:rsidRPr="00BC0D99" w:rsidRDefault="00294F9D" w:rsidP="0020679D">
        <w:pPr>
          <w:pStyle w:val="Sinespaciado"/>
          <w:jc w:val="center"/>
          <w:rPr>
            <w:rFonts w:ascii="Agency FB" w:hAnsi="Agency FB"/>
            <w:color w:val="E36C0A"/>
            <w:lang w:val="es-CR"/>
          </w:rPr>
        </w:pPr>
        <w:r w:rsidRPr="00BB12D6">
          <w:rPr>
            <w:rFonts w:ascii="Agency FB" w:hAnsi="Agency FB"/>
            <w:color w:val="E36C0A"/>
            <w:lang w:val="es-CR"/>
          </w:rPr>
          <w:t>Rafael-A. Román-Quirós</w:t>
        </w:r>
        <w:r>
          <w:rPr>
            <w:rFonts w:ascii="Agency FB" w:hAnsi="Agency FB"/>
            <w:color w:val="E36C0A"/>
            <w:lang w:val="es-CR"/>
          </w:rPr>
          <w:t xml:space="preserve">, </w:t>
        </w:r>
        <w:r w:rsidRPr="00BB12D6">
          <w:rPr>
            <w:rFonts w:ascii="Agency FB" w:hAnsi="Agency FB"/>
            <w:color w:val="E36C0A"/>
            <w:lang w:val="es-CR"/>
          </w:rPr>
          <w:t>David-R. Torres-Fernández</w:t>
        </w:r>
        <w:r>
          <w:rPr>
            <w:rFonts w:ascii="Agency FB" w:hAnsi="Agency FB"/>
            <w:color w:val="E36C0A"/>
            <w:lang w:val="es-CR"/>
          </w:rPr>
          <w:t xml:space="preserve">, </w:t>
        </w:r>
        <w:r w:rsidRPr="00BB12D6">
          <w:rPr>
            <w:rFonts w:ascii="Agency FB" w:hAnsi="Agency FB"/>
            <w:color w:val="E36C0A"/>
            <w:lang w:val="es-CR"/>
          </w:rPr>
          <w:t>Esmeralda Azofeifa-Ugalde</w:t>
        </w:r>
        <w:r>
          <w:rPr>
            <w:rFonts w:ascii="Agency FB" w:hAnsi="Agency FB"/>
            <w:color w:val="E36C0A"/>
            <w:lang w:val="es-CR"/>
          </w:rPr>
          <w:t xml:space="preserve">, </w:t>
        </w:r>
        <w:r w:rsidRPr="00BB12D6">
          <w:rPr>
            <w:rFonts w:ascii="Agency FB" w:hAnsi="Agency FB"/>
            <w:color w:val="E36C0A"/>
            <w:lang w:val="es-CR"/>
          </w:rPr>
          <w:t xml:space="preserve">Andrés </w:t>
        </w:r>
        <w:proofErr w:type="spellStart"/>
        <w:r w:rsidRPr="00BB12D6">
          <w:rPr>
            <w:rFonts w:ascii="Agency FB" w:hAnsi="Agency FB"/>
            <w:color w:val="E36C0A"/>
            <w:lang w:val="es-CR"/>
          </w:rPr>
          <w:t>Cairol</w:t>
        </w:r>
        <w:proofErr w:type="spellEnd"/>
        <w:r w:rsidRPr="00BB12D6">
          <w:rPr>
            <w:rFonts w:ascii="Agency FB" w:hAnsi="Agency FB"/>
            <w:color w:val="E36C0A"/>
            <w:lang w:val="es-CR"/>
          </w:rPr>
          <w:t>-Barquero</w:t>
        </w:r>
        <w:r>
          <w:rPr>
            <w:rFonts w:ascii="Agency FB" w:hAnsi="Agency FB"/>
            <w:color w:val="E36C0A"/>
            <w:lang w:val="es-CR"/>
          </w:rPr>
          <w:t>,</w:t>
        </w:r>
        <w:r w:rsidRPr="00BB12D6">
          <w:t xml:space="preserve"> </w:t>
        </w:r>
        <w:r w:rsidRPr="00BB12D6">
          <w:rPr>
            <w:rFonts w:ascii="Agency FB" w:hAnsi="Agency FB"/>
            <w:color w:val="E36C0A"/>
            <w:lang w:val="es-CR"/>
          </w:rPr>
          <w:t>Marcela Ríos-Reyes</w:t>
        </w:r>
        <w:r>
          <w:rPr>
            <w:rFonts w:ascii="Agency FB" w:hAnsi="Agency FB"/>
            <w:color w:val="E36C0A"/>
            <w:lang w:val="es-CR"/>
          </w:rPr>
          <w:t xml:space="preserve">, </w:t>
        </w:r>
        <w:r w:rsidRPr="00BB12D6">
          <w:rPr>
            <w:rFonts w:ascii="Agency FB" w:hAnsi="Agency FB"/>
            <w:color w:val="E36C0A"/>
            <w:lang w:val="es-CR"/>
          </w:rPr>
          <w:t>Marvin Cervantes-Loaiza</w:t>
        </w:r>
        <w:r>
          <w:rPr>
            <w:rFonts w:ascii="Agency FB" w:hAnsi="Agency FB"/>
            <w:color w:val="E36C0A"/>
            <w:lang w:val="es-CR"/>
          </w:rPr>
          <w:t xml:space="preserve"> y </w:t>
        </w:r>
        <w:r w:rsidRPr="00A53F09">
          <w:rPr>
            <w:rFonts w:ascii="Agency FB" w:hAnsi="Agency FB"/>
            <w:color w:val="E36C0A"/>
            <w:lang w:val="es-CR"/>
          </w:rPr>
          <w:t>Adrián-F. Brenes-Bolaños</w:t>
        </w:r>
      </w:p>
      <w:p w14:paraId="1F70B1D2" w14:textId="68DEDB2D" w:rsidR="00294F9D" w:rsidRPr="0099353C" w:rsidRDefault="00294F9D" w:rsidP="0020679D">
        <w:pPr>
          <w:pStyle w:val="Sinespaciado"/>
          <w:jc w:val="center"/>
          <w:rPr>
            <w:rFonts w:ascii="Agency FB" w:hAnsi="Agency FB"/>
            <w:color w:val="E36C0A"/>
            <w:lang w:val="es-CR"/>
          </w:rPr>
        </w:pPr>
        <w:r w:rsidRPr="0099353C">
          <w:rPr>
            <w:rFonts w:ascii="Agency FB" w:hAnsi="Agency FB"/>
            <w:color w:val="E36C0A"/>
            <w:lang w:val="es-CR"/>
          </w:rPr>
          <w:t xml:space="preserve">DOI: </w:t>
        </w:r>
        <w:hyperlink r:id="rId1" w:history="1">
          <w:r w:rsidRPr="0099353C">
            <w:rPr>
              <w:rStyle w:val="Hipervnculo"/>
              <w:rFonts w:ascii="Agency FB" w:hAnsi="Agency FB"/>
              <w:lang w:val="es-CR"/>
            </w:rPr>
            <w:t>http://dx.doi.org/10.22458/caes.v16i2.5061</w:t>
          </w:r>
        </w:hyperlink>
      </w:p>
      <w:p w14:paraId="416290C8" w14:textId="17170D1B" w:rsidR="00294F9D" w:rsidRPr="0066186F" w:rsidRDefault="00294F9D" w:rsidP="0020679D">
        <w:pPr>
          <w:pStyle w:val="Sinespaciado"/>
          <w:tabs>
            <w:tab w:val="center" w:pos="4929"/>
            <w:tab w:val="left" w:pos="8661"/>
          </w:tabs>
          <w:rPr>
            <w:rFonts w:ascii="Agency FB" w:hAnsi="Agency FB"/>
            <w:color w:val="E36C0A"/>
          </w:rPr>
        </w:pPr>
        <w:r w:rsidRPr="0099353C">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94F9D" w:rsidRPr="0066186F" w:rsidRDefault="00294F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94F9D" w:rsidRDefault="00294F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94F9D" w:rsidRPr="0020679D" w:rsidRDefault="00294F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294F9D" w:rsidRDefault="00294F9D" w:rsidP="003C3F58">
      <w:r>
        <w:separator/>
      </w:r>
    </w:p>
  </w:footnote>
  <w:footnote w:type="continuationSeparator" w:id="0">
    <w:p w14:paraId="23716D89" w14:textId="77777777" w:rsidR="00294F9D" w:rsidRDefault="00294F9D" w:rsidP="003C3F58">
      <w:r>
        <w:continuationSeparator/>
      </w:r>
    </w:p>
  </w:footnote>
  <w:footnote w:id="1">
    <w:p w14:paraId="7F83BD30" w14:textId="7C62EC0E" w:rsidR="00294F9D" w:rsidRPr="00D1355C" w:rsidRDefault="00294F9D" w:rsidP="00BC1689">
      <w:pPr>
        <w:spacing w:line="276" w:lineRule="auto"/>
        <w:rPr>
          <w:rFonts w:ascii="Arial" w:eastAsia="Arial" w:hAnsi="Arial" w:cs="Arial"/>
          <w:color w:val="2F5496" w:themeColor="accent1" w:themeShade="BF"/>
          <w:sz w:val="20"/>
          <w:szCs w:val="20"/>
        </w:rPr>
      </w:pPr>
      <w:bookmarkStart w:id="1" w:name="_Hlk214734103"/>
      <w:bookmarkStart w:id="2" w:name="_Hlk214734728"/>
      <w:r w:rsidRPr="00676CC9">
        <w:rPr>
          <w:rStyle w:val="Refdenotaalpie"/>
          <w:rFonts w:ascii="Arial" w:eastAsia="Arial" w:hAnsi="Arial" w:cs="Arial"/>
          <w:sz w:val="20"/>
          <w:szCs w:val="20"/>
        </w:rPr>
        <w:footnoteRef/>
      </w:r>
      <w:r w:rsidRPr="00676CC9">
        <w:rPr>
          <w:rFonts w:ascii="Arial" w:hAnsi="Arial" w:cs="Arial"/>
          <w:sz w:val="20"/>
          <w:szCs w:val="20"/>
        </w:rPr>
        <w:t xml:space="preserve"> Docente e investigador.</w:t>
      </w:r>
      <w:r w:rsidRPr="00676CC9">
        <w:rPr>
          <w:rFonts w:ascii="Arial" w:hAnsi="Arial" w:cs="Arial"/>
          <w:color w:val="000000" w:themeColor="text1"/>
          <w:sz w:val="20"/>
          <w:szCs w:val="20"/>
        </w:rPr>
        <w:t xml:space="preserve">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r w:rsidRPr="00676CC9">
        <w:rPr>
          <w:noProof/>
          <w:sz w:val="20"/>
          <w:szCs w:val="20"/>
          <w:lang w:eastAsia="es-CR"/>
        </w:rPr>
        <w:drawing>
          <wp:inline distT="0" distB="0" distL="0" distR="0" wp14:anchorId="379A6B1C" wp14:editId="3A0BE458">
            <wp:extent cx="123825" cy="1238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Pr="00676CC9">
        <w:rPr>
          <w:rFonts w:ascii="Arial" w:hAnsi="Arial" w:cs="Arial"/>
          <w:color w:val="000000" w:themeColor="text1"/>
          <w:sz w:val="20"/>
          <w:szCs w:val="20"/>
        </w:rPr>
        <w:t xml:space="preserve"> </w:t>
      </w:r>
      <w:bookmarkEnd w:id="1"/>
      <w:r w:rsidRPr="00D1355C">
        <w:rPr>
          <w:rFonts w:ascii="Arial" w:eastAsia="Arial" w:hAnsi="Arial" w:cs="Arial"/>
          <w:color w:val="2F5496" w:themeColor="accent1" w:themeShade="BF"/>
          <w:sz w:val="20"/>
          <w:szCs w:val="20"/>
          <w:u w:val="single"/>
        </w:rPr>
        <w:t>http</w:t>
      </w:r>
      <w:r w:rsidR="007B0E73">
        <w:rPr>
          <w:rFonts w:ascii="Arial" w:eastAsia="Arial" w:hAnsi="Arial" w:cs="Arial"/>
          <w:color w:val="2F5496" w:themeColor="accent1" w:themeShade="BF"/>
          <w:sz w:val="20"/>
          <w:szCs w:val="20"/>
          <w:u w:val="single"/>
        </w:rPr>
        <w:t>s</w:t>
      </w:r>
      <w:bookmarkStart w:id="11" w:name="_GoBack"/>
      <w:bookmarkEnd w:id="11"/>
      <w:r w:rsidRPr="00D1355C">
        <w:rPr>
          <w:rFonts w:ascii="Arial" w:eastAsia="Arial" w:hAnsi="Arial" w:cs="Arial"/>
          <w:color w:val="2F5496" w:themeColor="accent1" w:themeShade="BF"/>
          <w:sz w:val="20"/>
          <w:szCs w:val="20"/>
          <w:u w:val="single"/>
        </w:rPr>
        <w:t>://orcid.org/0000-0002-9433-2596</w:t>
      </w:r>
    </w:p>
    <w:bookmarkEnd w:id="2"/>
  </w:footnote>
  <w:footnote w:id="2">
    <w:p w14:paraId="6CF561E1" w14:textId="77777777" w:rsidR="00294F9D" w:rsidRPr="00676CC9" w:rsidRDefault="00294F9D" w:rsidP="0099353C">
      <w:pPr>
        <w:pStyle w:val="Textonotapie"/>
        <w:rPr>
          <w:rFonts w:ascii="Arial" w:hAnsi="Arial" w:cs="Arial"/>
          <w:lang w:val="es-MX"/>
        </w:rPr>
      </w:pPr>
      <w:r w:rsidRPr="00676CC9">
        <w:rPr>
          <w:rStyle w:val="Refdenotaalpie"/>
          <w:rFonts w:ascii="Arial" w:hAnsi="Arial" w:cs="Arial"/>
        </w:rPr>
        <w:footnoteRef/>
      </w:r>
      <w:r w:rsidRPr="00676CC9">
        <w:rPr>
          <w:rFonts w:ascii="Arial" w:hAnsi="Arial" w:cs="Arial"/>
        </w:rPr>
        <w:t xml:space="preserve"> </w:t>
      </w:r>
      <w:bookmarkStart w:id="12" w:name="_Hlk214734312"/>
      <w:r w:rsidRPr="00676CC9">
        <w:rPr>
          <w:rFonts w:ascii="Arial" w:hAnsi="Arial" w:cs="Arial"/>
        </w:rPr>
        <w:t>Docente e investigadora.</w:t>
      </w:r>
      <w:r w:rsidRPr="00676CC9">
        <w:rPr>
          <w:rFonts w:ascii="Arial" w:hAnsi="Arial" w:cs="Arial"/>
          <w:color w:val="000000" w:themeColor="text1"/>
        </w:rPr>
        <w:t xml:space="preserve"> </w:t>
      </w:r>
      <w:r w:rsidRPr="00676CC9">
        <w:rPr>
          <w:noProof/>
          <w:lang w:eastAsia="es-CR"/>
        </w:rPr>
        <w:drawing>
          <wp:inline distT="0" distB="0" distL="0" distR="0" wp14:anchorId="1CB8DE9D" wp14:editId="7B40F9D5">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2"/>
      <w:r w:rsidRPr="00676CC9">
        <w:rPr>
          <w:rFonts w:ascii="Arial" w:hAnsi="Arial" w:cs="Arial"/>
          <w:color w:val="000000" w:themeColor="text1"/>
        </w:rPr>
        <w:t xml:space="preserve"> </w:t>
      </w:r>
      <w:r w:rsidRPr="00D1355C">
        <w:rPr>
          <w:rFonts w:ascii="Arial" w:eastAsia="Arial" w:hAnsi="Arial" w:cs="Arial"/>
          <w:color w:val="2F5496" w:themeColor="accent1" w:themeShade="BF"/>
          <w:u w:val="single"/>
        </w:rPr>
        <w:t>https://orcid.org/0009-0001-2844-8435</w:t>
      </w:r>
    </w:p>
  </w:footnote>
  <w:footnote w:id="3">
    <w:p w14:paraId="0B4523F7" w14:textId="125CAA9D" w:rsidR="00294F9D" w:rsidRPr="0099353C" w:rsidRDefault="00294F9D" w:rsidP="0099353C">
      <w:pPr>
        <w:spacing w:line="276" w:lineRule="auto"/>
        <w:rPr>
          <w:rFonts w:ascii="Arial" w:eastAsia="Arial" w:hAnsi="Arial" w:cs="Arial"/>
          <w:sz w:val="20"/>
          <w:szCs w:val="20"/>
        </w:rPr>
      </w:pPr>
      <w:r w:rsidRPr="00676CC9">
        <w:rPr>
          <w:rStyle w:val="Refdenotaalpie"/>
          <w:rFonts w:ascii="Arial" w:hAnsi="Arial" w:cs="Arial"/>
          <w:sz w:val="20"/>
          <w:szCs w:val="20"/>
        </w:rPr>
        <w:footnoteRef/>
      </w:r>
      <w:r w:rsidRPr="00676CC9">
        <w:rPr>
          <w:rFonts w:ascii="Arial" w:hAnsi="Arial" w:cs="Arial"/>
          <w:sz w:val="20"/>
          <w:szCs w:val="20"/>
        </w:rPr>
        <w:t xml:space="preserve"> Docente e investigador.</w:t>
      </w:r>
      <w:r w:rsidRPr="00676CC9">
        <w:rPr>
          <w:rFonts w:ascii="Arial" w:hAnsi="Arial" w:cs="Arial"/>
          <w:color w:val="000000" w:themeColor="text1"/>
          <w:sz w:val="20"/>
          <w:szCs w:val="20"/>
        </w:rPr>
        <w:t xml:space="preserve"> </w:t>
      </w:r>
      <w:r w:rsidRPr="00676CC9">
        <w:rPr>
          <w:noProof/>
          <w:sz w:val="20"/>
          <w:szCs w:val="20"/>
          <w:lang w:eastAsia="es-CR"/>
        </w:rPr>
        <w:drawing>
          <wp:inline distT="0" distB="0" distL="0" distR="0" wp14:anchorId="54B6FE4D" wp14:editId="0B46B7FA">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2" w:history="1">
        <w:r w:rsidRPr="00D1355C">
          <w:rPr>
            <w:rStyle w:val="Hipervnculo"/>
            <w:rFonts w:ascii="Arial" w:eastAsia="Arial" w:hAnsi="Arial" w:cs="Arial"/>
            <w:color w:val="2F5496" w:themeColor="accent1" w:themeShade="BF"/>
            <w:sz w:val="20"/>
            <w:szCs w:val="20"/>
          </w:rPr>
          <w:t>https://orcid.org/0000-0002-2312-7982</w:t>
        </w:r>
      </w:hyperlink>
    </w:p>
  </w:footnote>
  <w:footnote w:id="4">
    <w:p w14:paraId="7B9C2363" w14:textId="77777777" w:rsidR="00294F9D" w:rsidRPr="000976AC" w:rsidRDefault="00294F9D" w:rsidP="002051E5">
      <w:pPr>
        <w:pStyle w:val="Textonotapie"/>
        <w:rPr>
          <w:lang w:val="es-MX"/>
        </w:rPr>
      </w:pPr>
      <w:r>
        <w:rPr>
          <w:rStyle w:val="Refdenotaalpie"/>
        </w:rPr>
        <w:footnoteRef/>
      </w:r>
      <w:r>
        <w:t xml:space="preserve"> </w:t>
      </w:r>
      <w:r w:rsidRPr="00676CC9">
        <w:rPr>
          <w:rFonts w:ascii="Arial" w:hAnsi="Arial" w:cs="Arial"/>
        </w:rPr>
        <w:t>Docente e investigador.</w:t>
      </w:r>
      <w:r w:rsidRPr="00676CC9">
        <w:rPr>
          <w:rFonts w:ascii="Arial" w:hAnsi="Arial" w:cs="Arial"/>
          <w:color w:val="000000" w:themeColor="text1"/>
        </w:rPr>
        <w:t xml:space="preserve"> </w:t>
      </w:r>
      <w:r w:rsidRPr="00676CC9">
        <w:rPr>
          <w:noProof/>
          <w:lang w:eastAsia="es-CR"/>
        </w:rPr>
        <w:drawing>
          <wp:inline distT="0" distB="0" distL="0" distR="0" wp14:anchorId="30068F44" wp14:editId="06B2F8C0">
            <wp:extent cx="123825" cy="1238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color w:val="000000" w:themeColor="text1"/>
        </w:rPr>
        <w:t xml:space="preserve"> </w:t>
      </w:r>
      <w:r w:rsidRPr="000976AC">
        <w:rPr>
          <w:rFonts w:ascii="Arial" w:eastAsia="Arial" w:hAnsi="Arial" w:cs="Arial"/>
          <w:color w:val="2F5496" w:themeColor="accent1" w:themeShade="BF"/>
          <w:u w:val="single"/>
        </w:rPr>
        <w:t>https://orcid.org/0009-0001-8265-6075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EA5757B" w:rsidR="00294F9D" w:rsidRPr="00F4765F" w:rsidRDefault="00294F9D" w:rsidP="008A1766">
    <w:pPr>
      <w:pStyle w:val="Sinespaciado"/>
      <w:jc w:val="center"/>
      <w:rPr>
        <w:rFonts w:ascii="Agency FB" w:hAnsi="Agency FB"/>
        <w:color w:val="E36C0A"/>
        <w:sz w:val="20"/>
        <w:szCs w:val="20"/>
      </w:rPr>
    </w:pPr>
    <w:bookmarkStart w:id="17" w:name="_Hlk151106753"/>
    <w:r w:rsidRPr="00F4765F">
      <w:rPr>
        <w:rFonts w:ascii="Agency FB" w:hAnsi="Agency FB"/>
        <w:color w:val="E36C0A"/>
        <w:sz w:val="20"/>
        <w:szCs w:val="20"/>
      </w:rPr>
      <w:t>REVISTA ELECTRÓNICA CALIDAD EN LA EDUCACIÓN SUPERIOR ISSN: 1659 - 4703, VOL. 16(</w:t>
    </w:r>
    <w:r>
      <w:rPr>
        <w:rFonts w:ascii="Agency FB" w:hAnsi="Agency FB"/>
        <w:color w:val="E36C0A"/>
        <w:sz w:val="20"/>
        <w:szCs w:val="20"/>
      </w:rPr>
      <w:t>2</w:t>
    </w:r>
    <w:r w:rsidRPr="00F4765F">
      <w:rPr>
        <w:rFonts w:ascii="Agency FB" w:hAnsi="Agency FB"/>
        <w:color w:val="E36C0A"/>
        <w:sz w:val="20"/>
        <w:szCs w:val="20"/>
      </w:rPr>
      <w:t>) JUNIO-NOVIEMBRE, 2025:</w:t>
    </w:r>
    <w:r>
      <w:rPr>
        <w:rFonts w:ascii="Agency FB" w:hAnsi="Agency FB"/>
        <w:color w:val="E36C0A"/>
        <w:sz w:val="20"/>
        <w:szCs w:val="20"/>
      </w:rPr>
      <w:t xml:space="preserve"> 100-141</w:t>
    </w:r>
  </w:p>
  <w:p w14:paraId="505074AE" w14:textId="060DDBD1" w:rsidR="00294F9D" w:rsidRPr="00FE0969" w:rsidRDefault="00294F9D" w:rsidP="00A82B98">
    <w:pPr>
      <w:pStyle w:val="Sinespaciado"/>
      <w:jc w:val="center"/>
      <w:rPr>
        <w:rFonts w:ascii="Agency FB" w:hAnsi="Agency FB"/>
        <w:color w:val="E36C0A"/>
      </w:rPr>
    </w:pPr>
    <w:r>
      <w:rPr>
        <w:rFonts w:ascii="Agency FB" w:hAnsi="Agency FB"/>
        <w:noProof/>
        <w:color w:val="E36C0A"/>
      </w:rPr>
      <w:drawing>
        <wp:inline distT="0" distB="0" distL="0" distR="0" wp14:anchorId="5CB6845E" wp14:editId="2504DEF9">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294F9D" w:rsidRPr="0081623B" w:rsidRDefault="007B0E73" w:rsidP="00A82B98">
    <w:pPr>
      <w:pStyle w:val="Sinespaciado"/>
      <w:jc w:val="center"/>
      <w:rPr>
        <w:rFonts w:ascii="Agency FB" w:hAnsi="Agency FB"/>
        <w:color w:val="E36C0A"/>
      </w:rPr>
    </w:pPr>
    <w:hyperlink r:id="rId2" w:history="1">
      <w:r w:rsidR="00294F9D" w:rsidRPr="0081623B">
        <w:rPr>
          <w:color w:val="E36C0A"/>
        </w:rPr>
        <w:t>http://revistas.uned.ac.cr./index.php/revistacalidad</w:t>
      </w:r>
    </w:hyperlink>
  </w:p>
  <w:p w14:paraId="3F557B39" w14:textId="77777777" w:rsidR="00294F9D" w:rsidRPr="0081623B" w:rsidRDefault="00294F9D"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294F9D" w:rsidRDefault="00294F9D"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7"/>
  <w:p w14:paraId="65D9EF25" w14:textId="77777777" w:rsidR="00294F9D" w:rsidRDefault="00294F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031BFBC"/>
    <w:multiLevelType w:val="hybridMultilevel"/>
    <w:tmpl w:val="C618112E"/>
    <w:lvl w:ilvl="0" w:tplc="6F44F764">
      <w:start w:val="1"/>
      <w:numFmt w:val="lowerLetter"/>
      <w:lvlText w:val="%1."/>
      <w:lvlJc w:val="left"/>
      <w:pPr>
        <w:ind w:left="720" w:hanging="360"/>
      </w:pPr>
    </w:lvl>
    <w:lvl w:ilvl="1" w:tplc="5CBE7828">
      <w:start w:val="1"/>
      <w:numFmt w:val="lowerLetter"/>
      <w:lvlText w:val="%2."/>
      <w:lvlJc w:val="left"/>
      <w:pPr>
        <w:ind w:left="1440" w:hanging="360"/>
      </w:pPr>
    </w:lvl>
    <w:lvl w:ilvl="2" w:tplc="092A077C">
      <w:start w:val="1"/>
      <w:numFmt w:val="lowerRoman"/>
      <w:lvlText w:val="%3."/>
      <w:lvlJc w:val="right"/>
      <w:pPr>
        <w:ind w:left="2160" w:hanging="180"/>
      </w:pPr>
    </w:lvl>
    <w:lvl w:ilvl="3" w:tplc="7D5A8220">
      <w:start w:val="1"/>
      <w:numFmt w:val="decimal"/>
      <w:lvlText w:val="%4."/>
      <w:lvlJc w:val="left"/>
      <w:pPr>
        <w:ind w:left="2880" w:hanging="360"/>
      </w:pPr>
    </w:lvl>
    <w:lvl w:ilvl="4" w:tplc="A6769C74">
      <w:start w:val="1"/>
      <w:numFmt w:val="lowerLetter"/>
      <w:lvlText w:val="%5."/>
      <w:lvlJc w:val="left"/>
      <w:pPr>
        <w:ind w:left="3600" w:hanging="360"/>
      </w:pPr>
    </w:lvl>
    <w:lvl w:ilvl="5" w:tplc="BC70BF68">
      <w:start w:val="1"/>
      <w:numFmt w:val="lowerRoman"/>
      <w:lvlText w:val="%6."/>
      <w:lvlJc w:val="right"/>
      <w:pPr>
        <w:ind w:left="4320" w:hanging="180"/>
      </w:pPr>
    </w:lvl>
    <w:lvl w:ilvl="6" w:tplc="89227EE4">
      <w:start w:val="1"/>
      <w:numFmt w:val="decimal"/>
      <w:lvlText w:val="%7."/>
      <w:lvlJc w:val="left"/>
      <w:pPr>
        <w:ind w:left="5040" w:hanging="360"/>
      </w:pPr>
    </w:lvl>
    <w:lvl w:ilvl="7" w:tplc="69E85682">
      <w:start w:val="1"/>
      <w:numFmt w:val="lowerLetter"/>
      <w:lvlText w:val="%8."/>
      <w:lvlJc w:val="left"/>
      <w:pPr>
        <w:ind w:left="5760" w:hanging="360"/>
      </w:pPr>
    </w:lvl>
    <w:lvl w:ilvl="8" w:tplc="18C0CB7A">
      <w:start w:val="1"/>
      <w:numFmt w:val="lowerRoman"/>
      <w:lvlText w:val="%9."/>
      <w:lvlJc w:val="right"/>
      <w:pPr>
        <w:ind w:left="6480" w:hanging="180"/>
      </w:pPr>
    </w:lvl>
  </w:abstractNum>
  <w:abstractNum w:abstractNumId="9"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F558D"/>
    <w:multiLevelType w:val="hybridMultilevel"/>
    <w:tmpl w:val="27CE64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6"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1"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4"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7"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9"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1"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1"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2"/>
  </w:num>
  <w:num w:numId="4">
    <w:abstractNumId w:val="26"/>
  </w:num>
  <w:num w:numId="5">
    <w:abstractNumId w:val="2"/>
  </w:num>
  <w:num w:numId="6">
    <w:abstractNumId w:val="25"/>
  </w:num>
  <w:num w:numId="7">
    <w:abstractNumId w:val="41"/>
  </w:num>
  <w:num w:numId="8">
    <w:abstractNumId w:val="16"/>
  </w:num>
  <w:num w:numId="9">
    <w:abstractNumId w:val="32"/>
  </w:num>
  <w:num w:numId="10">
    <w:abstractNumId w:val="23"/>
  </w:num>
  <w:num w:numId="11">
    <w:abstractNumId w:val="0"/>
  </w:num>
  <w:num w:numId="12">
    <w:abstractNumId w:val="40"/>
  </w:num>
  <w:num w:numId="13">
    <w:abstractNumId w:val="29"/>
  </w:num>
  <w:num w:numId="14">
    <w:abstractNumId w:val="4"/>
  </w:num>
  <w:num w:numId="15">
    <w:abstractNumId w:val="15"/>
  </w:num>
  <w:num w:numId="16">
    <w:abstractNumId w:val="7"/>
  </w:num>
  <w:num w:numId="17">
    <w:abstractNumId w:val="10"/>
  </w:num>
  <w:num w:numId="18">
    <w:abstractNumId w:val="33"/>
  </w:num>
  <w:num w:numId="19">
    <w:abstractNumId w:val="9"/>
  </w:num>
  <w:num w:numId="20">
    <w:abstractNumId w:val="31"/>
  </w:num>
  <w:num w:numId="21">
    <w:abstractNumId w:val="1"/>
  </w:num>
  <w:num w:numId="22">
    <w:abstractNumId w:val="6"/>
  </w:num>
  <w:num w:numId="23">
    <w:abstractNumId w:val="3"/>
  </w:num>
  <w:num w:numId="24">
    <w:abstractNumId w:val="14"/>
  </w:num>
  <w:num w:numId="25">
    <w:abstractNumId w:val="43"/>
  </w:num>
  <w:num w:numId="26">
    <w:abstractNumId w:val="39"/>
  </w:num>
  <w:num w:numId="27">
    <w:abstractNumId w:val="13"/>
  </w:num>
  <w:num w:numId="28">
    <w:abstractNumId w:val="18"/>
  </w:num>
  <w:num w:numId="29">
    <w:abstractNumId w:val="30"/>
  </w:num>
  <w:num w:numId="30">
    <w:abstractNumId w:val="20"/>
  </w:num>
  <w:num w:numId="31">
    <w:abstractNumId w:val="11"/>
  </w:num>
  <w:num w:numId="32">
    <w:abstractNumId w:val="42"/>
  </w:num>
  <w:num w:numId="33">
    <w:abstractNumId w:val="27"/>
  </w:num>
  <w:num w:numId="34">
    <w:abstractNumId w:val="19"/>
  </w:num>
  <w:num w:numId="35">
    <w:abstractNumId w:val="36"/>
  </w:num>
  <w:num w:numId="36">
    <w:abstractNumId w:val="24"/>
  </w:num>
  <w:num w:numId="37">
    <w:abstractNumId w:val="5"/>
  </w:num>
  <w:num w:numId="38">
    <w:abstractNumId w:val="21"/>
  </w:num>
  <w:num w:numId="39">
    <w:abstractNumId w:val="35"/>
  </w:num>
  <w:num w:numId="40">
    <w:abstractNumId w:val="28"/>
  </w:num>
  <w:num w:numId="41">
    <w:abstractNumId w:val="37"/>
  </w:num>
  <w:num w:numId="42">
    <w:abstractNumId w:val="38"/>
  </w:num>
  <w:num w:numId="43">
    <w:abstractNumId w:val="1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0C67"/>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555A"/>
    <w:rsid w:val="00046D6E"/>
    <w:rsid w:val="00050CBC"/>
    <w:rsid w:val="00051E67"/>
    <w:rsid w:val="000534BC"/>
    <w:rsid w:val="0005594E"/>
    <w:rsid w:val="00057376"/>
    <w:rsid w:val="00057A12"/>
    <w:rsid w:val="00061C1E"/>
    <w:rsid w:val="0007083E"/>
    <w:rsid w:val="00073695"/>
    <w:rsid w:val="000749E7"/>
    <w:rsid w:val="00075680"/>
    <w:rsid w:val="0007609B"/>
    <w:rsid w:val="00076624"/>
    <w:rsid w:val="00081189"/>
    <w:rsid w:val="00081EA1"/>
    <w:rsid w:val="00084C26"/>
    <w:rsid w:val="00091331"/>
    <w:rsid w:val="00091D68"/>
    <w:rsid w:val="00095A07"/>
    <w:rsid w:val="000976AC"/>
    <w:rsid w:val="00097C08"/>
    <w:rsid w:val="00097DE7"/>
    <w:rsid w:val="000A1290"/>
    <w:rsid w:val="000A227F"/>
    <w:rsid w:val="000A6D9A"/>
    <w:rsid w:val="000A73E8"/>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D79A3"/>
    <w:rsid w:val="000E184A"/>
    <w:rsid w:val="000E31F9"/>
    <w:rsid w:val="000E320A"/>
    <w:rsid w:val="000E4253"/>
    <w:rsid w:val="000E4F1A"/>
    <w:rsid w:val="000E5510"/>
    <w:rsid w:val="000E7A28"/>
    <w:rsid w:val="000F1259"/>
    <w:rsid w:val="000F1FB1"/>
    <w:rsid w:val="000F28A9"/>
    <w:rsid w:val="000F2B5D"/>
    <w:rsid w:val="000F393F"/>
    <w:rsid w:val="000F61B7"/>
    <w:rsid w:val="00101707"/>
    <w:rsid w:val="00102586"/>
    <w:rsid w:val="00104E6F"/>
    <w:rsid w:val="00106270"/>
    <w:rsid w:val="00107071"/>
    <w:rsid w:val="00107EBF"/>
    <w:rsid w:val="00111083"/>
    <w:rsid w:val="00116616"/>
    <w:rsid w:val="00116858"/>
    <w:rsid w:val="00116C20"/>
    <w:rsid w:val="00120219"/>
    <w:rsid w:val="001207A6"/>
    <w:rsid w:val="001234AE"/>
    <w:rsid w:val="00125F0E"/>
    <w:rsid w:val="0012727A"/>
    <w:rsid w:val="00127E7E"/>
    <w:rsid w:val="00130994"/>
    <w:rsid w:val="0013192D"/>
    <w:rsid w:val="00131B9C"/>
    <w:rsid w:val="00131E8D"/>
    <w:rsid w:val="0013417D"/>
    <w:rsid w:val="0013647D"/>
    <w:rsid w:val="00137270"/>
    <w:rsid w:val="00142E05"/>
    <w:rsid w:val="001438E3"/>
    <w:rsid w:val="00143C3B"/>
    <w:rsid w:val="00144A93"/>
    <w:rsid w:val="00145FF3"/>
    <w:rsid w:val="001463B8"/>
    <w:rsid w:val="00147093"/>
    <w:rsid w:val="00150640"/>
    <w:rsid w:val="00152545"/>
    <w:rsid w:val="001537CE"/>
    <w:rsid w:val="001561AF"/>
    <w:rsid w:val="00156C8F"/>
    <w:rsid w:val="00160030"/>
    <w:rsid w:val="00161DC2"/>
    <w:rsid w:val="001624E8"/>
    <w:rsid w:val="001650EE"/>
    <w:rsid w:val="00172DA8"/>
    <w:rsid w:val="001749A5"/>
    <w:rsid w:val="00174B0E"/>
    <w:rsid w:val="0017598B"/>
    <w:rsid w:val="00175BE9"/>
    <w:rsid w:val="00181457"/>
    <w:rsid w:val="001836F5"/>
    <w:rsid w:val="00183ACC"/>
    <w:rsid w:val="001850F9"/>
    <w:rsid w:val="001862C7"/>
    <w:rsid w:val="00190878"/>
    <w:rsid w:val="00190DE8"/>
    <w:rsid w:val="001910DA"/>
    <w:rsid w:val="00191751"/>
    <w:rsid w:val="00192C9E"/>
    <w:rsid w:val="00193AFC"/>
    <w:rsid w:val="00193DA2"/>
    <w:rsid w:val="001951A4"/>
    <w:rsid w:val="00195A6B"/>
    <w:rsid w:val="001A0561"/>
    <w:rsid w:val="001A43CA"/>
    <w:rsid w:val="001A5BBC"/>
    <w:rsid w:val="001A5FB1"/>
    <w:rsid w:val="001A6A7E"/>
    <w:rsid w:val="001B1F0E"/>
    <w:rsid w:val="001B2F02"/>
    <w:rsid w:val="001B33FD"/>
    <w:rsid w:val="001B38E2"/>
    <w:rsid w:val="001B49A7"/>
    <w:rsid w:val="001B51C5"/>
    <w:rsid w:val="001B52E9"/>
    <w:rsid w:val="001C017C"/>
    <w:rsid w:val="001C0FDB"/>
    <w:rsid w:val="001C395C"/>
    <w:rsid w:val="001C4913"/>
    <w:rsid w:val="001C4921"/>
    <w:rsid w:val="001C77F9"/>
    <w:rsid w:val="001D06ED"/>
    <w:rsid w:val="001D1B96"/>
    <w:rsid w:val="001D2A22"/>
    <w:rsid w:val="001D437A"/>
    <w:rsid w:val="001D5F92"/>
    <w:rsid w:val="001E16DC"/>
    <w:rsid w:val="001E202F"/>
    <w:rsid w:val="001E2221"/>
    <w:rsid w:val="001E34E7"/>
    <w:rsid w:val="001E51C5"/>
    <w:rsid w:val="001E5DA2"/>
    <w:rsid w:val="001F018B"/>
    <w:rsid w:val="001F1C42"/>
    <w:rsid w:val="001F2282"/>
    <w:rsid w:val="001F308D"/>
    <w:rsid w:val="001F4C2D"/>
    <w:rsid w:val="001F69CF"/>
    <w:rsid w:val="00202760"/>
    <w:rsid w:val="002033B3"/>
    <w:rsid w:val="002051E5"/>
    <w:rsid w:val="0020679D"/>
    <w:rsid w:val="00211B63"/>
    <w:rsid w:val="002144FC"/>
    <w:rsid w:val="0021492A"/>
    <w:rsid w:val="00217525"/>
    <w:rsid w:val="002205F4"/>
    <w:rsid w:val="00220D72"/>
    <w:rsid w:val="00224C62"/>
    <w:rsid w:val="002258EE"/>
    <w:rsid w:val="00226640"/>
    <w:rsid w:val="00226CC3"/>
    <w:rsid w:val="00231519"/>
    <w:rsid w:val="00231B28"/>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779A2"/>
    <w:rsid w:val="00280261"/>
    <w:rsid w:val="0028058F"/>
    <w:rsid w:val="00282AEC"/>
    <w:rsid w:val="00282C90"/>
    <w:rsid w:val="00284D6F"/>
    <w:rsid w:val="00285DA3"/>
    <w:rsid w:val="002863C4"/>
    <w:rsid w:val="00291424"/>
    <w:rsid w:val="002923A7"/>
    <w:rsid w:val="00294F9D"/>
    <w:rsid w:val="002961BD"/>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C5B47"/>
    <w:rsid w:val="002C5F07"/>
    <w:rsid w:val="002D0B75"/>
    <w:rsid w:val="002D21CD"/>
    <w:rsid w:val="002D30E6"/>
    <w:rsid w:val="002D63B3"/>
    <w:rsid w:val="002D7B15"/>
    <w:rsid w:val="002D7BA5"/>
    <w:rsid w:val="002D7FA0"/>
    <w:rsid w:val="002E087D"/>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3E0"/>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45AD"/>
    <w:rsid w:val="00396255"/>
    <w:rsid w:val="00397F3C"/>
    <w:rsid w:val="003A0D11"/>
    <w:rsid w:val="003A57EF"/>
    <w:rsid w:val="003A6498"/>
    <w:rsid w:val="003A67D3"/>
    <w:rsid w:val="003A6B4B"/>
    <w:rsid w:val="003A6C5E"/>
    <w:rsid w:val="003B19CC"/>
    <w:rsid w:val="003B4896"/>
    <w:rsid w:val="003B4B60"/>
    <w:rsid w:val="003B6BFD"/>
    <w:rsid w:val="003B7E8E"/>
    <w:rsid w:val="003C2267"/>
    <w:rsid w:val="003C3F29"/>
    <w:rsid w:val="003C3F58"/>
    <w:rsid w:val="003C566D"/>
    <w:rsid w:val="003C6426"/>
    <w:rsid w:val="003C64F3"/>
    <w:rsid w:val="003C740F"/>
    <w:rsid w:val="003D0DC8"/>
    <w:rsid w:val="003D42E5"/>
    <w:rsid w:val="003D4A9E"/>
    <w:rsid w:val="003D4B45"/>
    <w:rsid w:val="003D7CFE"/>
    <w:rsid w:val="003E0A0B"/>
    <w:rsid w:val="003E0BC8"/>
    <w:rsid w:val="003E1C5F"/>
    <w:rsid w:val="003E4CB5"/>
    <w:rsid w:val="003E6168"/>
    <w:rsid w:val="003E76C5"/>
    <w:rsid w:val="003F0481"/>
    <w:rsid w:val="003F0A59"/>
    <w:rsid w:val="003F44F5"/>
    <w:rsid w:val="003F4747"/>
    <w:rsid w:val="00400EA4"/>
    <w:rsid w:val="00403008"/>
    <w:rsid w:val="00403E7A"/>
    <w:rsid w:val="004065C1"/>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2BE2"/>
    <w:rsid w:val="00475446"/>
    <w:rsid w:val="00477B8F"/>
    <w:rsid w:val="0048057E"/>
    <w:rsid w:val="00481B00"/>
    <w:rsid w:val="00481BCA"/>
    <w:rsid w:val="0048384E"/>
    <w:rsid w:val="00485B80"/>
    <w:rsid w:val="004860FC"/>
    <w:rsid w:val="00491411"/>
    <w:rsid w:val="004969B8"/>
    <w:rsid w:val="00497788"/>
    <w:rsid w:val="004A5048"/>
    <w:rsid w:val="004A5542"/>
    <w:rsid w:val="004B5ADB"/>
    <w:rsid w:val="004B7156"/>
    <w:rsid w:val="004B722B"/>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09CA"/>
    <w:rsid w:val="00520F9F"/>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47DC"/>
    <w:rsid w:val="00547768"/>
    <w:rsid w:val="0055071D"/>
    <w:rsid w:val="00552769"/>
    <w:rsid w:val="00553DF9"/>
    <w:rsid w:val="00556450"/>
    <w:rsid w:val="00560910"/>
    <w:rsid w:val="00561B3D"/>
    <w:rsid w:val="00562168"/>
    <w:rsid w:val="005646D7"/>
    <w:rsid w:val="0057122B"/>
    <w:rsid w:val="005724B5"/>
    <w:rsid w:val="00572F5A"/>
    <w:rsid w:val="005767BE"/>
    <w:rsid w:val="0057733A"/>
    <w:rsid w:val="00580CF6"/>
    <w:rsid w:val="0058405B"/>
    <w:rsid w:val="005849F5"/>
    <w:rsid w:val="00586E8C"/>
    <w:rsid w:val="00587689"/>
    <w:rsid w:val="0059013A"/>
    <w:rsid w:val="005903F7"/>
    <w:rsid w:val="00591EE9"/>
    <w:rsid w:val="00593DCA"/>
    <w:rsid w:val="005A009A"/>
    <w:rsid w:val="005A13F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D7CA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6D4"/>
    <w:rsid w:val="0062570F"/>
    <w:rsid w:val="006309AF"/>
    <w:rsid w:val="00633D94"/>
    <w:rsid w:val="00636E5E"/>
    <w:rsid w:val="006418DC"/>
    <w:rsid w:val="00643A38"/>
    <w:rsid w:val="00645E24"/>
    <w:rsid w:val="006460F4"/>
    <w:rsid w:val="006478A8"/>
    <w:rsid w:val="0065068A"/>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64F"/>
    <w:rsid w:val="00672C12"/>
    <w:rsid w:val="00674530"/>
    <w:rsid w:val="0067488E"/>
    <w:rsid w:val="00674942"/>
    <w:rsid w:val="006754BB"/>
    <w:rsid w:val="006758BC"/>
    <w:rsid w:val="00676CC9"/>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486"/>
    <w:rsid w:val="006A454A"/>
    <w:rsid w:val="006A6322"/>
    <w:rsid w:val="006B126A"/>
    <w:rsid w:val="006B47F4"/>
    <w:rsid w:val="006B5776"/>
    <w:rsid w:val="006C170C"/>
    <w:rsid w:val="006C2D94"/>
    <w:rsid w:val="006C3B27"/>
    <w:rsid w:val="006C4E91"/>
    <w:rsid w:val="006C638B"/>
    <w:rsid w:val="006C65BB"/>
    <w:rsid w:val="006C7ED5"/>
    <w:rsid w:val="006D1379"/>
    <w:rsid w:val="006D1AFF"/>
    <w:rsid w:val="006D40C4"/>
    <w:rsid w:val="006D4368"/>
    <w:rsid w:val="006E20CE"/>
    <w:rsid w:val="006E2B35"/>
    <w:rsid w:val="006E472E"/>
    <w:rsid w:val="006E5984"/>
    <w:rsid w:val="006F55E9"/>
    <w:rsid w:val="007012CF"/>
    <w:rsid w:val="007013D8"/>
    <w:rsid w:val="00702917"/>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47ABC"/>
    <w:rsid w:val="00751F7B"/>
    <w:rsid w:val="00753B73"/>
    <w:rsid w:val="00753D2B"/>
    <w:rsid w:val="00754B72"/>
    <w:rsid w:val="00755684"/>
    <w:rsid w:val="00755872"/>
    <w:rsid w:val="00755F1F"/>
    <w:rsid w:val="007564BC"/>
    <w:rsid w:val="00756E9B"/>
    <w:rsid w:val="00757C2B"/>
    <w:rsid w:val="00760793"/>
    <w:rsid w:val="00760845"/>
    <w:rsid w:val="0076127B"/>
    <w:rsid w:val="00762450"/>
    <w:rsid w:val="007649A8"/>
    <w:rsid w:val="00766517"/>
    <w:rsid w:val="00766BBE"/>
    <w:rsid w:val="00775FAB"/>
    <w:rsid w:val="00777310"/>
    <w:rsid w:val="007800DA"/>
    <w:rsid w:val="0078065A"/>
    <w:rsid w:val="00784994"/>
    <w:rsid w:val="00784A71"/>
    <w:rsid w:val="00786818"/>
    <w:rsid w:val="007954C7"/>
    <w:rsid w:val="00795E38"/>
    <w:rsid w:val="007A1631"/>
    <w:rsid w:val="007A1D81"/>
    <w:rsid w:val="007A1D9C"/>
    <w:rsid w:val="007A6C7D"/>
    <w:rsid w:val="007B0E73"/>
    <w:rsid w:val="007B5052"/>
    <w:rsid w:val="007B5AC4"/>
    <w:rsid w:val="007B6A0C"/>
    <w:rsid w:val="007B6A7D"/>
    <w:rsid w:val="007B7D24"/>
    <w:rsid w:val="007C1A67"/>
    <w:rsid w:val="007C33A1"/>
    <w:rsid w:val="007C3B20"/>
    <w:rsid w:val="007C41DE"/>
    <w:rsid w:val="007C506F"/>
    <w:rsid w:val="007C7FBC"/>
    <w:rsid w:val="007D2722"/>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1942"/>
    <w:rsid w:val="00811A92"/>
    <w:rsid w:val="00814594"/>
    <w:rsid w:val="0082589E"/>
    <w:rsid w:val="008325B7"/>
    <w:rsid w:val="00832BEC"/>
    <w:rsid w:val="00832D4D"/>
    <w:rsid w:val="008377E1"/>
    <w:rsid w:val="00842ADC"/>
    <w:rsid w:val="0084340D"/>
    <w:rsid w:val="00843913"/>
    <w:rsid w:val="00843D05"/>
    <w:rsid w:val="008464C6"/>
    <w:rsid w:val="00851BB2"/>
    <w:rsid w:val="00851F8D"/>
    <w:rsid w:val="00852F2A"/>
    <w:rsid w:val="00853AAF"/>
    <w:rsid w:val="00854DB2"/>
    <w:rsid w:val="008551A0"/>
    <w:rsid w:val="0085755A"/>
    <w:rsid w:val="00861876"/>
    <w:rsid w:val="008649AB"/>
    <w:rsid w:val="00864B6F"/>
    <w:rsid w:val="00865600"/>
    <w:rsid w:val="008657F2"/>
    <w:rsid w:val="00870F4D"/>
    <w:rsid w:val="008724E3"/>
    <w:rsid w:val="00872A52"/>
    <w:rsid w:val="00873C23"/>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13C"/>
    <w:rsid w:val="008A3B1E"/>
    <w:rsid w:val="008B0429"/>
    <w:rsid w:val="008B26CA"/>
    <w:rsid w:val="008B26EB"/>
    <w:rsid w:val="008B354C"/>
    <w:rsid w:val="008B49B5"/>
    <w:rsid w:val="008C08FC"/>
    <w:rsid w:val="008C38EA"/>
    <w:rsid w:val="008C3C7A"/>
    <w:rsid w:val="008C40C9"/>
    <w:rsid w:val="008C7F3C"/>
    <w:rsid w:val="008D6912"/>
    <w:rsid w:val="008D6BF4"/>
    <w:rsid w:val="008D792C"/>
    <w:rsid w:val="008E1E64"/>
    <w:rsid w:val="008E251D"/>
    <w:rsid w:val="008E5B01"/>
    <w:rsid w:val="008E5DEB"/>
    <w:rsid w:val="008F2F8D"/>
    <w:rsid w:val="008F3039"/>
    <w:rsid w:val="008F3EC0"/>
    <w:rsid w:val="008F463D"/>
    <w:rsid w:val="008F46F0"/>
    <w:rsid w:val="008F59E5"/>
    <w:rsid w:val="008F72A0"/>
    <w:rsid w:val="00900F34"/>
    <w:rsid w:val="009035EA"/>
    <w:rsid w:val="00906526"/>
    <w:rsid w:val="009065BE"/>
    <w:rsid w:val="00907BAF"/>
    <w:rsid w:val="00911167"/>
    <w:rsid w:val="00912674"/>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22FA"/>
    <w:rsid w:val="00983099"/>
    <w:rsid w:val="00986E21"/>
    <w:rsid w:val="00991097"/>
    <w:rsid w:val="00991623"/>
    <w:rsid w:val="0099203B"/>
    <w:rsid w:val="0099353C"/>
    <w:rsid w:val="0099424A"/>
    <w:rsid w:val="009947C9"/>
    <w:rsid w:val="00994CD1"/>
    <w:rsid w:val="0099684D"/>
    <w:rsid w:val="009A0B29"/>
    <w:rsid w:val="009A24C0"/>
    <w:rsid w:val="009A24D0"/>
    <w:rsid w:val="009A3F86"/>
    <w:rsid w:val="009A4D90"/>
    <w:rsid w:val="009A5D77"/>
    <w:rsid w:val="009A602B"/>
    <w:rsid w:val="009A72CA"/>
    <w:rsid w:val="009B093A"/>
    <w:rsid w:val="009B0C9D"/>
    <w:rsid w:val="009B32D6"/>
    <w:rsid w:val="009B3DBF"/>
    <w:rsid w:val="009B5613"/>
    <w:rsid w:val="009C2A48"/>
    <w:rsid w:val="009C53E5"/>
    <w:rsid w:val="009C623F"/>
    <w:rsid w:val="009D0BE3"/>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4107"/>
    <w:rsid w:val="00A02C72"/>
    <w:rsid w:val="00A05C29"/>
    <w:rsid w:val="00A0714B"/>
    <w:rsid w:val="00A115F8"/>
    <w:rsid w:val="00A11A38"/>
    <w:rsid w:val="00A12931"/>
    <w:rsid w:val="00A158DF"/>
    <w:rsid w:val="00A20A87"/>
    <w:rsid w:val="00A210D4"/>
    <w:rsid w:val="00A23BAD"/>
    <w:rsid w:val="00A2745F"/>
    <w:rsid w:val="00A27677"/>
    <w:rsid w:val="00A332A4"/>
    <w:rsid w:val="00A36366"/>
    <w:rsid w:val="00A379A4"/>
    <w:rsid w:val="00A42036"/>
    <w:rsid w:val="00A45C89"/>
    <w:rsid w:val="00A464E4"/>
    <w:rsid w:val="00A465A0"/>
    <w:rsid w:val="00A4691A"/>
    <w:rsid w:val="00A53F09"/>
    <w:rsid w:val="00A53FEC"/>
    <w:rsid w:val="00A54E27"/>
    <w:rsid w:val="00A573C8"/>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00E0"/>
    <w:rsid w:val="00AB18FF"/>
    <w:rsid w:val="00AB23E8"/>
    <w:rsid w:val="00AB2572"/>
    <w:rsid w:val="00AB3130"/>
    <w:rsid w:val="00AB3461"/>
    <w:rsid w:val="00AB502B"/>
    <w:rsid w:val="00AB714D"/>
    <w:rsid w:val="00AB728D"/>
    <w:rsid w:val="00AB767F"/>
    <w:rsid w:val="00AC5EAF"/>
    <w:rsid w:val="00AC70B9"/>
    <w:rsid w:val="00AD093F"/>
    <w:rsid w:val="00AD1492"/>
    <w:rsid w:val="00AD24A6"/>
    <w:rsid w:val="00AD2804"/>
    <w:rsid w:val="00AD2B2D"/>
    <w:rsid w:val="00AD60CF"/>
    <w:rsid w:val="00AD7BF3"/>
    <w:rsid w:val="00AE2A0F"/>
    <w:rsid w:val="00AE398C"/>
    <w:rsid w:val="00AE4078"/>
    <w:rsid w:val="00AE4677"/>
    <w:rsid w:val="00AE6B8E"/>
    <w:rsid w:val="00AF29BA"/>
    <w:rsid w:val="00AF3165"/>
    <w:rsid w:val="00AF3170"/>
    <w:rsid w:val="00AF56F6"/>
    <w:rsid w:val="00AF6E60"/>
    <w:rsid w:val="00AF746C"/>
    <w:rsid w:val="00B02E66"/>
    <w:rsid w:val="00B04F39"/>
    <w:rsid w:val="00B10E7C"/>
    <w:rsid w:val="00B114F7"/>
    <w:rsid w:val="00B151B6"/>
    <w:rsid w:val="00B1656A"/>
    <w:rsid w:val="00B17D01"/>
    <w:rsid w:val="00B21A3F"/>
    <w:rsid w:val="00B2276D"/>
    <w:rsid w:val="00B2388D"/>
    <w:rsid w:val="00B255EE"/>
    <w:rsid w:val="00B26013"/>
    <w:rsid w:val="00B3089A"/>
    <w:rsid w:val="00B31323"/>
    <w:rsid w:val="00B32E84"/>
    <w:rsid w:val="00B344FA"/>
    <w:rsid w:val="00B3468B"/>
    <w:rsid w:val="00B35B89"/>
    <w:rsid w:val="00B363BB"/>
    <w:rsid w:val="00B36C98"/>
    <w:rsid w:val="00B37206"/>
    <w:rsid w:val="00B40EB5"/>
    <w:rsid w:val="00B4569C"/>
    <w:rsid w:val="00B47C76"/>
    <w:rsid w:val="00B51AF9"/>
    <w:rsid w:val="00B53056"/>
    <w:rsid w:val="00B547E6"/>
    <w:rsid w:val="00B55452"/>
    <w:rsid w:val="00B56C5F"/>
    <w:rsid w:val="00B62C34"/>
    <w:rsid w:val="00B64379"/>
    <w:rsid w:val="00B65646"/>
    <w:rsid w:val="00B72467"/>
    <w:rsid w:val="00B73158"/>
    <w:rsid w:val="00B73845"/>
    <w:rsid w:val="00B7794A"/>
    <w:rsid w:val="00B85E0C"/>
    <w:rsid w:val="00B92AAE"/>
    <w:rsid w:val="00B93825"/>
    <w:rsid w:val="00B93855"/>
    <w:rsid w:val="00B95B67"/>
    <w:rsid w:val="00B96872"/>
    <w:rsid w:val="00B97E39"/>
    <w:rsid w:val="00BA59F2"/>
    <w:rsid w:val="00BA6BA5"/>
    <w:rsid w:val="00BB0ED2"/>
    <w:rsid w:val="00BB12D6"/>
    <w:rsid w:val="00BB1F20"/>
    <w:rsid w:val="00BB2A2E"/>
    <w:rsid w:val="00BB36EC"/>
    <w:rsid w:val="00BB44B1"/>
    <w:rsid w:val="00BB66F0"/>
    <w:rsid w:val="00BC0725"/>
    <w:rsid w:val="00BC0A56"/>
    <w:rsid w:val="00BC1689"/>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4B92"/>
    <w:rsid w:val="00BE58F6"/>
    <w:rsid w:val="00BE698A"/>
    <w:rsid w:val="00BE77DF"/>
    <w:rsid w:val="00BE7F12"/>
    <w:rsid w:val="00BF0C07"/>
    <w:rsid w:val="00BF1831"/>
    <w:rsid w:val="00BF36FD"/>
    <w:rsid w:val="00BF5BE5"/>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408"/>
    <w:rsid w:val="00C63D25"/>
    <w:rsid w:val="00C6401D"/>
    <w:rsid w:val="00C66FA3"/>
    <w:rsid w:val="00C67FB2"/>
    <w:rsid w:val="00C72ED8"/>
    <w:rsid w:val="00C74527"/>
    <w:rsid w:val="00C74F96"/>
    <w:rsid w:val="00C75E59"/>
    <w:rsid w:val="00C77132"/>
    <w:rsid w:val="00C7717E"/>
    <w:rsid w:val="00C777C5"/>
    <w:rsid w:val="00C861A3"/>
    <w:rsid w:val="00C904C7"/>
    <w:rsid w:val="00C91386"/>
    <w:rsid w:val="00C9366F"/>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29E3"/>
    <w:rsid w:val="00CC7AB7"/>
    <w:rsid w:val="00CD3495"/>
    <w:rsid w:val="00CD6E5A"/>
    <w:rsid w:val="00CD72E1"/>
    <w:rsid w:val="00CD7845"/>
    <w:rsid w:val="00CE118A"/>
    <w:rsid w:val="00CE7748"/>
    <w:rsid w:val="00CE7EBD"/>
    <w:rsid w:val="00CF0A7F"/>
    <w:rsid w:val="00CF3F10"/>
    <w:rsid w:val="00CF747F"/>
    <w:rsid w:val="00D00233"/>
    <w:rsid w:val="00D02BCE"/>
    <w:rsid w:val="00D04B0E"/>
    <w:rsid w:val="00D056CE"/>
    <w:rsid w:val="00D057BF"/>
    <w:rsid w:val="00D073F9"/>
    <w:rsid w:val="00D1355C"/>
    <w:rsid w:val="00D15DC5"/>
    <w:rsid w:val="00D16262"/>
    <w:rsid w:val="00D1670A"/>
    <w:rsid w:val="00D168D0"/>
    <w:rsid w:val="00D16D63"/>
    <w:rsid w:val="00D176BB"/>
    <w:rsid w:val="00D2050D"/>
    <w:rsid w:val="00D20629"/>
    <w:rsid w:val="00D264EA"/>
    <w:rsid w:val="00D31D1A"/>
    <w:rsid w:val="00D328B5"/>
    <w:rsid w:val="00D32ADB"/>
    <w:rsid w:val="00D33152"/>
    <w:rsid w:val="00D3326E"/>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97A38"/>
    <w:rsid w:val="00DA585B"/>
    <w:rsid w:val="00DA63DA"/>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57F4"/>
    <w:rsid w:val="00DD72DD"/>
    <w:rsid w:val="00DE2B10"/>
    <w:rsid w:val="00DE2FD1"/>
    <w:rsid w:val="00DE43FB"/>
    <w:rsid w:val="00DE4737"/>
    <w:rsid w:val="00DE61E0"/>
    <w:rsid w:val="00DF1513"/>
    <w:rsid w:val="00DF15AF"/>
    <w:rsid w:val="00DF2728"/>
    <w:rsid w:val="00E017CE"/>
    <w:rsid w:val="00E01EDC"/>
    <w:rsid w:val="00E049B7"/>
    <w:rsid w:val="00E0577F"/>
    <w:rsid w:val="00E05EED"/>
    <w:rsid w:val="00E100D5"/>
    <w:rsid w:val="00E129A2"/>
    <w:rsid w:val="00E142CD"/>
    <w:rsid w:val="00E1546C"/>
    <w:rsid w:val="00E15573"/>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592"/>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867C3"/>
    <w:rsid w:val="00E90070"/>
    <w:rsid w:val="00E9293F"/>
    <w:rsid w:val="00E94C2D"/>
    <w:rsid w:val="00EA2D86"/>
    <w:rsid w:val="00EA2DB4"/>
    <w:rsid w:val="00EA3CE3"/>
    <w:rsid w:val="00EA4ABB"/>
    <w:rsid w:val="00EA4C11"/>
    <w:rsid w:val="00EB09B1"/>
    <w:rsid w:val="00EB14B3"/>
    <w:rsid w:val="00EB3291"/>
    <w:rsid w:val="00EB3DF8"/>
    <w:rsid w:val="00EB4F14"/>
    <w:rsid w:val="00EB5002"/>
    <w:rsid w:val="00EB5096"/>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2C8F"/>
    <w:rsid w:val="00F031C2"/>
    <w:rsid w:val="00F03615"/>
    <w:rsid w:val="00F03B5D"/>
    <w:rsid w:val="00F04141"/>
    <w:rsid w:val="00F05A8C"/>
    <w:rsid w:val="00F10336"/>
    <w:rsid w:val="00F20DFF"/>
    <w:rsid w:val="00F22026"/>
    <w:rsid w:val="00F253E1"/>
    <w:rsid w:val="00F258ED"/>
    <w:rsid w:val="00F260DC"/>
    <w:rsid w:val="00F270D0"/>
    <w:rsid w:val="00F33CBE"/>
    <w:rsid w:val="00F34A7C"/>
    <w:rsid w:val="00F35CCD"/>
    <w:rsid w:val="00F3745C"/>
    <w:rsid w:val="00F37D47"/>
    <w:rsid w:val="00F37D74"/>
    <w:rsid w:val="00F41D31"/>
    <w:rsid w:val="00F42302"/>
    <w:rsid w:val="00F423EC"/>
    <w:rsid w:val="00F42B1E"/>
    <w:rsid w:val="00F44BB9"/>
    <w:rsid w:val="00F45938"/>
    <w:rsid w:val="00F4765F"/>
    <w:rsid w:val="00F47D75"/>
    <w:rsid w:val="00F50667"/>
    <w:rsid w:val="00F51894"/>
    <w:rsid w:val="00F51BE7"/>
    <w:rsid w:val="00F53375"/>
    <w:rsid w:val="00F54108"/>
    <w:rsid w:val="00F56525"/>
    <w:rsid w:val="00F5739F"/>
    <w:rsid w:val="00F6074D"/>
    <w:rsid w:val="00F6282B"/>
    <w:rsid w:val="00F63101"/>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3EA"/>
    <w:rsid w:val="00F87613"/>
    <w:rsid w:val="00F87D82"/>
    <w:rsid w:val="00F92BD0"/>
    <w:rsid w:val="00F93D89"/>
    <w:rsid w:val="00F97097"/>
    <w:rsid w:val="00FA08C6"/>
    <w:rsid w:val="00FA415A"/>
    <w:rsid w:val="00FA7CF4"/>
    <w:rsid w:val="00FB3992"/>
    <w:rsid w:val="00FB39BF"/>
    <w:rsid w:val="00FB3FF8"/>
    <w:rsid w:val="00FB7255"/>
    <w:rsid w:val="00FC1EF0"/>
    <w:rsid w:val="00FC1F4B"/>
    <w:rsid w:val="00FC5670"/>
    <w:rsid w:val="00FC5B4F"/>
    <w:rsid w:val="00FC5CD1"/>
    <w:rsid w:val="00FC664D"/>
    <w:rsid w:val="00FC7F41"/>
    <w:rsid w:val="00FC7F4E"/>
    <w:rsid w:val="00FD16F0"/>
    <w:rsid w:val="00FD42D6"/>
    <w:rsid w:val="00FD6359"/>
    <w:rsid w:val="00FE0001"/>
    <w:rsid w:val="00FE0305"/>
    <w:rsid w:val="00FE0969"/>
    <w:rsid w:val="00FE2EFC"/>
    <w:rsid w:val="00FE3251"/>
    <w:rsid w:val="00FE3841"/>
    <w:rsid w:val="00FE3AFD"/>
    <w:rsid w:val="00FE6557"/>
    <w:rsid w:val="00FE7AE2"/>
    <w:rsid w:val="00FF2054"/>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1E5"/>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C4921"/>
    <w:pPr>
      <w:keepNext/>
      <w:keepLines/>
      <w:spacing w:before="40"/>
      <w:outlineLvl w:val="2"/>
    </w:pPr>
    <w:rPr>
      <w:rFonts w:ascii="Calibri Light" w:hAnsi="Calibri Light"/>
      <w:color w:val="1F3763"/>
      <w:lang w:eastAsia="en-US"/>
    </w:rPr>
  </w:style>
  <w:style w:type="paragraph" w:styleId="Ttulo4">
    <w:name w:val="heading 4"/>
    <w:basedOn w:val="Normal"/>
    <w:next w:val="Normal"/>
    <w:link w:val="Ttulo4Car"/>
    <w:uiPriority w:val="9"/>
    <w:semiHidden/>
    <w:unhideWhenUsed/>
    <w:qFormat/>
    <w:rsid w:val="001C4921"/>
    <w:pPr>
      <w:keepNext/>
      <w:keepLines/>
      <w:spacing w:before="40"/>
      <w:outlineLvl w:val="3"/>
    </w:pPr>
    <w:rPr>
      <w:rFonts w:ascii="Calibri Light" w:hAnsi="Calibri Light"/>
      <w:i/>
      <w:iCs/>
      <w:color w:val="2F5496"/>
      <w:lang w:eastAsia="en-US"/>
    </w:rPr>
  </w:style>
  <w:style w:type="paragraph" w:styleId="Ttulo5">
    <w:name w:val="heading 5"/>
    <w:basedOn w:val="Normal"/>
    <w:next w:val="Normal"/>
    <w:link w:val="Ttulo5Car"/>
    <w:uiPriority w:val="9"/>
    <w:semiHidden/>
    <w:unhideWhenUsed/>
    <w:qFormat/>
    <w:rsid w:val="001C4921"/>
    <w:pPr>
      <w:keepNext/>
      <w:keepLines/>
      <w:spacing w:before="40"/>
      <w:outlineLvl w:val="4"/>
    </w:pPr>
    <w:rPr>
      <w:rFonts w:ascii="Calibri Light" w:hAnsi="Calibri Light"/>
      <w:color w:val="2F5496"/>
      <w:lang w:eastAsia="en-US"/>
    </w:rPr>
  </w:style>
  <w:style w:type="paragraph" w:styleId="Ttulo6">
    <w:name w:val="heading 6"/>
    <w:basedOn w:val="Normal"/>
    <w:next w:val="Normal"/>
    <w:link w:val="Ttulo6Car"/>
    <w:uiPriority w:val="9"/>
    <w:semiHidden/>
    <w:unhideWhenUsed/>
    <w:qFormat/>
    <w:rsid w:val="001C4921"/>
    <w:pPr>
      <w:keepNext/>
      <w:keepLines/>
      <w:spacing w:before="40"/>
      <w:outlineLvl w:val="5"/>
    </w:pPr>
    <w:rPr>
      <w:rFonts w:ascii="Calibri Light" w:hAnsi="Calibri Light"/>
      <w:color w:val="1F3763"/>
      <w:lang w:eastAsia="en-US"/>
    </w:rPr>
  </w:style>
  <w:style w:type="paragraph" w:styleId="Ttulo7">
    <w:name w:val="heading 7"/>
    <w:basedOn w:val="Normal"/>
    <w:next w:val="Normal"/>
    <w:link w:val="Ttulo7Car"/>
    <w:uiPriority w:val="9"/>
    <w:semiHidden/>
    <w:unhideWhenUsed/>
    <w:qFormat/>
    <w:rsid w:val="001C4921"/>
    <w:pPr>
      <w:keepNext/>
      <w:keepLines/>
      <w:spacing w:before="40"/>
      <w:outlineLvl w:val="6"/>
    </w:pPr>
    <w:rPr>
      <w:rFonts w:ascii="Calibri Light" w:hAnsi="Calibri Light"/>
      <w:i/>
      <w:iCs/>
      <w:color w:val="1F3763"/>
      <w:lang w:eastAsia="en-US"/>
    </w:rPr>
  </w:style>
  <w:style w:type="paragraph" w:styleId="Ttulo8">
    <w:name w:val="heading 8"/>
    <w:basedOn w:val="Normal"/>
    <w:next w:val="Normal"/>
    <w:link w:val="Ttulo8Car"/>
    <w:uiPriority w:val="9"/>
    <w:semiHidden/>
    <w:unhideWhenUsed/>
    <w:qFormat/>
    <w:rsid w:val="001C4921"/>
    <w:pPr>
      <w:keepNext/>
      <w:keepLines/>
      <w:spacing w:before="40"/>
      <w:outlineLvl w:val="7"/>
    </w:pPr>
    <w:rPr>
      <w:rFonts w:ascii="Calibri Light" w:hAnsi="Calibri Light"/>
      <w:color w:val="272727"/>
      <w:sz w:val="21"/>
      <w:szCs w:val="21"/>
      <w:lang w:eastAsia="en-US"/>
    </w:rPr>
  </w:style>
  <w:style w:type="paragraph" w:styleId="Ttulo9">
    <w:name w:val="heading 9"/>
    <w:basedOn w:val="Normal"/>
    <w:next w:val="Normal"/>
    <w:link w:val="Ttulo9Car"/>
    <w:uiPriority w:val="9"/>
    <w:semiHidden/>
    <w:unhideWhenUsed/>
    <w:qFormat/>
    <w:rsid w:val="001C4921"/>
    <w:pPr>
      <w:keepNext/>
      <w:keepLines/>
      <w:spacing w:before="40"/>
      <w:outlineLvl w:val="8"/>
    </w:pPr>
    <w:rPr>
      <w:rFonts w:ascii="Calibri Light" w:hAnsi="Calibri Light"/>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Ttulo31">
    <w:name w:val="Título 31"/>
    <w:basedOn w:val="Normal"/>
    <w:next w:val="Normal"/>
    <w:uiPriority w:val="9"/>
    <w:unhideWhenUsed/>
    <w:qFormat/>
    <w:rsid w:val="001C4921"/>
    <w:pPr>
      <w:keepNext/>
      <w:keepLines/>
      <w:spacing w:before="40" w:line="259" w:lineRule="auto"/>
      <w:outlineLvl w:val="2"/>
    </w:pPr>
    <w:rPr>
      <w:rFonts w:ascii="Calibri Light" w:hAnsi="Calibri Light"/>
      <w:color w:val="1F3763"/>
      <w:lang w:eastAsia="en-US"/>
    </w:rPr>
  </w:style>
  <w:style w:type="paragraph" w:customStyle="1" w:styleId="Ttulo41">
    <w:name w:val="Título 41"/>
    <w:basedOn w:val="Normal"/>
    <w:next w:val="Normal"/>
    <w:uiPriority w:val="9"/>
    <w:unhideWhenUsed/>
    <w:qFormat/>
    <w:rsid w:val="001C4921"/>
    <w:pPr>
      <w:keepNext/>
      <w:keepLines/>
      <w:spacing w:before="40" w:line="259" w:lineRule="auto"/>
      <w:outlineLvl w:val="3"/>
    </w:pPr>
    <w:rPr>
      <w:rFonts w:ascii="Calibri Light" w:hAnsi="Calibri Light"/>
      <w:i/>
      <w:iCs/>
      <w:color w:val="2F5496"/>
      <w:sz w:val="22"/>
      <w:szCs w:val="22"/>
      <w:lang w:eastAsia="en-US"/>
    </w:rPr>
  </w:style>
  <w:style w:type="paragraph" w:customStyle="1" w:styleId="Ttulo51">
    <w:name w:val="Título 51"/>
    <w:basedOn w:val="Normal"/>
    <w:next w:val="Normal"/>
    <w:uiPriority w:val="9"/>
    <w:unhideWhenUsed/>
    <w:qFormat/>
    <w:rsid w:val="001C4921"/>
    <w:pPr>
      <w:keepNext/>
      <w:keepLines/>
      <w:spacing w:before="40" w:line="259" w:lineRule="auto"/>
      <w:outlineLvl w:val="4"/>
    </w:pPr>
    <w:rPr>
      <w:rFonts w:ascii="Calibri Light" w:hAnsi="Calibri Light"/>
      <w:color w:val="2F5496"/>
      <w:sz w:val="22"/>
      <w:szCs w:val="22"/>
      <w:lang w:eastAsia="en-US"/>
    </w:rPr>
  </w:style>
  <w:style w:type="paragraph" w:customStyle="1" w:styleId="Ttulo61">
    <w:name w:val="Título 61"/>
    <w:basedOn w:val="Normal"/>
    <w:next w:val="Normal"/>
    <w:uiPriority w:val="9"/>
    <w:unhideWhenUsed/>
    <w:qFormat/>
    <w:rsid w:val="001C4921"/>
    <w:pPr>
      <w:keepNext/>
      <w:keepLines/>
      <w:spacing w:before="40" w:line="259" w:lineRule="auto"/>
      <w:outlineLvl w:val="5"/>
    </w:pPr>
    <w:rPr>
      <w:rFonts w:ascii="Calibri Light" w:hAnsi="Calibri Light"/>
      <w:color w:val="1F3763"/>
      <w:sz w:val="22"/>
      <w:szCs w:val="22"/>
      <w:lang w:eastAsia="en-US"/>
    </w:rPr>
  </w:style>
  <w:style w:type="paragraph" w:customStyle="1" w:styleId="Ttulo71">
    <w:name w:val="Título 71"/>
    <w:basedOn w:val="Normal"/>
    <w:next w:val="Normal"/>
    <w:uiPriority w:val="9"/>
    <w:unhideWhenUsed/>
    <w:qFormat/>
    <w:rsid w:val="001C4921"/>
    <w:pPr>
      <w:keepNext/>
      <w:keepLines/>
      <w:spacing w:before="40" w:line="259" w:lineRule="auto"/>
      <w:outlineLvl w:val="6"/>
    </w:pPr>
    <w:rPr>
      <w:rFonts w:ascii="Calibri Light" w:hAnsi="Calibri Light"/>
      <w:i/>
      <w:iCs/>
      <w:color w:val="1F3763"/>
      <w:sz w:val="22"/>
      <w:szCs w:val="22"/>
      <w:lang w:eastAsia="en-US"/>
    </w:rPr>
  </w:style>
  <w:style w:type="paragraph" w:customStyle="1" w:styleId="Ttulo81">
    <w:name w:val="Título 81"/>
    <w:basedOn w:val="Normal"/>
    <w:next w:val="Normal"/>
    <w:uiPriority w:val="9"/>
    <w:unhideWhenUsed/>
    <w:qFormat/>
    <w:rsid w:val="001C4921"/>
    <w:pPr>
      <w:keepNext/>
      <w:keepLines/>
      <w:spacing w:before="40" w:line="259" w:lineRule="auto"/>
      <w:outlineLvl w:val="7"/>
    </w:pPr>
    <w:rPr>
      <w:rFonts w:ascii="Calibri Light" w:hAnsi="Calibri Light"/>
      <w:color w:val="272727"/>
      <w:sz w:val="21"/>
      <w:szCs w:val="21"/>
      <w:lang w:eastAsia="en-US"/>
    </w:rPr>
  </w:style>
  <w:style w:type="paragraph" w:customStyle="1" w:styleId="Ttulo91">
    <w:name w:val="Título 91"/>
    <w:basedOn w:val="Normal"/>
    <w:next w:val="Normal"/>
    <w:uiPriority w:val="9"/>
    <w:unhideWhenUsed/>
    <w:qFormat/>
    <w:rsid w:val="001C4921"/>
    <w:pPr>
      <w:keepNext/>
      <w:keepLines/>
      <w:spacing w:before="40" w:line="259" w:lineRule="auto"/>
      <w:outlineLvl w:val="8"/>
    </w:pPr>
    <w:rPr>
      <w:rFonts w:ascii="Calibri Light" w:hAnsi="Calibri Light"/>
      <w:i/>
      <w:iCs/>
      <w:color w:val="272727"/>
      <w:sz w:val="21"/>
      <w:szCs w:val="21"/>
      <w:lang w:eastAsia="en-US"/>
    </w:rPr>
  </w:style>
  <w:style w:type="numbering" w:customStyle="1" w:styleId="Sinlista1">
    <w:name w:val="Sin lista1"/>
    <w:next w:val="Sinlista"/>
    <w:uiPriority w:val="99"/>
    <w:semiHidden/>
    <w:unhideWhenUsed/>
    <w:rsid w:val="001C4921"/>
  </w:style>
  <w:style w:type="paragraph" w:customStyle="1" w:styleId="Ttulo10">
    <w:name w:val="Título1"/>
    <w:basedOn w:val="Normal"/>
    <w:next w:val="Normal"/>
    <w:uiPriority w:val="10"/>
    <w:qFormat/>
    <w:rsid w:val="001C4921"/>
    <w:pPr>
      <w:spacing w:line="259" w:lineRule="auto"/>
      <w:contextualSpacing/>
    </w:pPr>
    <w:rPr>
      <w:rFonts w:ascii="Calibri Light" w:hAnsi="Calibri Light"/>
      <w:sz w:val="56"/>
      <w:szCs w:val="56"/>
      <w:lang w:eastAsia="en-US"/>
    </w:rPr>
  </w:style>
  <w:style w:type="paragraph" w:customStyle="1" w:styleId="Subttulo1">
    <w:name w:val="Subtítulo1"/>
    <w:basedOn w:val="Normal"/>
    <w:next w:val="Normal"/>
    <w:uiPriority w:val="11"/>
    <w:qFormat/>
    <w:rsid w:val="001C4921"/>
    <w:pPr>
      <w:spacing w:after="160" w:line="259" w:lineRule="auto"/>
    </w:pPr>
    <w:rPr>
      <w:rFonts w:ascii="Calibri" w:hAnsi="Calibri"/>
      <w:color w:val="5A5A5A"/>
      <w:sz w:val="22"/>
      <w:szCs w:val="22"/>
      <w:lang w:eastAsia="en-US"/>
    </w:rPr>
  </w:style>
  <w:style w:type="paragraph" w:customStyle="1" w:styleId="Cita1">
    <w:name w:val="Cita1"/>
    <w:basedOn w:val="Normal"/>
    <w:next w:val="Normal"/>
    <w:uiPriority w:val="29"/>
    <w:qFormat/>
    <w:rsid w:val="001C4921"/>
    <w:pPr>
      <w:spacing w:before="200" w:after="160" w:line="259" w:lineRule="auto"/>
      <w:ind w:left="864" w:right="864"/>
      <w:jc w:val="center"/>
    </w:pPr>
    <w:rPr>
      <w:rFonts w:ascii="Calibri" w:eastAsia="Calibri" w:hAnsi="Calibri"/>
      <w:i/>
      <w:iCs/>
      <w:color w:val="404040"/>
      <w:sz w:val="22"/>
      <w:szCs w:val="22"/>
      <w:lang w:eastAsia="en-US"/>
    </w:rPr>
  </w:style>
  <w:style w:type="paragraph" w:customStyle="1" w:styleId="Citadestacada1">
    <w:name w:val="Cita destacada1"/>
    <w:basedOn w:val="Normal"/>
    <w:next w:val="Normal"/>
    <w:uiPriority w:val="30"/>
    <w:qFormat/>
    <w:rsid w:val="001C4921"/>
    <w:pPr>
      <w:spacing w:before="360" w:after="360" w:line="259" w:lineRule="auto"/>
      <w:ind w:left="864" w:right="864"/>
      <w:jc w:val="center"/>
    </w:pPr>
    <w:rPr>
      <w:rFonts w:ascii="Calibri" w:eastAsia="Calibri" w:hAnsi="Calibri"/>
      <w:i/>
      <w:iCs/>
      <w:color w:val="4472C4"/>
      <w:sz w:val="22"/>
      <w:szCs w:val="22"/>
      <w:lang w:eastAsia="en-US"/>
    </w:rPr>
  </w:style>
  <w:style w:type="character" w:customStyle="1" w:styleId="Ttulo3Car">
    <w:name w:val="Título 3 Car"/>
    <w:basedOn w:val="Fuentedeprrafopredeter"/>
    <w:link w:val="Ttulo3"/>
    <w:uiPriority w:val="9"/>
    <w:rsid w:val="001C4921"/>
    <w:rPr>
      <w:rFonts w:ascii="Calibri Light" w:eastAsia="Times New Roman" w:hAnsi="Calibri Light" w:cs="Times New Roman"/>
      <w:noProof w:val="0"/>
      <w:color w:val="1F3763"/>
      <w:sz w:val="24"/>
      <w:szCs w:val="24"/>
      <w:lang w:val="es-CR"/>
    </w:rPr>
  </w:style>
  <w:style w:type="character" w:customStyle="1" w:styleId="Ttulo4Car">
    <w:name w:val="Título 4 Car"/>
    <w:basedOn w:val="Fuentedeprrafopredeter"/>
    <w:link w:val="Ttulo4"/>
    <w:uiPriority w:val="9"/>
    <w:rsid w:val="001C4921"/>
    <w:rPr>
      <w:rFonts w:ascii="Calibri Light" w:eastAsia="Times New Roman" w:hAnsi="Calibri Light" w:cs="Times New Roman"/>
      <w:i/>
      <w:iCs/>
      <w:noProof w:val="0"/>
      <w:color w:val="2F5496"/>
      <w:lang w:val="es-CR"/>
    </w:rPr>
  </w:style>
  <w:style w:type="character" w:customStyle="1" w:styleId="Ttulo5Car">
    <w:name w:val="Título 5 Car"/>
    <w:basedOn w:val="Fuentedeprrafopredeter"/>
    <w:link w:val="Ttulo5"/>
    <w:uiPriority w:val="9"/>
    <w:rsid w:val="001C4921"/>
    <w:rPr>
      <w:rFonts w:ascii="Calibri Light" w:eastAsia="Times New Roman" w:hAnsi="Calibri Light" w:cs="Times New Roman"/>
      <w:noProof w:val="0"/>
      <w:color w:val="2F5496"/>
      <w:lang w:val="es-CR"/>
    </w:rPr>
  </w:style>
  <w:style w:type="character" w:customStyle="1" w:styleId="Ttulo6Car">
    <w:name w:val="Título 6 Car"/>
    <w:basedOn w:val="Fuentedeprrafopredeter"/>
    <w:link w:val="Ttulo6"/>
    <w:uiPriority w:val="9"/>
    <w:rsid w:val="001C4921"/>
    <w:rPr>
      <w:rFonts w:ascii="Calibri Light" w:eastAsia="Times New Roman" w:hAnsi="Calibri Light" w:cs="Times New Roman"/>
      <w:noProof w:val="0"/>
      <w:color w:val="1F3763"/>
      <w:lang w:val="es-CR"/>
    </w:rPr>
  </w:style>
  <w:style w:type="character" w:customStyle="1" w:styleId="Ttulo7Car">
    <w:name w:val="Título 7 Car"/>
    <w:basedOn w:val="Fuentedeprrafopredeter"/>
    <w:link w:val="Ttulo7"/>
    <w:uiPriority w:val="9"/>
    <w:rsid w:val="001C4921"/>
    <w:rPr>
      <w:rFonts w:ascii="Calibri Light" w:eastAsia="Times New Roman" w:hAnsi="Calibri Light" w:cs="Times New Roman"/>
      <w:i/>
      <w:iCs/>
      <w:noProof w:val="0"/>
      <w:color w:val="1F3763"/>
      <w:lang w:val="es-CR"/>
    </w:rPr>
  </w:style>
  <w:style w:type="character" w:customStyle="1" w:styleId="Ttulo8Car">
    <w:name w:val="Título 8 Car"/>
    <w:basedOn w:val="Fuentedeprrafopredeter"/>
    <w:link w:val="Ttulo8"/>
    <w:uiPriority w:val="9"/>
    <w:rsid w:val="001C4921"/>
    <w:rPr>
      <w:rFonts w:ascii="Calibri Light" w:eastAsia="Times New Roman" w:hAnsi="Calibri Light" w:cs="Times New Roman"/>
      <w:noProof w:val="0"/>
      <w:color w:val="272727"/>
      <w:sz w:val="21"/>
      <w:szCs w:val="21"/>
      <w:lang w:val="es-CR"/>
    </w:rPr>
  </w:style>
  <w:style w:type="character" w:customStyle="1" w:styleId="Ttulo9Car">
    <w:name w:val="Título 9 Car"/>
    <w:basedOn w:val="Fuentedeprrafopredeter"/>
    <w:link w:val="Ttulo9"/>
    <w:uiPriority w:val="9"/>
    <w:rsid w:val="001C4921"/>
    <w:rPr>
      <w:rFonts w:ascii="Calibri Light" w:eastAsia="Times New Roman" w:hAnsi="Calibri Light" w:cs="Times New Roman"/>
      <w:i/>
      <w:iCs/>
      <w:noProof w:val="0"/>
      <w:color w:val="272727"/>
      <w:sz w:val="21"/>
      <w:szCs w:val="21"/>
      <w:lang w:val="es-CR"/>
    </w:rPr>
  </w:style>
  <w:style w:type="character" w:customStyle="1" w:styleId="TtuloCar">
    <w:name w:val="Título Car"/>
    <w:basedOn w:val="Fuentedeprrafopredeter"/>
    <w:link w:val="Ttulo"/>
    <w:uiPriority w:val="10"/>
    <w:rsid w:val="001C4921"/>
    <w:rPr>
      <w:rFonts w:ascii="Calibri Light" w:eastAsia="Times New Roman" w:hAnsi="Calibri Light" w:cs="Times New Roman"/>
      <w:noProof w:val="0"/>
      <w:sz w:val="56"/>
      <w:szCs w:val="56"/>
      <w:lang w:val="es-CR"/>
    </w:rPr>
  </w:style>
  <w:style w:type="character" w:customStyle="1" w:styleId="SubttuloCar">
    <w:name w:val="Subtítulo Car"/>
    <w:basedOn w:val="Fuentedeprrafopredeter"/>
    <w:link w:val="Subttulo"/>
    <w:uiPriority w:val="11"/>
    <w:rsid w:val="001C4921"/>
    <w:rPr>
      <w:rFonts w:eastAsia="Times New Roman"/>
      <w:color w:val="5A5A5A"/>
      <w:lang w:val="es-CR"/>
    </w:rPr>
  </w:style>
  <w:style w:type="character" w:customStyle="1" w:styleId="CitaCar">
    <w:name w:val="Cita Car"/>
    <w:basedOn w:val="Fuentedeprrafopredeter"/>
    <w:link w:val="Cita"/>
    <w:uiPriority w:val="29"/>
    <w:rsid w:val="001C4921"/>
    <w:rPr>
      <w:i/>
      <w:iCs/>
      <w:noProof w:val="0"/>
      <w:color w:val="404040"/>
      <w:lang w:val="es-CR"/>
    </w:rPr>
  </w:style>
  <w:style w:type="character" w:customStyle="1" w:styleId="CitadestacadaCar">
    <w:name w:val="Cita destacada Car"/>
    <w:basedOn w:val="Fuentedeprrafopredeter"/>
    <w:link w:val="Citadestacada"/>
    <w:uiPriority w:val="30"/>
    <w:rsid w:val="001C4921"/>
    <w:rPr>
      <w:i/>
      <w:iCs/>
      <w:noProof w:val="0"/>
      <w:color w:val="4472C4"/>
      <w:lang w:val="es-CR"/>
    </w:rPr>
  </w:style>
  <w:style w:type="paragraph" w:styleId="TDC1">
    <w:name w:val="toc 1"/>
    <w:basedOn w:val="Normal"/>
    <w:next w:val="Normal"/>
    <w:uiPriority w:val="39"/>
    <w:unhideWhenUsed/>
    <w:rsid w:val="001C4921"/>
    <w:pPr>
      <w:spacing w:after="100" w:line="259" w:lineRule="auto"/>
    </w:pPr>
    <w:rPr>
      <w:rFonts w:ascii="Calibri" w:eastAsia="Calibri" w:hAnsi="Calibri"/>
      <w:sz w:val="22"/>
      <w:szCs w:val="22"/>
      <w:lang w:eastAsia="en-US"/>
    </w:rPr>
  </w:style>
  <w:style w:type="paragraph" w:styleId="TDC2">
    <w:name w:val="toc 2"/>
    <w:basedOn w:val="Normal"/>
    <w:next w:val="Normal"/>
    <w:uiPriority w:val="39"/>
    <w:unhideWhenUsed/>
    <w:rsid w:val="001C4921"/>
    <w:pPr>
      <w:spacing w:after="100" w:line="259" w:lineRule="auto"/>
      <w:ind w:left="220"/>
    </w:pPr>
    <w:rPr>
      <w:rFonts w:ascii="Calibri" w:eastAsia="Calibri" w:hAnsi="Calibri"/>
      <w:sz w:val="22"/>
      <w:szCs w:val="22"/>
      <w:lang w:eastAsia="en-US"/>
    </w:rPr>
  </w:style>
  <w:style w:type="paragraph" w:styleId="TDC3">
    <w:name w:val="toc 3"/>
    <w:basedOn w:val="Normal"/>
    <w:next w:val="Normal"/>
    <w:uiPriority w:val="39"/>
    <w:unhideWhenUsed/>
    <w:rsid w:val="001C4921"/>
    <w:pPr>
      <w:spacing w:after="100" w:line="259" w:lineRule="auto"/>
      <w:ind w:left="440"/>
    </w:pPr>
    <w:rPr>
      <w:rFonts w:ascii="Calibri" w:eastAsia="Calibri" w:hAnsi="Calibri"/>
      <w:sz w:val="22"/>
      <w:szCs w:val="22"/>
      <w:lang w:eastAsia="en-US"/>
    </w:rPr>
  </w:style>
  <w:style w:type="paragraph" w:styleId="TDC4">
    <w:name w:val="toc 4"/>
    <w:basedOn w:val="Normal"/>
    <w:next w:val="Normal"/>
    <w:uiPriority w:val="39"/>
    <w:unhideWhenUsed/>
    <w:rsid w:val="001C4921"/>
    <w:pPr>
      <w:spacing w:after="100" w:line="259" w:lineRule="auto"/>
      <w:ind w:left="660"/>
    </w:pPr>
    <w:rPr>
      <w:rFonts w:ascii="Calibri" w:eastAsia="Calibri" w:hAnsi="Calibri"/>
      <w:sz w:val="22"/>
      <w:szCs w:val="22"/>
      <w:lang w:eastAsia="en-US"/>
    </w:rPr>
  </w:style>
  <w:style w:type="paragraph" w:styleId="TDC5">
    <w:name w:val="toc 5"/>
    <w:basedOn w:val="Normal"/>
    <w:next w:val="Normal"/>
    <w:uiPriority w:val="39"/>
    <w:unhideWhenUsed/>
    <w:rsid w:val="001C4921"/>
    <w:pPr>
      <w:spacing w:after="100" w:line="259" w:lineRule="auto"/>
      <w:ind w:left="880"/>
    </w:pPr>
    <w:rPr>
      <w:rFonts w:ascii="Calibri" w:eastAsia="Calibri" w:hAnsi="Calibri"/>
      <w:sz w:val="22"/>
      <w:szCs w:val="22"/>
      <w:lang w:eastAsia="en-US"/>
    </w:rPr>
  </w:style>
  <w:style w:type="paragraph" w:styleId="TDC6">
    <w:name w:val="toc 6"/>
    <w:basedOn w:val="Normal"/>
    <w:next w:val="Normal"/>
    <w:uiPriority w:val="39"/>
    <w:unhideWhenUsed/>
    <w:rsid w:val="001C4921"/>
    <w:pPr>
      <w:spacing w:after="100" w:line="259" w:lineRule="auto"/>
      <w:ind w:left="1100"/>
    </w:pPr>
    <w:rPr>
      <w:rFonts w:ascii="Calibri" w:eastAsia="Calibri" w:hAnsi="Calibri"/>
      <w:sz w:val="22"/>
      <w:szCs w:val="22"/>
      <w:lang w:eastAsia="en-US"/>
    </w:rPr>
  </w:style>
  <w:style w:type="paragraph" w:styleId="TDC7">
    <w:name w:val="toc 7"/>
    <w:basedOn w:val="Normal"/>
    <w:next w:val="Normal"/>
    <w:uiPriority w:val="39"/>
    <w:unhideWhenUsed/>
    <w:rsid w:val="001C4921"/>
    <w:pPr>
      <w:spacing w:after="100" w:line="259" w:lineRule="auto"/>
      <w:ind w:left="1320"/>
    </w:pPr>
    <w:rPr>
      <w:rFonts w:ascii="Calibri" w:eastAsia="Calibri" w:hAnsi="Calibri"/>
      <w:sz w:val="22"/>
      <w:szCs w:val="22"/>
      <w:lang w:eastAsia="en-US"/>
    </w:rPr>
  </w:style>
  <w:style w:type="paragraph" w:styleId="TDC8">
    <w:name w:val="toc 8"/>
    <w:basedOn w:val="Normal"/>
    <w:next w:val="Normal"/>
    <w:uiPriority w:val="39"/>
    <w:unhideWhenUsed/>
    <w:rsid w:val="001C4921"/>
    <w:pPr>
      <w:spacing w:after="100" w:line="259" w:lineRule="auto"/>
      <w:ind w:left="1540"/>
    </w:pPr>
    <w:rPr>
      <w:rFonts w:ascii="Calibri" w:eastAsia="Calibri" w:hAnsi="Calibri"/>
      <w:sz w:val="22"/>
      <w:szCs w:val="22"/>
      <w:lang w:eastAsia="en-US"/>
    </w:rPr>
  </w:style>
  <w:style w:type="paragraph" w:styleId="TDC9">
    <w:name w:val="toc 9"/>
    <w:basedOn w:val="Normal"/>
    <w:next w:val="Normal"/>
    <w:uiPriority w:val="39"/>
    <w:unhideWhenUsed/>
    <w:rsid w:val="001C4921"/>
    <w:pPr>
      <w:spacing w:after="100" w:line="259" w:lineRule="auto"/>
      <w:ind w:left="1760"/>
    </w:pPr>
    <w:rPr>
      <w:rFonts w:ascii="Calibri" w:eastAsia="Calibri" w:hAnsi="Calibri"/>
      <w:sz w:val="22"/>
      <w:szCs w:val="22"/>
      <w:lang w:eastAsia="en-US"/>
    </w:rPr>
  </w:style>
  <w:style w:type="paragraph" w:styleId="Textonotaalfinal">
    <w:name w:val="endnote text"/>
    <w:basedOn w:val="Normal"/>
    <w:link w:val="TextonotaalfinalCar"/>
    <w:uiPriority w:val="99"/>
    <w:semiHidden/>
    <w:unhideWhenUsed/>
    <w:rsid w:val="001C4921"/>
    <w:pPr>
      <w:spacing w:line="259" w:lineRule="auto"/>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1C4921"/>
    <w:rPr>
      <w:rFonts w:ascii="Calibri" w:eastAsia="Calibri" w:hAnsi="Calibri" w:cs="Times New Roman"/>
      <w:sz w:val="20"/>
      <w:szCs w:val="20"/>
    </w:rPr>
  </w:style>
  <w:style w:type="table" w:customStyle="1" w:styleId="Tablaconcuadrcula1">
    <w:name w:val="Tabla con cuadrícula1"/>
    <w:basedOn w:val="Tablanormal"/>
    <w:next w:val="Tablaconcuadrcula"/>
    <w:uiPriority w:val="59"/>
    <w:rsid w:val="001C4921"/>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ar1">
    <w:name w:val="Título 3 Car1"/>
    <w:basedOn w:val="Fuentedeprrafopredeter"/>
    <w:uiPriority w:val="9"/>
    <w:semiHidden/>
    <w:rsid w:val="001C4921"/>
    <w:rPr>
      <w:rFonts w:asciiTheme="majorHAnsi" w:eastAsiaTheme="majorEastAsia" w:hAnsiTheme="majorHAnsi" w:cstheme="majorBidi"/>
      <w:color w:val="1F3763" w:themeColor="accent1" w:themeShade="7F"/>
      <w:lang w:eastAsia="es-ES_tradnl"/>
    </w:rPr>
  </w:style>
  <w:style w:type="character" w:customStyle="1" w:styleId="Ttulo4Car1">
    <w:name w:val="Título 4 Car1"/>
    <w:basedOn w:val="Fuentedeprrafopredeter"/>
    <w:uiPriority w:val="9"/>
    <w:semiHidden/>
    <w:rsid w:val="001C4921"/>
    <w:rPr>
      <w:rFonts w:asciiTheme="majorHAnsi" w:eastAsiaTheme="majorEastAsia" w:hAnsiTheme="majorHAnsi" w:cstheme="majorBidi"/>
      <w:i/>
      <w:iCs/>
      <w:color w:val="2F5496" w:themeColor="accent1" w:themeShade="BF"/>
      <w:lang w:eastAsia="es-ES_tradnl"/>
    </w:rPr>
  </w:style>
  <w:style w:type="character" w:customStyle="1" w:styleId="Ttulo5Car1">
    <w:name w:val="Título 5 Car1"/>
    <w:basedOn w:val="Fuentedeprrafopredeter"/>
    <w:uiPriority w:val="9"/>
    <w:semiHidden/>
    <w:rsid w:val="001C4921"/>
    <w:rPr>
      <w:rFonts w:asciiTheme="majorHAnsi" w:eastAsiaTheme="majorEastAsia" w:hAnsiTheme="majorHAnsi" w:cstheme="majorBidi"/>
      <w:color w:val="2F5496" w:themeColor="accent1" w:themeShade="BF"/>
      <w:lang w:eastAsia="es-ES_tradnl"/>
    </w:rPr>
  </w:style>
  <w:style w:type="character" w:customStyle="1" w:styleId="Ttulo6Car1">
    <w:name w:val="Título 6 Car1"/>
    <w:basedOn w:val="Fuentedeprrafopredeter"/>
    <w:uiPriority w:val="9"/>
    <w:semiHidden/>
    <w:rsid w:val="001C4921"/>
    <w:rPr>
      <w:rFonts w:asciiTheme="majorHAnsi" w:eastAsiaTheme="majorEastAsia" w:hAnsiTheme="majorHAnsi" w:cstheme="majorBidi"/>
      <w:color w:val="1F3763" w:themeColor="accent1" w:themeShade="7F"/>
      <w:lang w:eastAsia="es-ES_tradnl"/>
    </w:rPr>
  </w:style>
  <w:style w:type="character" w:customStyle="1" w:styleId="Ttulo7Car1">
    <w:name w:val="Título 7 Car1"/>
    <w:basedOn w:val="Fuentedeprrafopredeter"/>
    <w:uiPriority w:val="9"/>
    <w:semiHidden/>
    <w:rsid w:val="001C4921"/>
    <w:rPr>
      <w:rFonts w:asciiTheme="majorHAnsi" w:eastAsiaTheme="majorEastAsia" w:hAnsiTheme="majorHAnsi" w:cstheme="majorBidi"/>
      <w:i/>
      <w:iCs/>
      <w:color w:val="1F3763" w:themeColor="accent1" w:themeShade="7F"/>
      <w:lang w:eastAsia="es-ES_tradnl"/>
    </w:rPr>
  </w:style>
  <w:style w:type="character" w:customStyle="1" w:styleId="Ttulo8Car1">
    <w:name w:val="Título 8 Car1"/>
    <w:basedOn w:val="Fuentedeprrafopredeter"/>
    <w:uiPriority w:val="9"/>
    <w:semiHidden/>
    <w:rsid w:val="001C4921"/>
    <w:rPr>
      <w:rFonts w:asciiTheme="majorHAnsi" w:eastAsiaTheme="majorEastAsia" w:hAnsiTheme="majorHAnsi" w:cstheme="majorBidi"/>
      <w:color w:val="272727" w:themeColor="text1" w:themeTint="D8"/>
      <w:sz w:val="21"/>
      <w:szCs w:val="21"/>
      <w:lang w:eastAsia="es-ES_tradnl"/>
    </w:rPr>
  </w:style>
  <w:style w:type="character" w:customStyle="1" w:styleId="Ttulo9Car1">
    <w:name w:val="Título 9 Car1"/>
    <w:basedOn w:val="Fuentedeprrafopredeter"/>
    <w:uiPriority w:val="9"/>
    <w:semiHidden/>
    <w:rsid w:val="001C4921"/>
    <w:rPr>
      <w:rFonts w:asciiTheme="majorHAnsi" w:eastAsiaTheme="majorEastAsia" w:hAnsiTheme="majorHAnsi" w:cstheme="majorBidi"/>
      <w:i/>
      <w:iCs/>
      <w:color w:val="272727" w:themeColor="text1" w:themeTint="D8"/>
      <w:sz w:val="21"/>
      <w:szCs w:val="21"/>
      <w:lang w:eastAsia="es-ES_tradnl"/>
    </w:rPr>
  </w:style>
  <w:style w:type="paragraph" w:styleId="Ttulo">
    <w:name w:val="Title"/>
    <w:basedOn w:val="Normal"/>
    <w:next w:val="Normal"/>
    <w:link w:val="TtuloCar"/>
    <w:uiPriority w:val="10"/>
    <w:qFormat/>
    <w:rsid w:val="001C4921"/>
    <w:pPr>
      <w:contextualSpacing/>
    </w:pPr>
    <w:rPr>
      <w:rFonts w:ascii="Calibri Light" w:hAnsi="Calibri Light"/>
      <w:sz w:val="56"/>
      <w:szCs w:val="56"/>
      <w:lang w:eastAsia="en-US"/>
    </w:rPr>
  </w:style>
  <w:style w:type="character" w:customStyle="1" w:styleId="TtuloCar1">
    <w:name w:val="Título Car1"/>
    <w:basedOn w:val="Fuentedeprrafopredeter"/>
    <w:uiPriority w:val="10"/>
    <w:rsid w:val="001C4921"/>
    <w:rPr>
      <w:rFonts w:asciiTheme="majorHAnsi" w:eastAsiaTheme="majorEastAsia" w:hAnsiTheme="majorHAnsi" w:cstheme="majorBidi"/>
      <w:spacing w:val="-10"/>
      <w:kern w:val="28"/>
      <w:sz w:val="56"/>
      <w:szCs w:val="56"/>
      <w:lang w:eastAsia="es-ES_tradnl"/>
    </w:rPr>
  </w:style>
  <w:style w:type="paragraph" w:styleId="Subttulo">
    <w:name w:val="Subtitle"/>
    <w:basedOn w:val="Normal"/>
    <w:next w:val="Normal"/>
    <w:link w:val="SubttuloCar"/>
    <w:uiPriority w:val="11"/>
    <w:qFormat/>
    <w:rsid w:val="001C4921"/>
    <w:pPr>
      <w:numPr>
        <w:ilvl w:val="1"/>
      </w:numPr>
      <w:spacing w:after="160"/>
    </w:pPr>
    <w:rPr>
      <w:rFonts w:asciiTheme="minorHAnsi" w:hAnsiTheme="minorHAnsi" w:cstheme="minorBidi"/>
      <w:color w:val="5A5A5A"/>
      <w:lang w:eastAsia="en-US"/>
    </w:rPr>
  </w:style>
  <w:style w:type="character" w:customStyle="1" w:styleId="SubttuloCar1">
    <w:name w:val="Subtítulo Car1"/>
    <w:basedOn w:val="Fuentedeprrafopredeter"/>
    <w:uiPriority w:val="11"/>
    <w:rsid w:val="001C4921"/>
    <w:rPr>
      <w:rFonts w:eastAsiaTheme="minorEastAsia"/>
      <w:color w:val="5A5A5A" w:themeColor="text1" w:themeTint="A5"/>
      <w:spacing w:val="15"/>
      <w:sz w:val="22"/>
      <w:szCs w:val="22"/>
      <w:lang w:eastAsia="es-ES_tradnl"/>
    </w:rPr>
  </w:style>
  <w:style w:type="paragraph" w:styleId="Cita">
    <w:name w:val="Quote"/>
    <w:basedOn w:val="Normal"/>
    <w:next w:val="Normal"/>
    <w:link w:val="CitaCar"/>
    <w:uiPriority w:val="29"/>
    <w:qFormat/>
    <w:rsid w:val="001C4921"/>
    <w:pPr>
      <w:spacing w:before="200" w:after="160"/>
      <w:ind w:left="864" w:right="864"/>
      <w:jc w:val="center"/>
    </w:pPr>
    <w:rPr>
      <w:rFonts w:asciiTheme="minorHAnsi" w:eastAsiaTheme="minorHAnsi" w:hAnsiTheme="minorHAnsi" w:cstheme="minorBidi"/>
      <w:i/>
      <w:iCs/>
      <w:color w:val="404040"/>
      <w:lang w:eastAsia="en-US"/>
    </w:rPr>
  </w:style>
  <w:style w:type="character" w:customStyle="1" w:styleId="CitaCar1">
    <w:name w:val="Cita Car1"/>
    <w:basedOn w:val="Fuentedeprrafopredeter"/>
    <w:uiPriority w:val="29"/>
    <w:rsid w:val="001C4921"/>
    <w:rPr>
      <w:rFonts w:ascii="Times New Roman" w:eastAsia="Times New Roman" w:hAnsi="Times New Roman" w:cs="Times New Roman"/>
      <w:i/>
      <w:iCs/>
      <w:color w:val="404040" w:themeColor="text1" w:themeTint="BF"/>
      <w:lang w:eastAsia="es-ES_tradnl"/>
    </w:rPr>
  </w:style>
  <w:style w:type="paragraph" w:styleId="Citadestacada">
    <w:name w:val="Intense Quote"/>
    <w:basedOn w:val="Normal"/>
    <w:next w:val="Normal"/>
    <w:link w:val="CitadestacadaCar"/>
    <w:uiPriority w:val="30"/>
    <w:qFormat/>
    <w:rsid w:val="001C4921"/>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4472C4"/>
      <w:lang w:eastAsia="en-US"/>
    </w:rPr>
  </w:style>
  <w:style w:type="character" w:customStyle="1" w:styleId="CitadestacadaCar1">
    <w:name w:val="Cita destacada Car1"/>
    <w:basedOn w:val="Fuentedeprrafopredeter"/>
    <w:uiPriority w:val="30"/>
    <w:rsid w:val="001C4921"/>
    <w:rPr>
      <w:rFonts w:ascii="Times New Roman" w:eastAsia="Times New Roman" w:hAnsi="Times New Roman" w:cs="Times New Roman"/>
      <w:i/>
      <w:iCs/>
      <w:color w:val="4472C4" w:themeColor="accent1"/>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01">
      <w:bodyDiv w:val="1"/>
      <w:marLeft w:val="0"/>
      <w:marRight w:val="0"/>
      <w:marTop w:val="0"/>
      <w:marBottom w:val="0"/>
      <w:divBdr>
        <w:top w:val="none" w:sz="0" w:space="0" w:color="auto"/>
        <w:left w:val="none" w:sz="0" w:space="0" w:color="auto"/>
        <w:bottom w:val="none" w:sz="0" w:space="0" w:color="auto"/>
        <w:right w:val="none" w:sz="0" w:space="0" w:color="auto"/>
      </w:divBdr>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2.506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2312-7982"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3F5A792E-3FF5-4211-B103-DCB9F279864B}">
  <ds:schemaRefs>
    <ds:schemaRef ds:uri="8ed3e0dc-cd40-4c41-b3c6-5be0952fa030"/>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cfcdc204-4e92-42c3-8531-a843731a3a7f"/>
    <ds:schemaRef ds:uri="http://www.w3.org/XML/1998/namespace"/>
  </ds:schemaRefs>
</ds:datastoreItem>
</file>

<file path=customXml/itemProps4.xml><?xml version="1.0" encoding="utf-8"?>
<ds:datastoreItem xmlns:ds="http://schemas.openxmlformats.org/officeDocument/2006/customXml" ds:itemID="{60E41C5B-FE78-42FD-9DD6-E1EE101F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10166</Words>
  <Characters>55913</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2025-11-24T21:22:00Z</dcterms:created>
  <dcterms:modified xsi:type="dcterms:W3CDTF">2025-11-24T22:24:00Z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