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9827" w14:textId="77777777" w:rsidR="00DC071D" w:rsidRPr="00DC071D" w:rsidRDefault="00DC071D" w:rsidP="00DC071D">
      <w:pPr>
        <w:pStyle w:val="NormalWeb"/>
        <w:spacing w:line="360" w:lineRule="auto"/>
        <w:jc w:val="center"/>
        <w:rPr>
          <w:rFonts w:ascii="Arial" w:hAnsi="Arial" w:cs="Arial"/>
          <w:b/>
          <w:bCs/>
          <w:color w:val="C45911" w:themeColor="accent2" w:themeShade="BF"/>
        </w:rPr>
      </w:pPr>
      <w:bookmarkStart w:id="0" w:name="_Hlk198830682"/>
      <w:bookmarkStart w:id="1" w:name="_Hlk198820249"/>
      <w:bookmarkStart w:id="2" w:name="_Hlk145952311"/>
      <w:bookmarkStart w:id="3" w:name="_GoBack"/>
      <w:bookmarkEnd w:id="3"/>
      <w:r w:rsidRPr="00DC071D">
        <w:rPr>
          <w:rFonts w:ascii="Arial" w:hAnsi="Arial" w:cs="Arial"/>
          <w:b/>
          <w:bCs/>
          <w:color w:val="C45911" w:themeColor="accent2" w:themeShade="BF"/>
        </w:rPr>
        <w:t>Relación entre instancias públicas que brindan atención en salud y las universidades para la formación de talento humano en el área de Nutrición, experiencia de la Escuela de Nutrición, Universidad de Costa Rica</w:t>
      </w:r>
    </w:p>
    <w:bookmarkEnd w:id="0"/>
    <w:p w14:paraId="61F5654F" w14:textId="4A40F300" w:rsidR="00DC071D" w:rsidRPr="00DC071D" w:rsidRDefault="00DC071D" w:rsidP="00DC071D">
      <w:pPr>
        <w:pStyle w:val="NormalWeb"/>
        <w:spacing w:before="0" w:beforeAutospacing="0" w:after="0" w:afterAutospacing="0" w:line="360" w:lineRule="auto"/>
        <w:jc w:val="center"/>
        <w:rPr>
          <w:rFonts w:ascii="Arial" w:hAnsi="Arial" w:cs="Arial"/>
          <w:b/>
          <w:bCs/>
          <w:color w:val="C45911" w:themeColor="accent2" w:themeShade="BF"/>
          <w:lang w:val="en-US"/>
        </w:rPr>
      </w:pPr>
      <w:r w:rsidRPr="00DC071D">
        <w:rPr>
          <w:rFonts w:ascii="Arial" w:hAnsi="Arial" w:cs="Arial"/>
          <w:b/>
          <w:bCs/>
          <w:color w:val="C45911" w:themeColor="accent2" w:themeShade="BF"/>
          <w:lang w:val="en-US"/>
        </w:rPr>
        <w:t>Relationship between public entities that provide health care and the universities for the training of human talent in the area of Nutrition, experience of the School of Nutrition, University of Costa Rica</w:t>
      </w:r>
    </w:p>
    <w:p w14:paraId="38B83699" w14:textId="77777777" w:rsidR="00DC071D" w:rsidRPr="00DC071D" w:rsidRDefault="00DC071D"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bookmarkEnd w:id="2"/>
    <w:p w14:paraId="0C40EE4B" w14:textId="77777777" w:rsidR="00415D4A" w:rsidRPr="00205604" w:rsidRDefault="00415D4A" w:rsidP="00A82B98">
      <w:pPr>
        <w:pStyle w:val="NormalWeb"/>
        <w:spacing w:before="0" w:beforeAutospacing="0" w:after="0" w:afterAutospacing="0" w:line="276" w:lineRule="auto"/>
        <w:jc w:val="right"/>
        <w:rPr>
          <w:rFonts w:ascii="Arial" w:hAnsi="Arial" w:cs="Arial"/>
          <w:lang w:val="en-US"/>
        </w:rPr>
      </w:pPr>
    </w:p>
    <w:p w14:paraId="15395EE9" w14:textId="1FCE61F8" w:rsidR="00A82B98" w:rsidRPr="00B55452" w:rsidRDefault="00D739D4" w:rsidP="00A82B98">
      <w:pPr>
        <w:pStyle w:val="NormalWeb"/>
        <w:spacing w:before="0" w:beforeAutospacing="0" w:after="0" w:afterAutospacing="0" w:line="276" w:lineRule="auto"/>
        <w:jc w:val="right"/>
        <w:rPr>
          <w:rFonts w:ascii="Arial" w:hAnsi="Arial" w:cs="Arial"/>
        </w:rPr>
      </w:pPr>
      <w:r w:rsidRPr="00D739D4">
        <w:rPr>
          <w:rFonts w:ascii="Arial" w:hAnsi="Arial" w:cs="Arial"/>
        </w:rPr>
        <w:t>Viviana Esquivel</w:t>
      </w:r>
      <w:r w:rsidR="00F6579A">
        <w:rPr>
          <w:rFonts w:ascii="Arial" w:hAnsi="Arial" w:cs="Arial"/>
        </w:rPr>
        <w:t>-</w:t>
      </w:r>
      <w:r w:rsidRPr="00D739D4">
        <w:rPr>
          <w:rFonts w:ascii="Arial" w:hAnsi="Arial" w:cs="Arial"/>
        </w:rPr>
        <w:t>Solís</w:t>
      </w:r>
      <w:r w:rsidR="00A82B98" w:rsidRPr="00B55452">
        <w:rPr>
          <w:rStyle w:val="Refdenotaalpie"/>
          <w:rFonts w:ascii="Arial" w:eastAsia="Arial" w:hAnsi="Arial" w:cs="Arial"/>
        </w:rPr>
        <w:footnoteReference w:id="1"/>
      </w:r>
    </w:p>
    <w:p w14:paraId="54FACEFC" w14:textId="70CFCB7C"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4F6716">
        <w:rPr>
          <w:rFonts w:ascii="Arial" w:hAnsi="Arial" w:cs="Arial"/>
        </w:rPr>
        <w:t>de Costa Rica</w:t>
      </w:r>
    </w:p>
    <w:p w14:paraId="34E3782F" w14:textId="755365CC" w:rsidR="00A82B98" w:rsidRPr="00B55452" w:rsidRDefault="004F6716"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704B1D27" w:rsidR="00A82B98" w:rsidRPr="002F4846" w:rsidRDefault="00D739D4" w:rsidP="00215374">
      <w:pPr>
        <w:spacing w:line="240" w:lineRule="atLeast"/>
        <w:jc w:val="right"/>
        <w:rPr>
          <w:rFonts w:ascii="Arial" w:hAnsi="Arial" w:cs="Arial"/>
          <w:color w:val="002060"/>
          <w:lang w:eastAsia="es-PE"/>
        </w:rPr>
      </w:pPr>
      <w:r w:rsidRPr="002F4846">
        <w:rPr>
          <w:rStyle w:val="Hipervnculo"/>
          <w:rFonts w:ascii="Arial" w:hAnsi="Arial" w:cs="Arial"/>
          <w:color w:val="002060"/>
        </w:rPr>
        <w:t>viviana.esquivel@ucr.ac.cr</w:t>
      </w:r>
      <w:r w:rsidR="00A82B98" w:rsidRPr="002F4846">
        <w:rPr>
          <w:rStyle w:val="Hipervnculo"/>
          <w:rFonts w:ascii="Arial" w:hAnsi="Arial" w:cs="Arial"/>
          <w:color w:val="002060"/>
        </w:rPr>
        <w:t xml:space="preserve"> </w:t>
      </w:r>
    </w:p>
    <w:p w14:paraId="6011B59B" w14:textId="77777777" w:rsidR="00A82B98" w:rsidRPr="002F4846" w:rsidRDefault="00A82B98" w:rsidP="00A82B98">
      <w:pPr>
        <w:pStyle w:val="NormalWeb"/>
        <w:spacing w:before="0" w:beforeAutospacing="0" w:after="0" w:afterAutospacing="0" w:line="276" w:lineRule="auto"/>
        <w:rPr>
          <w:rFonts w:ascii="Arial" w:hAnsi="Arial" w:cs="Arial"/>
          <w:color w:val="002060"/>
        </w:rPr>
      </w:pPr>
      <w:r w:rsidRPr="002F4846">
        <w:rPr>
          <w:rFonts w:ascii="Arial" w:hAnsi="Arial" w:cs="Arial"/>
          <w:color w:val="002060"/>
        </w:rPr>
        <w:t xml:space="preserve">  </w:t>
      </w:r>
    </w:p>
    <w:p w14:paraId="319F6C9B" w14:textId="77777777" w:rsidR="00A82B98" w:rsidRPr="002F4846"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2C830A15" w:rsidR="00A82B98" w:rsidRPr="00D739D4" w:rsidRDefault="00A82B98" w:rsidP="00A82B98">
      <w:pPr>
        <w:tabs>
          <w:tab w:val="left" w:pos="5865"/>
        </w:tabs>
        <w:jc w:val="center"/>
        <w:rPr>
          <w:rFonts w:ascii="Arial" w:hAnsi="Arial" w:cs="Arial"/>
          <w:bCs/>
          <w:color w:val="002060"/>
          <w:u w:val="single"/>
          <w:lang w:val="en-US"/>
        </w:rPr>
      </w:pPr>
      <w:r w:rsidRPr="00D739D4">
        <w:rPr>
          <w:rFonts w:ascii="Arial" w:hAnsi="Arial" w:cs="Arial"/>
          <w:bCs/>
          <w:color w:val="002060"/>
          <w:u w:val="single"/>
          <w:lang w:val="en-US"/>
        </w:rPr>
        <w:t>DOI: http://dx.doi.org/10.22458/caes.v1</w:t>
      </w:r>
      <w:r w:rsidR="00B344FA" w:rsidRPr="00D739D4">
        <w:rPr>
          <w:rFonts w:ascii="Arial" w:hAnsi="Arial" w:cs="Arial"/>
          <w:bCs/>
          <w:color w:val="002060"/>
          <w:u w:val="single"/>
          <w:lang w:val="en-US"/>
        </w:rPr>
        <w:t>6</w:t>
      </w:r>
      <w:r w:rsidRPr="00D739D4">
        <w:rPr>
          <w:rFonts w:ascii="Arial" w:hAnsi="Arial" w:cs="Arial"/>
          <w:bCs/>
          <w:color w:val="002060"/>
          <w:u w:val="single"/>
          <w:lang w:val="en-US"/>
        </w:rPr>
        <w:t>i</w:t>
      </w:r>
      <w:r w:rsidR="009B093A" w:rsidRPr="00D739D4">
        <w:rPr>
          <w:rFonts w:ascii="Arial" w:hAnsi="Arial" w:cs="Arial"/>
          <w:bCs/>
          <w:color w:val="002060"/>
          <w:u w:val="single"/>
          <w:lang w:val="en-US"/>
        </w:rPr>
        <w:t>1</w:t>
      </w:r>
      <w:r w:rsidRPr="00D739D4">
        <w:rPr>
          <w:rFonts w:ascii="Arial" w:hAnsi="Arial" w:cs="Arial"/>
          <w:bCs/>
          <w:color w:val="002060"/>
          <w:u w:val="single"/>
          <w:lang w:val="en-US"/>
        </w:rPr>
        <w:t>.</w:t>
      </w:r>
      <w:r w:rsidR="00D739D4" w:rsidRPr="00D739D4">
        <w:rPr>
          <w:rFonts w:ascii="Arial" w:hAnsi="Arial" w:cs="Arial"/>
          <w:bCs/>
          <w:color w:val="002060"/>
          <w:u w:val="single"/>
          <w:lang w:val="en-US"/>
        </w:rPr>
        <w:t>4964</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DA98C5C"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43400B">
        <w:rPr>
          <w:rFonts w:ascii="Arial" w:hAnsi="Arial" w:cs="Arial"/>
          <w:bCs/>
        </w:rPr>
        <w:t>50</w:t>
      </w:r>
      <w:r w:rsidR="00225E54">
        <w:rPr>
          <w:rFonts w:ascii="Arial" w:hAnsi="Arial" w:cs="Arial"/>
          <w:bCs/>
        </w:rPr>
        <w:t>-</w:t>
      </w:r>
      <w:r w:rsidR="001939F3">
        <w:rPr>
          <w:rFonts w:ascii="Arial" w:hAnsi="Arial" w:cs="Arial"/>
          <w:bCs/>
        </w:rPr>
        <w:t>71</w:t>
      </w:r>
    </w:p>
    <w:p w14:paraId="2C811F73" w14:textId="77777777" w:rsidR="00063B82" w:rsidRDefault="00063B82" w:rsidP="0020679D">
      <w:pPr>
        <w:tabs>
          <w:tab w:val="left" w:pos="5865"/>
        </w:tabs>
        <w:spacing w:line="276" w:lineRule="auto"/>
        <w:rPr>
          <w:rFonts w:ascii="Arial" w:hAnsi="Arial" w:cs="Arial"/>
          <w:bCs/>
        </w:rPr>
      </w:pPr>
      <w:bookmarkStart w:id="12" w:name="_Hlk182838172"/>
    </w:p>
    <w:p w14:paraId="4F01FEC6" w14:textId="77777777" w:rsidR="00063B82" w:rsidRDefault="00063B82" w:rsidP="0020679D">
      <w:pPr>
        <w:tabs>
          <w:tab w:val="left" w:pos="5865"/>
        </w:tabs>
        <w:spacing w:line="276" w:lineRule="auto"/>
        <w:rPr>
          <w:rFonts w:ascii="Arial" w:hAnsi="Arial" w:cs="Arial"/>
          <w:bCs/>
        </w:rPr>
      </w:pPr>
    </w:p>
    <w:p w14:paraId="1591C2AD" w14:textId="5A629805"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 xml:space="preserve">Recibido: </w:t>
      </w:r>
      <w:r w:rsidR="00354D56">
        <w:rPr>
          <w:rFonts w:ascii="Arial" w:hAnsi="Arial" w:cs="Arial"/>
          <w:bCs/>
        </w:rPr>
        <w:t>19</w:t>
      </w:r>
      <w:r w:rsidRPr="004246B0">
        <w:rPr>
          <w:rFonts w:ascii="Arial" w:hAnsi="Arial" w:cs="Arial"/>
          <w:bCs/>
        </w:rPr>
        <w:t xml:space="preserve"> de </w:t>
      </w:r>
      <w:r w:rsidR="00C92F3A">
        <w:rPr>
          <w:rFonts w:ascii="Arial" w:hAnsi="Arial" w:cs="Arial"/>
          <w:bCs/>
        </w:rPr>
        <w:t>setiembre</w:t>
      </w:r>
      <w:r w:rsidRPr="004246B0">
        <w:rPr>
          <w:rFonts w:ascii="Arial" w:hAnsi="Arial" w:cs="Arial"/>
          <w:bCs/>
        </w:rPr>
        <w:t xml:space="preserve"> de 202</w:t>
      </w:r>
      <w:r w:rsidR="00A10142" w:rsidRPr="004246B0">
        <w:rPr>
          <w:rFonts w:ascii="Arial" w:hAnsi="Arial" w:cs="Arial"/>
          <w:bCs/>
        </w:rPr>
        <w:t>4</w:t>
      </w:r>
    </w:p>
    <w:p w14:paraId="13E62770" w14:textId="4A053ACB"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0</w:t>
      </w:r>
      <w:r w:rsidR="00C92F3A">
        <w:rPr>
          <w:rFonts w:ascii="Arial" w:hAnsi="Arial" w:cs="Arial"/>
          <w:bCs/>
        </w:rPr>
        <w:t>7</w:t>
      </w:r>
      <w:r w:rsidRPr="004246B0">
        <w:rPr>
          <w:rFonts w:ascii="Arial" w:hAnsi="Arial" w:cs="Arial"/>
          <w:bCs/>
        </w:rPr>
        <w:t xml:space="preserve"> de </w:t>
      </w:r>
      <w:r w:rsidR="00C92F3A">
        <w:rPr>
          <w:rFonts w:ascii="Arial" w:hAnsi="Arial" w:cs="Arial"/>
          <w:bCs/>
        </w:rPr>
        <w:t>abril</w:t>
      </w:r>
      <w:r w:rsidRPr="004246B0">
        <w:rPr>
          <w:rFonts w:ascii="Arial" w:hAnsi="Arial" w:cs="Arial"/>
          <w:bCs/>
        </w:rPr>
        <w:t xml:space="preserve"> de 202</w:t>
      </w:r>
      <w:r w:rsidR="004246B0" w:rsidRPr="004246B0">
        <w:rPr>
          <w:rFonts w:ascii="Arial" w:hAnsi="Arial" w:cs="Arial"/>
          <w:bCs/>
        </w:rPr>
        <w:t>5</w:t>
      </w:r>
    </w:p>
    <w:bookmarkEnd w:id="12"/>
    <w:p w14:paraId="171D72A8" w14:textId="77777777" w:rsidR="002F4846" w:rsidRDefault="002F4846" w:rsidP="00F91E05">
      <w:pPr>
        <w:spacing w:line="360" w:lineRule="auto"/>
        <w:rPr>
          <w:rFonts w:ascii="Arial" w:eastAsia="Calibri" w:hAnsi="Arial" w:cs="Arial"/>
          <w:b/>
          <w:lang w:val="es-419" w:eastAsia="es-419"/>
        </w:rPr>
      </w:pPr>
    </w:p>
    <w:p w14:paraId="34488527" w14:textId="081AC2F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b/>
          <w:lang w:val="es-419" w:eastAsia="es-419"/>
        </w:rPr>
        <w:lastRenderedPageBreak/>
        <w:t>Resumen</w:t>
      </w:r>
      <w:r w:rsidR="00B60BAB" w:rsidRPr="005D7FBD">
        <w:rPr>
          <w:rFonts w:ascii="Arial" w:eastAsia="Calibri" w:hAnsi="Arial" w:cs="Arial"/>
          <w:b/>
          <w:lang w:val="es-419" w:eastAsia="es-419"/>
        </w:rPr>
        <w:t xml:space="preserve">: </w:t>
      </w:r>
      <w:r w:rsidRPr="005D7FBD">
        <w:rPr>
          <w:rFonts w:ascii="Arial" w:eastAsia="Calibri" w:hAnsi="Arial" w:cs="Arial"/>
          <w:lang w:val="es-419" w:eastAsia="es-419"/>
        </w:rPr>
        <w:t xml:space="preserve">La presente revisión del tema describe la </w:t>
      </w:r>
      <w:r w:rsidRPr="005D7FBD">
        <w:rPr>
          <w:rFonts w:ascii="Arial" w:eastAsia="Calibri" w:hAnsi="Arial" w:cs="Arial"/>
          <w:highlight w:val="white"/>
          <w:lang w:val="es-419" w:eastAsia="es-419"/>
        </w:rPr>
        <w:t>importancia de la relación</w:t>
      </w:r>
      <w:r w:rsidRPr="005D7FBD">
        <w:rPr>
          <w:rFonts w:ascii="Arial" w:eastAsia="Calibri" w:hAnsi="Arial" w:cs="Arial"/>
          <w:lang w:val="es-419" w:eastAsia="es-419"/>
        </w:rPr>
        <w:t xml:space="preserve"> entre la Universidad de Costa Rica con instituciones que brindan el servicio de salud en el país. Igualmente, detalla el rol docente de profesionales del área de la salud en la formación curricular de estudiantes universitarios de Nutrición.</w:t>
      </w:r>
    </w:p>
    <w:p w14:paraId="25F213C6" w14:textId="6C006E0F" w:rsidR="00B60BAB" w:rsidRPr="005D7FBD" w:rsidRDefault="00B60BAB"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b/>
          <w:lang w:val="es-419" w:eastAsia="es-419"/>
        </w:rPr>
        <w:t>Palabras clave:</w:t>
      </w:r>
      <w:r w:rsidRPr="005D7FBD">
        <w:rPr>
          <w:rFonts w:ascii="Arial" w:eastAsia="Calibri" w:hAnsi="Arial" w:cs="Arial"/>
          <w:lang w:val="es-419" w:eastAsia="es-419"/>
        </w:rPr>
        <w:t xml:space="preserve"> formación de talento humano en Nutrición, entidades públicas en la formación de talento humano, cupos clínicos hospitalarios, prácticas clínicas, docentes hospitalarios.</w:t>
      </w:r>
    </w:p>
    <w:p w14:paraId="07CFE7A3" w14:textId="0E987940" w:rsidR="00F91E05" w:rsidRPr="005D7FBD" w:rsidRDefault="00F91E05" w:rsidP="005D7FBD">
      <w:pPr>
        <w:spacing w:before="100" w:beforeAutospacing="1" w:after="100" w:afterAutospacing="1" w:line="360" w:lineRule="auto"/>
        <w:jc w:val="both"/>
        <w:rPr>
          <w:rFonts w:ascii="Arial" w:eastAsia="Calibri" w:hAnsi="Arial" w:cs="Arial"/>
          <w:lang w:val="en-US" w:eastAsia="es-419"/>
        </w:rPr>
      </w:pPr>
      <w:r w:rsidRPr="005D7FBD">
        <w:rPr>
          <w:rFonts w:ascii="Arial" w:eastAsia="Calibri" w:hAnsi="Arial" w:cs="Arial"/>
          <w:b/>
          <w:lang w:val="en-US" w:eastAsia="es-419"/>
        </w:rPr>
        <w:t>Abstract</w:t>
      </w:r>
      <w:r w:rsidR="00B60BAB" w:rsidRPr="005D7FBD">
        <w:rPr>
          <w:rFonts w:ascii="Arial" w:eastAsia="Calibri" w:hAnsi="Arial" w:cs="Arial"/>
          <w:b/>
          <w:lang w:val="en-US" w:eastAsia="es-419"/>
        </w:rPr>
        <w:t xml:space="preserve">: </w:t>
      </w:r>
      <w:r w:rsidRPr="005D7FBD">
        <w:rPr>
          <w:rFonts w:ascii="Arial" w:eastAsia="Calibri" w:hAnsi="Arial" w:cs="Arial"/>
          <w:lang w:val="en-US" w:eastAsia="es-419"/>
        </w:rPr>
        <w:t>This review of the topic describes the importance of the relationship between the University of Costa Rica and institutions that provide health services. It also details the teaching role of health professionals in the curricular formation of university nutrition students.</w:t>
      </w:r>
    </w:p>
    <w:p w14:paraId="67925C32" w14:textId="3EB7AC7D" w:rsidR="00F91E05" w:rsidRPr="005D7FBD" w:rsidRDefault="00F91E05" w:rsidP="005D7FBD">
      <w:pPr>
        <w:spacing w:before="100" w:beforeAutospacing="1" w:after="100" w:afterAutospacing="1" w:line="360" w:lineRule="auto"/>
        <w:jc w:val="both"/>
        <w:rPr>
          <w:rFonts w:ascii="Arial" w:eastAsia="Calibri" w:hAnsi="Arial" w:cs="Arial"/>
          <w:lang w:val="en-US" w:eastAsia="es-419"/>
        </w:rPr>
      </w:pPr>
      <w:r w:rsidRPr="005D7FBD">
        <w:rPr>
          <w:rFonts w:ascii="Arial" w:eastAsia="Calibri" w:hAnsi="Arial" w:cs="Arial"/>
          <w:b/>
          <w:lang w:val="en-US" w:eastAsia="es-419"/>
        </w:rPr>
        <w:t>Keywords</w:t>
      </w:r>
      <w:r w:rsidR="00B60BAB" w:rsidRPr="005D7FBD">
        <w:rPr>
          <w:rFonts w:ascii="Arial" w:eastAsia="Calibri" w:hAnsi="Arial" w:cs="Arial"/>
          <w:b/>
          <w:lang w:val="en-US" w:eastAsia="es-419"/>
        </w:rPr>
        <w:t>:</w:t>
      </w:r>
      <w:r w:rsidRPr="005D7FBD">
        <w:rPr>
          <w:rFonts w:ascii="Arial" w:eastAsia="Calibri" w:hAnsi="Arial" w:cs="Arial"/>
          <w:lang w:val="en-US" w:eastAsia="es-419"/>
        </w:rPr>
        <w:t xml:space="preserve"> training of human talent in Nutrition, public entities in the training of human talent, hospital clinical quotas, clinical practices, hospital teachers</w:t>
      </w:r>
      <w:r w:rsidR="00B60BAB" w:rsidRPr="005D7FBD">
        <w:rPr>
          <w:rFonts w:ascii="Arial" w:eastAsia="Calibri" w:hAnsi="Arial" w:cs="Arial"/>
          <w:lang w:val="en-US" w:eastAsia="es-419"/>
        </w:rPr>
        <w:t>.</w:t>
      </w:r>
    </w:p>
    <w:p w14:paraId="7E25A031" w14:textId="77777777" w:rsidR="00F91E05" w:rsidRPr="005D7FBD" w:rsidRDefault="00F91E05" w:rsidP="005D7FBD">
      <w:pPr>
        <w:spacing w:before="100" w:beforeAutospacing="1" w:after="100" w:afterAutospacing="1" w:line="360" w:lineRule="auto"/>
        <w:rPr>
          <w:rFonts w:ascii="Arial" w:eastAsia="Calibri" w:hAnsi="Arial" w:cs="Arial"/>
          <w:b/>
          <w:lang w:val="en-US" w:eastAsia="es-419"/>
        </w:rPr>
      </w:pPr>
    </w:p>
    <w:p w14:paraId="047F67AC" w14:textId="42527FCD" w:rsidR="00F91E05" w:rsidRPr="005D7FBD" w:rsidRDefault="00F91E05" w:rsidP="005D7FBD">
      <w:pPr>
        <w:spacing w:before="100" w:beforeAutospacing="1" w:after="100" w:afterAutospacing="1" w:line="360" w:lineRule="auto"/>
        <w:rPr>
          <w:rFonts w:ascii="Arial" w:eastAsia="Calibri" w:hAnsi="Arial" w:cs="Arial"/>
          <w:b/>
          <w:lang w:val="en-US" w:eastAsia="es-419"/>
        </w:rPr>
      </w:pPr>
    </w:p>
    <w:p w14:paraId="71FDA473" w14:textId="2A9ACCD6" w:rsidR="00286621" w:rsidRPr="005D7FBD" w:rsidRDefault="00286621" w:rsidP="005D7FBD">
      <w:pPr>
        <w:spacing w:before="100" w:beforeAutospacing="1" w:after="100" w:afterAutospacing="1" w:line="360" w:lineRule="auto"/>
        <w:rPr>
          <w:rFonts w:ascii="Arial" w:eastAsia="Calibri" w:hAnsi="Arial" w:cs="Arial"/>
          <w:b/>
          <w:lang w:val="en-US" w:eastAsia="es-419"/>
        </w:rPr>
      </w:pPr>
    </w:p>
    <w:p w14:paraId="0FB0E75E" w14:textId="77777777" w:rsidR="00286621" w:rsidRPr="005D7FBD" w:rsidRDefault="00286621" w:rsidP="005D7FBD">
      <w:pPr>
        <w:spacing w:before="100" w:beforeAutospacing="1" w:after="100" w:afterAutospacing="1" w:line="360" w:lineRule="auto"/>
        <w:rPr>
          <w:rFonts w:ascii="Arial" w:eastAsia="Calibri" w:hAnsi="Arial" w:cs="Arial"/>
          <w:b/>
          <w:lang w:val="en-US" w:eastAsia="es-419"/>
        </w:rPr>
      </w:pPr>
    </w:p>
    <w:p w14:paraId="0CA29848" w14:textId="5BFD2D37" w:rsidR="00F91E05" w:rsidRPr="005D7FBD" w:rsidRDefault="00286621" w:rsidP="005D7FBD">
      <w:pPr>
        <w:spacing w:before="100" w:beforeAutospacing="1" w:after="100" w:afterAutospacing="1" w:line="360" w:lineRule="auto"/>
        <w:rPr>
          <w:rFonts w:ascii="Arial" w:eastAsia="Calibri" w:hAnsi="Arial" w:cs="Arial"/>
          <w:b/>
          <w:lang w:val="es-419" w:eastAsia="es-419"/>
        </w:rPr>
      </w:pPr>
      <w:r w:rsidRPr="005D7FBD">
        <w:rPr>
          <w:rFonts w:ascii="Arial" w:eastAsia="Calibri" w:hAnsi="Arial" w:cs="Arial"/>
          <w:b/>
          <w:lang w:val="es-419" w:eastAsia="es-419"/>
        </w:rPr>
        <w:lastRenderedPageBreak/>
        <w:t>INTRODUCCIÓN</w:t>
      </w:r>
    </w:p>
    <w:p w14:paraId="54B8A7B2"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Desde la creación de la Escuela de Nutrición (</w:t>
      </w:r>
      <w:proofErr w:type="spellStart"/>
      <w:r w:rsidRPr="005D7FBD">
        <w:rPr>
          <w:rFonts w:ascii="Arial" w:eastAsia="Calibri" w:hAnsi="Arial" w:cs="Arial"/>
          <w:lang w:val="es-419" w:eastAsia="es-419"/>
        </w:rPr>
        <w:t>ENu</w:t>
      </w:r>
      <w:proofErr w:type="spellEnd"/>
      <w:r w:rsidRPr="005D7FBD">
        <w:rPr>
          <w:rFonts w:ascii="Arial" w:eastAsia="Calibri" w:hAnsi="Arial" w:cs="Arial"/>
          <w:lang w:val="es-419" w:eastAsia="es-419"/>
        </w:rPr>
        <w:t xml:space="preserve">) de la Universidad de Costa Rica (UCR), y gracias a la existencia de diferentes convenios con la Caja Costarricense del Seguro Social (CCSS), institución pública encargada de la seguridad social en la República de Costa Rica, el estudiantado de grado de la unidad ha realizado sus prácticas en el ámbito de la Nutrición clínica en diferentes hospitales o clínicas de la CCSS. </w:t>
      </w:r>
    </w:p>
    <w:p w14:paraId="47A8D368"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La alianza entre la universidad e instancias públicas dedicadas a la atención en salud ha permitido no sólo la formación de profesionales en el área de la salud, sino también retroalimentar su quehacer en los diferentes centros hospitalarios. Es una actividad que se proyecta más allá del ejercicio docente-práctico, además, constituye una actividad de acción social en sí misma, permitiendo a los futuros profesionales asumir una serie de actividades en beneficio de la población del área de atracción del centro de salud.</w:t>
      </w:r>
    </w:p>
    <w:p w14:paraId="0D86C857" w14:textId="1FA03A5D"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El propósito de la siguiente revisión es describir </w:t>
      </w:r>
      <w:r w:rsidRPr="005D7FBD">
        <w:rPr>
          <w:rFonts w:ascii="Arial" w:eastAsia="Calibri" w:hAnsi="Arial" w:cs="Arial"/>
          <w:highlight w:val="white"/>
          <w:lang w:val="es-419" w:eastAsia="es-419"/>
        </w:rPr>
        <w:t>la importancia de la relación</w:t>
      </w:r>
      <w:r w:rsidRPr="005D7FBD">
        <w:rPr>
          <w:rFonts w:ascii="Arial" w:eastAsia="Calibri" w:hAnsi="Arial" w:cs="Arial"/>
          <w:lang w:val="es-419" w:eastAsia="es-419"/>
        </w:rPr>
        <w:t xml:space="preserve"> entre la UCR con instituciones que brindan el servicio de salud en beneficio de la formación de los futuros estudiantes de esta área, a su vez, resaltar el rol docente de profesionales de la salud en dicha instrucción curricular.</w:t>
      </w:r>
    </w:p>
    <w:p w14:paraId="210644DE"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lastRenderedPageBreak/>
        <w:t>Diferentes fuentes bibliográficas (Pérez, C., &amp; Cárdenas, M. (2018), Zabalza, M. A. (2003)) han destacado la relevancia que representan profesionales de la salud en su rol como docentes universitarios por medio de la apertura de cupos clínicos, o pasantías en diferentes centros de salud. La existencia de alianzas estratégicas que posibiliten las prácticas profesionalizantes permitirá contribuir con la mejora de las condiciones de salud de la población, quienes son los más beneficiados en última instancia.</w:t>
      </w:r>
    </w:p>
    <w:p w14:paraId="6E6E91CF" w14:textId="571DA03E" w:rsidR="00F91E05" w:rsidRPr="005D7FBD" w:rsidRDefault="008876F0" w:rsidP="005D7FBD">
      <w:pPr>
        <w:spacing w:before="100" w:beforeAutospacing="1" w:after="100" w:afterAutospacing="1" w:line="360" w:lineRule="auto"/>
        <w:jc w:val="both"/>
        <w:rPr>
          <w:rFonts w:ascii="Arial" w:eastAsia="Calibri" w:hAnsi="Arial" w:cs="Arial"/>
          <w:b/>
          <w:lang w:val="es-419" w:eastAsia="es-419"/>
        </w:rPr>
      </w:pPr>
      <w:r w:rsidRPr="005D7FBD">
        <w:rPr>
          <w:rFonts w:ascii="Arial" w:eastAsia="Calibri" w:hAnsi="Arial" w:cs="Arial"/>
          <w:b/>
          <w:lang w:val="es-419" w:eastAsia="es-419"/>
        </w:rPr>
        <w:t>EL ROL DE LAS UNIVERSIDADES EN LA FORMACIÓN DE TALENTO HUMANO EN EL ÁREA DE LA SALUD (CASO DE LA ESCUELA DE NUTRICIÓN DE LA UNIVERSIDAD DE COSTA RICA)</w:t>
      </w:r>
    </w:p>
    <w:p w14:paraId="05310823"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Desde hace 45 años, la formación de talento humano en la </w:t>
      </w:r>
      <w:proofErr w:type="spellStart"/>
      <w:r w:rsidRPr="005D7FBD">
        <w:rPr>
          <w:rFonts w:ascii="Arial" w:eastAsia="Calibri" w:hAnsi="Arial" w:cs="Arial"/>
          <w:lang w:val="es-419" w:eastAsia="es-419"/>
        </w:rPr>
        <w:t>ENu</w:t>
      </w:r>
      <w:proofErr w:type="spellEnd"/>
      <w:r w:rsidRPr="005D7FBD">
        <w:rPr>
          <w:rFonts w:ascii="Arial" w:eastAsia="Calibri" w:hAnsi="Arial" w:cs="Arial"/>
          <w:lang w:val="es-419" w:eastAsia="es-419"/>
        </w:rPr>
        <w:t xml:space="preserve"> y la alianza existente entre la UCR y la CCSS ha permitido la rotación de estudiantes de Nutrición de último año en la UCR en centros de salud de los diferentes niveles de atención; de manera que, como parte del requisito de graduación, el estudiantado debe cumplir un período de un semestre en el tema de atención en salud, enfocado en actividades relacionadas con Nutrición (que involucra la atención clínica o </w:t>
      </w:r>
      <w:proofErr w:type="spellStart"/>
      <w:r w:rsidRPr="005D7FBD">
        <w:rPr>
          <w:rFonts w:ascii="Arial" w:eastAsia="Calibri" w:hAnsi="Arial" w:cs="Arial"/>
          <w:lang w:val="es-419" w:eastAsia="es-419"/>
        </w:rPr>
        <w:t>dietoterapéutica</w:t>
      </w:r>
      <w:proofErr w:type="spellEnd"/>
      <w:r w:rsidRPr="005D7FBD">
        <w:rPr>
          <w:rFonts w:ascii="Arial" w:eastAsia="Calibri" w:hAnsi="Arial" w:cs="Arial"/>
          <w:lang w:val="es-419" w:eastAsia="es-419"/>
        </w:rPr>
        <w:t>), todo en el marco de la práctica supervisada, según señala el reglamento del Centro de Desarrollo Estratégico e Información en Salud y Seguridad Social (CENDEISSS).</w:t>
      </w:r>
    </w:p>
    <w:p w14:paraId="5A426C15"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lastRenderedPageBreak/>
        <w:t xml:space="preserve">Gracias a la labor docente que han desempeñado personas profesionales del área de la salud en los centros sanitarios de la CCSS, las personas estudiantes terminan de desarrollar sus destrezas y habilidades en diferentes ámbitos del área de Nutrición, ya sea la </w:t>
      </w:r>
      <w:proofErr w:type="spellStart"/>
      <w:r w:rsidRPr="005D7FBD">
        <w:rPr>
          <w:rFonts w:ascii="Arial" w:eastAsia="Calibri" w:hAnsi="Arial" w:cs="Arial"/>
          <w:lang w:val="es-419" w:eastAsia="es-419"/>
        </w:rPr>
        <w:t>dietoterapia</w:t>
      </w:r>
      <w:proofErr w:type="spellEnd"/>
      <w:r w:rsidRPr="005D7FBD">
        <w:rPr>
          <w:rFonts w:ascii="Arial" w:eastAsia="Calibri" w:hAnsi="Arial" w:cs="Arial"/>
          <w:lang w:val="es-419" w:eastAsia="es-419"/>
        </w:rPr>
        <w:t xml:space="preserve"> hospitalaria, la administración de Servicios de Alimentación, o bien, atención primaria en salud; las cuales son adquiridas al lado de profesionales en ejercicio.</w:t>
      </w:r>
    </w:p>
    <w:p w14:paraId="4CD90EB0"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En reconocimiento de la responsabilidad que se tiene en el ámbito de formación de futuros profesionales, como academia de formación superior, se vela por la obligatoriedad de capacitar al profesional en salud que va a ejercer como docente en temas de didáctica universitaria o pedagogía, a fin de que realice y optimice sus funciones docentes en medio del ejercicio profesional en el lugar práctico o unidad docente. Pérez</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et al. (2020) mencionan que la formación de talento humano en el área de la salud también implica educar en temas de planificación con enfoque de práctica pedagógica, a fin de promover y optimizar el proceso enseñanza-aprendizaje en la atención del estudiantado en su espacio práctico.</w:t>
      </w:r>
    </w:p>
    <w:p w14:paraId="5C859446" w14:textId="77777777" w:rsidR="00F91E05" w:rsidRPr="005D7FBD" w:rsidRDefault="00F91E05" w:rsidP="005D7FBD">
      <w:pPr>
        <w:spacing w:before="100" w:beforeAutospacing="1" w:after="100" w:afterAutospacing="1" w:line="360" w:lineRule="auto"/>
        <w:rPr>
          <w:rFonts w:ascii="Arial" w:eastAsia="Calibri" w:hAnsi="Arial" w:cs="Arial"/>
          <w:b/>
          <w:lang w:val="es-419" w:eastAsia="es-419"/>
        </w:rPr>
      </w:pPr>
      <w:r w:rsidRPr="005D7FBD">
        <w:rPr>
          <w:rFonts w:ascii="Arial" w:eastAsia="Calibri" w:hAnsi="Arial" w:cs="Arial"/>
          <w:b/>
          <w:lang w:val="es-419" w:eastAsia="es-419"/>
        </w:rPr>
        <w:t>Profesionales en salud como docentes universitarios</w:t>
      </w:r>
    </w:p>
    <w:p w14:paraId="1A6A032E" w14:textId="77777777" w:rsidR="00F91E05" w:rsidRPr="005D7FBD" w:rsidRDefault="00F91E05" w:rsidP="005D7FBD">
      <w:pPr>
        <w:spacing w:before="100" w:beforeAutospacing="1" w:after="100" w:afterAutospacing="1" w:line="360" w:lineRule="auto"/>
        <w:jc w:val="both"/>
        <w:rPr>
          <w:rFonts w:ascii="Arial" w:eastAsia="Calibri" w:hAnsi="Arial" w:cs="Arial"/>
          <w:highlight w:val="yellow"/>
          <w:lang w:val="es-419" w:eastAsia="es-419"/>
        </w:rPr>
      </w:pPr>
      <w:r w:rsidRPr="005D7FBD">
        <w:rPr>
          <w:rFonts w:ascii="Arial" w:eastAsia="Calibri" w:hAnsi="Arial" w:cs="Arial"/>
          <w:lang w:val="es-419" w:eastAsia="es-419"/>
        </w:rPr>
        <w:t>Gafas</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et al. (2018), en su análisis acerca del rol de la persona docente en el tercer nivel en ciencias de la salud (Contexto ecuatoriano), comentan:</w:t>
      </w:r>
    </w:p>
    <w:p w14:paraId="7008ABAA" w14:textId="77777777" w:rsidR="00F91E05" w:rsidRPr="005D7FBD" w:rsidRDefault="00F91E05" w:rsidP="005D7FBD">
      <w:pPr>
        <w:spacing w:before="100" w:beforeAutospacing="1" w:after="100" w:afterAutospacing="1" w:line="360" w:lineRule="auto"/>
        <w:ind w:left="720"/>
        <w:jc w:val="both"/>
        <w:rPr>
          <w:rFonts w:ascii="Arial" w:eastAsia="Calibri" w:hAnsi="Arial" w:cs="Arial"/>
          <w:lang w:val="es-419" w:eastAsia="es-419"/>
        </w:rPr>
      </w:pPr>
      <w:r w:rsidRPr="005D7FBD">
        <w:rPr>
          <w:rFonts w:ascii="Arial" w:eastAsia="Calibri" w:hAnsi="Arial" w:cs="Arial"/>
          <w:lang w:val="es-419" w:eastAsia="es-419"/>
        </w:rPr>
        <w:lastRenderedPageBreak/>
        <w:t>desde la visión académica el docente es concebido como un promotor del análisis reflexivo, inductor de cambio, activador de la búsqueda del saber, motivador y facilitador de experiencias, suscitador de la discusión científica y del análisis crítico, generador de hipótesis, planeador de problemas y alternativas, dinamizador del enfoque intercultural y de género, frente a un grupo estudiantil. (p.36)</w:t>
      </w:r>
    </w:p>
    <w:p w14:paraId="1BDF18C7" w14:textId="77777777" w:rsidR="00F91E05" w:rsidRPr="005D7FBD" w:rsidRDefault="00F91E05" w:rsidP="005D7FBD">
      <w:pPr>
        <w:spacing w:before="100" w:beforeAutospacing="1" w:after="100" w:afterAutospacing="1" w:line="360" w:lineRule="auto"/>
        <w:jc w:val="both"/>
        <w:rPr>
          <w:rFonts w:ascii="Arial" w:eastAsia="Calibri" w:hAnsi="Arial" w:cs="Arial"/>
          <w:i/>
          <w:lang w:val="es-419" w:eastAsia="es-419"/>
        </w:rPr>
      </w:pPr>
      <w:r w:rsidRPr="005D7FBD">
        <w:rPr>
          <w:rFonts w:ascii="Arial" w:eastAsia="Calibri" w:hAnsi="Arial" w:cs="Arial"/>
          <w:lang w:val="es-419" w:eastAsia="es-419"/>
        </w:rPr>
        <w:t>El incorporar al profesional en salud como formador de futuros profesionales, pone de manifiesto un gran compromiso de la universidad, tanto con el estudiante como con la persona educadora, dado su rol generador de experiencias clínicas reales en fortalecimiento de la toma de decisiones con fines terapéuticos</w:t>
      </w:r>
      <w:r w:rsidRPr="005D7FBD">
        <w:rPr>
          <w:rFonts w:ascii="Arial" w:eastAsia="Calibri" w:hAnsi="Arial" w:cs="Arial"/>
          <w:i/>
          <w:lang w:val="es-419" w:eastAsia="es-419"/>
        </w:rPr>
        <w:t>.</w:t>
      </w:r>
    </w:p>
    <w:p w14:paraId="4AA6846F"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En el contexto clínico-hospitalario, se debe fortalecer la formación integral</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de las personas docentes a fin de que se promuevan el desarrollo de las competencias personales y valores que, a largo plazo, consoliden una retribución a la sociedad de profesionales en salud con su ejercicio ético y profesional.</w:t>
      </w:r>
    </w:p>
    <w:p w14:paraId="5CC4B40B"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Para las personas profesionales en salud que fungen como docentes universitarios, la universidad debe responsabilizarse de su formación docente, lo que requiere que la academia consolide su rol formador de la persona profesional en el área de la salud para ser un docente que estimule el desarrollo de destrezas y habilidades del estudiantado. Para ello, se debe orientar a docentes universitarios en fomentar el trabajo autónomo del aprendiente a quien enseña, y la guía oportuna para la </w:t>
      </w:r>
      <w:r w:rsidRPr="005D7FBD">
        <w:rPr>
          <w:rFonts w:ascii="Arial" w:eastAsia="Calibri" w:hAnsi="Arial" w:cs="Arial"/>
          <w:lang w:val="es-419" w:eastAsia="es-419"/>
        </w:rPr>
        <w:lastRenderedPageBreak/>
        <w:t xml:space="preserve">búsqueda de soluciones a las diversas problemáticas clínicas que presenta un paciente. Se retoman las palabras de Gafas et al. (2018) sobre </w:t>
      </w:r>
      <w:r w:rsidRPr="005D7FBD">
        <w:rPr>
          <w:rFonts w:ascii="Arial" w:eastAsia="Calibri" w:hAnsi="Arial" w:cs="Arial"/>
          <w:iCs/>
          <w:lang w:val="es-419" w:eastAsia="es-419"/>
        </w:rPr>
        <w:t>fomentar en el estudiante el desarrollo de un papel activo en la autogestión de su propio conocimiento</w:t>
      </w:r>
      <w:r w:rsidRPr="005D7FBD">
        <w:rPr>
          <w:rFonts w:ascii="Arial" w:eastAsia="Calibri" w:hAnsi="Arial" w:cs="Arial"/>
          <w:lang w:val="es-419" w:eastAsia="es-419"/>
        </w:rPr>
        <w:t>, lo cual se ejecuta con apoyo de la persona docente.</w:t>
      </w:r>
    </w:p>
    <w:p w14:paraId="710AE123" w14:textId="77777777" w:rsidR="00F91E05" w:rsidRPr="005D7FBD" w:rsidRDefault="00F91E05" w:rsidP="005D7FBD">
      <w:pPr>
        <w:spacing w:before="100" w:beforeAutospacing="1" w:after="100" w:afterAutospacing="1" w:line="360" w:lineRule="auto"/>
        <w:jc w:val="both"/>
        <w:rPr>
          <w:rFonts w:ascii="Arial" w:eastAsia="Calibri" w:hAnsi="Arial" w:cs="Arial"/>
          <w:i/>
          <w:lang w:val="es-419" w:eastAsia="es-419"/>
        </w:rPr>
      </w:pPr>
      <w:r w:rsidRPr="005D7FBD">
        <w:rPr>
          <w:rFonts w:ascii="Arial" w:eastAsia="Calibri" w:hAnsi="Arial" w:cs="Arial"/>
          <w:lang w:val="es-419" w:eastAsia="es-419"/>
        </w:rPr>
        <w:t xml:space="preserve">Estrada et al (2021), afirman que </w:t>
      </w:r>
      <w:r w:rsidRPr="005D7FBD">
        <w:rPr>
          <w:rFonts w:ascii="Arial" w:eastAsia="Calibri" w:hAnsi="Arial" w:cs="Arial"/>
          <w:iCs/>
          <w:lang w:val="es-419" w:eastAsia="es-419"/>
        </w:rPr>
        <w:t>“no se puede dejar de valorar la importancia de la formación del estudiante universitario en el contexto actual, como sujeto capaz de lograr la transformación de sí mismo y de otros” (p.3)</w:t>
      </w:r>
      <w:r w:rsidRPr="005D7FBD">
        <w:rPr>
          <w:rFonts w:ascii="Arial" w:eastAsia="Calibri" w:hAnsi="Arial" w:cs="Arial"/>
          <w:lang w:val="es-419" w:eastAsia="es-419"/>
        </w:rPr>
        <w:t>. Es una realidad que las respuestas a las soluciones de los problemas comunes en el ámbito de la salud no siempre son claras de visualizar; a pesar de contar con amplia experiencia, el educando se procura la formación permanente autodidacta, el análisis oportuno del caso o situación, para así llegar a obtener posibles alternativas terapéuticas que permitan mejorar la calidad de vida del paciente o grupo de pacientes. En opinión de Gafas et al. (2016),</w:t>
      </w:r>
      <w:r w:rsidRPr="005D7FBD">
        <w:rPr>
          <w:rFonts w:ascii="Arial" w:eastAsia="Calibri" w:hAnsi="Arial" w:cs="Arial"/>
          <w:i/>
          <w:lang w:val="es-419" w:eastAsia="es-419"/>
        </w:rPr>
        <w:t xml:space="preserve"> </w:t>
      </w:r>
    </w:p>
    <w:p w14:paraId="496BEB95" w14:textId="77777777" w:rsidR="00F91E05" w:rsidRPr="005D7FBD" w:rsidRDefault="00F91E05" w:rsidP="005D7FBD">
      <w:pPr>
        <w:spacing w:before="100" w:beforeAutospacing="1" w:after="100" w:afterAutospacing="1" w:line="360" w:lineRule="auto"/>
        <w:ind w:left="720"/>
        <w:jc w:val="both"/>
        <w:rPr>
          <w:rFonts w:ascii="Arial" w:eastAsia="Calibri" w:hAnsi="Arial" w:cs="Arial"/>
          <w:lang w:val="es-419" w:eastAsia="es-419"/>
        </w:rPr>
      </w:pPr>
      <w:r w:rsidRPr="005D7FBD">
        <w:rPr>
          <w:rFonts w:ascii="Arial" w:eastAsia="Calibri" w:hAnsi="Arial" w:cs="Arial"/>
          <w:iCs/>
          <w:lang w:val="es-419" w:eastAsia="es-419"/>
        </w:rPr>
        <w:t xml:space="preserve">El docente de las ciencias de la salud debe estar preparado para modelar, simular y utilizar la lógica didáctica para resolver los problemas que se presentan en el quehacer formativo real y simulado, en un marco conceptual donde la relación creación-innovación-impacto integren la docencia, la investigación y la vinculación como expresión de calidad universitaria. </w:t>
      </w:r>
      <w:r w:rsidRPr="005D7FBD">
        <w:rPr>
          <w:rFonts w:ascii="Arial" w:eastAsia="Calibri" w:hAnsi="Arial" w:cs="Arial"/>
          <w:lang w:val="es-419" w:eastAsia="es-419"/>
        </w:rPr>
        <w:t>(p.37)</w:t>
      </w:r>
    </w:p>
    <w:p w14:paraId="59B6372D"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Por otra parte,</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 xml:space="preserve">la persona profesional en salud, docente en el ámbito clínico, debe incentivar el trabajo interdisciplinario, de forma que el quehacer de la atención </w:t>
      </w:r>
      <w:r w:rsidRPr="005D7FBD">
        <w:rPr>
          <w:rFonts w:ascii="Arial" w:eastAsia="Calibri" w:hAnsi="Arial" w:cs="Arial"/>
          <w:lang w:val="es-419" w:eastAsia="es-419"/>
        </w:rPr>
        <w:lastRenderedPageBreak/>
        <w:t>clínica se mire como un conjunto de acciones de diferentes áreas de ejercicio de varios profesionales, en miras de la atención oportuna y acertada de su paciente, sin importar el grado de severidad de su condición. Por tanto, el trabajo en equipo interdisciplinario debe fomentarse como parte del quehacer formativo del futuro profesional.</w:t>
      </w:r>
    </w:p>
    <w:p w14:paraId="58F5AF8A"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Las personas profesionales docentes en el área de la salud desempeñan un rol fundamental en las universidades, a modo de contribuir y colaborar en la definición de competencias; por ende, en la formación curricular del estudiantado</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y futuros profesionales. En los procesos de gestión permanente y mejora continua de las carreras universitarias, retroalimentarse de estas personas en calidad de empleadores y egresados constituye un insumo vital para definición de nuevos enfoques curriculares y pedagógicos de las diferentes carreras del área de la salud. No hay que olvidar que, para el desarrollo curricular se debe considerar el perfil de egreso de la carrera, y de allí que el aporte de los actuales empleadores y egresados son fundamentales como parte de la consulta permanente y actualización curricular (Vega, 2021).</w:t>
      </w:r>
    </w:p>
    <w:p w14:paraId="3F637306"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Según Pérez et al.</w:t>
      </w:r>
      <w:r w:rsidRPr="005D7FBD">
        <w:rPr>
          <w:rFonts w:ascii="Arial" w:eastAsia="Calibri" w:hAnsi="Arial" w:cs="Arial"/>
          <w:color w:val="FF0000"/>
          <w:lang w:val="es-419" w:eastAsia="es-419"/>
        </w:rPr>
        <w:t xml:space="preserve"> </w:t>
      </w:r>
      <w:r w:rsidRPr="005D7FBD">
        <w:rPr>
          <w:rFonts w:ascii="Arial" w:eastAsia="Calibri" w:hAnsi="Arial" w:cs="Arial"/>
          <w:lang w:val="es-419" w:eastAsia="es-419"/>
        </w:rPr>
        <w:t xml:space="preserve">(2020), investigación realizada con personas expertas en educación médica y docentes en Chile, se logra identificar que quienes enseñan en el ámbito clínico consideran relevante incorporar el modelo por competencias y la enseñanza constructivista, de allí que el usar la práctica clínica como parte del </w:t>
      </w:r>
      <w:r w:rsidRPr="005D7FBD">
        <w:rPr>
          <w:rFonts w:ascii="Arial" w:eastAsia="Calibri" w:hAnsi="Arial" w:cs="Arial"/>
          <w:lang w:val="es-419" w:eastAsia="es-419"/>
        </w:rPr>
        <w:lastRenderedPageBreak/>
        <w:t>currículum del estudiantado en el área de la salud, contribuye en el desarrollo de las destrezas y habilidades requeridas para el óptimo desarrollo profesional.</w:t>
      </w:r>
    </w:p>
    <w:p w14:paraId="74977E5E"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El validar la importancia de la dimensión del aprendizaje </w:t>
      </w:r>
      <w:r w:rsidRPr="005D7FBD">
        <w:rPr>
          <w:rFonts w:ascii="Arial" w:eastAsia="Calibri" w:hAnsi="Arial" w:cs="Arial"/>
          <w:i/>
          <w:iCs/>
          <w:lang w:val="es-419" w:eastAsia="es-419"/>
        </w:rPr>
        <w:t>in situ</w:t>
      </w:r>
      <w:r w:rsidRPr="005D7FBD">
        <w:rPr>
          <w:rFonts w:ascii="Arial" w:eastAsia="Calibri" w:hAnsi="Arial" w:cs="Arial"/>
          <w:lang w:val="es-419" w:eastAsia="es-419"/>
        </w:rPr>
        <w:t xml:space="preserve">, como clínicas y hospitales (también conocidas como unidades docentes), permite no solo ofrecer a futuros profesionales del área de la salud una formación más allá de la asociada al conocimiento de la profesión, sino también fortalecer en el educando un enfoque ético humanista, principios fundamentales en el ejercicio de cualquier profesional, aún más en el área de la salud, sin dejar de lado la importancia del trabajo interdisciplinario. </w:t>
      </w:r>
    </w:p>
    <w:p w14:paraId="5EF0B1A5"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De acuerdo con Estrada et al. (2021), la persona docente universitaria debe trabajar desde una concepción humanista de la educación, lo cual implica conocer la ciencia que explica, además de la pedagogía contemporánea, de allí se rescata el rol fundamental que juegan las universidades en la capacitación de docentes en aspectos pedagógicos, especialmente en casos de aprendizaje constructivista.</w:t>
      </w:r>
    </w:p>
    <w:p w14:paraId="5D4770E8"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No se puede obviar que el proceso de enseñanza aprendizaje se fundamenta también en la motivación mutua docente-alumno; con base en la experiencia, el estudiantado siempre ha mostrado altas expectativas e ilusión el acercarse a su práctica clínica en los últimos años de su formación universitaria, como se ha externado con anterioridad. </w:t>
      </w:r>
      <w:r w:rsidRPr="005D7FBD">
        <w:rPr>
          <w:rFonts w:ascii="Arial" w:eastAsia="Calibri" w:hAnsi="Arial" w:cs="Arial"/>
          <w:lang w:val="es-419" w:eastAsia="es-419"/>
        </w:rPr>
        <w:t>Gafas et al. (2016)</w:t>
      </w:r>
    </w:p>
    <w:p w14:paraId="1947F98A"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lastRenderedPageBreak/>
        <w:t xml:space="preserve">A partir de la experiencia de la </w:t>
      </w:r>
      <w:proofErr w:type="spellStart"/>
      <w:r w:rsidRPr="005D7FBD">
        <w:rPr>
          <w:rFonts w:ascii="Arial" w:eastAsia="Calibri" w:hAnsi="Arial" w:cs="Arial"/>
          <w:highlight w:val="white"/>
          <w:lang w:val="es-419" w:eastAsia="es-419"/>
        </w:rPr>
        <w:t>ENu</w:t>
      </w:r>
      <w:proofErr w:type="spellEnd"/>
      <w:r w:rsidRPr="005D7FBD">
        <w:rPr>
          <w:rFonts w:ascii="Arial" w:eastAsia="Calibri" w:hAnsi="Arial" w:cs="Arial"/>
          <w:highlight w:val="white"/>
          <w:lang w:val="es-419" w:eastAsia="es-419"/>
        </w:rPr>
        <w:t>, la persona estudiante confía en sus capacidades profesionales que construye al lado de su tutor hospitalario, de modo que quien le enseña en su campo de acción represente motivación, lo cual, en última instancia desata un aprendizaje apoyado por la estimulación, la autonomía y la sensibilidad. Tal como mencionan Vásquez et al.</w:t>
      </w:r>
      <w:r w:rsidRPr="005D7FBD">
        <w:rPr>
          <w:rFonts w:ascii="Arial" w:eastAsia="Calibri" w:hAnsi="Arial" w:cs="Arial"/>
          <w:color w:val="FF0000"/>
          <w:highlight w:val="white"/>
          <w:lang w:val="es-419" w:eastAsia="es-419"/>
        </w:rPr>
        <w:t xml:space="preserve"> </w:t>
      </w:r>
      <w:r w:rsidRPr="005D7FBD">
        <w:rPr>
          <w:rFonts w:ascii="Arial" w:eastAsia="Calibri" w:hAnsi="Arial" w:cs="Arial"/>
          <w:highlight w:val="white"/>
          <w:lang w:val="es-419" w:eastAsia="es-419"/>
        </w:rPr>
        <w:t xml:space="preserve">(2018), para conceptualizar al Docente Motivador, el estudiantado da más relevancia a las relaciones interpersonales y actitudinales que a las competencias académicas en el ámbito del conocimiento y habilidades disciplinarias. </w:t>
      </w:r>
    </w:p>
    <w:p w14:paraId="2D49F89F"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Este es otro aspecto de tratar de identificar adecuadas prácticas docentes, de no existir, la universidad, como cuna de capacitación, tiene la responsabilidad de colaborar en la formación de este elemento para optimizar el aprendizaje.</w:t>
      </w:r>
    </w:p>
    <w:p w14:paraId="1B8CFF6A"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Con base en la experiencia propia de la ENU de la UCR, y otras experiencias como la citada por Tovar et al. </w:t>
      </w:r>
      <w:r w:rsidRPr="005D7FBD">
        <w:rPr>
          <w:rFonts w:ascii="Arial" w:eastAsia="Calibri" w:hAnsi="Arial" w:cs="Arial"/>
          <w:color w:val="FF0000"/>
          <w:highlight w:val="white"/>
          <w:lang w:val="es-419" w:eastAsia="es-419"/>
        </w:rPr>
        <w:t xml:space="preserve"> </w:t>
      </w:r>
      <w:r w:rsidRPr="005D7FBD">
        <w:rPr>
          <w:rFonts w:ascii="Arial" w:eastAsia="Calibri" w:hAnsi="Arial" w:cs="Arial"/>
          <w:highlight w:val="white"/>
          <w:lang w:val="es-419" w:eastAsia="es-419"/>
        </w:rPr>
        <w:t xml:space="preserve">(2013), en su artículo sobre el constructivismo en la formación del profesional en enfermería, se coincide en la visión de la importancia de lograr el aprendizaje por medio de experiencias previas (posibles gracias al ámbito práctico), a fin de que se valide la asimilación, aplicación y adquisición del conocimiento por medio de la práctica.  </w:t>
      </w:r>
    </w:p>
    <w:p w14:paraId="2F5919D2" w14:textId="77777777" w:rsidR="00F91E05" w:rsidRPr="005D7FBD" w:rsidRDefault="00F91E05" w:rsidP="005D7FBD">
      <w:pPr>
        <w:spacing w:before="100" w:beforeAutospacing="1" w:after="100" w:afterAutospacing="1" w:line="360" w:lineRule="auto"/>
        <w:jc w:val="both"/>
        <w:rPr>
          <w:rFonts w:ascii="Arial" w:eastAsia="Calibri" w:hAnsi="Arial" w:cs="Arial"/>
          <w:iCs/>
          <w:highlight w:val="white"/>
          <w:lang w:val="es-419" w:eastAsia="es-419"/>
        </w:rPr>
      </w:pPr>
      <w:r w:rsidRPr="005D7FBD">
        <w:rPr>
          <w:rFonts w:ascii="Arial" w:eastAsia="Calibri" w:hAnsi="Arial" w:cs="Arial"/>
          <w:iCs/>
          <w:highlight w:val="white"/>
          <w:lang w:val="es-419" w:eastAsia="es-419"/>
        </w:rPr>
        <w:t xml:space="preserve">La teoría constructivista sustenta una postura de replantear el rol docente con pensamiento crítico, capaz de desarrollar en el estudiantado criterios de autonomía, habilidad dialógica y empatía, con elevados grados de satisfacción, de manera que </w:t>
      </w:r>
      <w:r w:rsidRPr="005D7FBD">
        <w:rPr>
          <w:rFonts w:ascii="Arial" w:eastAsia="Calibri" w:hAnsi="Arial" w:cs="Arial"/>
          <w:iCs/>
          <w:highlight w:val="white"/>
          <w:lang w:val="es-419" w:eastAsia="es-419"/>
        </w:rPr>
        <w:lastRenderedPageBreak/>
        <w:t xml:space="preserve">profesionales en enfermería, por ejemplo, sean críticos y reflexivos en su práctica y vida diaria. </w:t>
      </w:r>
    </w:p>
    <w:p w14:paraId="290936F0"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De igual manera, en un estudio sobre las estrategias de enseñanza y habilidades pedagógicas con una concepción constructivista, desde la perspectiva docente-estudiante en programas de maestrías en salud, Campos et al. (2021) encuentran diferencias significativas en las estrategias de enseñanza y habilidades pedagógicas de dicho enfoque entre quienes enseñan y sus aprendientes; resalta la importancia de que la universidad capacite a sus docentes en tutoría clínica, desde un enfoque pedagógico que permita al  estudiantado acceder adecuadamente a la adquisición de conocimientos basados en una experiencia práctica.</w:t>
      </w:r>
    </w:p>
    <w:p w14:paraId="091FFA45"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La praxis también ha llevado a considerar que, en el marco clínico-hospitalario de esta actividad docente, es relevante capacitar profesionales en áreas de comunicación asertiva (retroalimentación del quehacer estudiantil), fortalecimiento de técnicas de enseñanza y evaluación del desempeño en ambientes prácticos, así como el manejo de estudiantes con algún tipo de adecuación curricular o discapacidad, cuyo abordaje de enseñanza está guiado por principios de educación inclusiva. </w:t>
      </w:r>
    </w:p>
    <w:p w14:paraId="2C94F08B"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Para la formación de talento humano docente en el área clínica no sólo impera la instrucción en temas de pedagogía, también en investigación y la acción social; en </w:t>
      </w:r>
      <w:r w:rsidRPr="005D7FBD">
        <w:rPr>
          <w:rFonts w:ascii="Arial" w:eastAsia="Calibri" w:hAnsi="Arial" w:cs="Arial"/>
          <w:highlight w:val="white"/>
          <w:lang w:val="es-419" w:eastAsia="es-419"/>
        </w:rPr>
        <w:lastRenderedPageBreak/>
        <w:t xml:space="preserve">el caso de la UCR, son parte del quehacer docente. En este aspecto, la UCR y la </w:t>
      </w:r>
      <w:proofErr w:type="spellStart"/>
      <w:r w:rsidRPr="005D7FBD">
        <w:rPr>
          <w:rFonts w:ascii="Arial" w:eastAsia="Calibri" w:hAnsi="Arial" w:cs="Arial"/>
          <w:highlight w:val="white"/>
          <w:lang w:val="es-419" w:eastAsia="es-419"/>
        </w:rPr>
        <w:t>ENu</w:t>
      </w:r>
      <w:proofErr w:type="spellEnd"/>
      <w:r w:rsidRPr="005D7FBD">
        <w:rPr>
          <w:rFonts w:ascii="Arial" w:eastAsia="Calibri" w:hAnsi="Arial" w:cs="Arial"/>
          <w:highlight w:val="white"/>
          <w:lang w:val="es-419" w:eastAsia="es-419"/>
        </w:rPr>
        <w:t xml:space="preserve"> constantemente ofrecen asesorías y cursos de capacitación en el área de investigación.</w:t>
      </w:r>
    </w:p>
    <w:p w14:paraId="7CA09708" w14:textId="52A783E5" w:rsidR="00F91E05" w:rsidRPr="005D7FBD" w:rsidRDefault="00F91E05" w:rsidP="00B93E50">
      <w:pPr>
        <w:spacing w:before="100" w:beforeAutospacing="1" w:after="100" w:afterAutospacing="1" w:line="360" w:lineRule="auto"/>
        <w:jc w:val="both"/>
        <w:rPr>
          <w:rFonts w:ascii="Arial" w:eastAsia="Calibri" w:hAnsi="Arial" w:cs="Arial"/>
          <w:b/>
          <w:lang w:val="es-419" w:eastAsia="es-419"/>
        </w:rPr>
      </w:pPr>
      <w:r w:rsidRPr="005D7FBD">
        <w:rPr>
          <w:rFonts w:ascii="Arial" w:eastAsia="Calibri" w:hAnsi="Arial" w:cs="Arial"/>
          <w:b/>
          <w:lang w:val="es-419" w:eastAsia="es-419"/>
        </w:rPr>
        <w:t>El rol de los hospitales públicos en Costa Rica en la formación de talento humano en Nutrición en la Universidad de Costa Rica</w:t>
      </w:r>
    </w:p>
    <w:p w14:paraId="1C042971"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Durante muchos años, han existido convenios en Costa Rica con la CCSS y la UCR, a fin de que la formación de las personas profesionales en diferentes áreas de la salud logre su aprendizaje en espacios tanto de clínicas como de hospitales, tal es el caso de Medicina, Farmacia, Microbiología, Nutrición, Enfermería,</w:t>
      </w:r>
      <w:r w:rsidRPr="005D7FBD">
        <w:rPr>
          <w:rFonts w:ascii="Arial" w:eastAsia="Calibri" w:hAnsi="Arial" w:cs="Arial"/>
          <w:color w:val="FF0000"/>
          <w:highlight w:val="white"/>
          <w:lang w:val="es-419" w:eastAsia="es-419"/>
        </w:rPr>
        <w:t xml:space="preserve"> </w:t>
      </w:r>
      <w:r w:rsidRPr="005D7FBD">
        <w:rPr>
          <w:rFonts w:ascii="Arial" w:eastAsia="Calibri" w:hAnsi="Arial" w:cs="Arial"/>
          <w:highlight w:val="white"/>
          <w:lang w:val="es-419" w:eastAsia="es-419"/>
        </w:rPr>
        <w:t>entre otras.</w:t>
      </w:r>
    </w:p>
    <w:p w14:paraId="03D333B6"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Gracias a esta alianza, no sólo se logra la formación de futuros profesionales del área de la salud, paralelamente, se permite la retribución a la CCSS por medio del ejercicio profesional de estudiantes, optimizando la atención de los servicios ofrecidos a sus pacientes. Estos convenios también enmarcan el compromiso de la academia en ofertar cursos de actualización a profesionales, se incluye el desarrollo de proyectos de investigación o acción social que, de forma conjunta, contribuyan al quehacer de la CCSS y a mejorar los servicios ofertados a sus asegurados.</w:t>
      </w:r>
    </w:p>
    <w:p w14:paraId="60220F85"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En el caso específico de la persona profesional en Nutrición, durante los  años de existencia de esta alianza, el estudiantado ha participado de la atención clínica en los diferentes niveles de atención que ofrece la CCSS, permitiendo el abordaje de </w:t>
      </w:r>
      <w:r w:rsidRPr="005D7FBD">
        <w:rPr>
          <w:rFonts w:ascii="Arial" w:eastAsia="Calibri" w:hAnsi="Arial" w:cs="Arial"/>
          <w:highlight w:val="white"/>
          <w:lang w:val="es-419" w:eastAsia="es-419"/>
        </w:rPr>
        <w:lastRenderedPageBreak/>
        <w:t>pacientes a nivel individual y grupal, atención del personal de hospitales, a su vez, la generación de proyectos para mejorar el quehacer de los diferentes servicios de Nutrición en hospitales del país; sin dejar de lado aportes en el área de administración de servicios hospitalarios de alimentación y atención primaria o secundaria. Estas actividades son realizadas como parte del curso de práctica en Nutrición clínica hospitalaria, y trabajos finales de graduación mediante el desarrollo prácticas dirigidas, tesis o proyectos.</w:t>
      </w:r>
    </w:p>
    <w:p w14:paraId="2902AB16"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En este contexto y con el apoyo de docentes de la </w:t>
      </w:r>
      <w:proofErr w:type="spellStart"/>
      <w:r w:rsidRPr="005D7FBD">
        <w:rPr>
          <w:rFonts w:ascii="Arial" w:eastAsia="Calibri" w:hAnsi="Arial" w:cs="Arial"/>
          <w:highlight w:val="white"/>
          <w:lang w:val="es-419" w:eastAsia="es-419"/>
        </w:rPr>
        <w:t>ENu</w:t>
      </w:r>
      <w:proofErr w:type="spellEnd"/>
      <w:r w:rsidRPr="005D7FBD">
        <w:rPr>
          <w:rFonts w:ascii="Arial" w:eastAsia="Calibri" w:hAnsi="Arial" w:cs="Arial"/>
          <w:highlight w:val="white"/>
          <w:lang w:val="es-419" w:eastAsia="es-419"/>
        </w:rPr>
        <w:t>, el estudiantado ha desarrollado innumerables proyectos que brindan valiosas contribuciones al quehacer del servicio de Nutrición de las diferentes unidades de salud de la CCSS, con el consecuente beneficio de las personas usuarias. No es desconocido el hecho de que, en casi la totalidad de las clínicas y hospitales del país a nivel de la CCSS, existe insuficiente cantidad de profesionales en Nutrición para satisfacer la exorbitante demanda de servicios requeridos (Ulate, K, 2019), no sólo en área de atención clínica, sino también en los ámbitos de la promoción y prevención de enfermedades en que la Nutrición juega un rol preponderante, por lo que el estudiantado aporta de manera significativa en este espacio. (ver esquema 1)</w:t>
      </w:r>
    </w:p>
    <w:p w14:paraId="1BE4905D" w14:textId="77777777" w:rsidR="001223DD" w:rsidRDefault="001223DD" w:rsidP="005D7FBD">
      <w:pPr>
        <w:spacing w:before="100" w:beforeAutospacing="1" w:after="100" w:afterAutospacing="1" w:line="360" w:lineRule="auto"/>
        <w:jc w:val="both"/>
        <w:rPr>
          <w:rFonts w:ascii="Arial" w:eastAsia="Calibri" w:hAnsi="Arial" w:cs="Arial"/>
          <w:b/>
          <w:bCs/>
          <w:highlight w:val="white"/>
          <w:lang w:val="es-419" w:eastAsia="es-419"/>
        </w:rPr>
      </w:pPr>
    </w:p>
    <w:p w14:paraId="015B6DBC" w14:textId="77777777" w:rsidR="001223DD" w:rsidRDefault="001223DD" w:rsidP="005D7FBD">
      <w:pPr>
        <w:spacing w:before="100" w:beforeAutospacing="1" w:after="100" w:afterAutospacing="1" w:line="360" w:lineRule="auto"/>
        <w:jc w:val="both"/>
        <w:rPr>
          <w:rFonts w:ascii="Arial" w:eastAsia="Calibri" w:hAnsi="Arial" w:cs="Arial"/>
          <w:b/>
          <w:bCs/>
          <w:highlight w:val="white"/>
          <w:lang w:val="es-419" w:eastAsia="es-419"/>
        </w:rPr>
      </w:pPr>
    </w:p>
    <w:p w14:paraId="1421E519" w14:textId="01D784EE" w:rsidR="00F91E05" w:rsidRPr="001223DD" w:rsidRDefault="00F91E05" w:rsidP="001223DD">
      <w:pPr>
        <w:spacing w:before="100" w:beforeAutospacing="1" w:after="100" w:afterAutospacing="1" w:line="360" w:lineRule="auto"/>
        <w:jc w:val="center"/>
        <w:rPr>
          <w:rFonts w:ascii="Arial" w:eastAsia="Calibri" w:hAnsi="Arial" w:cs="Arial"/>
          <w:b/>
          <w:iCs/>
          <w:sz w:val="20"/>
          <w:szCs w:val="20"/>
          <w:highlight w:val="white"/>
          <w:lang w:val="es-419" w:eastAsia="es-419"/>
        </w:rPr>
      </w:pPr>
      <w:r w:rsidRPr="001223DD">
        <w:rPr>
          <w:rFonts w:ascii="Arial" w:eastAsia="Calibri" w:hAnsi="Arial" w:cs="Arial"/>
          <w:b/>
          <w:bCs/>
          <w:sz w:val="20"/>
          <w:szCs w:val="20"/>
          <w:highlight w:val="white"/>
          <w:lang w:val="es-419" w:eastAsia="es-419"/>
        </w:rPr>
        <w:lastRenderedPageBreak/>
        <w:t>Esquema 1</w:t>
      </w:r>
      <w:r w:rsidR="001223DD" w:rsidRPr="001223DD">
        <w:rPr>
          <w:rFonts w:ascii="Arial" w:eastAsia="Calibri" w:hAnsi="Arial" w:cs="Arial"/>
          <w:b/>
          <w:bCs/>
          <w:sz w:val="20"/>
          <w:szCs w:val="20"/>
          <w:highlight w:val="white"/>
          <w:lang w:val="es-419" w:eastAsia="es-419"/>
        </w:rPr>
        <w:t xml:space="preserve">. </w:t>
      </w:r>
      <w:r w:rsidRPr="001223DD">
        <w:rPr>
          <w:rFonts w:ascii="Arial" w:eastAsia="Calibri" w:hAnsi="Arial" w:cs="Arial"/>
          <w:b/>
          <w:iCs/>
          <w:sz w:val="20"/>
          <w:szCs w:val="20"/>
          <w:highlight w:val="white"/>
          <w:lang w:val="es-419" w:eastAsia="es-419"/>
        </w:rPr>
        <w:t>Descripción del quehacer del estudiantado con apoyo de las personas</w:t>
      </w:r>
      <w:r w:rsidRPr="001223DD">
        <w:rPr>
          <w:rFonts w:ascii="Arial" w:eastAsia="Calibri" w:hAnsi="Arial" w:cs="Arial"/>
          <w:b/>
          <w:iCs/>
          <w:color w:val="FF0000"/>
          <w:sz w:val="20"/>
          <w:szCs w:val="20"/>
          <w:highlight w:val="white"/>
          <w:lang w:val="es-419" w:eastAsia="es-419"/>
        </w:rPr>
        <w:t xml:space="preserve"> </w:t>
      </w:r>
      <w:r w:rsidRPr="001223DD">
        <w:rPr>
          <w:rFonts w:ascii="Arial" w:eastAsia="Calibri" w:hAnsi="Arial" w:cs="Arial"/>
          <w:b/>
          <w:iCs/>
          <w:sz w:val="20"/>
          <w:szCs w:val="20"/>
          <w:highlight w:val="white"/>
          <w:lang w:val="es-419" w:eastAsia="es-419"/>
        </w:rPr>
        <w:t>docentes, ENU, 2023</w:t>
      </w:r>
    </w:p>
    <w:p w14:paraId="735EBC0E" w14:textId="77777777" w:rsidR="00F91E05" w:rsidRPr="00F91E05" w:rsidRDefault="00F91E05" w:rsidP="001223DD">
      <w:pPr>
        <w:spacing w:line="360" w:lineRule="auto"/>
        <w:jc w:val="center"/>
        <w:rPr>
          <w:rFonts w:ascii="Arial" w:eastAsia="Calibri" w:hAnsi="Arial" w:cs="Arial"/>
          <w:highlight w:val="white"/>
          <w:lang w:val="es-419" w:eastAsia="es-419"/>
        </w:rPr>
      </w:pPr>
      <w:r w:rsidRPr="00F91E05">
        <w:rPr>
          <w:rFonts w:ascii="Arial" w:eastAsia="Calibri" w:hAnsi="Arial" w:cs="Arial"/>
          <w:noProof/>
          <w:highlight w:val="white"/>
          <w:lang w:val="es-419" w:eastAsia="es-419"/>
        </w:rPr>
        <w:drawing>
          <wp:inline distT="114300" distB="114300" distL="114300" distR="114300" wp14:anchorId="663DA215" wp14:editId="6521FC44">
            <wp:extent cx="5152445" cy="3745065"/>
            <wp:effectExtent l="0" t="0" r="0" b="825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189648" cy="3772106"/>
                    </a:xfrm>
                    <a:prstGeom prst="rect">
                      <a:avLst/>
                    </a:prstGeom>
                    <a:ln/>
                  </pic:spPr>
                </pic:pic>
              </a:graphicData>
            </a:graphic>
          </wp:inline>
        </w:drawing>
      </w:r>
    </w:p>
    <w:p w14:paraId="7885CD78"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Mediante el desarrollo de prácticas profesionalizantes al lado de personas tutoras hospitalarias que fungen como docentes, el estudiantado no solo logra terminar su formación profesional, sino también con su ejercicio retribuyen a la institución, entiéndase la CCSS, y a sus pacientes o la población costarricense.</w:t>
      </w:r>
    </w:p>
    <w:p w14:paraId="6B7FE2FE"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lastRenderedPageBreak/>
        <w:t>Parte de esta experiencia clínica ha permitido al estudiantado brindar atención a un mayor grupo de pacientes, por medio de generación y desarrollo de actividades de sesiones grupales, como ha sido el caso de atención de pacientes con enfermedades crónicas no transmisibles. También ha permitido una atención más oportuna e individualizada a pacientes que, antes, durante y después de una intervención quirúrgica o de salud, requieren la optimización del soporte nutricional acorde a sus necesidades y condiciones sociales del paciente. No se puede dejar de mencionar el aporte que generan las personas estudiantes en nutrición en la reducción de las listas de espera de pacientes en consulta externa, la cual sigue siendo un punto álgido para la CCSS, por la larga espera para las citas de primera vez o control.</w:t>
      </w:r>
    </w:p>
    <w:p w14:paraId="00627B3E"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Dentro de las otras actividades del quehacer del estudiante en el ámbito clínico hospitalario, se cuenta el desarrollo de revisiones de literatura sobre temas de interés de avances clínicos dietoterapéuticos, supervisión de ingesta de alimentos o su adecuación oportuna, participación en el comité de soporte nutricional, atención de la consulta externa, desarrollo de proyectos que implican la generación de protocolos de atención de las múltiples enfermedades que aquejan a la población, atención de grupos de pacientes con intervenciones de tipo educativas, seguimiento de casos, charlas al personal del hospital con enfoque de atención primaria, desarrollo de menús hospitalarios, lista de compras, ferias de la salud, visita domiciliaria, entre otras.</w:t>
      </w:r>
    </w:p>
    <w:p w14:paraId="7A92652F"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lastRenderedPageBreak/>
        <w:t xml:space="preserve">En la </w:t>
      </w:r>
      <w:proofErr w:type="spellStart"/>
      <w:r w:rsidRPr="005D7FBD">
        <w:rPr>
          <w:rFonts w:ascii="Arial" w:eastAsia="Calibri" w:hAnsi="Arial" w:cs="Arial"/>
          <w:highlight w:val="white"/>
          <w:lang w:val="es-419" w:eastAsia="es-419"/>
        </w:rPr>
        <w:t>ENu</w:t>
      </w:r>
      <w:proofErr w:type="spellEnd"/>
      <w:r w:rsidRPr="005D7FBD">
        <w:rPr>
          <w:rFonts w:ascii="Arial" w:eastAsia="Calibri" w:hAnsi="Arial" w:cs="Arial"/>
          <w:highlight w:val="white"/>
          <w:lang w:val="es-419" w:eastAsia="es-419"/>
        </w:rPr>
        <w:t xml:space="preserve"> de la UCR, esta experiencia práctica supervisada del estudiantado se logra con el apoyo de las personas tutoras hospitalarias, también de docentes de la </w:t>
      </w:r>
      <w:proofErr w:type="spellStart"/>
      <w:r w:rsidRPr="005D7FBD">
        <w:rPr>
          <w:rFonts w:ascii="Arial" w:eastAsia="Calibri" w:hAnsi="Arial" w:cs="Arial"/>
          <w:highlight w:val="white"/>
          <w:lang w:val="es-419" w:eastAsia="es-419"/>
        </w:rPr>
        <w:t>ENu</w:t>
      </w:r>
      <w:proofErr w:type="spellEnd"/>
      <w:r w:rsidRPr="005D7FBD">
        <w:rPr>
          <w:rFonts w:ascii="Arial" w:eastAsia="Calibri" w:hAnsi="Arial" w:cs="Arial"/>
          <w:highlight w:val="white"/>
          <w:lang w:val="es-419" w:eastAsia="es-419"/>
        </w:rPr>
        <w:t xml:space="preserve"> a modo de contraparte, quienes asesoran y acompañan a estudiantes en el desarrollo de las diferentes actividades o proyectos que se ejecutan en los diferentes lugares, así como en la evaluación de su desempeño. Este trabajo conjunto entre docente tutor hospitalario y docente de la unidad permite optimizar la enseñanza aprendizaje del estudiantado en el ámbito clínico, de igual forma, orienta hacia la excelencia y calidad del trabajo o labor desarrollada.</w:t>
      </w:r>
    </w:p>
    <w:p w14:paraId="13FA4A35" w14:textId="77777777" w:rsidR="00F91E05" w:rsidRPr="005D7FBD" w:rsidRDefault="00F91E05" w:rsidP="005D7FBD">
      <w:pPr>
        <w:spacing w:before="100" w:beforeAutospacing="1" w:after="100" w:afterAutospacing="1" w:line="360" w:lineRule="auto"/>
        <w:jc w:val="both"/>
        <w:rPr>
          <w:rFonts w:ascii="Arial" w:eastAsia="Calibri" w:hAnsi="Arial" w:cs="Arial"/>
          <w:b/>
          <w:lang w:val="es-419" w:eastAsia="es-419"/>
        </w:rPr>
      </w:pPr>
      <w:r w:rsidRPr="005D7FBD">
        <w:rPr>
          <w:rFonts w:ascii="Arial" w:eastAsia="Calibri" w:hAnsi="Arial" w:cs="Arial"/>
          <w:highlight w:val="white"/>
          <w:lang w:val="es-419" w:eastAsia="es-419"/>
        </w:rPr>
        <w:t>Estas alianzas estratégicas en salud fomentan la formación de talento humano en esta área para el país, se da un ganar recíproco que involucra al estudiantado o futuro profesional en salud, así como para clínicas u hospitales de la institución (CCSS), la cual se retroalimenta del quehacer de la persona estudiante, asimismo, de la universidad con los diferentes aportes que se ofrecen.</w:t>
      </w:r>
    </w:p>
    <w:p w14:paraId="2F26B11E"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 xml:space="preserve">En el país, en el marco del convenio con la CCSS-UCR y la normativa establecida por el (CENDEISS), en el Reglamento de la actividad clínica docente en la CCSS (Junta Directiva de la CCSS, agosto 2004), diferentes profesionales del área de la salud de las clínicas u hospitales pueden desarrollar su labor docente mediante la atención de estudiantes durante su jornada laboral, lo que permite al funcionario de la CCSS apoyar el aprendizaje en un marco de superposición horaria. </w:t>
      </w:r>
    </w:p>
    <w:p w14:paraId="25FC1335"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lastRenderedPageBreak/>
        <w:t xml:space="preserve">Para efectos de la docencia en Nutrición con la CCSS, también existen lineamientos generales emitidos en la misma fecha que el Reglamento anteriormente señalado, dentro de los cuales se emite una serie de directrices para profesionales en Nutrición que quieran enseñar en el ámbito de esta institución, tal es el caso de campos docentes en áreas de administración de Servicios de Alimentación, Atención Primaria en Salud y </w:t>
      </w:r>
      <w:proofErr w:type="spellStart"/>
      <w:r w:rsidRPr="005D7FBD">
        <w:rPr>
          <w:rFonts w:ascii="Arial" w:eastAsia="Calibri" w:hAnsi="Arial" w:cs="Arial"/>
          <w:highlight w:val="white"/>
          <w:lang w:val="es-419" w:eastAsia="es-419"/>
        </w:rPr>
        <w:t>Dietoterapia</w:t>
      </w:r>
      <w:proofErr w:type="spellEnd"/>
      <w:r w:rsidRPr="005D7FBD">
        <w:rPr>
          <w:rFonts w:ascii="Arial" w:eastAsia="Calibri" w:hAnsi="Arial" w:cs="Arial"/>
          <w:highlight w:val="white"/>
          <w:lang w:val="es-419" w:eastAsia="es-419"/>
        </w:rPr>
        <w:t xml:space="preserve"> hospitalaria.</w:t>
      </w:r>
    </w:p>
    <w:p w14:paraId="2092A153" w14:textId="77777777" w:rsidR="00F91E05" w:rsidRPr="005D7FBD" w:rsidRDefault="00F91E05" w:rsidP="005D7FBD">
      <w:pPr>
        <w:spacing w:before="100" w:beforeAutospacing="1" w:after="100" w:afterAutospacing="1" w:line="360" w:lineRule="auto"/>
        <w:jc w:val="both"/>
        <w:rPr>
          <w:rFonts w:ascii="Arial" w:eastAsia="Calibri" w:hAnsi="Arial" w:cs="Arial"/>
          <w:highlight w:val="white"/>
          <w:lang w:val="es-419" w:eastAsia="es-419"/>
        </w:rPr>
      </w:pPr>
      <w:r w:rsidRPr="005D7FBD">
        <w:rPr>
          <w:rFonts w:ascii="Arial" w:eastAsia="Calibri" w:hAnsi="Arial" w:cs="Arial"/>
          <w:highlight w:val="white"/>
          <w:lang w:val="es-419" w:eastAsia="es-419"/>
        </w:rPr>
        <w:t>En seguimiento a la normativa existente en el país, el CENDEISSS también ha establecido requisitos para fungir como docentes en la CCSS, en el cual se destacan los roles que tienen los Comités Académicos Locales y las jefaturas de cada centro de salud para la comprobación de los requisitos. Se visibiliza el quehacer del estudiantado universitario en su ámbito práctico clínico, como un ejercicio que permite no sólo el desarrollo de la docencia y la investigación, sino que paralelamente se da una proyección en el área de la acción social, la cual también debe ser validada por todo aquel aporte que se realiza en beneficio de las diferentes comunidades o personas beneficiarias.</w:t>
      </w:r>
    </w:p>
    <w:p w14:paraId="25A921CB"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Dentro de las principales amenazas actuales en el desarrollo de la docencia en diferentes ámbitos de acción de la CCSS, se encuentra la limitación de cupos existentes para estudiantes de la </w:t>
      </w:r>
      <w:proofErr w:type="spellStart"/>
      <w:r w:rsidRPr="005D7FBD">
        <w:rPr>
          <w:rFonts w:ascii="Arial" w:eastAsia="Calibri" w:hAnsi="Arial" w:cs="Arial"/>
          <w:lang w:val="es-419" w:eastAsia="es-419"/>
        </w:rPr>
        <w:t>ENu</w:t>
      </w:r>
      <w:proofErr w:type="spellEnd"/>
      <w:r w:rsidRPr="005D7FBD">
        <w:rPr>
          <w:rFonts w:ascii="Arial" w:eastAsia="Calibri" w:hAnsi="Arial" w:cs="Arial"/>
          <w:lang w:val="es-419" w:eastAsia="es-419"/>
        </w:rPr>
        <w:t xml:space="preserve"> de la UCR, situación que obedece a un insuficiente espacio físico en los servicios de Nutrición para recibir estudiantes, así como la presencia de cinco universidades privadas que también imparten la carrera de Nutrición en el país y requieren espacios prácticos en la CCSS. La situación se </w:t>
      </w:r>
      <w:r w:rsidRPr="005D7FBD">
        <w:rPr>
          <w:rFonts w:ascii="Arial" w:eastAsia="Calibri" w:hAnsi="Arial" w:cs="Arial"/>
          <w:lang w:val="es-419" w:eastAsia="es-419"/>
        </w:rPr>
        <w:lastRenderedPageBreak/>
        <w:t xml:space="preserve">agrava bajo el contexto de que el CENDEISSS (ente regulador de los espacios prácticos en la CCSS) únicamente permite 2 estudiantes por persona tutora, quienes a la vez deben provenir de una sola universidad, por tal motivo, se compite de manera indirecta por la disponibilidad de cupos en las diferentes clínicas y hospitales del país. </w:t>
      </w:r>
    </w:p>
    <w:p w14:paraId="732D5294"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b/>
          <w:lang w:val="es-419" w:eastAsia="es-419"/>
        </w:rPr>
        <w:t>Reflexiones finales</w:t>
      </w:r>
    </w:p>
    <w:p w14:paraId="3DC1A524"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El rol docente que desempeñan profesionales de la salud en los centros clínicos y hospitalarios representa una enorme contribución a la enseñanza de futuros profesionales; gracias a las alianzas estratégicas existentes en el país entre la UCR y, en este caso, la CCSS se logra alcanzar la calidad en la formación de estudiantes del área de la Nutrición.</w:t>
      </w:r>
    </w:p>
    <w:p w14:paraId="32BB14BF"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Las alianzas estratégicas deben siempre responder a la búsqueda de soluciones de las diferentes problemáticas de salud del país, más allá de posicionamientos políticos que definan cuáles estudiantes pueden beneficiarse de esos espacios de práctica o cupos clínicos.</w:t>
      </w:r>
    </w:p>
    <w:p w14:paraId="7CEBEC75"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Se considera que la oferta de cupos para espacios prácticos debe ser concebida para la CCSS como una oportunidad de mejora de los servicios que presta, ya que conllevan a beneficiar tanto a su personal administrativo como a la población </w:t>
      </w:r>
      <w:r w:rsidRPr="005D7FBD">
        <w:rPr>
          <w:rFonts w:ascii="Arial" w:eastAsia="Calibri" w:hAnsi="Arial" w:cs="Arial"/>
          <w:lang w:val="es-419" w:eastAsia="es-419"/>
        </w:rPr>
        <w:lastRenderedPageBreak/>
        <w:t>beneficiada o asegurada del país, al optimizarse la prestación de los servicios de atención en salud.</w:t>
      </w:r>
    </w:p>
    <w:p w14:paraId="54DBFA6F"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 xml:space="preserve">Con miras al bienestar de la población del país, una de las principales ventajas que ha traído esta alianza ha sido generar investigación con nueva información vital para la </w:t>
      </w:r>
      <w:proofErr w:type="spellStart"/>
      <w:r w:rsidRPr="005D7FBD">
        <w:rPr>
          <w:rFonts w:ascii="Arial" w:eastAsia="Calibri" w:hAnsi="Arial" w:cs="Arial"/>
          <w:lang w:val="es-419" w:eastAsia="es-419"/>
        </w:rPr>
        <w:t>morbi</w:t>
      </w:r>
      <w:proofErr w:type="spellEnd"/>
      <w:r w:rsidRPr="005D7FBD">
        <w:rPr>
          <w:rFonts w:ascii="Arial" w:eastAsia="Calibri" w:hAnsi="Arial" w:cs="Arial"/>
          <w:lang w:val="es-419" w:eastAsia="es-419"/>
        </w:rPr>
        <w:t xml:space="preserve">-mortalidad de toda la ciudadanía. Por ejemplo, la </w:t>
      </w:r>
      <w:proofErr w:type="spellStart"/>
      <w:r w:rsidRPr="005D7FBD">
        <w:rPr>
          <w:rFonts w:ascii="Arial" w:eastAsia="Calibri" w:hAnsi="Arial" w:cs="Arial"/>
          <w:lang w:val="es-419" w:eastAsia="es-419"/>
        </w:rPr>
        <w:t>ENu</w:t>
      </w:r>
      <w:proofErr w:type="spellEnd"/>
      <w:r w:rsidRPr="005D7FBD">
        <w:rPr>
          <w:rFonts w:ascii="Arial" w:eastAsia="Calibri" w:hAnsi="Arial" w:cs="Arial"/>
          <w:lang w:val="es-419" w:eastAsia="es-419"/>
        </w:rPr>
        <w:t xml:space="preserve"> de la UCR, en los últimos años</w:t>
      </w:r>
      <w:r w:rsidRPr="005D7FBD" w:rsidDel="00B33A99">
        <w:rPr>
          <w:rFonts w:ascii="Arial" w:eastAsia="Calibri" w:hAnsi="Arial" w:cs="Arial"/>
          <w:lang w:val="es-419" w:eastAsia="es-419"/>
        </w:rPr>
        <w:t xml:space="preserve"> </w:t>
      </w:r>
      <w:r w:rsidRPr="005D7FBD">
        <w:rPr>
          <w:rFonts w:ascii="Arial" w:eastAsia="Calibri" w:hAnsi="Arial" w:cs="Arial"/>
          <w:lang w:val="es-419" w:eastAsia="es-419"/>
        </w:rPr>
        <w:t>ha desarrollado estudios de factores de riesgo con mujeres con exceso de peso en los cantones de Alajuela y Goicoechea, se han producido publicaciones científicas enfatizando sus hallazgos, los cuales no hubiesen sido posibles sin la colaboración del Hospital San Rafael de Alajuela y la Clínica Ricardo Jiménez Núñez, ambas de la CCSS.</w:t>
      </w:r>
    </w:p>
    <w:p w14:paraId="62A8B35F" w14:textId="77777777" w:rsidR="00F91E05" w:rsidRPr="005D7FBD" w:rsidRDefault="00F91E05" w:rsidP="005D7FBD">
      <w:pPr>
        <w:spacing w:before="100" w:beforeAutospacing="1" w:after="100" w:afterAutospacing="1" w:line="360" w:lineRule="auto"/>
        <w:jc w:val="both"/>
        <w:rPr>
          <w:rFonts w:ascii="Arial" w:eastAsia="Calibri" w:hAnsi="Arial" w:cs="Arial"/>
          <w:lang w:val="es-419" w:eastAsia="es-419"/>
        </w:rPr>
      </w:pPr>
      <w:r w:rsidRPr="005D7FBD">
        <w:rPr>
          <w:rFonts w:ascii="Arial" w:eastAsia="Calibri" w:hAnsi="Arial" w:cs="Arial"/>
          <w:lang w:val="es-419" w:eastAsia="es-419"/>
        </w:rPr>
        <w:t>Se recomienda el fomento y la permanencia de convenios de la UCR con diferentes instituciones estatales y no gubernamentales, a fin de garantizar la formación de calidad de futuros profesionales de la salud, quienes contribuyen a la atención de la población en todas sus dimensiones.</w:t>
      </w:r>
    </w:p>
    <w:p w14:paraId="0C3AB00E" w14:textId="52F66DDE" w:rsidR="00F91E05" w:rsidRPr="005D7FBD" w:rsidRDefault="005657D5" w:rsidP="005D7FBD">
      <w:pPr>
        <w:pBdr>
          <w:top w:val="nil"/>
          <w:left w:val="nil"/>
          <w:bottom w:val="nil"/>
          <w:right w:val="nil"/>
          <w:between w:val="nil"/>
        </w:pBdr>
        <w:spacing w:before="100" w:beforeAutospacing="1" w:after="100" w:afterAutospacing="1" w:line="360" w:lineRule="auto"/>
        <w:jc w:val="both"/>
        <w:rPr>
          <w:rFonts w:ascii="Arial" w:eastAsia="Calibri" w:hAnsi="Arial" w:cs="Arial"/>
          <w:b/>
          <w:lang w:val="es-419" w:eastAsia="es-419"/>
        </w:rPr>
      </w:pPr>
      <w:r w:rsidRPr="005D7FBD">
        <w:rPr>
          <w:rFonts w:ascii="Arial" w:eastAsia="Calibri" w:hAnsi="Arial" w:cs="Arial"/>
          <w:b/>
          <w:lang w:val="es-419" w:eastAsia="es-419"/>
        </w:rPr>
        <w:t>REFERENCIAS BIBLIOGRÁFICAS</w:t>
      </w:r>
    </w:p>
    <w:p w14:paraId="61BD1BBD"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Consejo de Educación Permanente NUTRICIÓN. (2004). Actividad docente en Nutrición -CCSS. Lineamientos generales. Caja Costarricense del Seguro Social. </w:t>
      </w:r>
      <w:hyperlink r:id="rId12" w:history="1">
        <w:r w:rsidRPr="005657D5">
          <w:rPr>
            <w:rFonts w:ascii="Arial" w:eastAsia="Calibri" w:hAnsi="Arial" w:cs="Arial"/>
            <w:color w:val="002060"/>
            <w:u w:val="single"/>
            <w:lang w:val="es-419" w:eastAsia="es-419"/>
          </w:rPr>
          <w:t>https://www.cendeisss.sa.cr/wp/wp-content/uploads/2016/Regulaciones/Lineamientos-de-Nutricion.pdf</w:t>
        </w:r>
      </w:hyperlink>
    </w:p>
    <w:p w14:paraId="17F74D4B"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lastRenderedPageBreak/>
        <w:t xml:space="preserve">Junta Directiva. (2004). </w:t>
      </w:r>
      <w:r w:rsidRPr="005D7FBD">
        <w:rPr>
          <w:rFonts w:ascii="Arial" w:eastAsia="Calibri" w:hAnsi="Arial" w:cs="Arial"/>
          <w:i/>
          <w:iCs/>
          <w:lang w:val="es-419" w:eastAsia="es-419"/>
        </w:rPr>
        <w:t>Reglamento de la actividad clínica docente en la Caja Costarricense del Seguro Social.</w:t>
      </w:r>
      <w:r w:rsidRPr="005D7FBD">
        <w:rPr>
          <w:rFonts w:ascii="Arial" w:eastAsia="Calibri" w:hAnsi="Arial" w:cs="Arial"/>
          <w:lang w:val="es-419" w:eastAsia="es-419"/>
        </w:rPr>
        <w:t xml:space="preserve"> Caja Costarricense de Seguro Social </w:t>
      </w:r>
      <w:hyperlink r:id="rId13" w:history="1">
        <w:r w:rsidRPr="005657D5">
          <w:rPr>
            <w:rFonts w:ascii="Arial" w:eastAsia="Calibri" w:hAnsi="Arial" w:cs="Arial"/>
            <w:color w:val="002060"/>
            <w:u w:val="single"/>
            <w:lang w:val="es-419" w:eastAsia="es-419"/>
          </w:rPr>
          <w:t>https://www.ucr.ac.cr/medios/documentos/2016/reglamento-de-la-actividad-clinica-docente-en-la-ccss.pdf</w:t>
        </w:r>
      </w:hyperlink>
    </w:p>
    <w:p w14:paraId="57993A39"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Caja Costarricense del Seguro Social. (2017). Requisitos para fungir como docentes. </w:t>
      </w:r>
      <w:hyperlink r:id="rId14" w:history="1">
        <w:r w:rsidRPr="005657D5">
          <w:rPr>
            <w:rFonts w:ascii="Arial" w:eastAsia="Calibri" w:hAnsi="Arial" w:cs="Arial"/>
            <w:color w:val="002060"/>
            <w:u w:val="single"/>
            <w:lang w:val="es-419" w:eastAsia="es-419"/>
          </w:rPr>
          <w:t>https://www.cendeisss.sa.cr/wp/wpcontent/uploads/2017/09/CENDEISSS-PCC-10410-17-requisitos-para-fungir-como-docente.pdf</w:t>
        </w:r>
      </w:hyperlink>
    </w:p>
    <w:p w14:paraId="4F3843FE"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Campos, J., Placencia, M., Silva, J. y Zambrano, M. E. (2021). Perspectiva docente estudiante sobre estrategias de enseñanza y habilidades pedagógicas constructivistas en programas de maestrías de una universidad pública peruana. </w:t>
      </w:r>
      <w:r w:rsidRPr="005D7FBD">
        <w:rPr>
          <w:rFonts w:ascii="Arial" w:eastAsia="Calibri" w:hAnsi="Arial" w:cs="Arial"/>
          <w:i/>
          <w:iCs/>
          <w:lang w:val="es-419" w:eastAsia="es-419"/>
        </w:rPr>
        <w:t>Revista de la Facultad de Medicina Humana</w:t>
      </w:r>
      <w:r w:rsidRPr="005D7FBD">
        <w:rPr>
          <w:rFonts w:ascii="Arial" w:eastAsia="Calibri" w:hAnsi="Arial" w:cs="Arial"/>
          <w:lang w:val="es-419" w:eastAsia="es-419"/>
        </w:rPr>
        <w:t xml:space="preserve">, </w:t>
      </w:r>
      <w:r w:rsidRPr="005D7FBD">
        <w:rPr>
          <w:rFonts w:ascii="Arial" w:eastAsia="Calibri" w:hAnsi="Arial" w:cs="Arial"/>
          <w:i/>
          <w:iCs/>
          <w:lang w:val="es-419" w:eastAsia="es-419"/>
        </w:rPr>
        <w:t>21</w:t>
      </w:r>
      <w:r w:rsidRPr="005D7FBD">
        <w:rPr>
          <w:rFonts w:ascii="Arial" w:eastAsia="Calibri" w:hAnsi="Arial" w:cs="Arial"/>
          <w:lang w:val="es-419" w:eastAsia="es-419"/>
        </w:rPr>
        <w:t>(3), 517-527.</w:t>
      </w:r>
    </w:p>
    <w:p w14:paraId="44CD48C2"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Estrada, C., Pardo, I. y Pupo, N. (2021). La profesión académica en salud: ¿formación o capacitación? </w:t>
      </w:r>
      <w:r w:rsidRPr="005D7FBD">
        <w:rPr>
          <w:rFonts w:ascii="Arial" w:eastAsia="Calibri" w:hAnsi="Arial" w:cs="Arial"/>
          <w:i/>
          <w:iCs/>
          <w:lang w:val="es-419" w:eastAsia="es-419"/>
        </w:rPr>
        <w:t>Educación Médica Superior,</w:t>
      </w:r>
      <w:r w:rsidRPr="005D7FBD">
        <w:rPr>
          <w:rFonts w:ascii="Arial" w:eastAsia="Calibri" w:hAnsi="Arial" w:cs="Arial"/>
          <w:lang w:val="es-419" w:eastAsia="es-419"/>
        </w:rPr>
        <w:t xml:space="preserve"> </w:t>
      </w:r>
      <w:r w:rsidRPr="005D7FBD">
        <w:rPr>
          <w:rFonts w:ascii="Arial" w:eastAsia="Calibri" w:hAnsi="Arial" w:cs="Arial"/>
          <w:i/>
          <w:iCs/>
          <w:lang w:val="es-419" w:eastAsia="es-419"/>
        </w:rPr>
        <w:t>35</w:t>
      </w:r>
      <w:r w:rsidRPr="005D7FBD">
        <w:rPr>
          <w:rFonts w:ascii="Arial" w:eastAsia="Calibri" w:hAnsi="Arial" w:cs="Arial"/>
          <w:lang w:val="es-419" w:eastAsia="es-419"/>
        </w:rPr>
        <w:t>(1), 1-12.</w:t>
      </w:r>
    </w:p>
    <w:p w14:paraId="7F4966BB"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Gafas, C., Herrera, A., </w:t>
      </w:r>
      <w:proofErr w:type="spellStart"/>
      <w:r w:rsidRPr="005D7FBD">
        <w:rPr>
          <w:rFonts w:ascii="Arial" w:eastAsia="Calibri" w:hAnsi="Arial" w:cs="Arial"/>
          <w:lang w:val="es-419" w:eastAsia="es-419"/>
        </w:rPr>
        <w:t>Brossard</w:t>
      </w:r>
      <w:proofErr w:type="spellEnd"/>
      <w:r w:rsidRPr="005D7FBD">
        <w:rPr>
          <w:rFonts w:ascii="Arial" w:eastAsia="Calibri" w:hAnsi="Arial" w:cs="Arial"/>
          <w:lang w:val="es-419" w:eastAsia="es-419"/>
        </w:rPr>
        <w:t xml:space="preserve">, E. y Ferrera, R. (2016). El docente en el tercer nivel en ciencias de la salud. Contexto ecuatoriano. </w:t>
      </w:r>
      <w:r w:rsidRPr="005D7FBD">
        <w:rPr>
          <w:rFonts w:ascii="Arial" w:eastAsia="Calibri" w:hAnsi="Arial" w:cs="Arial"/>
          <w:i/>
          <w:iCs/>
          <w:lang w:val="es-419" w:eastAsia="es-419"/>
        </w:rPr>
        <w:t>Educación Médica, 19</w:t>
      </w:r>
      <w:r w:rsidRPr="005D7FBD">
        <w:rPr>
          <w:rFonts w:ascii="Arial" w:eastAsia="Calibri" w:hAnsi="Arial" w:cs="Arial"/>
          <w:lang w:val="es-419" w:eastAsia="es-419"/>
        </w:rPr>
        <w:t>(1), 34-38.</w:t>
      </w:r>
    </w:p>
    <w:p w14:paraId="4945660D"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Pérez, C., </w:t>
      </w:r>
      <w:proofErr w:type="spellStart"/>
      <w:r w:rsidRPr="005D7FBD">
        <w:rPr>
          <w:rFonts w:ascii="Arial" w:eastAsia="Calibri" w:hAnsi="Arial" w:cs="Arial"/>
          <w:lang w:val="es-419" w:eastAsia="es-419"/>
        </w:rPr>
        <w:t>Vaccarezza</w:t>
      </w:r>
      <w:proofErr w:type="spellEnd"/>
      <w:r w:rsidRPr="005D7FBD">
        <w:rPr>
          <w:rFonts w:ascii="Arial" w:eastAsia="Calibri" w:hAnsi="Arial" w:cs="Arial"/>
          <w:lang w:val="es-419" w:eastAsia="es-419"/>
        </w:rPr>
        <w:t xml:space="preserve">, G., </w:t>
      </w:r>
      <w:proofErr w:type="spellStart"/>
      <w:r w:rsidRPr="005D7FBD">
        <w:rPr>
          <w:rFonts w:ascii="Arial" w:eastAsia="Calibri" w:hAnsi="Arial" w:cs="Arial"/>
          <w:lang w:val="es-419" w:eastAsia="es-419"/>
        </w:rPr>
        <w:t>Toirkens</w:t>
      </w:r>
      <w:proofErr w:type="spellEnd"/>
      <w:r w:rsidRPr="005D7FBD">
        <w:rPr>
          <w:rFonts w:ascii="Arial" w:eastAsia="Calibri" w:hAnsi="Arial" w:cs="Arial"/>
          <w:lang w:val="es-419" w:eastAsia="es-419"/>
        </w:rPr>
        <w:t xml:space="preserve">, J., Salgado, H., </w:t>
      </w:r>
      <w:proofErr w:type="spellStart"/>
      <w:r w:rsidRPr="005D7FBD">
        <w:rPr>
          <w:rFonts w:ascii="Arial" w:eastAsia="Calibri" w:hAnsi="Arial" w:cs="Arial"/>
          <w:lang w:val="es-419" w:eastAsia="es-419"/>
        </w:rPr>
        <w:t>Bastias</w:t>
      </w:r>
      <w:proofErr w:type="spellEnd"/>
      <w:r w:rsidRPr="005D7FBD">
        <w:rPr>
          <w:rFonts w:ascii="Arial" w:eastAsia="Calibri" w:hAnsi="Arial" w:cs="Arial"/>
          <w:lang w:val="es-419" w:eastAsia="es-419"/>
        </w:rPr>
        <w:t xml:space="preserve">, N., Schilling, M., Espinoza, M. y Matus, O. (2020). ¿Qué hacen los académicos de las </w:t>
      </w:r>
      <w:r w:rsidRPr="005D7FBD">
        <w:rPr>
          <w:rFonts w:ascii="Arial" w:eastAsia="Calibri" w:hAnsi="Arial" w:cs="Arial"/>
          <w:lang w:val="es-419" w:eastAsia="es-419"/>
        </w:rPr>
        <w:lastRenderedPageBreak/>
        <w:t xml:space="preserve">ciencias de la salud para definir los propósitos de su docencia en pregrado? </w:t>
      </w:r>
      <w:r w:rsidRPr="005D7FBD">
        <w:rPr>
          <w:rFonts w:ascii="Arial" w:eastAsia="Calibri" w:hAnsi="Arial" w:cs="Arial"/>
          <w:i/>
          <w:iCs/>
          <w:lang w:val="es-419" w:eastAsia="es-419"/>
        </w:rPr>
        <w:t>Fundación Educación Médica,</w:t>
      </w:r>
      <w:r w:rsidRPr="005D7FBD">
        <w:rPr>
          <w:rFonts w:ascii="Arial" w:eastAsia="Calibri" w:hAnsi="Arial" w:cs="Arial"/>
          <w:lang w:val="es-419" w:eastAsia="es-419"/>
        </w:rPr>
        <w:t xml:space="preserve"> </w:t>
      </w:r>
      <w:r w:rsidRPr="005D7FBD">
        <w:rPr>
          <w:rFonts w:ascii="Arial" w:eastAsia="Calibri" w:hAnsi="Arial" w:cs="Arial"/>
          <w:i/>
          <w:iCs/>
          <w:lang w:val="es-419" w:eastAsia="es-419"/>
        </w:rPr>
        <w:t>23</w:t>
      </w:r>
      <w:r w:rsidRPr="005D7FBD">
        <w:rPr>
          <w:rFonts w:ascii="Arial" w:eastAsia="Calibri" w:hAnsi="Arial" w:cs="Arial"/>
          <w:lang w:val="es-419" w:eastAsia="es-419"/>
        </w:rPr>
        <w:t>(4), 173-178.</w:t>
      </w:r>
    </w:p>
    <w:p w14:paraId="086A1B01" w14:textId="19143305" w:rsidR="00130A59"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Pérez, C., &amp; Cárdenas, M. (2018). El profesional de la salud como docente: competencias pedagógicas y desafíos. Revista Educación Médica, 19(3), 147-154. </w:t>
      </w:r>
      <w:hyperlink r:id="rId15" w:history="1">
        <w:r w:rsidR="00130A59" w:rsidRPr="005657D5">
          <w:rPr>
            <w:rStyle w:val="Hipervnculo"/>
            <w:rFonts w:ascii="Arial" w:eastAsia="Calibri" w:hAnsi="Arial" w:cs="Arial"/>
            <w:color w:val="002060"/>
            <w:lang w:val="es-419" w:eastAsia="es-419"/>
          </w:rPr>
          <w:t>https://doi.org/10.1016/j.edumed.2017.11.005</w:t>
        </w:r>
      </w:hyperlink>
    </w:p>
    <w:p w14:paraId="50FA9980" w14:textId="77777777" w:rsidR="00F91E05" w:rsidRPr="005D7FBD" w:rsidRDefault="00F91E05" w:rsidP="005D7FBD">
      <w:pPr>
        <w:spacing w:before="100" w:beforeAutospacing="1" w:after="100" w:afterAutospacing="1" w:line="360" w:lineRule="auto"/>
        <w:ind w:left="709" w:hanging="709"/>
        <w:jc w:val="both"/>
        <w:rPr>
          <w:rFonts w:ascii="Arial" w:eastAsia="Calibri" w:hAnsi="Arial" w:cs="Arial"/>
          <w:lang w:val="es-419" w:eastAsia="es-419"/>
        </w:rPr>
      </w:pPr>
      <w:r w:rsidRPr="005D7FBD">
        <w:rPr>
          <w:rFonts w:ascii="Arial" w:eastAsia="Calibri" w:hAnsi="Arial" w:cs="Arial"/>
          <w:lang w:val="es-419" w:eastAsia="es-419"/>
        </w:rPr>
        <w:t xml:space="preserve">Tovar, M., Santos, M., Paredes, S. y Bermúdez, A. (2013). El constructivismo en la formación del profesional en enfermería. </w:t>
      </w:r>
      <w:hyperlink r:id="rId16" w:history="1">
        <w:r w:rsidRPr="005657D5">
          <w:rPr>
            <w:rFonts w:ascii="Arial" w:eastAsia="Calibri" w:hAnsi="Arial" w:cs="Arial"/>
            <w:color w:val="002060"/>
            <w:u w:val="single"/>
            <w:lang w:val="es-419" w:eastAsia="es-419"/>
          </w:rPr>
          <w:t>https://docplayer.es/46685292-El-constructivismo-y-la-formacion-profesional-de-enfermeria.html</w:t>
        </w:r>
      </w:hyperlink>
    </w:p>
    <w:p w14:paraId="75AF63C2" w14:textId="77777777" w:rsidR="00F91E05" w:rsidRPr="005D7FBD" w:rsidRDefault="00F91E05" w:rsidP="005D7FBD">
      <w:pPr>
        <w:spacing w:before="100" w:beforeAutospacing="1" w:after="100" w:afterAutospacing="1" w:line="360" w:lineRule="auto"/>
        <w:ind w:left="709" w:hanging="709"/>
        <w:jc w:val="both"/>
        <w:rPr>
          <w:rFonts w:ascii="Arial" w:eastAsia="Calibri" w:hAnsi="Arial" w:cs="Arial"/>
          <w:lang w:val="es-419" w:eastAsia="es-419"/>
        </w:rPr>
      </w:pPr>
      <w:r w:rsidRPr="005D7FBD">
        <w:rPr>
          <w:rFonts w:ascii="Arial" w:eastAsia="Calibri" w:hAnsi="Arial" w:cs="Arial"/>
          <w:lang w:val="es-419" w:eastAsia="es-419"/>
        </w:rPr>
        <w:t xml:space="preserve">Ulate, K, El Observador. (2019, noviembre 21). </w:t>
      </w:r>
      <w:r w:rsidRPr="005D7FBD">
        <w:rPr>
          <w:rFonts w:ascii="Arial" w:eastAsia="Calibri" w:hAnsi="Arial" w:cs="Arial"/>
          <w:i/>
          <w:iCs/>
          <w:lang w:val="es-419" w:eastAsia="es-419"/>
        </w:rPr>
        <w:t>66 de 107 áreas de salud en el país no cuentan con profesionales en nutrición</w:t>
      </w:r>
      <w:r w:rsidRPr="005D7FBD">
        <w:rPr>
          <w:rFonts w:ascii="Arial" w:eastAsia="Calibri" w:hAnsi="Arial" w:cs="Arial"/>
          <w:lang w:val="es-419" w:eastAsia="es-419"/>
        </w:rPr>
        <w:t xml:space="preserve">. </w:t>
      </w:r>
      <w:hyperlink r:id="rId17" w:history="1">
        <w:r w:rsidRPr="005657D5">
          <w:rPr>
            <w:rFonts w:ascii="Arial" w:eastAsia="Calibri" w:hAnsi="Arial" w:cs="Arial"/>
            <w:color w:val="002060"/>
            <w:u w:val="single"/>
            <w:lang w:val="es-419" w:eastAsia="es-419"/>
          </w:rPr>
          <w:t>https://observador.cr/66-de-107-areas-de-salud-en-el-pais-no-cuentan-con-profesionales-en-nutricion/</w:t>
        </w:r>
      </w:hyperlink>
    </w:p>
    <w:p w14:paraId="755D872F" w14:textId="3C39B25E"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Vásquez, A., Rojo, R. y Navarro, N. (2018). Concepción del docente motivador: percepción de los estudiantes de la carrera de la salud. </w:t>
      </w:r>
      <w:r w:rsidRPr="005D7FBD">
        <w:rPr>
          <w:rFonts w:ascii="Arial" w:eastAsia="Calibri" w:hAnsi="Arial" w:cs="Arial"/>
          <w:i/>
          <w:iCs/>
          <w:lang w:val="es-419" w:eastAsia="es-419"/>
        </w:rPr>
        <w:t>Investigación en Educación Médica</w:t>
      </w:r>
      <w:r w:rsidRPr="005D7FBD">
        <w:rPr>
          <w:rFonts w:ascii="Arial" w:eastAsia="Calibri" w:hAnsi="Arial" w:cs="Arial"/>
          <w:lang w:val="es-419" w:eastAsia="es-419"/>
        </w:rPr>
        <w:t xml:space="preserve">, </w:t>
      </w:r>
      <w:r w:rsidRPr="005D7FBD">
        <w:rPr>
          <w:rFonts w:ascii="Arial" w:eastAsia="Calibri" w:hAnsi="Arial" w:cs="Arial"/>
          <w:i/>
          <w:iCs/>
          <w:lang w:val="es-419" w:eastAsia="es-419"/>
        </w:rPr>
        <w:t>7</w:t>
      </w:r>
      <w:r w:rsidRPr="005D7FBD">
        <w:rPr>
          <w:rFonts w:ascii="Arial" w:eastAsia="Calibri" w:hAnsi="Arial" w:cs="Arial"/>
          <w:lang w:val="es-419" w:eastAsia="es-419"/>
        </w:rPr>
        <w:t>(27), 72-81.</w:t>
      </w:r>
    </w:p>
    <w:p w14:paraId="53EDF810" w14:textId="77777777"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t xml:space="preserve">Vega, A., López, E. y Martínez, J. (2021). </w:t>
      </w:r>
      <w:r w:rsidRPr="005D7FBD">
        <w:rPr>
          <w:rFonts w:ascii="Arial" w:eastAsia="Calibri" w:hAnsi="Arial" w:cs="Arial"/>
          <w:i/>
          <w:iCs/>
          <w:lang w:val="es-419" w:eastAsia="es-419"/>
        </w:rPr>
        <w:t>La consulta de empleadores en los procesos de acreditación de programas de estudio de nivel superior</w:t>
      </w:r>
      <w:r w:rsidRPr="005D7FBD">
        <w:rPr>
          <w:rFonts w:ascii="Arial" w:eastAsia="Calibri" w:hAnsi="Arial" w:cs="Arial"/>
          <w:lang w:val="es-419" w:eastAsia="es-419"/>
        </w:rPr>
        <w:t xml:space="preserve">. </w:t>
      </w:r>
      <w:proofErr w:type="spellStart"/>
      <w:r w:rsidRPr="005D7FBD">
        <w:rPr>
          <w:rFonts w:ascii="Arial" w:eastAsia="Calibri" w:hAnsi="Arial" w:cs="Arial"/>
          <w:lang w:val="es-419" w:eastAsia="es-419"/>
        </w:rPr>
        <w:t>Qartuppi</w:t>
      </w:r>
      <w:proofErr w:type="spellEnd"/>
      <w:r w:rsidRPr="005D7FBD">
        <w:rPr>
          <w:rFonts w:ascii="Arial" w:eastAsia="Calibri" w:hAnsi="Arial" w:cs="Arial"/>
          <w:lang w:val="es-419" w:eastAsia="es-419"/>
        </w:rPr>
        <w:t>.</w:t>
      </w:r>
      <w:r w:rsidRPr="005657D5">
        <w:rPr>
          <w:rFonts w:ascii="Arial" w:eastAsia="Calibri" w:hAnsi="Arial" w:cs="Arial"/>
          <w:color w:val="002060"/>
          <w:lang w:val="es-419" w:eastAsia="es-419"/>
        </w:rPr>
        <w:t xml:space="preserve"> </w:t>
      </w:r>
      <w:hyperlink r:id="rId18" w:history="1">
        <w:r w:rsidRPr="005657D5">
          <w:rPr>
            <w:rFonts w:ascii="Arial" w:eastAsia="Calibri" w:hAnsi="Arial" w:cs="Arial"/>
            <w:color w:val="002060"/>
            <w:u w:val="single"/>
            <w:lang w:val="es-419" w:eastAsia="es-419"/>
          </w:rPr>
          <w:t>https://www.researchgate.net/publication/355388664</w:t>
        </w:r>
      </w:hyperlink>
    </w:p>
    <w:p w14:paraId="5335799A" w14:textId="095D8CF0" w:rsidR="00F91E05" w:rsidRPr="005D7FBD" w:rsidRDefault="00F91E05" w:rsidP="005D7FBD">
      <w:pPr>
        <w:spacing w:before="100" w:beforeAutospacing="1" w:after="100" w:afterAutospacing="1" w:line="360" w:lineRule="auto"/>
        <w:ind w:left="851" w:hanging="851"/>
        <w:jc w:val="both"/>
        <w:rPr>
          <w:rFonts w:ascii="Arial" w:eastAsia="Calibri" w:hAnsi="Arial" w:cs="Arial"/>
          <w:lang w:val="es-419" w:eastAsia="es-419"/>
        </w:rPr>
      </w:pPr>
      <w:r w:rsidRPr="005D7FBD">
        <w:rPr>
          <w:rFonts w:ascii="Arial" w:eastAsia="Calibri" w:hAnsi="Arial" w:cs="Arial"/>
          <w:lang w:val="es-419" w:eastAsia="es-419"/>
        </w:rPr>
        <w:lastRenderedPageBreak/>
        <w:t xml:space="preserve">Zabalza, M. A. (2003). Competencias docentes del profesorado universitario: Calidad y desarrollo profesional. Narcea Ediciones. https:/ URL: </w:t>
      </w:r>
      <w:hyperlink r:id="rId19" w:history="1">
        <w:r w:rsidR="00CE3339" w:rsidRPr="005657D5">
          <w:rPr>
            <w:rStyle w:val="Hipervnculo"/>
            <w:rFonts w:ascii="Arial" w:eastAsia="Calibri" w:hAnsi="Arial" w:cs="Arial"/>
            <w:color w:val="002060"/>
            <w:lang w:val="es-419" w:eastAsia="es-419"/>
          </w:rPr>
          <w:t>https://www.narceaediciones.es/libro/competencias-docentes-del-profesorado-universitario_126</w:t>
        </w:r>
      </w:hyperlink>
    </w:p>
    <w:p w14:paraId="05C7743B" w14:textId="77777777" w:rsidR="00CE3339" w:rsidRPr="00F91E05" w:rsidRDefault="00CE3339" w:rsidP="00F91E05">
      <w:pPr>
        <w:spacing w:line="360" w:lineRule="auto"/>
        <w:ind w:left="851" w:hanging="851"/>
        <w:jc w:val="both"/>
        <w:rPr>
          <w:rFonts w:ascii="Arial" w:eastAsia="Calibri" w:hAnsi="Arial" w:cs="Arial"/>
          <w:lang w:val="es-419" w:eastAsia="es-419"/>
        </w:rPr>
      </w:pPr>
    </w:p>
    <w:sectPr w:rsidR="00CE3339" w:rsidRPr="00F91E05" w:rsidSect="00B60BAB">
      <w:headerReference w:type="default" r:id="rId20"/>
      <w:footerReference w:type="default" r:id="rId21"/>
      <w:pgSz w:w="12240" w:h="15840"/>
      <w:pgMar w:top="1417" w:right="1750" w:bottom="1411" w:left="1701"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6AAC" w14:textId="77777777" w:rsidR="00F82477" w:rsidRDefault="00F82477" w:rsidP="003C3F58">
      <w:r>
        <w:separator/>
      </w:r>
    </w:p>
  </w:endnote>
  <w:endnote w:type="continuationSeparator" w:id="0">
    <w:p w14:paraId="24679BB7" w14:textId="77777777" w:rsidR="00F82477" w:rsidRDefault="00F82477"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592E4E" w:rsidRPr="002E52DF" w:rsidRDefault="00592E4E"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6FD5BAE" w14:textId="3CB17630" w:rsidR="00F6579A" w:rsidRDefault="00F6579A" w:rsidP="006E5605">
        <w:pPr>
          <w:pStyle w:val="Sinespaciado"/>
          <w:jc w:val="center"/>
          <w:rPr>
            <w:rFonts w:ascii="Agency FB" w:hAnsi="Agency FB"/>
            <w:b/>
            <w:color w:val="E36C0A"/>
          </w:rPr>
        </w:pPr>
        <w:r w:rsidRPr="00F6579A">
          <w:rPr>
            <w:rFonts w:ascii="Agency FB" w:hAnsi="Agency FB"/>
            <w:b/>
            <w:color w:val="E36C0A"/>
          </w:rPr>
          <w:t>Relación entre instancias públicas que brindan atención en salud y las universidades para la formación de talento humano en el área de Nutrición, experiencia de la Escuela de Nutrición, Universidad de Costa Rica</w:t>
        </w:r>
      </w:p>
      <w:p w14:paraId="2EF245E8" w14:textId="58728781" w:rsidR="00592E4E" w:rsidRPr="00BC0D99" w:rsidRDefault="007A7F13" w:rsidP="0020679D">
        <w:pPr>
          <w:pStyle w:val="Sinespaciado"/>
          <w:jc w:val="center"/>
          <w:rPr>
            <w:rFonts w:ascii="Agency FB" w:hAnsi="Agency FB"/>
            <w:color w:val="E36C0A"/>
            <w:lang w:val="es-CR"/>
          </w:rPr>
        </w:pPr>
        <w:r w:rsidRPr="007A7F13">
          <w:rPr>
            <w:rFonts w:ascii="Agency FB" w:hAnsi="Agency FB"/>
            <w:color w:val="E36C0A"/>
            <w:lang w:val="es-CR"/>
          </w:rPr>
          <w:t>Viviana Esquivel-Solís</w:t>
        </w:r>
      </w:p>
      <w:p w14:paraId="1F70B1D2" w14:textId="46571683" w:rsidR="00592E4E" w:rsidRPr="002F4846" w:rsidRDefault="00592E4E" w:rsidP="0020679D">
        <w:pPr>
          <w:pStyle w:val="Sinespaciado"/>
          <w:jc w:val="center"/>
          <w:rPr>
            <w:rFonts w:ascii="Agency FB" w:hAnsi="Agency FB"/>
            <w:color w:val="E36C0A"/>
            <w:lang w:val="es-CR"/>
          </w:rPr>
        </w:pPr>
        <w:r w:rsidRPr="002F4846">
          <w:rPr>
            <w:rFonts w:ascii="Agency FB" w:hAnsi="Agency FB"/>
            <w:color w:val="E36C0A"/>
            <w:lang w:val="es-CR"/>
          </w:rPr>
          <w:t xml:space="preserve">DOI: </w:t>
        </w:r>
        <w:hyperlink r:id="rId1" w:history="1">
          <w:r w:rsidR="00F6579A" w:rsidRPr="002F4846">
            <w:rPr>
              <w:rStyle w:val="Hipervnculo"/>
              <w:rFonts w:ascii="Agency FB" w:hAnsi="Agency FB"/>
              <w:color w:val="002060"/>
              <w:lang w:val="es-CR"/>
            </w:rPr>
            <w:t>http://dx.doi.org/10.22458/caes.v16i1.4964</w:t>
          </w:r>
        </w:hyperlink>
      </w:p>
      <w:p w14:paraId="416290C8" w14:textId="17170D1B" w:rsidR="00592E4E" w:rsidRPr="0066186F" w:rsidRDefault="00592E4E" w:rsidP="0020679D">
        <w:pPr>
          <w:pStyle w:val="Sinespaciado"/>
          <w:tabs>
            <w:tab w:val="center" w:pos="4929"/>
            <w:tab w:val="left" w:pos="8661"/>
          </w:tabs>
          <w:rPr>
            <w:rFonts w:ascii="Agency FB" w:hAnsi="Agency FB"/>
            <w:color w:val="E36C0A"/>
          </w:rPr>
        </w:pPr>
        <w:r w:rsidRPr="002F4846">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592E4E" w:rsidRPr="0066186F" w:rsidRDefault="00592E4E"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592E4E" w:rsidRDefault="00592E4E">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592E4E" w:rsidRPr="0020679D" w:rsidRDefault="00592E4E">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7883D" w14:textId="77777777" w:rsidR="00F82477" w:rsidRDefault="00F82477" w:rsidP="003C3F58">
      <w:r>
        <w:separator/>
      </w:r>
    </w:p>
  </w:footnote>
  <w:footnote w:type="continuationSeparator" w:id="0">
    <w:p w14:paraId="140491DA" w14:textId="77777777" w:rsidR="00F82477" w:rsidRDefault="00F82477" w:rsidP="003C3F58">
      <w:r>
        <w:continuationSeparator/>
      </w:r>
    </w:p>
  </w:footnote>
  <w:footnote w:id="1">
    <w:p w14:paraId="7F83BD30" w14:textId="0FDA63A4" w:rsidR="00592E4E" w:rsidRPr="007B0924" w:rsidRDefault="00592E4E" w:rsidP="00944B72">
      <w:pPr>
        <w:spacing w:line="240" w:lineRule="atLeast"/>
        <w:jc w:val="both"/>
        <w:rPr>
          <w:rFonts w:ascii="Arial" w:eastAsiaTheme="minorHAnsi" w:hAnsi="Arial" w:cs="Arial"/>
          <w:sz w:val="20"/>
          <w:szCs w:val="20"/>
          <w:lang w:val="es-MX" w:eastAsia="es-PE"/>
        </w:rPr>
      </w:pPr>
      <w:r w:rsidRPr="007B0924">
        <w:rPr>
          <w:rStyle w:val="Refdenotaalpie"/>
          <w:rFonts w:ascii="Arial" w:eastAsia="Arial" w:hAnsi="Arial" w:cs="Arial"/>
          <w:sz w:val="20"/>
          <w:szCs w:val="20"/>
        </w:rPr>
        <w:footnoteRef/>
      </w:r>
      <w:r w:rsidR="00622CAA" w:rsidRPr="007B0924">
        <w:rPr>
          <w:rFonts w:ascii="Arial" w:hAnsi="Arial" w:cs="Arial"/>
          <w:sz w:val="20"/>
          <w:szCs w:val="20"/>
        </w:rPr>
        <w:t xml:space="preserve"> Licenciatura y Maestría en Nutrición Humana. Profesora asociada y actual directora de la Escuela de nutrición de la Universidad de Costa Rica.</w:t>
      </w:r>
      <w:r w:rsidRPr="007B0924">
        <w:rPr>
          <w:rFonts w:ascii="Arial" w:hAnsi="Arial" w:cs="Arial"/>
          <w:color w:val="000000" w:themeColor="text1"/>
          <w:sz w:val="20"/>
          <w:szCs w:val="20"/>
        </w:rPr>
        <w:t xml:space="preserve"> </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Pr="007B0924">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Pr="007B0924">
        <w:rPr>
          <w:rFonts w:ascii="Arial" w:hAnsi="Arial" w:cs="Arial"/>
          <w:color w:val="000000" w:themeColor="text1"/>
          <w:sz w:val="20"/>
          <w:szCs w:val="20"/>
        </w:rPr>
        <w:t xml:space="preserve"> </w:t>
      </w:r>
      <w:r w:rsidR="007B0924" w:rsidRPr="00EB4A4E">
        <w:rPr>
          <w:rFonts w:ascii="Arial" w:hAnsi="Arial" w:cs="Arial"/>
          <w:color w:val="002060"/>
          <w:sz w:val="20"/>
          <w:szCs w:val="20"/>
          <w:u w:val="single"/>
        </w:rPr>
        <w:t>https://orcid.org/0000-0002-6453-4218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05AF3C78" w:rsidR="00592E4E" w:rsidRPr="00B344FA" w:rsidRDefault="00592E4E" w:rsidP="008A1766">
    <w:pPr>
      <w:pStyle w:val="Sinespaciado"/>
      <w:jc w:val="center"/>
      <w:rPr>
        <w:rFonts w:ascii="Agency FB" w:hAnsi="Agency FB"/>
        <w:color w:val="E36C0A"/>
      </w:rPr>
    </w:pPr>
    <w:bookmarkStart w:id="13" w:name="_Hlk151106753"/>
    <w:r w:rsidRPr="00B344FA">
      <w:rPr>
        <w:rFonts w:ascii="Agency FB" w:hAnsi="Agency FB"/>
        <w:color w:val="E36C0A"/>
      </w:rPr>
      <w:t>REVISTA ELECTRÓNICA CALIDAD EN LA EDUCACIÓN SUPERIOR ISSN: 1659 - 4703,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w:t>
    </w:r>
    <w:r w:rsidR="0043400B">
      <w:rPr>
        <w:rFonts w:ascii="Agency FB" w:hAnsi="Agency FB"/>
        <w:color w:val="E36C0A"/>
      </w:rPr>
      <w:t>50</w:t>
    </w:r>
    <w:r w:rsidR="00225E54">
      <w:rPr>
        <w:rFonts w:ascii="Agency FB" w:hAnsi="Agency FB"/>
        <w:color w:val="E36C0A"/>
      </w:rPr>
      <w:t>-</w:t>
    </w:r>
    <w:r w:rsidR="001939F3">
      <w:rPr>
        <w:rFonts w:ascii="Agency FB" w:hAnsi="Agency FB"/>
        <w:color w:val="E36C0A"/>
      </w:rPr>
      <w:t>71</w:t>
    </w:r>
  </w:p>
  <w:p w14:paraId="505074AE" w14:textId="4D68327B" w:rsidR="00592E4E" w:rsidRPr="00FE0969" w:rsidRDefault="00592E4E"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592E4E" w:rsidRPr="0081623B" w:rsidRDefault="00F82477" w:rsidP="00A82B98">
    <w:pPr>
      <w:pStyle w:val="Sinespaciado"/>
      <w:jc w:val="center"/>
      <w:rPr>
        <w:rFonts w:ascii="Agency FB" w:hAnsi="Agency FB"/>
        <w:color w:val="E36C0A"/>
      </w:rPr>
    </w:pPr>
    <w:hyperlink r:id="rId2" w:history="1">
      <w:r w:rsidR="00592E4E" w:rsidRPr="0081623B">
        <w:rPr>
          <w:color w:val="E36C0A"/>
        </w:rPr>
        <w:t>http://revistas.uned.ac.cr./index.php/revistacalidad</w:t>
      </w:r>
    </w:hyperlink>
  </w:p>
  <w:p w14:paraId="3F557B39" w14:textId="77777777" w:rsidR="00592E4E" w:rsidRPr="0081623B" w:rsidRDefault="00592E4E"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592E4E" w:rsidRDefault="00592E4E"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3"/>
  <w:p w14:paraId="65D9EF25" w14:textId="77777777" w:rsidR="00592E4E" w:rsidRDefault="00592E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E75"/>
    <w:rsid w:val="0005594E"/>
    <w:rsid w:val="00057376"/>
    <w:rsid w:val="00057A12"/>
    <w:rsid w:val="0006064F"/>
    <w:rsid w:val="00061C1E"/>
    <w:rsid w:val="00063B82"/>
    <w:rsid w:val="0007083E"/>
    <w:rsid w:val="00073695"/>
    <w:rsid w:val="000749E7"/>
    <w:rsid w:val="00075680"/>
    <w:rsid w:val="00076624"/>
    <w:rsid w:val="00081189"/>
    <w:rsid w:val="00081EA1"/>
    <w:rsid w:val="00083198"/>
    <w:rsid w:val="00084C26"/>
    <w:rsid w:val="00086FA0"/>
    <w:rsid w:val="00091331"/>
    <w:rsid w:val="00091D68"/>
    <w:rsid w:val="00095A07"/>
    <w:rsid w:val="00097C08"/>
    <w:rsid w:val="00097DE7"/>
    <w:rsid w:val="000A111C"/>
    <w:rsid w:val="000A1290"/>
    <w:rsid w:val="000A227F"/>
    <w:rsid w:val="000A3A9F"/>
    <w:rsid w:val="000A6D9A"/>
    <w:rsid w:val="000A7E22"/>
    <w:rsid w:val="000B0821"/>
    <w:rsid w:val="000B7151"/>
    <w:rsid w:val="000B7446"/>
    <w:rsid w:val="000C08B0"/>
    <w:rsid w:val="000C1371"/>
    <w:rsid w:val="000C680B"/>
    <w:rsid w:val="000C7451"/>
    <w:rsid w:val="000D1334"/>
    <w:rsid w:val="000D144D"/>
    <w:rsid w:val="000D1F91"/>
    <w:rsid w:val="000D2567"/>
    <w:rsid w:val="000D296F"/>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192F"/>
    <w:rsid w:val="00102586"/>
    <w:rsid w:val="00104E6F"/>
    <w:rsid w:val="00106270"/>
    <w:rsid w:val="00107071"/>
    <w:rsid w:val="00107EBF"/>
    <w:rsid w:val="00111083"/>
    <w:rsid w:val="00116616"/>
    <w:rsid w:val="00116C20"/>
    <w:rsid w:val="00120219"/>
    <w:rsid w:val="001207A6"/>
    <w:rsid w:val="001223DD"/>
    <w:rsid w:val="001234AE"/>
    <w:rsid w:val="00125F0E"/>
    <w:rsid w:val="0012727A"/>
    <w:rsid w:val="00127E7E"/>
    <w:rsid w:val="00130994"/>
    <w:rsid w:val="00130A59"/>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61AF"/>
    <w:rsid w:val="00156C8F"/>
    <w:rsid w:val="00160030"/>
    <w:rsid w:val="001624E8"/>
    <w:rsid w:val="001650EE"/>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9F3"/>
    <w:rsid w:val="00193AFC"/>
    <w:rsid w:val="00193DA2"/>
    <w:rsid w:val="0019517B"/>
    <w:rsid w:val="001951A4"/>
    <w:rsid w:val="001A0561"/>
    <w:rsid w:val="001A43CA"/>
    <w:rsid w:val="001A5BBC"/>
    <w:rsid w:val="001A5FB1"/>
    <w:rsid w:val="001A69C6"/>
    <w:rsid w:val="001A6A7E"/>
    <w:rsid w:val="001B1F0E"/>
    <w:rsid w:val="001B2F02"/>
    <w:rsid w:val="001B33FD"/>
    <w:rsid w:val="001B38E2"/>
    <w:rsid w:val="001B49A7"/>
    <w:rsid w:val="001B52E9"/>
    <w:rsid w:val="001B740D"/>
    <w:rsid w:val="001C017C"/>
    <w:rsid w:val="001C0FDB"/>
    <w:rsid w:val="001C395C"/>
    <w:rsid w:val="001C77F9"/>
    <w:rsid w:val="001D06ED"/>
    <w:rsid w:val="001D0E42"/>
    <w:rsid w:val="001D19BA"/>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5604"/>
    <w:rsid w:val="0020679D"/>
    <w:rsid w:val="00211B63"/>
    <w:rsid w:val="00212AFB"/>
    <w:rsid w:val="002144FC"/>
    <w:rsid w:val="0021492A"/>
    <w:rsid w:val="00215374"/>
    <w:rsid w:val="002205F4"/>
    <w:rsid w:val="00220D72"/>
    <w:rsid w:val="00224C62"/>
    <w:rsid w:val="002258EE"/>
    <w:rsid w:val="00225E54"/>
    <w:rsid w:val="00226640"/>
    <w:rsid w:val="00226CC3"/>
    <w:rsid w:val="00230309"/>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6621"/>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484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257E"/>
    <w:rsid w:val="00323C26"/>
    <w:rsid w:val="00323EC0"/>
    <w:rsid w:val="00326D5D"/>
    <w:rsid w:val="003305D5"/>
    <w:rsid w:val="00331067"/>
    <w:rsid w:val="00331E99"/>
    <w:rsid w:val="00333698"/>
    <w:rsid w:val="00336292"/>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4D56"/>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44F5"/>
    <w:rsid w:val="003F4747"/>
    <w:rsid w:val="00400EA4"/>
    <w:rsid w:val="00403008"/>
    <w:rsid w:val="00403E7A"/>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00B"/>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A5A20"/>
    <w:rsid w:val="004B5ADB"/>
    <w:rsid w:val="004B7156"/>
    <w:rsid w:val="004B722B"/>
    <w:rsid w:val="004B7852"/>
    <w:rsid w:val="004B7B50"/>
    <w:rsid w:val="004C39B6"/>
    <w:rsid w:val="004C521F"/>
    <w:rsid w:val="004C6D4B"/>
    <w:rsid w:val="004D0DC5"/>
    <w:rsid w:val="004D2193"/>
    <w:rsid w:val="004D5004"/>
    <w:rsid w:val="004D65DC"/>
    <w:rsid w:val="004E18C0"/>
    <w:rsid w:val="004E2C53"/>
    <w:rsid w:val="004E31E9"/>
    <w:rsid w:val="004E7499"/>
    <w:rsid w:val="004E788A"/>
    <w:rsid w:val="004F08D4"/>
    <w:rsid w:val="004F0FE0"/>
    <w:rsid w:val="004F13B1"/>
    <w:rsid w:val="004F1C1D"/>
    <w:rsid w:val="004F6716"/>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6450"/>
    <w:rsid w:val="00560910"/>
    <w:rsid w:val="00561B3D"/>
    <w:rsid w:val="00562168"/>
    <w:rsid w:val="005646D7"/>
    <w:rsid w:val="005657D5"/>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D7FBD"/>
    <w:rsid w:val="005E4587"/>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2CAA"/>
    <w:rsid w:val="0062395B"/>
    <w:rsid w:val="0062566E"/>
    <w:rsid w:val="0062570F"/>
    <w:rsid w:val="006309AF"/>
    <w:rsid w:val="006320C8"/>
    <w:rsid w:val="00633D94"/>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5776"/>
    <w:rsid w:val="006B6820"/>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F55E9"/>
    <w:rsid w:val="007012CF"/>
    <w:rsid w:val="007013D8"/>
    <w:rsid w:val="00704B89"/>
    <w:rsid w:val="007053EE"/>
    <w:rsid w:val="007077DC"/>
    <w:rsid w:val="00707CC1"/>
    <w:rsid w:val="00711661"/>
    <w:rsid w:val="0071178D"/>
    <w:rsid w:val="007118C9"/>
    <w:rsid w:val="00713CD2"/>
    <w:rsid w:val="0071551E"/>
    <w:rsid w:val="00717D1B"/>
    <w:rsid w:val="0072045D"/>
    <w:rsid w:val="00720A83"/>
    <w:rsid w:val="007220F0"/>
    <w:rsid w:val="0072344A"/>
    <w:rsid w:val="00723664"/>
    <w:rsid w:val="00723D31"/>
    <w:rsid w:val="00723FEB"/>
    <w:rsid w:val="00727ABF"/>
    <w:rsid w:val="007321F5"/>
    <w:rsid w:val="00733199"/>
    <w:rsid w:val="00734975"/>
    <w:rsid w:val="0073623C"/>
    <w:rsid w:val="0073740C"/>
    <w:rsid w:val="007430BA"/>
    <w:rsid w:val="00744BFD"/>
    <w:rsid w:val="00745B70"/>
    <w:rsid w:val="00750246"/>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0D8B"/>
    <w:rsid w:val="007732E8"/>
    <w:rsid w:val="00773E01"/>
    <w:rsid w:val="00775FAB"/>
    <w:rsid w:val="00777310"/>
    <w:rsid w:val="007800DA"/>
    <w:rsid w:val="0078065A"/>
    <w:rsid w:val="00782D3C"/>
    <w:rsid w:val="00784A71"/>
    <w:rsid w:val="00786818"/>
    <w:rsid w:val="007954C7"/>
    <w:rsid w:val="00795E38"/>
    <w:rsid w:val="007A1631"/>
    <w:rsid w:val="007A1D81"/>
    <w:rsid w:val="007A1D9C"/>
    <w:rsid w:val="007A6C7D"/>
    <w:rsid w:val="007A7CCD"/>
    <w:rsid w:val="007A7F13"/>
    <w:rsid w:val="007B0924"/>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41D8"/>
    <w:rsid w:val="008067A0"/>
    <w:rsid w:val="00807AD4"/>
    <w:rsid w:val="00807BCD"/>
    <w:rsid w:val="00814594"/>
    <w:rsid w:val="0083251B"/>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579AF"/>
    <w:rsid w:val="00857EE5"/>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876F0"/>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7DE"/>
    <w:rsid w:val="008C7F3C"/>
    <w:rsid w:val="008D6912"/>
    <w:rsid w:val="008D6BF4"/>
    <w:rsid w:val="008D792C"/>
    <w:rsid w:val="008E1E64"/>
    <w:rsid w:val="008E251D"/>
    <w:rsid w:val="008E5B01"/>
    <w:rsid w:val="008E5DEB"/>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D79"/>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5A"/>
    <w:rsid w:val="009F508A"/>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D4D"/>
    <w:rsid w:val="00A80E8C"/>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7C76"/>
    <w:rsid w:val="00B51AF9"/>
    <w:rsid w:val="00B51FC8"/>
    <w:rsid w:val="00B53056"/>
    <w:rsid w:val="00B547E6"/>
    <w:rsid w:val="00B55452"/>
    <w:rsid w:val="00B56C5F"/>
    <w:rsid w:val="00B60BAB"/>
    <w:rsid w:val="00B62C34"/>
    <w:rsid w:val="00B64379"/>
    <w:rsid w:val="00B72467"/>
    <w:rsid w:val="00B73158"/>
    <w:rsid w:val="00B77050"/>
    <w:rsid w:val="00B7794A"/>
    <w:rsid w:val="00B85E0C"/>
    <w:rsid w:val="00B92AAE"/>
    <w:rsid w:val="00B93825"/>
    <w:rsid w:val="00B93855"/>
    <w:rsid w:val="00B93E50"/>
    <w:rsid w:val="00B95B67"/>
    <w:rsid w:val="00B95D6E"/>
    <w:rsid w:val="00B96872"/>
    <w:rsid w:val="00B97E99"/>
    <w:rsid w:val="00BA59F2"/>
    <w:rsid w:val="00BA6BA5"/>
    <w:rsid w:val="00BB1F20"/>
    <w:rsid w:val="00BB2A2E"/>
    <w:rsid w:val="00BB36EC"/>
    <w:rsid w:val="00BB44B1"/>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1393F"/>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4B4B"/>
    <w:rsid w:val="00C55CE7"/>
    <w:rsid w:val="00C56B06"/>
    <w:rsid w:val="00C57393"/>
    <w:rsid w:val="00C57C4D"/>
    <w:rsid w:val="00C6281D"/>
    <w:rsid w:val="00C62FD0"/>
    <w:rsid w:val="00C63D25"/>
    <w:rsid w:val="00C6401D"/>
    <w:rsid w:val="00C66FA3"/>
    <w:rsid w:val="00C67FB2"/>
    <w:rsid w:val="00C74527"/>
    <w:rsid w:val="00C74F96"/>
    <w:rsid w:val="00C75E59"/>
    <w:rsid w:val="00C77132"/>
    <w:rsid w:val="00C7717E"/>
    <w:rsid w:val="00C777C5"/>
    <w:rsid w:val="00C77E10"/>
    <w:rsid w:val="00C861A3"/>
    <w:rsid w:val="00C904C7"/>
    <w:rsid w:val="00C91386"/>
    <w:rsid w:val="00C92F3A"/>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3339"/>
    <w:rsid w:val="00CE6177"/>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39D4"/>
    <w:rsid w:val="00D76148"/>
    <w:rsid w:val="00D826B8"/>
    <w:rsid w:val="00D82EF8"/>
    <w:rsid w:val="00D83A9B"/>
    <w:rsid w:val="00D8512E"/>
    <w:rsid w:val="00D85507"/>
    <w:rsid w:val="00D861F9"/>
    <w:rsid w:val="00D90802"/>
    <w:rsid w:val="00D90840"/>
    <w:rsid w:val="00D911A5"/>
    <w:rsid w:val="00D929AD"/>
    <w:rsid w:val="00D9595B"/>
    <w:rsid w:val="00D9680F"/>
    <w:rsid w:val="00DA585B"/>
    <w:rsid w:val="00DB049D"/>
    <w:rsid w:val="00DB1AC2"/>
    <w:rsid w:val="00DB3216"/>
    <w:rsid w:val="00DB3B84"/>
    <w:rsid w:val="00DB4549"/>
    <w:rsid w:val="00DB53EE"/>
    <w:rsid w:val="00DB7AE2"/>
    <w:rsid w:val="00DC071D"/>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F1513"/>
    <w:rsid w:val="00DF2728"/>
    <w:rsid w:val="00E001C3"/>
    <w:rsid w:val="00E049B7"/>
    <w:rsid w:val="00E0577F"/>
    <w:rsid w:val="00E05D3B"/>
    <w:rsid w:val="00E05EED"/>
    <w:rsid w:val="00E07CD1"/>
    <w:rsid w:val="00E100D5"/>
    <w:rsid w:val="00E129A2"/>
    <w:rsid w:val="00E1546C"/>
    <w:rsid w:val="00E179DF"/>
    <w:rsid w:val="00E20D87"/>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847BA"/>
    <w:rsid w:val="00E84AFB"/>
    <w:rsid w:val="00E855EF"/>
    <w:rsid w:val="00E90070"/>
    <w:rsid w:val="00E94C2D"/>
    <w:rsid w:val="00E95F83"/>
    <w:rsid w:val="00EA2D86"/>
    <w:rsid w:val="00EA3CE3"/>
    <w:rsid w:val="00EA4C11"/>
    <w:rsid w:val="00EA755A"/>
    <w:rsid w:val="00EB14B3"/>
    <w:rsid w:val="00EB3291"/>
    <w:rsid w:val="00EB3DF8"/>
    <w:rsid w:val="00EB4A4E"/>
    <w:rsid w:val="00EB4F14"/>
    <w:rsid w:val="00EB5002"/>
    <w:rsid w:val="00EC0231"/>
    <w:rsid w:val="00EC2840"/>
    <w:rsid w:val="00EC2ADD"/>
    <w:rsid w:val="00EC371D"/>
    <w:rsid w:val="00EC5562"/>
    <w:rsid w:val="00EC6B3F"/>
    <w:rsid w:val="00ED3C72"/>
    <w:rsid w:val="00ED4847"/>
    <w:rsid w:val="00ED7554"/>
    <w:rsid w:val="00EE1709"/>
    <w:rsid w:val="00EE3DF6"/>
    <w:rsid w:val="00EF0AE0"/>
    <w:rsid w:val="00EF1504"/>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3CBE"/>
    <w:rsid w:val="00F3448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79A"/>
    <w:rsid w:val="00F65B31"/>
    <w:rsid w:val="00F67C00"/>
    <w:rsid w:val="00F71F9A"/>
    <w:rsid w:val="00F730FC"/>
    <w:rsid w:val="00F74A88"/>
    <w:rsid w:val="00F76E94"/>
    <w:rsid w:val="00F76EA2"/>
    <w:rsid w:val="00F77272"/>
    <w:rsid w:val="00F81DC1"/>
    <w:rsid w:val="00F82477"/>
    <w:rsid w:val="00F82B45"/>
    <w:rsid w:val="00F8549F"/>
    <w:rsid w:val="00F86AA2"/>
    <w:rsid w:val="00F87210"/>
    <w:rsid w:val="00F87D82"/>
    <w:rsid w:val="00F91E05"/>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2FB"/>
    <w:rsid w:val="00FE3841"/>
    <w:rsid w:val="00FE4304"/>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r.ac.cr/medios/documentos/2016/reglamento-de-la-actividad-clinica-docente-en-la-ccss.pdf" TargetMode="External"/><Relationship Id="rId18" Type="http://schemas.openxmlformats.org/officeDocument/2006/relationships/hyperlink" Target="https://www.researchgate.net/publication/35538866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ndeisss.sa.cr/wp/wp-content/uploads/2016/Regulaciones/Lineamientos-de-Nutricion.pdf" TargetMode="External"/><Relationship Id="rId17" Type="http://schemas.openxmlformats.org/officeDocument/2006/relationships/hyperlink" Target="https://observador.cr/66-de-107-areas-de-salud-en-el-pais-no-cuentan-con-profesionales-en-nutricion/" TargetMode="External"/><Relationship Id="rId2" Type="http://schemas.openxmlformats.org/officeDocument/2006/relationships/customXml" Target="../customXml/item2.xml"/><Relationship Id="rId16" Type="http://schemas.openxmlformats.org/officeDocument/2006/relationships/hyperlink" Target="https://docplayer.es/46685292-El-constructivismo-y-la-formacion-profesional-de-enfermeri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doi.org/10.1016/j.edumed.2017.11.00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rceaediciones.es/libro/competencias-docentes-del-profesorado-universitario_1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deisss.sa.cr/wp/wpcontent/uploads/2017/09/CENDEISSS-PCC-10410-17-requisitos-para-fungir-como-docent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6i1.496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6E4C06CC-A6CD-4A7C-9DFE-B6E2D3AF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4338</Words>
  <Characters>23860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